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1565DF">
      <w:pPr>
        <w:spacing w:line="360" w:lineRule="auto"/>
        <w:jc w:val="center"/>
        <w:outlineLvl w:val="0"/>
        <w:rPr>
          <w:rFonts w:hint="eastAsia" w:ascii="宋体" w:hAnsi="宋体" w:eastAsia="宋体" w:cs="宋体"/>
          <w:b/>
          <w:color w:val="auto"/>
          <w:sz w:val="28"/>
          <w:highlight w:val="none"/>
          <w:lang w:eastAsia="zh-CN"/>
        </w:rPr>
      </w:pPr>
      <w:bookmarkStart w:id="0" w:name="_Toc15832"/>
      <w:r>
        <w:rPr>
          <w:rFonts w:hint="eastAsia" w:ascii="宋体" w:hAnsi="宋体" w:eastAsia="宋体" w:cs="宋体"/>
          <w:b/>
          <w:color w:val="auto"/>
          <w:sz w:val="28"/>
          <w:highlight w:val="none"/>
        </w:rPr>
        <w:t>第三章  采购需求</w:t>
      </w:r>
      <w:bookmarkEnd w:id="0"/>
      <w:r>
        <w:rPr>
          <w:rFonts w:hint="eastAsia" w:ascii="宋体" w:hAnsi="宋体" w:eastAsia="宋体" w:cs="宋体"/>
          <w:b/>
          <w:color w:val="auto"/>
          <w:sz w:val="28"/>
          <w:highlight w:val="none"/>
          <w:lang w:eastAsia="zh-CN"/>
        </w:rPr>
        <w:t>（1、2包）</w:t>
      </w:r>
    </w:p>
    <w:p w14:paraId="2C9DD2CD">
      <w:pPr>
        <w:adjustRightInd w:val="0"/>
        <w:snapToGrid w:val="0"/>
        <w:spacing w:line="360" w:lineRule="auto"/>
        <w:rPr>
          <w:rFonts w:ascii="宋体" w:hAnsi="宋体" w:eastAsia="宋体" w:cs="宋体"/>
          <w:b/>
          <w:color w:val="auto"/>
          <w:szCs w:val="21"/>
          <w:highlight w:val="none"/>
        </w:rPr>
      </w:pPr>
      <w:r>
        <w:rPr>
          <w:rFonts w:hint="eastAsia" w:ascii="宋体" w:hAnsi="宋体" w:eastAsia="宋体" w:cs="宋体"/>
          <w:b/>
          <w:color w:val="auto"/>
          <w:szCs w:val="21"/>
          <w:highlight w:val="none"/>
        </w:rPr>
        <w:t>前注：</w:t>
      </w:r>
    </w:p>
    <w:p w14:paraId="1C749B61">
      <w:pPr>
        <w:adjustRightInd w:val="0"/>
        <w:snapToGrid w:val="0"/>
        <w:spacing w:line="360" w:lineRule="auto"/>
        <w:ind w:firstLine="435"/>
        <w:rPr>
          <w:rFonts w:ascii="宋体" w:hAnsi="宋体" w:eastAsia="宋体" w:cs="宋体"/>
          <w:color w:val="auto"/>
          <w:szCs w:val="21"/>
          <w:highlight w:val="none"/>
        </w:rPr>
      </w:pPr>
      <w:r>
        <w:rPr>
          <w:rFonts w:hint="eastAsia" w:ascii="宋体" w:hAnsi="宋体" w:eastAsia="宋体" w:cs="宋体"/>
          <w:color w:val="auto"/>
          <w:szCs w:val="21"/>
          <w:highlight w:val="none"/>
        </w:rPr>
        <w:t>1.本采购需求中提出的服务方案仅为参考，如无明确限制，供应商可以进行优化，提供满足采购人实际需要的更优（或者性能实质上不低于的）服务方案，且此方案须经磋商小组评审认可。</w:t>
      </w:r>
    </w:p>
    <w:p w14:paraId="0F784787">
      <w:pPr>
        <w:adjustRightInd w:val="0"/>
        <w:snapToGrid w:val="0"/>
        <w:spacing w:line="360" w:lineRule="auto"/>
        <w:ind w:firstLine="435"/>
        <w:rPr>
          <w:rFonts w:ascii="宋体" w:hAnsi="宋体" w:eastAsia="宋体" w:cs="宋体"/>
          <w:color w:val="auto"/>
          <w:szCs w:val="21"/>
          <w:highlight w:val="none"/>
        </w:rPr>
      </w:pPr>
      <w:r>
        <w:rPr>
          <w:rFonts w:hint="eastAsia" w:ascii="宋体" w:hAnsi="宋体" w:eastAsia="宋体" w:cs="宋体"/>
          <w:color w:val="auto"/>
          <w:szCs w:val="21"/>
          <w:highlight w:val="none"/>
        </w:rPr>
        <w:t>2.下列采购需求中（包括但不限于下列具体政策要求）：</w:t>
      </w:r>
    </w:p>
    <w:p w14:paraId="7779701F">
      <w:pPr>
        <w:adjustRightInd w:val="0"/>
        <w:snapToGrid w:val="0"/>
        <w:spacing w:line="360" w:lineRule="auto"/>
        <w:ind w:firstLine="435"/>
        <w:rPr>
          <w:rFonts w:ascii="宋体" w:hAnsi="宋体" w:eastAsia="宋体" w:cs="宋体"/>
          <w:color w:val="auto"/>
          <w:szCs w:val="21"/>
          <w:highlight w:val="none"/>
        </w:rPr>
      </w:pPr>
      <w:r>
        <w:rPr>
          <w:rFonts w:hint="eastAsia" w:ascii="宋体" w:hAnsi="宋体" w:eastAsia="宋体" w:cs="宋体"/>
          <w:color w:val="auto"/>
          <w:szCs w:val="21"/>
          <w:highlight w:val="none"/>
        </w:rPr>
        <w:t>（1）如属于《节能产品政府采购品目清单》中政府强制采购的节能产品，则供应商所投产品须具有市场监管总局公布的《参与实施政府采购节能产品认证机构目录》中的认证机构出具的、处于有效期内的节能产品认证证书。</w:t>
      </w:r>
    </w:p>
    <w:p w14:paraId="10CC24E4">
      <w:pPr>
        <w:adjustRightInd w:val="0"/>
        <w:snapToGrid w:val="0"/>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（2）如涉及商品包装和快递包装，供应商应当执行《关于印发〈商品包装政府采购需求标准（试行）〉、〈快递包装政府采购需求标准（试行）〉的通知》（财办库〔2020〕123 号）、《安徽省财政厅关于贯彻落实政府绿色采购有关政策的通知》（皖财购〔2023〕853号）的</w:t>
      </w:r>
      <w:r>
        <w:rPr>
          <w:rFonts w:hint="eastAsia" w:ascii="宋体" w:hAnsi="宋体" w:eastAsia="宋体" w:cs="宋体"/>
          <w:color w:val="auto"/>
          <w:sz w:val="21"/>
          <w:szCs w:val="21"/>
          <w:highlight w:val="none"/>
        </w:rPr>
        <w:t>要求，提供符合需求标准的绿色包装、绿色运输，同时，采购人将对包装材料和运输环节作为履约验收条款进行验收。</w:t>
      </w:r>
    </w:p>
    <w:p w14:paraId="743BFB0B">
      <w:pPr>
        <w:adjustRightInd w:val="0"/>
        <w:snapToGrid w:val="0"/>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3.如采购人允许采用分包方式履行合同的，应当明确可以分包履行的相关内容。</w:t>
      </w:r>
    </w:p>
    <w:p w14:paraId="7E4CED4B">
      <w:pPr>
        <w:spacing w:line="360" w:lineRule="auto"/>
        <w:ind w:firstLine="437"/>
        <w:outlineLvl w:val="1"/>
        <w:rPr>
          <w:rFonts w:hint="eastAsia" w:ascii="宋体" w:hAnsi="宋体" w:eastAsia="宋体" w:cs="宋体"/>
          <w:b/>
          <w:color w:val="auto"/>
          <w:sz w:val="21"/>
          <w:szCs w:val="21"/>
          <w:highlight w:val="none"/>
        </w:rPr>
      </w:pPr>
      <w:bookmarkStart w:id="1" w:name="_Toc26349"/>
      <w:bookmarkStart w:id="2" w:name="_Toc7562"/>
      <w:bookmarkStart w:id="3" w:name="_Toc3139"/>
      <w:bookmarkStart w:id="4" w:name="_Toc7699"/>
      <w:r>
        <w:rPr>
          <w:rFonts w:hint="eastAsia" w:ascii="宋体" w:hAnsi="宋体" w:eastAsia="宋体" w:cs="宋体"/>
          <w:b/>
          <w:color w:val="auto"/>
          <w:sz w:val="21"/>
          <w:szCs w:val="21"/>
          <w:highlight w:val="none"/>
        </w:rPr>
        <w:t>一、采购需求前附表</w:t>
      </w:r>
      <w:bookmarkEnd w:id="1"/>
      <w:bookmarkEnd w:id="2"/>
      <w:bookmarkEnd w:id="3"/>
      <w:bookmarkEnd w:id="4"/>
    </w:p>
    <w:tbl>
      <w:tblPr>
        <w:tblStyle w:val="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6"/>
        <w:gridCol w:w="1766"/>
        <w:gridCol w:w="5750"/>
      </w:tblGrid>
      <w:tr w14:paraId="4EA8A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0" w:type="pct"/>
            <w:noWrap w:val="0"/>
            <w:vAlign w:val="center"/>
          </w:tcPr>
          <w:p w14:paraId="76A9AD3D">
            <w:pPr>
              <w:pStyle w:val="7"/>
              <w:pBdr>
                <w:bottom w:val="none" w:color="auto" w:sz="0" w:space="0"/>
              </w:pBdr>
              <w:tabs>
                <w:tab w:val="clear" w:pos="4153"/>
                <w:tab w:val="clear" w:pos="8306"/>
              </w:tabs>
              <w:adjustRightInd/>
              <w:spacing w:line="300" w:lineRule="auto"/>
              <w:textAlignment w:val="auto"/>
              <w:rPr>
                <w:rFonts w:hint="eastAsia" w:ascii="宋体" w:hAnsi="宋体" w:eastAsia="宋体" w:cs="宋体"/>
                <w:b/>
                <w:color w:val="auto"/>
                <w:kern w:val="2"/>
                <w:sz w:val="21"/>
                <w:szCs w:val="21"/>
                <w:highlight w:val="none"/>
              </w:rPr>
            </w:pPr>
            <w:bookmarkStart w:id="5" w:name="_Hlk16461016"/>
            <w:r>
              <w:rPr>
                <w:rFonts w:hint="eastAsia" w:ascii="宋体" w:hAnsi="宋体" w:eastAsia="宋体" w:cs="宋体"/>
                <w:b/>
                <w:color w:val="auto"/>
                <w:kern w:val="2"/>
                <w:sz w:val="21"/>
                <w:szCs w:val="21"/>
                <w:highlight w:val="none"/>
              </w:rPr>
              <w:t>序号</w:t>
            </w:r>
          </w:p>
        </w:tc>
        <w:tc>
          <w:tcPr>
            <w:tcW w:w="1036" w:type="pct"/>
            <w:noWrap w:val="0"/>
            <w:vAlign w:val="center"/>
          </w:tcPr>
          <w:p w14:paraId="06768A09">
            <w:pPr>
              <w:pStyle w:val="8"/>
              <w:widowControl w:val="0"/>
              <w:spacing w:before="0" w:beforeAutospacing="0" w:after="0" w:afterAutospacing="0" w:line="300" w:lineRule="auto"/>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条款名称</w:t>
            </w:r>
          </w:p>
        </w:tc>
        <w:tc>
          <w:tcPr>
            <w:tcW w:w="3373" w:type="pct"/>
            <w:noWrap w:val="0"/>
            <w:vAlign w:val="center"/>
          </w:tcPr>
          <w:p w14:paraId="01FD7022">
            <w:pPr>
              <w:pStyle w:val="8"/>
              <w:widowControl w:val="0"/>
              <w:spacing w:before="0" w:beforeAutospacing="0" w:after="0" w:afterAutospacing="0" w:line="300" w:lineRule="auto"/>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内容、说明与要求</w:t>
            </w:r>
          </w:p>
        </w:tc>
      </w:tr>
      <w:tr w14:paraId="0B8E3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0" w:type="pct"/>
            <w:noWrap w:val="0"/>
            <w:vAlign w:val="center"/>
          </w:tcPr>
          <w:p w14:paraId="032E1064">
            <w:pPr>
              <w:pStyle w:val="7"/>
              <w:pBdr>
                <w:bottom w:val="none" w:color="auto" w:sz="0" w:space="0"/>
              </w:pBdr>
              <w:tabs>
                <w:tab w:val="clear" w:pos="4153"/>
                <w:tab w:val="clear" w:pos="8306"/>
              </w:tabs>
              <w:adjustRightInd/>
              <w:spacing w:line="30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1</w:t>
            </w:r>
          </w:p>
        </w:tc>
        <w:tc>
          <w:tcPr>
            <w:tcW w:w="1036" w:type="pct"/>
            <w:noWrap w:val="0"/>
            <w:vAlign w:val="center"/>
          </w:tcPr>
          <w:p w14:paraId="0EF83928">
            <w:pPr>
              <w:pStyle w:val="8"/>
              <w:widowControl w:val="0"/>
              <w:spacing w:before="0" w:beforeAutospacing="0" w:after="0" w:afterAutospacing="0" w:line="300" w:lineRule="auto"/>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付款方式</w:t>
            </w:r>
          </w:p>
        </w:tc>
        <w:tc>
          <w:tcPr>
            <w:tcW w:w="3373" w:type="pct"/>
            <w:noWrap w:val="0"/>
            <w:vAlign w:val="center"/>
          </w:tcPr>
          <w:p w14:paraId="0456A642">
            <w:pPr>
              <w:widowControl/>
              <w:jc w:val="left"/>
              <w:rPr>
                <w:rFonts w:hint="eastAsia" w:ascii="宋体" w:hAnsi="宋体" w:eastAsia="宋体" w:cs="宋体"/>
                <w:bCs/>
                <w:color w:val="auto"/>
                <w:kern w:val="0"/>
                <w:sz w:val="21"/>
                <w:szCs w:val="21"/>
                <w:highlight w:val="none"/>
                <w:lang w:eastAsia="zh-CN"/>
              </w:rPr>
            </w:pPr>
            <w:r>
              <w:rPr>
                <w:rFonts w:hint="eastAsia" w:ascii="宋体" w:hAnsi="宋体" w:eastAsia="宋体" w:cs="宋体"/>
                <w:bCs/>
                <w:color w:val="auto"/>
                <w:kern w:val="0"/>
                <w:sz w:val="21"/>
                <w:szCs w:val="21"/>
                <w:highlight w:val="none"/>
                <w:lang w:eastAsia="zh-CN"/>
              </w:rPr>
              <w:t>项目履约完成并验收合格后，以实际评估的数量进行结算。</w:t>
            </w:r>
          </w:p>
          <w:p w14:paraId="200969AC">
            <w:pPr>
              <w:widowControl/>
              <w:jc w:val="left"/>
              <w:rPr>
                <w:rFonts w:hint="eastAsia" w:ascii="宋体" w:hAnsi="宋体" w:eastAsia="宋体" w:cs="宋体"/>
                <w:bCs/>
                <w:color w:val="auto"/>
                <w:kern w:val="0"/>
                <w:sz w:val="21"/>
                <w:szCs w:val="21"/>
                <w:highlight w:val="none"/>
                <w:lang w:eastAsia="zh-CN"/>
              </w:rPr>
            </w:pPr>
            <w:r>
              <w:rPr>
                <w:rFonts w:hint="eastAsia" w:ascii="宋体" w:hAnsi="宋体" w:eastAsia="宋体" w:cs="宋体"/>
                <w:bCs/>
                <w:color w:val="auto"/>
                <w:kern w:val="0"/>
                <w:sz w:val="21"/>
                <w:szCs w:val="21"/>
                <w:highlight w:val="none"/>
                <w:lang w:eastAsia="zh-CN"/>
              </w:rPr>
              <w:t>（本项目据实结算，结算金额=实际评估矿山数量×成交评估费用单价）</w:t>
            </w:r>
          </w:p>
        </w:tc>
      </w:tr>
      <w:tr w14:paraId="14C21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0" w:type="pct"/>
            <w:noWrap w:val="0"/>
            <w:vAlign w:val="center"/>
          </w:tcPr>
          <w:p w14:paraId="2645FDE2">
            <w:pPr>
              <w:pStyle w:val="7"/>
              <w:pBdr>
                <w:bottom w:val="none" w:color="auto" w:sz="0" w:space="0"/>
              </w:pBdr>
              <w:tabs>
                <w:tab w:val="clear" w:pos="4153"/>
                <w:tab w:val="clear" w:pos="8306"/>
              </w:tabs>
              <w:adjustRightInd/>
              <w:spacing w:line="30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2</w:t>
            </w:r>
          </w:p>
        </w:tc>
        <w:tc>
          <w:tcPr>
            <w:tcW w:w="1036" w:type="pct"/>
            <w:noWrap w:val="0"/>
            <w:vAlign w:val="center"/>
          </w:tcPr>
          <w:p w14:paraId="7AFA88C8">
            <w:pPr>
              <w:pStyle w:val="8"/>
              <w:widowControl w:val="0"/>
              <w:spacing w:before="0" w:beforeAutospacing="0" w:after="0" w:afterAutospacing="0" w:line="300" w:lineRule="auto"/>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服务地点</w:t>
            </w:r>
          </w:p>
        </w:tc>
        <w:tc>
          <w:tcPr>
            <w:tcW w:w="3373" w:type="pct"/>
            <w:noWrap w:val="0"/>
            <w:vAlign w:val="center"/>
          </w:tcPr>
          <w:p w14:paraId="09669877">
            <w:pPr>
              <w:pStyle w:val="8"/>
              <w:widowControl w:val="0"/>
              <w:spacing w:before="0" w:beforeAutospacing="0" w:after="0" w:afterAutospacing="0" w:line="300" w:lineRule="auto"/>
              <w:jc w:val="both"/>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安徽省，具体按采购人指定地点</w:t>
            </w:r>
          </w:p>
        </w:tc>
      </w:tr>
      <w:tr w14:paraId="2F053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0" w:type="pct"/>
            <w:noWrap w:val="0"/>
            <w:vAlign w:val="center"/>
          </w:tcPr>
          <w:p w14:paraId="64A48A5E">
            <w:pPr>
              <w:pStyle w:val="7"/>
              <w:pBdr>
                <w:bottom w:val="none" w:color="auto" w:sz="0" w:space="0"/>
              </w:pBdr>
              <w:tabs>
                <w:tab w:val="clear" w:pos="4153"/>
                <w:tab w:val="clear" w:pos="8306"/>
              </w:tabs>
              <w:adjustRightInd/>
              <w:spacing w:line="30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3</w:t>
            </w:r>
          </w:p>
        </w:tc>
        <w:tc>
          <w:tcPr>
            <w:tcW w:w="1036" w:type="pct"/>
            <w:noWrap w:val="0"/>
            <w:vAlign w:val="center"/>
          </w:tcPr>
          <w:p w14:paraId="4F62D426">
            <w:pPr>
              <w:pStyle w:val="8"/>
              <w:widowControl w:val="0"/>
              <w:spacing w:before="0" w:beforeAutospacing="0" w:after="0" w:afterAutospacing="0" w:line="300" w:lineRule="auto"/>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服务期限</w:t>
            </w:r>
          </w:p>
        </w:tc>
        <w:tc>
          <w:tcPr>
            <w:tcW w:w="3373" w:type="pct"/>
            <w:noWrap w:val="0"/>
            <w:vAlign w:val="center"/>
          </w:tcPr>
          <w:p w14:paraId="2192AB06">
            <w:pPr>
              <w:pStyle w:val="8"/>
              <w:widowControl w:val="0"/>
              <w:spacing w:before="0" w:beforeAutospacing="0" w:after="0" w:afterAutospacing="0" w:line="300" w:lineRule="auto"/>
              <w:jc w:val="both"/>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自合同生效之日起至2025年12月31日。</w:t>
            </w:r>
          </w:p>
        </w:tc>
      </w:tr>
      <w:tr w14:paraId="00911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0" w:type="pct"/>
            <w:noWrap w:val="0"/>
            <w:vAlign w:val="center"/>
          </w:tcPr>
          <w:p w14:paraId="572B4F2C">
            <w:pPr>
              <w:pStyle w:val="7"/>
              <w:pBdr>
                <w:bottom w:val="none" w:color="auto" w:sz="0" w:space="0"/>
              </w:pBdr>
              <w:tabs>
                <w:tab w:val="clear" w:pos="4153"/>
                <w:tab w:val="clear" w:pos="8306"/>
              </w:tabs>
              <w:adjustRightInd/>
              <w:spacing w:line="30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4</w:t>
            </w:r>
          </w:p>
        </w:tc>
        <w:tc>
          <w:tcPr>
            <w:tcW w:w="1036" w:type="pct"/>
            <w:noWrap w:val="0"/>
            <w:vAlign w:val="center"/>
          </w:tcPr>
          <w:p w14:paraId="1EE27F6B">
            <w:pPr>
              <w:pStyle w:val="8"/>
              <w:widowControl w:val="0"/>
              <w:spacing w:before="0" w:beforeAutospacing="0" w:after="0" w:afterAutospacing="0" w:line="300" w:lineRule="auto"/>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本项目采购标的名称及所属行业</w:t>
            </w:r>
          </w:p>
        </w:tc>
        <w:tc>
          <w:tcPr>
            <w:tcW w:w="3373" w:type="pct"/>
            <w:noWrap w:val="0"/>
            <w:vAlign w:val="center"/>
          </w:tcPr>
          <w:p w14:paraId="64EA4FDB">
            <w:pPr>
              <w:spacing w:line="300" w:lineRule="auto"/>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标的名称：</w:t>
            </w:r>
            <w:r>
              <w:rPr>
                <w:rFonts w:hint="eastAsia" w:ascii="宋体" w:hAnsi="宋体" w:eastAsia="宋体" w:cs="宋体"/>
                <w:color w:val="auto"/>
                <w:sz w:val="21"/>
                <w:szCs w:val="21"/>
                <w:highlight w:val="none"/>
                <w:lang w:eastAsia="zh-CN"/>
              </w:rPr>
              <w:t>安徽省省级绿色矿山遴选第三方评估</w:t>
            </w:r>
          </w:p>
          <w:p w14:paraId="585910EE">
            <w:pPr>
              <w:spacing w:line="300" w:lineRule="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所属行业：其他未列明行业</w:t>
            </w:r>
          </w:p>
        </w:tc>
      </w:tr>
    </w:tbl>
    <w:p w14:paraId="42B6627C">
      <w:pPr>
        <w:pageBreakBefore w:val="0"/>
        <w:widowControl w:val="0"/>
        <w:kinsoku/>
        <w:overflowPunct/>
        <w:topLinePunct w:val="0"/>
        <w:autoSpaceDE/>
        <w:autoSpaceDN/>
        <w:bidi w:val="0"/>
        <w:spacing w:line="360" w:lineRule="auto"/>
        <w:textAlignment w:val="auto"/>
        <w:outlineLvl w:val="1"/>
        <w:rPr>
          <w:rFonts w:hint="eastAsia" w:ascii="宋体" w:hAnsi="宋体" w:eastAsia="宋体" w:cs="宋体"/>
          <w:b/>
          <w:color w:val="auto"/>
          <w:sz w:val="21"/>
          <w:szCs w:val="21"/>
          <w:highlight w:val="none"/>
          <w:lang w:val="en-US" w:eastAsia="zh-CN"/>
        </w:rPr>
      </w:pPr>
      <w:bookmarkStart w:id="6" w:name="_Toc21757"/>
      <w:bookmarkStart w:id="7" w:name="_Toc8586"/>
      <w:bookmarkStart w:id="8" w:name="_Toc17089"/>
      <w:r>
        <w:rPr>
          <w:rFonts w:hint="eastAsia" w:ascii="宋体" w:hAnsi="宋体" w:eastAsia="宋体" w:cs="宋体"/>
          <w:b/>
          <w:color w:val="auto"/>
          <w:sz w:val="21"/>
          <w:szCs w:val="21"/>
          <w:highlight w:val="none"/>
          <w:lang w:val="en-US" w:eastAsia="zh-CN"/>
        </w:rPr>
        <w:br w:type="page"/>
      </w:r>
      <w:bookmarkStart w:id="9" w:name="_Toc29338"/>
      <w:r>
        <w:rPr>
          <w:rFonts w:hint="eastAsia" w:ascii="宋体" w:hAnsi="宋体" w:eastAsia="宋体" w:cs="宋体"/>
          <w:b/>
          <w:color w:val="auto"/>
          <w:sz w:val="21"/>
          <w:szCs w:val="21"/>
          <w:highlight w:val="none"/>
          <w:lang w:val="en-US" w:eastAsia="zh-CN"/>
        </w:rPr>
        <w:t>二、项目概况</w:t>
      </w:r>
      <w:bookmarkEnd w:id="9"/>
    </w:p>
    <w:p w14:paraId="37CEE98B">
      <w:pPr>
        <w:pageBreakBefore w:val="0"/>
        <w:widowControl w:val="0"/>
        <w:kinsoku/>
        <w:wordWrap w:val="0"/>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安徽省省级绿色矿山遴选第三方评估，本项目每标包各采购一家供应商开展2025年度省级绿色矿山遴选第三方评估工作（包含2024年度第二批申报省级绿色矿山第三方评估工作、2025年度新申报省级绿色矿山第三方评估工作及已入省级绿色矿山名录库的矿山“提升星级、增加特色型”再评估工作），主要工作内容包含但不限于组成评估组、内业评估（审核自评估报告、审定先决条件、明确现场评估重点）、现场评估（召开评估会议、开展实地核查、征询受采矿活动影响的社区等利益相关者意见）、编制第三方评估报告、提交结果等。</w:t>
      </w:r>
    </w:p>
    <w:p w14:paraId="0EEF11A4">
      <w:pPr>
        <w:pageBreakBefore w:val="0"/>
        <w:widowControl w:val="0"/>
        <w:kinsoku/>
        <w:wordWrap w:val="0"/>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en-US" w:eastAsia="zh-CN"/>
        </w:rPr>
      </w:pPr>
    </w:p>
    <w:p w14:paraId="31BC9879">
      <w:pPr>
        <w:pageBreakBefore w:val="0"/>
        <w:widowControl w:val="0"/>
        <w:kinsoku/>
        <w:overflowPunct/>
        <w:topLinePunct w:val="0"/>
        <w:autoSpaceDE/>
        <w:autoSpaceDN/>
        <w:bidi w:val="0"/>
        <w:spacing w:line="360" w:lineRule="auto"/>
        <w:textAlignment w:val="auto"/>
        <w:outlineLvl w:val="1"/>
        <w:rPr>
          <w:rFonts w:hint="eastAsia" w:ascii="宋体" w:hAnsi="宋体" w:eastAsia="宋体" w:cs="宋体"/>
          <w:b/>
          <w:color w:val="auto"/>
          <w:sz w:val="21"/>
          <w:szCs w:val="21"/>
          <w:highlight w:val="none"/>
        </w:rPr>
      </w:pPr>
      <w:bookmarkStart w:id="10" w:name="_Toc3583"/>
      <w:r>
        <w:rPr>
          <w:rFonts w:hint="eastAsia" w:ascii="宋体" w:hAnsi="宋体" w:eastAsia="宋体" w:cs="宋体"/>
          <w:b/>
          <w:color w:val="auto"/>
          <w:sz w:val="21"/>
          <w:szCs w:val="21"/>
          <w:highlight w:val="none"/>
          <w:lang w:val="en-US" w:eastAsia="zh-CN"/>
        </w:rPr>
        <w:t>三</w:t>
      </w:r>
      <w:r>
        <w:rPr>
          <w:rFonts w:hint="eastAsia" w:ascii="宋体" w:hAnsi="宋体" w:eastAsia="宋体" w:cs="宋体"/>
          <w:b/>
          <w:color w:val="auto"/>
          <w:sz w:val="21"/>
          <w:szCs w:val="21"/>
          <w:highlight w:val="none"/>
        </w:rPr>
        <w:t>、服务</w:t>
      </w:r>
      <w:bookmarkEnd w:id="6"/>
      <w:bookmarkEnd w:id="7"/>
      <w:bookmarkEnd w:id="8"/>
      <w:r>
        <w:rPr>
          <w:rFonts w:hint="eastAsia" w:ascii="宋体" w:hAnsi="宋体" w:eastAsia="宋体" w:cs="宋体"/>
          <w:b/>
          <w:color w:val="auto"/>
          <w:sz w:val="21"/>
          <w:szCs w:val="21"/>
          <w:highlight w:val="none"/>
          <w:lang w:val="en-US" w:eastAsia="zh-CN"/>
        </w:rPr>
        <w:t>需</w:t>
      </w:r>
      <w:r>
        <w:rPr>
          <w:rFonts w:hint="eastAsia" w:ascii="宋体" w:hAnsi="宋体" w:eastAsia="宋体" w:cs="宋体"/>
          <w:b/>
          <w:color w:val="auto"/>
          <w:sz w:val="21"/>
          <w:szCs w:val="21"/>
          <w:highlight w:val="none"/>
        </w:rPr>
        <w:t>求</w:t>
      </w:r>
      <w:bookmarkEnd w:id="10"/>
    </w:p>
    <w:bookmarkEnd w:id="5"/>
    <w:p w14:paraId="45DF6A7B">
      <w:pPr>
        <w:pageBreakBefore w:val="0"/>
        <w:widowControl w:val="0"/>
        <w:kinsoku/>
        <w:wordWrap w:val="0"/>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1.开展2024年度第二批申报省级绿色矿山第三方评估工作（矿山名单附后）、2025年度新申报省级绿色矿山第三方评估工作及已入省级绿色矿山名录库的矿山“提升星级、增加特色型”再评估工作。</w:t>
      </w:r>
      <w:r>
        <w:rPr>
          <w:rFonts w:hint="eastAsia" w:ascii="宋体" w:hAnsi="宋体" w:eastAsia="宋体" w:cs="宋体"/>
          <w:b/>
          <w:bCs/>
          <w:color w:val="auto"/>
          <w:sz w:val="21"/>
          <w:szCs w:val="21"/>
          <w:highlight w:val="none"/>
          <w:lang w:val="en-US" w:eastAsia="zh-CN"/>
        </w:rPr>
        <w:t>成交供应商需符合《关于进一步加强绿色矿山建设的通知》（自然资规〔2024〕1号）的第三方评估的相关工作要求。</w:t>
      </w:r>
    </w:p>
    <w:p w14:paraId="6B7E948B">
      <w:pPr>
        <w:pageBreakBefore w:val="0"/>
        <w:widowControl w:val="0"/>
        <w:kinsoku/>
        <w:wordWrap w:val="0"/>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其中第1包:合肥、淮北、宿州、亳州、阜阳、蚌埠、淮南、滁州、芜湖、马鞍山、宣城等11市域评估项目；第2包:六安、铜陵、安庆、池州、黄山等5市域评估项目。</w:t>
      </w:r>
    </w:p>
    <w:p w14:paraId="25FCF1EA">
      <w:pPr>
        <w:pageBreakBefore w:val="0"/>
        <w:widowControl w:val="0"/>
        <w:kinsoku/>
        <w:wordWrap w:val="0"/>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对于采购人委托的省级绿色矿山遴选第三方评估评估项目，供应商应严格按照具体项目的委托确认书下发之日起14个日历日内完成评估工作，并正式提交评估报告。若不能如期提交，供应商须提前7个日历日向采购人报告原因，采购人同意后方可延期，否则无故不能按期提交报告，视为超期。</w:t>
      </w:r>
    </w:p>
    <w:p w14:paraId="69338536">
      <w:pPr>
        <w:pageBreakBefore w:val="0"/>
        <w:widowControl w:val="0"/>
        <w:kinsoku/>
        <w:wordWrap w:val="0"/>
        <w:overflowPunct/>
        <w:topLinePunct w:val="0"/>
        <w:autoSpaceDE/>
        <w:autoSpaceDN/>
        <w:bidi w:val="0"/>
        <w:adjustRightInd w:val="0"/>
        <w:snapToGrid w:val="0"/>
        <w:spacing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3.对于公示期内公众提出的意见和质询，由采购人转交给供应商，供应商应在7个日历日内完成省级绿色矿山遴选第三方评估评估报告必要的答复说明或修改补充并提交采购人。</w:t>
      </w:r>
    </w:p>
    <w:p w14:paraId="06AA19E5">
      <w:pPr>
        <w:keepNext/>
        <w:keepLines/>
        <w:pageBreakBefore w:val="0"/>
        <w:widowControl w:val="0"/>
        <w:kinsoku/>
        <w:wordWrap w:val="0"/>
        <w:overflowPunct/>
        <w:topLinePunct w:val="0"/>
        <w:autoSpaceDE/>
        <w:autoSpaceDN/>
        <w:bidi w:val="0"/>
        <w:adjustRightInd w:val="0"/>
        <w:snapToGrid w:val="0"/>
        <w:spacing w:line="360" w:lineRule="auto"/>
        <w:textAlignment w:val="auto"/>
        <w:outlineLvl w:val="0"/>
        <w:rPr>
          <w:rFonts w:hint="eastAsia" w:ascii="宋体" w:hAnsi="宋体" w:eastAsia="宋体" w:cs="宋体"/>
          <w:b/>
          <w:color w:val="auto"/>
          <w:kern w:val="44"/>
          <w:sz w:val="21"/>
          <w:szCs w:val="21"/>
          <w:highlight w:val="none"/>
          <w:lang w:val="en-US" w:eastAsia="zh-CN"/>
        </w:rPr>
      </w:pPr>
    </w:p>
    <w:p w14:paraId="375BC203">
      <w:pPr>
        <w:keepNext/>
        <w:keepLines/>
        <w:pageBreakBefore w:val="0"/>
        <w:widowControl w:val="0"/>
        <w:kinsoku/>
        <w:wordWrap w:val="0"/>
        <w:overflowPunct/>
        <w:topLinePunct w:val="0"/>
        <w:autoSpaceDE/>
        <w:autoSpaceDN/>
        <w:bidi w:val="0"/>
        <w:adjustRightInd w:val="0"/>
        <w:snapToGrid w:val="0"/>
        <w:spacing w:line="360" w:lineRule="auto"/>
        <w:textAlignment w:val="auto"/>
        <w:outlineLvl w:val="0"/>
        <w:rPr>
          <w:rFonts w:hint="eastAsia" w:ascii="宋体" w:hAnsi="宋体" w:eastAsia="宋体" w:cs="宋体"/>
          <w:b/>
          <w:color w:val="auto"/>
          <w:sz w:val="21"/>
          <w:szCs w:val="21"/>
          <w:highlight w:val="none"/>
        </w:rPr>
      </w:pPr>
      <w:bookmarkStart w:id="11" w:name="_Toc18177"/>
      <w:r>
        <w:rPr>
          <w:rFonts w:hint="eastAsia" w:ascii="宋体" w:hAnsi="宋体" w:eastAsia="宋体" w:cs="宋体"/>
          <w:b/>
          <w:color w:val="auto"/>
          <w:kern w:val="44"/>
          <w:sz w:val="21"/>
          <w:szCs w:val="21"/>
          <w:highlight w:val="none"/>
          <w:lang w:val="en-US" w:eastAsia="zh-CN"/>
        </w:rPr>
        <w:t>四</w:t>
      </w:r>
      <w:r>
        <w:rPr>
          <w:rFonts w:hint="eastAsia" w:ascii="宋体" w:hAnsi="宋体" w:eastAsia="宋体" w:cs="宋体"/>
          <w:b/>
          <w:color w:val="auto"/>
          <w:kern w:val="44"/>
          <w:sz w:val="21"/>
          <w:szCs w:val="21"/>
          <w:highlight w:val="none"/>
        </w:rPr>
        <w:t>、</w:t>
      </w:r>
      <w:r>
        <w:rPr>
          <w:rFonts w:hint="eastAsia" w:ascii="宋体" w:hAnsi="宋体" w:eastAsia="宋体" w:cs="宋体"/>
          <w:b/>
          <w:color w:val="auto"/>
          <w:sz w:val="21"/>
          <w:szCs w:val="21"/>
          <w:highlight w:val="none"/>
        </w:rPr>
        <w:t>报价要求</w:t>
      </w:r>
      <w:bookmarkEnd w:id="11"/>
    </w:p>
    <w:p w14:paraId="7E3D7A09">
      <w:pPr>
        <w:pageBreakBefore w:val="0"/>
        <w:widowControl w:val="0"/>
        <w:kinsoku/>
        <w:wordWrap w:val="0"/>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1、本项目报</w:t>
      </w:r>
      <w:r>
        <w:rPr>
          <w:rFonts w:hint="eastAsia" w:ascii="宋体" w:hAnsi="宋体" w:eastAsia="宋体" w:cs="宋体"/>
          <w:b/>
          <w:bCs w:val="0"/>
          <w:color w:val="auto"/>
          <w:sz w:val="21"/>
          <w:szCs w:val="21"/>
          <w:highlight w:val="none"/>
          <w:lang w:val="en-US" w:eastAsia="zh-CN"/>
        </w:rPr>
        <w:t>单价</w:t>
      </w:r>
      <w:r>
        <w:rPr>
          <w:rFonts w:hint="eastAsia" w:ascii="宋体" w:hAnsi="宋体" w:eastAsia="宋体" w:cs="宋体"/>
          <w:b/>
          <w:bCs w:val="0"/>
          <w:color w:val="auto"/>
          <w:sz w:val="21"/>
          <w:szCs w:val="21"/>
          <w:highlight w:val="none"/>
        </w:rPr>
        <w:t>。评估费用单价</w:t>
      </w:r>
      <w:r>
        <w:rPr>
          <w:rFonts w:hint="eastAsia" w:ascii="宋体" w:hAnsi="宋体" w:eastAsia="宋体" w:cs="宋体"/>
          <w:b/>
          <w:bCs w:val="0"/>
          <w:color w:val="auto"/>
          <w:sz w:val="21"/>
          <w:szCs w:val="21"/>
          <w:highlight w:val="none"/>
          <w:lang w:val="en-US" w:eastAsia="zh-CN"/>
        </w:rPr>
        <w:t>的最高限价</w:t>
      </w:r>
      <w:r>
        <w:rPr>
          <w:rFonts w:hint="eastAsia" w:ascii="宋体" w:hAnsi="宋体" w:eastAsia="宋体" w:cs="宋体"/>
          <w:b/>
          <w:bCs w:val="0"/>
          <w:color w:val="auto"/>
          <w:sz w:val="21"/>
          <w:szCs w:val="21"/>
          <w:highlight w:val="none"/>
        </w:rPr>
        <w:t>：1.97万元/矿山</w:t>
      </w:r>
      <w:r>
        <w:rPr>
          <w:rFonts w:hint="eastAsia" w:ascii="宋体" w:hAnsi="宋体" w:eastAsia="宋体" w:cs="宋体"/>
          <w:b/>
          <w:bCs w:val="0"/>
          <w:color w:val="auto"/>
          <w:sz w:val="21"/>
          <w:szCs w:val="21"/>
          <w:highlight w:val="none"/>
          <w:lang w:eastAsia="zh-CN"/>
        </w:rPr>
        <w:t>，</w:t>
      </w:r>
      <w:r>
        <w:rPr>
          <w:rFonts w:hint="eastAsia" w:ascii="宋体" w:hAnsi="宋体" w:eastAsia="宋体" w:cs="宋体"/>
          <w:b/>
          <w:bCs w:val="0"/>
          <w:color w:val="auto"/>
          <w:sz w:val="21"/>
          <w:szCs w:val="21"/>
          <w:highlight w:val="none"/>
          <w:lang w:val="en-US" w:eastAsia="zh-CN"/>
        </w:rPr>
        <w:t>报价超出最高限价的响应无效</w:t>
      </w:r>
      <w:r>
        <w:rPr>
          <w:rFonts w:hint="eastAsia" w:ascii="宋体" w:hAnsi="宋体" w:eastAsia="宋体" w:cs="宋体"/>
          <w:b/>
          <w:bCs w:val="0"/>
          <w:color w:val="auto"/>
          <w:sz w:val="21"/>
          <w:szCs w:val="21"/>
          <w:highlight w:val="none"/>
        </w:rPr>
        <w:t>。</w:t>
      </w:r>
    </w:p>
    <w:p w14:paraId="18BDB732">
      <w:pPr>
        <w:pageBreakBefore w:val="0"/>
        <w:widowControl w:val="0"/>
        <w:kinsoku/>
        <w:wordWrap w:val="0"/>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2、本项目</w:t>
      </w:r>
      <w:r>
        <w:rPr>
          <w:rFonts w:hint="eastAsia" w:ascii="宋体" w:hAnsi="宋体" w:eastAsia="宋体" w:cs="宋体"/>
          <w:b/>
          <w:bCs/>
          <w:color w:val="auto"/>
          <w:sz w:val="21"/>
          <w:szCs w:val="21"/>
          <w:highlight w:val="none"/>
          <w:lang w:val="en-US" w:eastAsia="zh-CN"/>
        </w:rPr>
        <w:t>据实结算，</w:t>
      </w:r>
      <w:r>
        <w:rPr>
          <w:rFonts w:hint="eastAsia" w:ascii="宋体" w:hAnsi="宋体" w:eastAsia="宋体" w:cs="宋体"/>
          <w:b/>
          <w:bCs/>
          <w:color w:val="auto"/>
          <w:sz w:val="21"/>
          <w:szCs w:val="21"/>
          <w:highlight w:val="none"/>
        </w:rPr>
        <w:t>结算金额=</w:t>
      </w:r>
      <w:r>
        <w:rPr>
          <w:rFonts w:hint="eastAsia" w:ascii="宋体" w:hAnsi="宋体" w:eastAsia="宋体" w:cs="宋体"/>
          <w:b/>
          <w:bCs/>
          <w:color w:val="auto"/>
          <w:sz w:val="21"/>
          <w:szCs w:val="21"/>
          <w:highlight w:val="none"/>
          <w:lang w:eastAsia="zh-CN"/>
        </w:rPr>
        <w:t>实际评估矿山数量</w:t>
      </w:r>
      <w:r>
        <w:rPr>
          <w:rFonts w:hint="eastAsia" w:ascii="宋体" w:hAnsi="宋体" w:eastAsia="宋体" w:cs="宋体"/>
          <w:b/>
          <w:bCs/>
          <w:color w:val="auto"/>
          <w:sz w:val="21"/>
          <w:szCs w:val="21"/>
          <w:highlight w:val="none"/>
        </w:rPr>
        <w:t>×成交评估费用单价</w:t>
      </w:r>
      <w:r>
        <w:rPr>
          <w:rFonts w:hint="eastAsia" w:ascii="宋体" w:hAnsi="宋体" w:eastAsia="宋体" w:cs="宋体"/>
          <w:b/>
          <w:bCs/>
          <w:color w:val="auto"/>
          <w:sz w:val="21"/>
          <w:szCs w:val="21"/>
          <w:highlight w:val="none"/>
          <w:lang w:eastAsia="zh-CN"/>
        </w:rPr>
        <w:t>。</w:t>
      </w:r>
    </w:p>
    <w:p w14:paraId="5BA8465E">
      <w:pPr>
        <w:pageBreakBefore w:val="0"/>
        <w:widowControl w:val="0"/>
        <w:kinsoku/>
        <w:wordWrap w:val="0"/>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3、供应商的响应报价为完成本项目所需的所有各项服务的全部费用，请谨慎报价。</w:t>
      </w:r>
    </w:p>
    <w:p w14:paraId="73F4A3BA">
      <w:pPr>
        <w:keepNext/>
        <w:keepLines/>
        <w:pageBreakBefore w:val="0"/>
        <w:widowControl w:val="0"/>
        <w:kinsoku/>
        <w:wordWrap w:val="0"/>
        <w:overflowPunct/>
        <w:topLinePunct w:val="0"/>
        <w:autoSpaceDE/>
        <w:autoSpaceDN/>
        <w:bidi w:val="0"/>
        <w:adjustRightInd w:val="0"/>
        <w:snapToGrid w:val="0"/>
        <w:spacing w:line="360" w:lineRule="auto"/>
        <w:textAlignment w:val="auto"/>
        <w:outlineLvl w:val="0"/>
        <w:rPr>
          <w:rFonts w:hint="eastAsia" w:ascii="宋体" w:hAnsi="宋体" w:eastAsia="宋体" w:cs="宋体"/>
          <w:b/>
          <w:color w:val="auto"/>
          <w:kern w:val="44"/>
          <w:sz w:val="21"/>
          <w:szCs w:val="21"/>
          <w:highlight w:val="none"/>
          <w:lang w:val="en-US" w:eastAsia="zh-CN"/>
        </w:rPr>
      </w:pPr>
    </w:p>
    <w:p w14:paraId="7F076E33">
      <w:pPr>
        <w:keepNext/>
        <w:keepLines/>
        <w:pageBreakBefore w:val="0"/>
        <w:widowControl w:val="0"/>
        <w:kinsoku/>
        <w:wordWrap w:val="0"/>
        <w:overflowPunct/>
        <w:topLinePunct w:val="0"/>
        <w:autoSpaceDE/>
        <w:autoSpaceDN/>
        <w:bidi w:val="0"/>
        <w:adjustRightInd w:val="0"/>
        <w:snapToGrid w:val="0"/>
        <w:spacing w:line="360" w:lineRule="auto"/>
        <w:textAlignment w:val="auto"/>
        <w:outlineLvl w:val="0"/>
        <w:rPr>
          <w:rFonts w:hint="eastAsia" w:ascii="宋体" w:hAnsi="宋体" w:eastAsia="宋体" w:cs="宋体"/>
          <w:b/>
          <w:color w:val="auto"/>
          <w:kern w:val="44"/>
          <w:sz w:val="21"/>
          <w:szCs w:val="21"/>
          <w:highlight w:val="none"/>
        </w:rPr>
      </w:pPr>
      <w:bookmarkStart w:id="12" w:name="_Toc22299"/>
      <w:r>
        <w:rPr>
          <w:rFonts w:hint="eastAsia" w:ascii="宋体" w:hAnsi="宋体" w:eastAsia="宋体" w:cs="宋体"/>
          <w:b/>
          <w:color w:val="auto"/>
          <w:kern w:val="44"/>
          <w:sz w:val="21"/>
          <w:szCs w:val="21"/>
          <w:highlight w:val="none"/>
          <w:lang w:val="en-US" w:eastAsia="zh-CN"/>
        </w:rPr>
        <w:t>五</w:t>
      </w:r>
      <w:r>
        <w:rPr>
          <w:rFonts w:hint="eastAsia" w:ascii="宋体" w:hAnsi="宋体" w:eastAsia="宋体" w:cs="宋体"/>
          <w:b/>
          <w:color w:val="auto"/>
          <w:kern w:val="44"/>
          <w:sz w:val="21"/>
          <w:szCs w:val="21"/>
          <w:highlight w:val="none"/>
        </w:rPr>
        <w:t>、其他要求</w:t>
      </w:r>
      <w:bookmarkEnd w:id="12"/>
    </w:p>
    <w:p w14:paraId="657E476E">
      <w:pPr>
        <w:pageBreakBefore w:val="0"/>
        <w:widowControl w:val="0"/>
        <w:kinsoku/>
        <w:wordWrap w:val="0"/>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供应商不得参与本项目所响应标包涉及的矿山企业自评工作</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回避名单见附件：2024年第二批省级绿色矿山申报矿山清单和评估单位表）</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投标时需承诺：若成交，在服务期内</w:t>
      </w:r>
      <w:r>
        <w:rPr>
          <w:rFonts w:hint="eastAsia" w:ascii="宋体" w:hAnsi="宋体" w:eastAsia="宋体" w:cs="宋体"/>
          <w:color w:val="auto"/>
          <w:sz w:val="21"/>
          <w:szCs w:val="21"/>
          <w:highlight w:val="none"/>
        </w:rPr>
        <w:t>不得参与2025年度</w:t>
      </w:r>
      <w:r>
        <w:rPr>
          <w:rFonts w:hint="eastAsia" w:ascii="宋体" w:hAnsi="宋体" w:eastAsia="宋体" w:cs="宋体"/>
          <w:color w:val="auto"/>
          <w:sz w:val="21"/>
          <w:szCs w:val="21"/>
          <w:highlight w:val="none"/>
          <w:lang w:val="en-US" w:eastAsia="zh-CN"/>
        </w:rPr>
        <w:t>安徽省</w:t>
      </w:r>
      <w:r>
        <w:rPr>
          <w:rFonts w:hint="eastAsia" w:ascii="宋体" w:hAnsi="宋体" w:eastAsia="宋体" w:cs="宋体"/>
          <w:color w:val="auto"/>
          <w:sz w:val="21"/>
          <w:szCs w:val="21"/>
          <w:highlight w:val="none"/>
        </w:rPr>
        <w:t>省级绿色矿山遴选自评估工作；</w:t>
      </w:r>
    </w:p>
    <w:p w14:paraId="426636F6">
      <w:pPr>
        <w:pageBreakBefore w:val="0"/>
        <w:widowControl w:val="0"/>
        <w:kinsoku/>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供应商参加多个包磋商的成交包数规定：</w:t>
      </w:r>
    </w:p>
    <w:p w14:paraId="6E295FB6">
      <w:pPr>
        <w:pageBreakBefore w:val="0"/>
        <w:widowControl w:val="0"/>
        <w:kinsoku/>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供应商只能对本项目2个包中的未参与涉及矿山企业自评工作的标包进行响应，按以下原则确定每个标包的成交供应商：</w:t>
      </w:r>
    </w:p>
    <w:p w14:paraId="3A67B3E8">
      <w:pPr>
        <w:pageBreakBefore w:val="0"/>
        <w:widowControl w:val="0"/>
        <w:kinsoku/>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1.记通过符合性审查的每个标包的供应商数量为N：</w:t>
      </w:r>
    </w:p>
    <w:p w14:paraId="57D32ECD">
      <w:pPr>
        <w:pageBreakBefore w:val="0"/>
        <w:widowControl w:val="0"/>
        <w:kinsoku/>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①当N≥3名时，每个标包确定1名成交供应商；</w:t>
      </w:r>
    </w:p>
    <w:p w14:paraId="574025C2">
      <w:pPr>
        <w:pageBreakBefore w:val="0"/>
        <w:widowControl w:val="0"/>
        <w:kinsoku/>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②当N＜3名时，</w:t>
      </w:r>
      <w:r>
        <w:rPr>
          <w:rFonts w:hint="eastAsia" w:ascii="宋体" w:hAnsi="宋体" w:eastAsia="宋体" w:cs="宋体"/>
          <w:color w:val="auto"/>
          <w:sz w:val="21"/>
          <w:szCs w:val="21"/>
          <w:highlight w:val="none"/>
          <w:lang w:val="en-US" w:eastAsia="zh-CN"/>
        </w:rPr>
        <w:t>该</w:t>
      </w:r>
      <w:r>
        <w:rPr>
          <w:rFonts w:hint="eastAsia" w:ascii="宋体" w:hAnsi="宋体" w:eastAsia="宋体" w:cs="宋体"/>
          <w:color w:val="auto"/>
          <w:sz w:val="21"/>
          <w:szCs w:val="21"/>
          <w:highlight w:val="none"/>
        </w:rPr>
        <w:t>标包终止。</w:t>
      </w:r>
    </w:p>
    <w:p w14:paraId="5F1CECF5">
      <w:pPr>
        <w:pageBreakBefore w:val="0"/>
        <w:widowControl w:val="0"/>
        <w:kinsoku/>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2.标包分配原则：按照综合得分由高到低对每个标包成交供应商进行排序，每名成交供应商最多允许成交1个标包。</w:t>
      </w:r>
      <w:r>
        <w:rPr>
          <w:rFonts w:hint="eastAsia" w:ascii="宋体" w:hAnsi="宋体" w:eastAsia="宋体" w:cs="宋体"/>
          <w:b w:val="0"/>
          <w:bCs/>
          <w:color w:val="auto"/>
          <w:sz w:val="21"/>
          <w:szCs w:val="21"/>
          <w:highlight w:val="none"/>
        </w:rPr>
        <w:t>本项目评审时按“第1包→第2包”的包号顺序依次进行评审，供应商可对本项目一个或多个包进行响应，但只能在单个采购包中取得成交资格，且在后续采购包的评审中均视为无效供应商。如某采购包因成交供应商放弃成交资格、质疑或投诉等原因导致评审结果变更的，不影响其他包评审结果，也不受多投单中规则影响。</w:t>
      </w:r>
    </w:p>
    <w:p w14:paraId="202923AA">
      <w:pPr>
        <w:pageBreakBefore w:val="0"/>
        <w:widowControl w:val="0"/>
        <w:kinsoku/>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注：若成交则</w:t>
      </w:r>
      <w:r>
        <w:rPr>
          <w:rFonts w:hint="eastAsia" w:ascii="宋体" w:hAnsi="宋体" w:eastAsia="宋体" w:cs="宋体"/>
          <w:b/>
          <w:bCs/>
          <w:color w:val="auto"/>
          <w:sz w:val="21"/>
          <w:szCs w:val="21"/>
          <w:highlight w:val="none"/>
          <w:lang w:val="en-US" w:eastAsia="zh-CN"/>
        </w:rPr>
        <w:t>成交供应商</w:t>
      </w:r>
      <w:r>
        <w:rPr>
          <w:rFonts w:hint="eastAsia" w:ascii="宋体" w:hAnsi="宋体" w:eastAsia="宋体" w:cs="宋体"/>
          <w:b/>
          <w:bCs/>
          <w:color w:val="auto"/>
          <w:sz w:val="21"/>
          <w:szCs w:val="21"/>
          <w:highlight w:val="none"/>
        </w:rPr>
        <w:t>承担该包1年内安徽省自然资源厅委托的省级绿色矿山遴选第三方评估、已入省级绿色矿山名录库的矿山“升星增型”再评估工作。</w:t>
      </w:r>
    </w:p>
    <w:p w14:paraId="6B7B0723">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br w:type="page"/>
      </w:r>
      <w:r>
        <w:rPr>
          <w:rFonts w:hint="eastAsia" w:ascii="宋体" w:hAnsi="宋体" w:eastAsia="宋体" w:cs="宋体"/>
          <w:b/>
          <w:bCs/>
          <w:color w:val="auto"/>
          <w:sz w:val="21"/>
          <w:szCs w:val="21"/>
          <w:highlight w:val="none"/>
          <w:lang w:val="en-US" w:eastAsia="zh-CN"/>
        </w:rPr>
        <w:t>附件：</w:t>
      </w:r>
      <w:r>
        <w:rPr>
          <w:rFonts w:hint="eastAsia" w:ascii="宋体" w:hAnsi="宋体" w:eastAsia="宋体" w:cs="宋体"/>
          <w:b/>
          <w:bCs/>
          <w:color w:val="auto"/>
          <w:sz w:val="21"/>
          <w:szCs w:val="21"/>
          <w:highlight w:val="none"/>
        </w:rPr>
        <w:t>2024年第二批省级绿色矿山申报矿山清单和评估单位</w:t>
      </w:r>
      <w:r>
        <w:rPr>
          <w:rFonts w:hint="eastAsia" w:ascii="宋体" w:hAnsi="宋体" w:eastAsia="宋体" w:cs="宋体"/>
          <w:b/>
          <w:bCs/>
          <w:color w:val="auto"/>
          <w:sz w:val="21"/>
          <w:szCs w:val="21"/>
          <w:highlight w:val="none"/>
          <w:lang w:val="en-US" w:eastAsia="zh-CN"/>
        </w:rPr>
        <w:t>表</w:t>
      </w:r>
    </w:p>
    <w:tbl>
      <w:tblPr>
        <w:tblStyle w:val="4"/>
        <w:tblW w:w="8471" w:type="dxa"/>
        <w:tblInd w:w="14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20"/>
        <w:gridCol w:w="4260"/>
        <w:gridCol w:w="3491"/>
      </w:tblGrid>
      <w:tr w14:paraId="5F1A06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nil"/>
              <w:right w:val="single" w:color="000000" w:sz="4" w:space="0"/>
            </w:tcBorders>
            <w:noWrap w:val="0"/>
            <w:vAlign w:val="center"/>
          </w:tcPr>
          <w:p w14:paraId="53B7893D">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Style w:val="9"/>
                <w:rFonts w:hint="eastAsia" w:ascii="宋体" w:hAnsi="宋体" w:eastAsia="宋体" w:cs="宋体"/>
                <w:color w:val="auto"/>
                <w:sz w:val="21"/>
                <w:szCs w:val="21"/>
                <w:highlight w:val="none"/>
                <w:lang w:val="en-US" w:eastAsia="zh-CN" w:bidi="ar"/>
              </w:rPr>
              <w:t>序号</w:t>
            </w:r>
          </w:p>
        </w:tc>
        <w:tc>
          <w:tcPr>
            <w:tcW w:w="4260" w:type="dxa"/>
            <w:tcBorders>
              <w:top w:val="single" w:color="000000" w:sz="4" w:space="0"/>
              <w:left w:val="single" w:color="000000" w:sz="4" w:space="0"/>
              <w:bottom w:val="nil"/>
              <w:right w:val="single" w:color="000000" w:sz="4" w:space="0"/>
            </w:tcBorders>
            <w:noWrap w:val="0"/>
            <w:vAlign w:val="center"/>
          </w:tcPr>
          <w:p w14:paraId="4FBDDC68">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Style w:val="9"/>
                <w:rFonts w:hint="eastAsia" w:ascii="宋体" w:hAnsi="宋体" w:eastAsia="宋体" w:cs="宋体"/>
                <w:color w:val="auto"/>
                <w:sz w:val="21"/>
                <w:szCs w:val="21"/>
                <w:highlight w:val="none"/>
                <w:lang w:val="en-US" w:eastAsia="zh-CN" w:bidi="ar"/>
              </w:rPr>
              <w:t>申报矿山名称</w:t>
            </w:r>
          </w:p>
        </w:tc>
        <w:tc>
          <w:tcPr>
            <w:tcW w:w="3491" w:type="dxa"/>
            <w:tcBorders>
              <w:top w:val="single" w:color="000000" w:sz="4" w:space="0"/>
              <w:left w:val="single" w:color="000000" w:sz="4" w:space="0"/>
              <w:bottom w:val="nil"/>
              <w:right w:val="single" w:color="000000" w:sz="4" w:space="0"/>
            </w:tcBorders>
            <w:noWrap w:val="0"/>
            <w:vAlign w:val="center"/>
          </w:tcPr>
          <w:p w14:paraId="15AC357A">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Style w:val="9"/>
                <w:rFonts w:hint="eastAsia" w:ascii="宋体" w:hAnsi="宋体" w:eastAsia="宋体" w:cs="宋体"/>
                <w:color w:val="auto"/>
                <w:sz w:val="21"/>
                <w:szCs w:val="21"/>
                <w:highlight w:val="none"/>
                <w:lang w:val="en-US" w:eastAsia="zh-CN" w:bidi="ar"/>
              </w:rPr>
              <w:t>自评估报告编制单位信息</w:t>
            </w:r>
          </w:p>
        </w:tc>
      </w:tr>
      <w:tr w14:paraId="7CC8AB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auto" w:sz="4" w:space="0"/>
              <w:bottom w:val="single" w:color="000000" w:sz="4" w:space="0"/>
              <w:right w:val="single" w:color="000000" w:sz="4" w:space="0"/>
            </w:tcBorders>
            <w:noWrap w:val="0"/>
            <w:vAlign w:val="center"/>
          </w:tcPr>
          <w:p w14:paraId="18B88C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57E5B90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安徽长鑫矿业有限公司里冲砂岩矿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1C56531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安徽省煤田地质局第二勘探队</w:t>
            </w:r>
          </w:p>
        </w:tc>
      </w:tr>
      <w:tr w14:paraId="7F3B78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auto" w:sz="4" w:space="0"/>
              <w:bottom w:val="nil"/>
              <w:right w:val="single" w:color="000000" w:sz="4" w:space="0"/>
            </w:tcBorders>
            <w:noWrap w:val="0"/>
            <w:vAlign w:val="center"/>
          </w:tcPr>
          <w:p w14:paraId="56452FE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4260" w:type="dxa"/>
            <w:tcBorders>
              <w:top w:val="single" w:color="000000" w:sz="4" w:space="0"/>
              <w:left w:val="single" w:color="000000" w:sz="4" w:space="0"/>
              <w:bottom w:val="nil"/>
              <w:right w:val="single" w:color="000000" w:sz="4" w:space="0"/>
            </w:tcBorders>
            <w:noWrap w:val="0"/>
            <w:vAlign w:val="center"/>
          </w:tcPr>
          <w:p w14:paraId="4BF5F83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滁州市兴全矿业投资有限公司安徽省全椒县马塘湖整合矿区建筑石料用灰岩矿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4C81499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滁州市兴全矿业投资有限公司</w:t>
            </w:r>
          </w:p>
        </w:tc>
      </w:tr>
      <w:tr w14:paraId="3CC442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38F8EC1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2328EE5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安徽东方钙业有限公司棠溪石灰石矿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1EADFDB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安徽省地质矿产勘查局</w:t>
            </w:r>
            <w:r>
              <w:rPr>
                <w:rStyle w:val="11"/>
                <w:rFonts w:hint="eastAsia" w:ascii="宋体" w:hAnsi="宋体" w:eastAsia="宋体" w:cs="宋体"/>
                <w:color w:val="auto"/>
                <w:sz w:val="21"/>
                <w:szCs w:val="21"/>
                <w:highlight w:val="none"/>
                <w:lang w:val="en-US" w:eastAsia="zh-CN" w:bidi="ar"/>
              </w:rPr>
              <w:t>321</w:t>
            </w:r>
            <w:r>
              <w:rPr>
                <w:rStyle w:val="10"/>
                <w:rFonts w:hint="eastAsia" w:ascii="宋体" w:hAnsi="宋体" w:eastAsia="宋体" w:cs="宋体"/>
                <w:color w:val="auto"/>
                <w:sz w:val="21"/>
                <w:szCs w:val="21"/>
                <w:highlight w:val="none"/>
                <w:lang w:val="en-US" w:eastAsia="zh-CN" w:bidi="ar"/>
              </w:rPr>
              <w:t>地质队</w:t>
            </w:r>
          </w:p>
        </w:tc>
      </w:tr>
      <w:tr w14:paraId="0737B1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2E32C59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137EDD4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安徽省池州市双桥熔剂白云岩、化工用石灰岩矿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04FCB6A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安徽省地质矿产勘查局</w:t>
            </w:r>
            <w:r>
              <w:rPr>
                <w:rStyle w:val="11"/>
                <w:rFonts w:hint="eastAsia" w:ascii="宋体" w:hAnsi="宋体" w:eastAsia="宋体" w:cs="宋体"/>
                <w:color w:val="auto"/>
                <w:sz w:val="21"/>
                <w:szCs w:val="21"/>
                <w:highlight w:val="none"/>
                <w:lang w:val="en-US" w:eastAsia="zh-CN" w:bidi="ar"/>
              </w:rPr>
              <w:t>321</w:t>
            </w:r>
            <w:r>
              <w:rPr>
                <w:rStyle w:val="10"/>
                <w:rFonts w:hint="eastAsia" w:ascii="宋体" w:hAnsi="宋体" w:eastAsia="宋体" w:cs="宋体"/>
                <w:color w:val="auto"/>
                <w:sz w:val="21"/>
                <w:szCs w:val="21"/>
                <w:highlight w:val="none"/>
                <w:lang w:val="en-US" w:eastAsia="zh-CN" w:bidi="ar"/>
              </w:rPr>
              <w:t>地质队</w:t>
            </w:r>
          </w:p>
        </w:tc>
      </w:tr>
      <w:tr w14:paraId="697B4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526EC4A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754916D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池州市贵池区乌谷墩钼铜多金属矿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56F4EBF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安徽省地质矿产勘查局</w:t>
            </w:r>
            <w:r>
              <w:rPr>
                <w:rStyle w:val="11"/>
                <w:rFonts w:hint="eastAsia" w:ascii="宋体" w:hAnsi="宋体" w:eastAsia="宋体" w:cs="宋体"/>
                <w:color w:val="auto"/>
                <w:sz w:val="21"/>
                <w:szCs w:val="21"/>
                <w:highlight w:val="none"/>
                <w:lang w:val="en-US" w:eastAsia="zh-CN" w:bidi="ar"/>
              </w:rPr>
              <w:t>321</w:t>
            </w:r>
            <w:r>
              <w:rPr>
                <w:rStyle w:val="10"/>
                <w:rFonts w:hint="eastAsia" w:ascii="宋体" w:hAnsi="宋体" w:eastAsia="宋体" w:cs="宋体"/>
                <w:color w:val="auto"/>
                <w:sz w:val="21"/>
                <w:szCs w:val="21"/>
                <w:highlight w:val="none"/>
                <w:lang w:val="en-US" w:eastAsia="zh-CN" w:bidi="ar"/>
              </w:rPr>
              <w:t>地质队</w:t>
            </w:r>
          </w:p>
        </w:tc>
      </w:tr>
      <w:tr w14:paraId="53DD32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0D103AC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745C2A8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池州润达矿业有限公司牛栏冲石灰石矿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17D7516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安徽省地质矿产勘查局</w:t>
            </w:r>
            <w:r>
              <w:rPr>
                <w:rStyle w:val="11"/>
                <w:rFonts w:hint="eastAsia" w:ascii="宋体" w:hAnsi="宋体" w:eastAsia="宋体" w:cs="宋体"/>
                <w:color w:val="auto"/>
                <w:sz w:val="21"/>
                <w:szCs w:val="21"/>
                <w:highlight w:val="none"/>
                <w:lang w:val="en-US" w:eastAsia="zh-CN" w:bidi="ar"/>
              </w:rPr>
              <w:t>324</w:t>
            </w:r>
            <w:r>
              <w:rPr>
                <w:rStyle w:val="10"/>
                <w:rFonts w:hint="eastAsia" w:ascii="宋体" w:hAnsi="宋体" w:eastAsia="宋体" w:cs="宋体"/>
                <w:color w:val="auto"/>
                <w:sz w:val="21"/>
                <w:szCs w:val="21"/>
                <w:highlight w:val="none"/>
                <w:lang w:val="en-US" w:eastAsia="zh-CN" w:bidi="ar"/>
              </w:rPr>
              <w:t>地质队</w:t>
            </w:r>
          </w:p>
        </w:tc>
      </w:tr>
      <w:tr w14:paraId="509C9F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3CBBEE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05F974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池州市贵池区安子山铜多金属矿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2A6E4C8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池州市诚创地理信息服务有限公司</w:t>
            </w:r>
          </w:p>
        </w:tc>
      </w:tr>
      <w:tr w14:paraId="0636B5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2CCF0D1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51A74C6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池州市贵池区灌口采石场</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378C687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安徽省地质矿产勘查局</w:t>
            </w:r>
            <w:r>
              <w:rPr>
                <w:rStyle w:val="11"/>
                <w:rFonts w:hint="eastAsia" w:ascii="宋体" w:hAnsi="宋体" w:eastAsia="宋体" w:cs="宋体"/>
                <w:color w:val="auto"/>
                <w:sz w:val="21"/>
                <w:szCs w:val="21"/>
                <w:highlight w:val="none"/>
                <w:lang w:val="en-US" w:eastAsia="zh-CN" w:bidi="ar"/>
              </w:rPr>
              <w:t>321</w:t>
            </w:r>
            <w:r>
              <w:rPr>
                <w:rStyle w:val="10"/>
                <w:rFonts w:hint="eastAsia" w:ascii="宋体" w:hAnsi="宋体" w:eastAsia="宋体" w:cs="宋体"/>
                <w:color w:val="auto"/>
                <w:sz w:val="21"/>
                <w:szCs w:val="21"/>
                <w:highlight w:val="none"/>
                <w:lang w:val="en-US" w:eastAsia="zh-CN" w:bidi="ar"/>
              </w:rPr>
              <w:t>地质队</w:t>
            </w:r>
          </w:p>
        </w:tc>
      </w:tr>
      <w:tr w14:paraId="0493D7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50FB2E0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7364651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池州市华庆实业有限公司白云石矿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256937F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池州市诚创地理信息服务有限公司</w:t>
            </w:r>
          </w:p>
        </w:tc>
      </w:tr>
      <w:tr w14:paraId="10DE43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42A7B86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03BE0B9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池州市润洲方解石矿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18AA180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2"/>
                <w:rFonts w:hint="eastAsia" w:ascii="宋体" w:hAnsi="宋体" w:eastAsia="宋体" w:cs="宋体"/>
                <w:color w:val="auto"/>
                <w:sz w:val="21"/>
                <w:szCs w:val="21"/>
                <w:highlight w:val="none"/>
                <w:lang w:val="en-US" w:eastAsia="zh-CN" w:bidi="ar"/>
              </w:rPr>
              <w:t>安徽省地质矿产勘查局</w:t>
            </w:r>
            <w:r>
              <w:rPr>
                <w:rStyle w:val="13"/>
                <w:rFonts w:hint="eastAsia" w:ascii="宋体" w:hAnsi="宋体" w:eastAsia="宋体" w:cs="宋体"/>
                <w:color w:val="auto"/>
                <w:sz w:val="21"/>
                <w:szCs w:val="21"/>
                <w:highlight w:val="none"/>
                <w:lang w:val="en-US" w:eastAsia="zh-CN" w:bidi="ar"/>
              </w:rPr>
              <w:t>321</w:t>
            </w:r>
            <w:r>
              <w:rPr>
                <w:rStyle w:val="12"/>
                <w:rFonts w:hint="eastAsia" w:ascii="宋体" w:hAnsi="宋体" w:eastAsia="宋体" w:cs="宋体"/>
                <w:color w:val="auto"/>
                <w:sz w:val="21"/>
                <w:szCs w:val="21"/>
                <w:highlight w:val="none"/>
                <w:lang w:val="en-US" w:eastAsia="zh-CN" w:bidi="ar"/>
              </w:rPr>
              <w:t>地质队</w:t>
            </w:r>
          </w:p>
        </w:tc>
      </w:tr>
      <w:tr w14:paraId="5BA8CE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438DCAB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05E24B2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池州市贵池区梅街松山铁铜多金属矿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0DA8FC8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安徽省地质矿产勘查局</w:t>
            </w:r>
            <w:r>
              <w:rPr>
                <w:rStyle w:val="11"/>
                <w:rFonts w:hint="eastAsia" w:ascii="宋体" w:hAnsi="宋体" w:eastAsia="宋体" w:cs="宋体"/>
                <w:color w:val="auto"/>
                <w:sz w:val="21"/>
                <w:szCs w:val="21"/>
                <w:highlight w:val="none"/>
                <w:lang w:val="en-US" w:eastAsia="zh-CN" w:bidi="ar"/>
              </w:rPr>
              <w:t>324</w:t>
            </w:r>
            <w:r>
              <w:rPr>
                <w:rStyle w:val="10"/>
                <w:rFonts w:hint="eastAsia" w:ascii="宋体" w:hAnsi="宋体" w:eastAsia="宋体" w:cs="宋体"/>
                <w:color w:val="auto"/>
                <w:sz w:val="21"/>
                <w:szCs w:val="21"/>
                <w:highlight w:val="none"/>
                <w:lang w:val="en-US" w:eastAsia="zh-CN" w:bidi="ar"/>
              </w:rPr>
              <w:t>地质队</w:t>
            </w:r>
          </w:p>
        </w:tc>
      </w:tr>
      <w:tr w14:paraId="37EAB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425391B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46651BA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青阳县陡岭方解石（金）矿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0BD6858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安徽省地质矿产勘查局</w:t>
            </w:r>
            <w:r>
              <w:rPr>
                <w:rStyle w:val="11"/>
                <w:rFonts w:hint="eastAsia" w:ascii="宋体" w:hAnsi="宋体" w:eastAsia="宋体" w:cs="宋体"/>
                <w:color w:val="auto"/>
                <w:sz w:val="21"/>
                <w:szCs w:val="21"/>
                <w:highlight w:val="none"/>
                <w:lang w:val="en-US" w:eastAsia="zh-CN" w:bidi="ar"/>
              </w:rPr>
              <w:t>321</w:t>
            </w:r>
            <w:r>
              <w:rPr>
                <w:rStyle w:val="10"/>
                <w:rFonts w:hint="eastAsia" w:ascii="宋体" w:hAnsi="宋体" w:eastAsia="宋体" w:cs="宋体"/>
                <w:color w:val="auto"/>
                <w:sz w:val="21"/>
                <w:szCs w:val="21"/>
                <w:highlight w:val="none"/>
                <w:lang w:val="en-US" w:eastAsia="zh-CN" w:bidi="ar"/>
              </w:rPr>
              <w:t>地质队</w:t>
            </w:r>
          </w:p>
        </w:tc>
      </w:tr>
      <w:tr w14:paraId="46FF74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76FA409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6AE71B9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青阳县大盖山熔剂用石灰岩、建筑石料用灰岩矿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331978A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安徽志达工程设计有限公司</w:t>
            </w:r>
          </w:p>
        </w:tc>
      </w:tr>
      <w:tr w14:paraId="3BFD34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4BEF060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0A5D800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青阳伟翔纳米材料有限公司方解石矿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0FDCC2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安徽省地质矿产勘查局</w:t>
            </w:r>
            <w:r>
              <w:rPr>
                <w:rStyle w:val="11"/>
                <w:rFonts w:hint="eastAsia" w:ascii="宋体" w:hAnsi="宋体" w:eastAsia="宋体" w:cs="宋体"/>
                <w:color w:val="auto"/>
                <w:sz w:val="21"/>
                <w:szCs w:val="21"/>
                <w:highlight w:val="none"/>
                <w:lang w:val="en-US" w:eastAsia="zh-CN" w:bidi="ar"/>
              </w:rPr>
              <w:t>321</w:t>
            </w:r>
            <w:r>
              <w:rPr>
                <w:rStyle w:val="10"/>
                <w:rFonts w:hint="eastAsia" w:ascii="宋体" w:hAnsi="宋体" w:eastAsia="宋体" w:cs="宋体"/>
                <w:color w:val="auto"/>
                <w:sz w:val="21"/>
                <w:szCs w:val="21"/>
                <w:highlight w:val="none"/>
                <w:lang w:val="en-US" w:eastAsia="zh-CN" w:bidi="ar"/>
              </w:rPr>
              <w:t>地质队</w:t>
            </w:r>
          </w:p>
        </w:tc>
      </w:tr>
      <w:tr w14:paraId="55EBC6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34EF2E7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4B4613C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九华五矿公司黄山石灰石矿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50F47E9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安徽省地质矿产勘查局</w:t>
            </w:r>
            <w:r>
              <w:rPr>
                <w:rStyle w:val="11"/>
                <w:rFonts w:hint="eastAsia" w:ascii="宋体" w:hAnsi="宋体" w:eastAsia="宋体" w:cs="宋体"/>
                <w:color w:val="auto"/>
                <w:sz w:val="21"/>
                <w:szCs w:val="21"/>
                <w:highlight w:val="none"/>
                <w:lang w:val="en-US" w:eastAsia="zh-CN" w:bidi="ar"/>
              </w:rPr>
              <w:t>321</w:t>
            </w:r>
            <w:r>
              <w:rPr>
                <w:rStyle w:val="10"/>
                <w:rFonts w:hint="eastAsia" w:ascii="宋体" w:hAnsi="宋体" w:eastAsia="宋体" w:cs="宋体"/>
                <w:color w:val="auto"/>
                <w:sz w:val="21"/>
                <w:szCs w:val="21"/>
                <w:highlight w:val="none"/>
                <w:lang w:val="en-US" w:eastAsia="zh-CN" w:bidi="ar"/>
              </w:rPr>
              <w:t>地质队</w:t>
            </w:r>
          </w:p>
        </w:tc>
      </w:tr>
      <w:tr w14:paraId="05C57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nil"/>
              <w:right w:val="single" w:color="000000" w:sz="4" w:space="0"/>
            </w:tcBorders>
            <w:noWrap w:val="0"/>
            <w:vAlign w:val="center"/>
          </w:tcPr>
          <w:p w14:paraId="4F32BDB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w:t>
            </w:r>
          </w:p>
        </w:tc>
        <w:tc>
          <w:tcPr>
            <w:tcW w:w="4260" w:type="dxa"/>
            <w:tcBorders>
              <w:top w:val="single" w:color="000000" w:sz="4" w:space="0"/>
              <w:left w:val="single" w:color="000000" w:sz="4" w:space="0"/>
              <w:bottom w:val="nil"/>
              <w:right w:val="single" w:color="000000" w:sz="4" w:space="0"/>
            </w:tcBorders>
            <w:noWrap w:val="0"/>
            <w:vAlign w:val="center"/>
          </w:tcPr>
          <w:p w14:paraId="607EFE0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淮北青东煤业有限公司青东煤矿</w:t>
            </w:r>
          </w:p>
        </w:tc>
        <w:tc>
          <w:tcPr>
            <w:tcW w:w="3491" w:type="dxa"/>
            <w:tcBorders>
              <w:top w:val="single" w:color="000000" w:sz="4" w:space="0"/>
              <w:left w:val="single" w:color="000000" w:sz="4" w:space="0"/>
              <w:bottom w:val="nil"/>
              <w:right w:val="single" w:color="000000" w:sz="4" w:space="0"/>
            </w:tcBorders>
            <w:noWrap w:val="0"/>
            <w:vAlign w:val="center"/>
          </w:tcPr>
          <w:p w14:paraId="21D462B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安徽地岩生态科技有限公司</w:t>
            </w:r>
          </w:p>
        </w:tc>
      </w:tr>
      <w:tr w14:paraId="576F27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213D6E0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7E29748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铜陵市铜山矿区大凹山</w:t>
            </w:r>
            <w:r>
              <w:rPr>
                <w:rStyle w:val="11"/>
                <w:rFonts w:hint="eastAsia" w:ascii="宋体" w:hAnsi="宋体" w:eastAsia="宋体" w:cs="宋体"/>
                <w:color w:val="auto"/>
                <w:sz w:val="21"/>
                <w:szCs w:val="21"/>
                <w:highlight w:val="none"/>
                <w:lang w:val="en-US" w:eastAsia="zh-CN" w:bidi="ar"/>
              </w:rPr>
              <w:t>-</w:t>
            </w:r>
            <w:r>
              <w:rPr>
                <w:rStyle w:val="10"/>
                <w:rFonts w:hint="eastAsia" w:ascii="宋体" w:hAnsi="宋体" w:eastAsia="宋体" w:cs="宋体"/>
                <w:color w:val="auto"/>
                <w:sz w:val="21"/>
                <w:szCs w:val="21"/>
                <w:highlight w:val="none"/>
                <w:lang w:val="en-US" w:eastAsia="zh-CN" w:bidi="ar"/>
              </w:rPr>
              <w:t>寒山水泥用石灰岩矿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780674C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安徽省地质矿产勘查局</w:t>
            </w:r>
            <w:r>
              <w:rPr>
                <w:rStyle w:val="11"/>
                <w:rFonts w:hint="eastAsia" w:ascii="宋体" w:hAnsi="宋体" w:eastAsia="宋体" w:cs="宋体"/>
                <w:color w:val="auto"/>
                <w:sz w:val="21"/>
                <w:szCs w:val="21"/>
                <w:highlight w:val="none"/>
                <w:lang w:val="en-US" w:eastAsia="zh-CN" w:bidi="ar"/>
              </w:rPr>
              <w:t>321</w:t>
            </w:r>
            <w:r>
              <w:rPr>
                <w:rStyle w:val="10"/>
                <w:rFonts w:hint="eastAsia" w:ascii="宋体" w:hAnsi="宋体" w:eastAsia="宋体" w:cs="宋体"/>
                <w:color w:val="auto"/>
                <w:sz w:val="21"/>
                <w:szCs w:val="21"/>
                <w:highlight w:val="none"/>
                <w:lang w:val="en-US" w:eastAsia="zh-CN" w:bidi="ar"/>
              </w:rPr>
              <w:t>地质队</w:t>
            </w:r>
          </w:p>
        </w:tc>
      </w:tr>
      <w:tr w14:paraId="62DB03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6D995C8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69F4981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霍邱县付老庄铁矿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2046BDB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安徽省地质矿产勘查局</w:t>
            </w:r>
            <w:r>
              <w:rPr>
                <w:rStyle w:val="11"/>
                <w:rFonts w:hint="eastAsia" w:ascii="宋体" w:hAnsi="宋体" w:eastAsia="宋体" w:cs="宋体"/>
                <w:color w:val="auto"/>
                <w:sz w:val="21"/>
                <w:szCs w:val="21"/>
                <w:highlight w:val="none"/>
                <w:lang w:val="en-US" w:eastAsia="zh-CN" w:bidi="ar"/>
              </w:rPr>
              <w:t>321</w:t>
            </w:r>
            <w:r>
              <w:rPr>
                <w:rStyle w:val="10"/>
                <w:rFonts w:hint="eastAsia" w:ascii="宋体" w:hAnsi="宋体" w:eastAsia="宋体" w:cs="宋体"/>
                <w:color w:val="auto"/>
                <w:sz w:val="21"/>
                <w:szCs w:val="21"/>
                <w:highlight w:val="none"/>
                <w:lang w:val="en-US" w:eastAsia="zh-CN" w:bidi="ar"/>
              </w:rPr>
              <w:t>地质队</w:t>
            </w:r>
          </w:p>
        </w:tc>
      </w:tr>
      <w:tr w14:paraId="308901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66CEFF2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2A862BC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安徽庐江龙桥矿业股份有限公司龙桥铁矿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18B976A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安徽庐江龙桥矿业股份有限公司</w:t>
            </w:r>
          </w:p>
        </w:tc>
      </w:tr>
      <w:tr w14:paraId="13C69E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2D616BA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548F749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巢湖全强矿山资源开发有限公司林业山铁矿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7A8067C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巢湖全强矿山资源开发有限公司</w:t>
            </w:r>
          </w:p>
        </w:tc>
      </w:tr>
      <w:tr w14:paraId="6AB2EE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14:paraId="5CDD38A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w:t>
            </w:r>
          </w:p>
        </w:tc>
        <w:tc>
          <w:tcPr>
            <w:tcW w:w="4260" w:type="dxa"/>
            <w:tcBorders>
              <w:top w:val="single" w:color="000000" w:sz="4" w:space="0"/>
              <w:left w:val="single" w:color="000000" w:sz="4" w:space="0"/>
              <w:bottom w:val="single" w:color="000000" w:sz="4" w:space="0"/>
              <w:right w:val="single" w:color="000000" w:sz="4" w:space="0"/>
            </w:tcBorders>
            <w:noWrap w:val="0"/>
            <w:vAlign w:val="center"/>
          </w:tcPr>
          <w:p w14:paraId="2247C60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安徽省博望区薛津建筑用安山岩矿</w:t>
            </w:r>
          </w:p>
        </w:tc>
        <w:tc>
          <w:tcPr>
            <w:tcW w:w="3491" w:type="dxa"/>
            <w:tcBorders>
              <w:top w:val="single" w:color="000000" w:sz="4" w:space="0"/>
              <w:left w:val="single" w:color="000000" w:sz="4" w:space="0"/>
              <w:bottom w:val="single" w:color="000000" w:sz="4" w:space="0"/>
              <w:right w:val="single" w:color="000000" w:sz="4" w:space="0"/>
            </w:tcBorders>
            <w:noWrap w:val="0"/>
            <w:vAlign w:val="center"/>
          </w:tcPr>
          <w:p w14:paraId="500E6A4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安徽金联地矿科技有限公司</w:t>
            </w:r>
          </w:p>
        </w:tc>
      </w:tr>
    </w:tbl>
    <w:p w14:paraId="5FF2F833">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0"/>
        <w:jc w:val="center"/>
        <w:textAlignment w:val="auto"/>
        <w:rPr>
          <w:rStyle w:val="6"/>
          <w:rFonts w:hint="eastAsia" w:ascii="方正小标宋简体" w:hAnsi="方正小标宋简体" w:eastAsia="方正小标宋简体" w:cs="方正小标宋简体"/>
          <w:b w:val="0"/>
          <w:bCs/>
          <w:color w:val="auto"/>
          <w:sz w:val="44"/>
          <w:szCs w:val="44"/>
          <w:highlight w:val="none"/>
        </w:rPr>
      </w:pPr>
    </w:p>
    <w:p w14:paraId="4EE26625">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0"/>
        <w:jc w:val="center"/>
        <w:textAlignment w:val="auto"/>
        <w:rPr>
          <w:rStyle w:val="6"/>
          <w:rFonts w:hint="eastAsia" w:ascii="方正小标宋简体" w:hAnsi="方正小标宋简体" w:eastAsia="方正小标宋简体" w:cs="方正小标宋简体"/>
          <w:b w:val="0"/>
          <w:bCs/>
          <w:color w:val="auto"/>
          <w:sz w:val="44"/>
          <w:szCs w:val="44"/>
          <w:highlight w:val="none"/>
        </w:rPr>
      </w:pPr>
    </w:p>
    <w:p w14:paraId="0EB15409">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0"/>
        <w:jc w:val="center"/>
        <w:textAlignment w:val="auto"/>
        <w:rPr>
          <w:rStyle w:val="6"/>
          <w:rFonts w:hint="eastAsia" w:ascii="方正小标宋简体" w:hAnsi="方正小标宋简体" w:eastAsia="方正小标宋简体" w:cs="方正小标宋简体"/>
          <w:b w:val="0"/>
          <w:bCs/>
          <w:color w:val="auto"/>
          <w:sz w:val="44"/>
          <w:szCs w:val="44"/>
          <w:highlight w:val="none"/>
        </w:rPr>
      </w:pPr>
    </w:p>
    <w:p w14:paraId="0BCEC113">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0"/>
        <w:jc w:val="center"/>
        <w:textAlignment w:val="auto"/>
        <w:rPr>
          <w:rStyle w:val="6"/>
          <w:rFonts w:hint="eastAsia" w:ascii="方正小标宋简体" w:hAnsi="方正小标宋简体" w:eastAsia="方正小标宋简体" w:cs="方正小标宋简体"/>
          <w:b w:val="0"/>
          <w:bCs/>
          <w:color w:val="auto"/>
          <w:sz w:val="44"/>
          <w:szCs w:val="44"/>
          <w:highlight w:val="none"/>
        </w:rPr>
      </w:pPr>
    </w:p>
    <w:p w14:paraId="5C50B082">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0"/>
        <w:jc w:val="center"/>
        <w:textAlignment w:val="auto"/>
        <w:rPr>
          <w:rStyle w:val="6"/>
          <w:rFonts w:hint="eastAsia" w:ascii="方正小标宋简体" w:hAnsi="方正小标宋简体" w:eastAsia="方正小标宋简体" w:cs="方正小标宋简体"/>
          <w:b w:val="0"/>
          <w:bCs/>
          <w:color w:val="auto"/>
          <w:sz w:val="44"/>
          <w:szCs w:val="44"/>
          <w:highlight w:val="none"/>
        </w:rPr>
      </w:pPr>
    </w:p>
    <w:p w14:paraId="4ED577AA">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0"/>
        <w:jc w:val="center"/>
        <w:textAlignment w:val="auto"/>
        <w:rPr>
          <w:rStyle w:val="6"/>
          <w:rFonts w:hint="eastAsia" w:ascii="方正小标宋简体" w:hAnsi="方正小标宋简体" w:eastAsia="方正小标宋简体" w:cs="方正小标宋简体"/>
          <w:b w:val="0"/>
          <w:bCs/>
          <w:color w:val="auto"/>
          <w:sz w:val="44"/>
          <w:szCs w:val="44"/>
          <w:highlight w:val="none"/>
        </w:rPr>
      </w:pPr>
    </w:p>
    <w:p w14:paraId="0E6A25D8">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0"/>
        <w:jc w:val="left"/>
        <w:textAlignment w:val="auto"/>
        <w:rPr>
          <w:rStyle w:val="6"/>
          <w:rFonts w:hint="eastAsia" w:ascii="宋体" w:hAnsi="宋体" w:eastAsia="宋体" w:cs="宋体"/>
          <w:b w:val="0"/>
          <w:bCs/>
          <w:color w:val="auto"/>
          <w:sz w:val="21"/>
          <w:szCs w:val="21"/>
          <w:highlight w:val="none"/>
        </w:rPr>
      </w:pPr>
      <w:r>
        <w:rPr>
          <w:rFonts w:hint="eastAsia" w:ascii="宋体" w:hAnsi="宋体" w:eastAsia="宋体" w:cs="宋体"/>
          <w:b/>
          <w:bCs/>
          <w:color w:val="auto"/>
          <w:sz w:val="21"/>
          <w:szCs w:val="21"/>
          <w:highlight w:val="none"/>
          <w:lang w:val="en-US" w:eastAsia="zh-CN"/>
        </w:rPr>
        <w:br w:type="page"/>
      </w:r>
      <w:r>
        <w:rPr>
          <w:rFonts w:hint="eastAsia" w:ascii="宋体" w:hAnsi="宋体" w:eastAsia="宋体" w:cs="宋体"/>
          <w:b/>
          <w:bCs/>
          <w:color w:val="auto"/>
          <w:sz w:val="21"/>
          <w:szCs w:val="21"/>
          <w:highlight w:val="none"/>
          <w:lang w:val="en-US" w:eastAsia="zh-CN"/>
        </w:rPr>
        <w:t>附件：</w:t>
      </w:r>
      <w:r>
        <w:rPr>
          <w:rFonts w:hint="eastAsia" w:ascii="宋体" w:hAnsi="宋体" w:eastAsia="宋体" w:cs="宋体"/>
          <w:b/>
          <w:bCs/>
          <w:color w:val="auto"/>
          <w:sz w:val="21"/>
          <w:szCs w:val="21"/>
          <w:highlight w:val="none"/>
        </w:rPr>
        <w:t>关于进一步加强绿色矿山建设的通知</w:t>
      </w:r>
    </w:p>
    <w:p w14:paraId="1ADCCDB4">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0"/>
        <w:jc w:val="center"/>
        <w:textAlignment w:val="auto"/>
        <w:rPr>
          <w:rStyle w:val="6"/>
          <w:rFonts w:hint="eastAsia" w:ascii="宋体" w:hAnsi="宋体" w:eastAsia="宋体" w:cs="宋体"/>
          <w:b w:val="0"/>
          <w:bCs/>
          <w:color w:val="auto"/>
          <w:sz w:val="21"/>
          <w:szCs w:val="21"/>
          <w:highlight w:val="none"/>
        </w:rPr>
      </w:pPr>
    </w:p>
    <w:p w14:paraId="75AF412C">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0"/>
        <w:jc w:val="center"/>
        <w:textAlignment w:val="auto"/>
        <w:rPr>
          <w:rFonts w:hint="eastAsia" w:ascii="宋体" w:hAnsi="宋体" w:eastAsia="宋体" w:cs="宋体"/>
          <w:color w:val="auto"/>
          <w:sz w:val="21"/>
          <w:szCs w:val="21"/>
          <w:highlight w:val="none"/>
        </w:rPr>
      </w:pPr>
      <w:r>
        <w:rPr>
          <w:rStyle w:val="6"/>
          <w:rFonts w:hint="eastAsia" w:ascii="宋体" w:hAnsi="宋体" w:eastAsia="宋体" w:cs="宋体"/>
          <w:b w:val="0"/>
          <w:bCs/>
          <w:color w:val="auto"/>
          <w:sz w:val="21"/>
          <w:szCs w:val="21"/>
          <w:highlight w:val="none"/>
        </w:rPr>
        <w:t>自然资源部 生态环境部 财政部 国家市场监督管理总局 国家金融监督管理总局 中国证券监督管理委员会 国家林业和草原局关于进一步加强绿色矿山建设的通知</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自然资规〔2024〕1号</w:t>
      </w:r>
    </w:p>
    <w:p w14:paraId="656F1107">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0"/>
        <w:jc w:val="center"/>
        <w:textAlignment w:val="auto"/>
        <w:rPr>
          <w:rFonts w:hint="eastAsia" w:ascii="宋体" w:hAnsi="宋体" w:eastAsia="宋体" w:cs="宋体"/>
          <w:color w:val="auto"/>
          <w:sz w:val="21"/>
          <w:szCs w:val="21"/>
          <w:highlight w:val="none"/>
        </w:rPr>
      </w:pPr>
    </w:p>
    <w:p w14:paraId="6669C2D5">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各省、自治区、直辖市自然资源主管部门、生态环境厅（局）、财政厅（局），市场监管局（厅、委），金融监管局、证监局，林业和草原主管部门：</w:t>
      </w:r>
    </w:p>
    <w:p w14:paraId="4F296B6D">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绿色矿山建设是推动矿业高质量发展的重要举措，是矿业领域生态文明建设的有力抓手，是实现人与自然和谐共生的必然要求，为加快矿业绿色低碳转型发展，全面推进绿色矿山建设，现就有关事项通知如下。</w:t>
      </w:r>
    </w:p>
    <w:p w14:paraId="7A7A5FC2">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Style w:val="6"/>
          <w:rFonts w:hint="eastAsia" w:ascii="宋体" w:hAnsi="宋体" w:eastAsia="宋体" w:cs="宋体"/>
          <w:color w:val="auto"/>
          <w:sz w:val="21"/>
          <w:szCs w:val="21"/>
          <w:highlight w:val="none"/>
        </w:rPr>
        <w:t>一、总体要求</w:t>
      </w:r>
    </w:p>
    <w:p w14:paraId="0AD21398">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（一）指导思想。</w:t>
      </w:r>
    </w:p>
    <w:p w14:paraId="153728D8">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习近平新时代中国特色社会主义思想为指导，深入贯彻党的二十大精神，全面贯彻习近平生态文明思想，完整、准确、全面贯彻新发展理念，构建新发展格局，推动高质量发展，牢固树立和践行绿水青山就是金山银山的理念，正确处理高质量发展与高水平保护的关系，站在人与自然和谐共生的高度谋划矿业绿色低碳发展，通过政府引导、部门协作、企业主建、社会监督，将绿色发展理念贯穿于矿产资源勘查开发全过程，切实提升矿产资源开发利用保护水平，助力美丽中国建设。</w:t>
      </w:r>
    </w:p>
    <w:p w14:paraId="52296B28">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（二）基本原则。</w:t>
      </w:r>
    </w:p>
    <w:p w14:paraId="38F593E8">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坚持分类施策，全面推进。各地要立足矿业发展实际，科学合理设定绿色矿山建设的路线图和时间表，加强规划管控，促进源头治理、系统治理，推动新建、改扩建、生产矿山（证照合法有效、近3年内正常生产、剩余储量可采年限不低于3年）全部开展绿色矿山建设。</w:t>
      </w:r>
    </w:p>
    <w:p w14:paraId="04234FAC">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坚持创新驱动，转型升级。发挥创新引领作用，加快矿业领域技术创新和装备升级改造，着力推动关键技术突破，促进绿色低碳新技术、新工艺、新装备加快发展和广泛应用。</w:t>
      </w:r>
    </w:p>
    <w:p w14:paraId="0B6405C3">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坚持协同监督，动态管理。加强相关部门间的协调联动，齐抓共管做好绿色矿山的日常监督，加强国家级和省级绿色矿山名录的动态管理，不设市级、县级绿色矿山名录。已设的市、县级绿色矿山经评估后择优纳入省级绿色矿山名录，督促绿色矿山持续提升建设水平。</w:t>
      </w:r>
    </w:p>
    <w:p w14:paraId="5332D6B1">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（三）主要目标。</w:t>
      </w:r>
    </w:p>
    <w:p w14:paraId="3CDEA414">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到2028年底，绿色矿山建设工作机制更加完善，持证在产的90%大型矿山、80%中型矿山要达到绿色矿山标准要求，各地可结合实际，参照绿色矿山标准加强小型矿山管理。</w:t>
      </w:r>
    </w:p>
    <w:p w14:paraId="00F39FB4">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Style w:val="6"/>
          <w:rFonts w:hint="eastAsia" w:ascii="宋体" w:hAnsi="宋体" w:eastAsia="宋体" w:cs="宋体"/>
          <w:color w:val="auto"/>
          <w:sz w:val="21"/>
          <w:szCs w:val="21"/>
          <w:highlight w:val="none"/>
        </w:rPr>
        <w:t>二、全面推进绿色矿山建设</w:t>
      </w:r>
    </w:p>
    <w:p w14:paraId="3B403C73">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压实矿山企业的主体责任。依法从事矿产资源开发的矿山企业，是绿色矿山创建的责任主体，应当牢固树立和践行绿水青山就是金山银山理念，严格按照标准规范，在矿产资源开发全过程中，对矿区及周边生态环境扰动控制在可控范围内，建设矿区环境生态化、开采方式科学化、资源利用高效化、企业管理规范化、矿区社区和谐化的绿色矿山。矿山企业要落实矿山开发利用、生态修复、环境保护等方案，明确绿色矿山建设任务和进度，落实“边开采、边修复”等要求，及时向社会公开。生态保护红线内、自然保护地核心保护区外依法开采的矿山，要执行最严格标准规范，严格落实绿色开采及矿山环境生态修复相关要求，全面做好减缓生态环境和自然保护地影响的措施。建立申诉回应机制，畅通与受矿山影响的社区等利益相关者的交流互动，主动接受社会监督，树立良好企业形象。</w:t>
      </w:r>
    </w:p>
    <w:p w14:paraId="14E6F972">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五）分类有序推进绿色矿山建设。自然资源主管部门会同相关部门应当依据法律、法规或党中央、国务院政策文件中关于绿色矿山建设的规定明确要求，对新建矿山，要严格按照绿色矿山标准建设运行，正式投产后1—2年内应通过绿色矿山评估核查，并在采矿权出让时将相关要求和违约责任纳入出让合同。对生产矿山，要加快绿色化升级改造，在办理延续、变更手续时，应明确绿色矿山建设时限和要求。鼓励地方自然资源主管部门与矿山企业签订绿色矿山建设合同。对剩余储量可采年限不足3年的生产矿山，要求按照绿色矿山建设标准加强管理，着重做好闭坑前的污染防治，以及矿山地质环境恢复治理、土地复垦、恢复植被等生态修复工作。</w:t>
      </w:r>
    </w:p>
    <w:p w14:paraId="37068F8D">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六）加快推动绿色低碳先进适用技术应用。矿山企业要加强绿色低碳技术工艺装备升级改造，在资源开发、综合利用、节能减排、生态修复等环节，鼓励采用《国家重点推广的低碳技术目录》《矿产资源节约和综合利用先进适用技术目录》中的技术，推动矿山绿色低碳转型。加快融合5G、大数据、互联网、人工智能等信息化技术，推动矿山企业数字化、智能化、绿色化发展，提升资源开发利用与生产管理效率。</w:t>
      </w:r>
    </w:p>
    <w:p w14:paraId="49BBED7F">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七）持续提升矿山企业创建水平。矿山企业应主动对照相应行业标准和评价指标定期自评，按计划开展绿色矿山创建工作，及时发现问题短板，积极推动整改。完成绿色矿山建设任务且自评达到标准要求的，可向自然资源主管部门提交自评估报告，申报省级绿色矿山。矿山企业对自评估报告的真实性负责。</w:t>
      </w:r>
    </w:p>
    <w:p w14:paraId="728827AF">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Style w:val="6"/>
          <w:rFonts w:hint="eastAsia" w:ascii="宋体" w:hAnsi="宋体" w:eastAsia="宋体" w:cs="宋体"/>
          <w:color w:val="auto"/>
          <w:sz w:val="21"/>
          <w:szCs w:val="21"/>
          <w:highlight w:val="none"/>
        </w:rPr>
        <w:t>三、加强第三方评估管理</w:t>
      </w:r>
    </w:p>
    <w:p w14:paraId="38E582FD">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（八）严格第三方评估。自然资源主管部门应会同相关部门，对矿山企业申报材料进行初审。初审合格的，由省级自然资源主管部门委托第三方评估机构开展现场核查评估。</w:t>
      </w:r>
    </w:p>
    <w:p w14:paraId="556E6CA5">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各省（区、市）自然资源主管部门联合相关部门，加强第三方评估规范管理。第三方评估机构应当是具有独立法人资格的企事业单位、行业协会，具备开展绿色矿山建设评估的业务能力。评估人员应熟悉绿色矿山相关政策和标准，涵盖地质、采矿、选矿、生态、环境等专业，能够长期稳定开展评估工作（具体工作要求见附件1）。第三方评估机构要严格对照绿色矿山建设标准及评价指标，编制形成第三方评估报告并附核查记录及影像资料，严禁向矿山企业收取评估费用，签署真实性承诺，确保结果公平、公正。</w:t>
      </w:r>
    </w:p>
    <w:p w14:paraId="431B19F5">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Style w:val="6"/>
          <w:rFonts w:hint="eastAsia" w:ascii="宋体" w:hAnsi="宋体" w:eastAsia="宋体" w:cs="宋体"/>
          <w:color w:val="auto"/>
          <w:sz w:val="21"/>
          <w:szCs w:val="21"/>
          <w:highlight w:val="none"/>
        </w:rPr>
        <w:t>四、动态管理绿色矿山名录</w:t>
      </w:r>
    </w:p>
    <w:p w14:paraId="14B13AD4">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九）择优纳入国家级绿色矿山名录。各省（区、市）自然资源主管部门定期或不定期会同相关部门，对通过第三方评估的矿山企业开展抽查核查，确认后向社会公示，公示无异议的按程序纳入省级绿色矿山名录。国家级绿色矿山按照有关要求从省级绿色矿山中择优推荐，自然资源部会同相关部门通过专家论证、实地抽查核查、社会公示等程序，确定国家级绿色矿山，纳入国家级绿色矿山名录并向社会公开。</w:t>
      </w:r>
    </w:p>
    <w:p w14:paraId="50F98DE6">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（十）实行动态管理。绿色矿山名录实行动态管理（具体要求见附件2），及时按程序移出名录中不符合标准的矿山，督促绿色矿山企业持续巩固建设成果，持续提升建设水平。</w:t>
      </w:r>
    </w:p>
    <w:p w14:paraId="7D91B35D">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Style w:val="6"/>
          <w:rFonts w:hint="eastAsia" w:ascii="宋体" w:hAnsi="宋体" w:eastAsia="宋体" w:cs="宋体"/>
          <w:color w:val="auto"/>
          <w:sz w:val="21"/>
          <w:szCs w:val="21"/>
          <w:highlight w:val="none"/>
        </w:rPr>
        <w:t>五、加大政策支持力度</w:t>
      </w:r>
    </w:p>
    <w:p w14:paraId="2F72F45C">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（十一）积极落实税收优惠政策。落实好高新技术企业、环境保护、节能节水、资源综合利用等税收优惠政策。</w:t>
      </w:r>
    </w:p>
    <w:p w14:paraId="2E250471">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二）鼓励创新支持政策。各地要探索完善绿色矿山建设激励约束政策，加大用地、用矿、金融等政策支持。在矿业权出让、整合及办理建设用地、用林、用草等手续时，依法依规对绿色矿山企业予以支持。符合协议出让情形的矿业权，允许优先以协议出让方式有偿出让给绿色矿山。</w:t>
      </w:r>
    </w:p>
    <w:p w14:paraId="53809B71">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推动符合条件的绿色矿山企业在沪深北交易所上市以及到新三板、区域性股权市场挂牌。</w:t>
      </w:r>
    </w:p>
    <w:p w14:paraId="06A4F7DC">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鼓励银行业金融机构在强化矿业领域投资项目环境、安全、社会和治理风险评估及管理的前提下，研发符合地区实际的绿色矿山特色信贷产品，在风险可控、商业可持续的原则下，加大对绿色矿山企业的资金支持力度。</w:t>
      </w:r>
    </w:p>
    <w:p w14:paraId="15877B09">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Style w:val="6"/>
          <w:rFonts w:hint="eastAsia" w:ascii="宋体" w:hAnsi="宋体" w:eastAsia="宋体" w:cs="宋体"/>
          <w:color w:val="auto"/>
          <w:sz w:val="21"/>
          <w:szCs w:val="21"/>
          <w:highlight w:val="none"/>
        </w:rPr>
        <w:t>六、进一步完善标准体系</w:t>
      </w:r>
    </w:p>
    <w:p w14:paraId="10DC13F0">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三）健全完善行业标准、评价指标。健全绿色矿山建设标准体系，研究制定露天开采矿山、地热矿泉水等绿色矿山建设行业标准。完善国家级绿色矿山建设评价指标（见附件3），包含约束性指标和提升性指标，约束性指标为底线要求。相关评价指标应根据法律法规、技术标准等变化及时调整。</w:t>
      </w:r>
    </w:p>
    <w:p w14:paraId="2B999FED">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四）鼓励制修订地方标准、企业标准。各地可结合实际情况，综合考虑区域、矿种、规模、开采方式等因素，制修订地方标准，或细化明确省级绿色矿山的评价指标要求。鼓励有条件的矿业集团、企业，积极研制企业标准并实际应用。</w:t>
      </w:r>
    </w:p>
    <w:p w14:paraId="141CE853">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Style w:val="6"/>
          <w:rFonts w:hint="eastAsia" w:ascii="宋体" w:hAnsi="宋体" w:eastAsia="宋体" w:cs="宋体"/>
          <w:color w:val="auto"/>
          <w:sz w:val="21"/>
          <w:szCs w:val="21"/>
          <w:highlight w:val="none"/>
        </w:rPr>
        <w:t>七、健全工作机制</w:t>
      </w:r>
    </w:p>
    <w:p w14:paraId="1540A60C">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五）形成齐抓共管合力。自然资源部会同生态环境部、财政部、市场监管总局、金融监管总局、中国证监会、国家林草局等部门共同推进绿色矿山建设工作，按照职责分工密切配合，形成工作合力。各部门应健全沟通协调机制，加强绿色矿山动态监管，及时通报有关信息。发现违法违规问题的，及时移交职能部门依法处理。相关部门将涉企行政处罚信息统一归集至国家企业信用信息公示系统，记于企业名下并向社会公示。</w:t>
      </w:r>
    </w:p>
    <w:p w14:paraId="69561E63">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自然资源主管部门负责矿山“三率”（开采回采率、选矿回收率、综合利用率）监管、矿山地质环境保护与土地复垦方案等执行情况的监管。</w:t>
      </w:r>
    </w:p>
    <w:p w14:paraId="2F1D0BEF">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生态环境主管部门负责矿山生态环境监督、污染防治监管。</w:t>
      </w:r>
    </w:p>
    <w:p w14:paraId="1730AC1E">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财政部门负责绿色矿山评估认定工作经费保障。</w:t>
      </w:r>
    </w:p>
    <w:p w14:paraId="23F42BC1">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市场监管部门负责协调指导绿色矿山建设国家标准、行业标准的制修订工作。</w:t>
      </w:r>
    </w:p>
    <w:p w14:paraId="63E87E81">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金融监管部门负责制定完善绿色金融政策，支持矿山企业绿色发展。</w:t>
      </w:r>
    </w:p>
    <w:p w14:paraId="7AE09681">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证券监管主管部门负责支持符合条件的绿色矿山企业在境内上市融资。</w:t>
      </w:r>
    </w:p>
    <w:p w14:paraId="3FA55D85">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林草部门负责矿山占用林地草地的手续办理、临时占用林地到期后植被恢复以及矿山开发附属工程临时占用草地到期后植被恢复的监管。</w:t>
      </w:r>
    </w:p>
    <w:p w14:paraId="6A9DE987">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其他相关部门依据自身职能职责，结合绿色矿山建设要求，落实好相关工作。</w:t>
      </w:r>
    </w:p>
    <w:p w14:paraId="5A39FD4E">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Style w:val="6"/>
          <w:rFonts w:hint="eastAsia" w:ascii="宋体" w:hAnsi="宋体" w:eastAsia="宋体" w:cs="宋体"/>
          <w:color w:val="auto"/>
          <w:sz w:val="21"/>
          <w:szCs w:val="21"/>
          <w:highlight w:val="none"/>
        </w:rPr>
        <w:t>八、强化监督考核</w:t>
      </w:r>
    </w:p>
    <w:p w14:paraId="5146A22E">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六）加强督导核查、考核评价。各级自然资源主管部门会同相关部门对尚未开展创建的矿山，加大督导力度，推动尽快开展绿色矿山建设；要严格按照“双随机、一公开”要求，每年抽取不低于10%的绿色矿山纳入随机抽查名单，严格按照新评价指标对国家级绿色矿山开展实地核查。各地应将绿色矿山建设纳入到政府绩效考核体系和领导干部自然资源资产离任审计评价指标体系，结合实际推动开展绿色矿山建设评价和考核工作。</w:t>
      </w:r>
    </w:p>
    <w:p w14:paraId="19F50390">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七）严格落实管理要求。对经核实存在将所承担评估工作转让或外包、泄漏矿山企业秘密、串通企业弄虚作假、评估结论严重失实等违规行为的第三方评估机构和评估人员，予以通报并纳入黑名单，三年内不再采信其绿色矿山评估服务。</w:t>
      </w:r>
    </w:p>
    <w:p w14:paraId="156851CC">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严格绿色矿山名录动态管理，做好新旧评价指标衔接，发现绿色矿山存在以下问题之一的，及时按程序移出名录：《采矿许可证》《安全生产许可证》《营业执照》证照不齐、过期未及时延续或被吊销的；受到行政处罚后在履行期限内未执行到位的；关闭、因企业自身原因停产未正常生产运营的；违法开采特别是越界开采、擅自改变开采方式的；发生较大及以上安全生产事故或环境事件的，发生土壤和地下水严重污染的；未落实环境影响评价、排污许可等相关制度要求，且未按期整改到位的；未按要求定期开展尾矿库污染隐患排查的或尾矿库污染防治设施未按要求建设运行的；被列入矿业权人勘查开采信息公示异常名录的；矿产资源开发利用水平被划定为落后档次的；被中央环保督察、巡视审计、全国人大常委会执法检查等作为典型案例通报或纳入各类警示片的；发生突发事件，因企业违法违规在全国门户类网站、平台引发负面舆情的；弄虚作假通过绿色矿山评估的；其他违法违规行为不宜继续列入名录的。</w:t>
      </w:r>
    </w:p>
    <w:p w14:paraId="1A67CD2C">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2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本文件自下发之日起执行，有效期五年。</w:t>
      </w:r>
    </w:p>
    <w:p w14:paraId="5D48233D">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自然资源部 生态环境部 财政部</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国家市场监督管理总局 国家金融监督管理总局</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中国证券监督管理委员会 国家林业和草原局</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2024年4月15日</w:t>
      </w:r>
    </w:p>
    <w:p w14:paraId="546C191D">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含通知的附件内容</w:t>
      </w:r>
      <w:r>
        <w:rPr>
          <w:rFonts w:hint="eastAsia" w:ascii="宋体" w:hAnsi="宋体" w:eastAsia="宋体" w:cs="宋体"/>
          <w:color w:val="auto"/>
          <w:sz w:val="21"/>
          <w:szCs w:val="21"/>
          <w:highlight w:val="none"/>
          <w:lang w:eastAsia="zh-CN"/>
        </w:rPr>
        <w:t>）</w:t>
      </w:r>
    </w:p>
    <w:p w14:paraId="0F618659">
      <w:bookmarkStart w:id="13" w:name="_GoBack"/>
      <w:bookmarkEnd w:id="13"/>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84C3440"/>
    <w:rsid w:val="484C34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仿宋_GB2312" w:eastAsia="@仿宋_GB2312" w:cs="@仿宋_GB2312"/>
      <w:kern w:val="2"/>
      <w:sz w:val="21"/>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header"/>
    <w:basedOn w:val="1"/>
    <w:unhideWhenUsed/>
    <w:qFormat/>
    <w:uiPriority w:val="0"/>
    <w:pPr>
      <w:pBdr>
        <w:bottom w:val="single" w:color="auto" w:sz="6" w:space="1"/>
      </w:pBdr>
      <w:tabs>
        <w:tab w:val="center" w:pos="4153"/>
        <w:tab w:val="right" w:pos="8306"/>
      </w:tabs>
      <w:snapToGrid w:val="0"/>
      <w:jc w:val="center"/>
    </w:pPr>
    <w:rPr>
      <w:sz w:val="18"/>
      <w:szCs w:val="18"/>
    </w:rPr>
  </w:style>
  <w:style w:type="paragraph" w:styleId="3">
    <w:name w:val="Normal (Web)"/>
    <w:basedOn w:val="1"/>
    <w:qFormat/>
    <w:uiPriority w:val="0"/>
    <w:pPr>
      <w:spacing w:before="100" w:beforeAutospacing="1" w:after="100" w:afterAutospacing="1"/>
      <w:jc w:val="left"/>
    </w:pPr>
    <w:rPr>
      <w:rFonts w:cs="Times New Roman"/>
      <w:kern w:val="0"/>
      <w:sz w:val="24"/>
    </w:rPr>
  </w:style>
  <w:style w:type="character" w:styleId="6">
    <w:name w:val="Strong"/>
    <w:basedOn w:val="5"/>
    <w:qFormat/>
    <w:uiPriority w:val="0"/>
    <w:rPr>
      <w:b/>
      <w:bCs/>
    </w:rPr>
  </w:style>
  <w:style w:type="paragraph" w:customStyle="1" w:styleId="7">
    <w:name w:val="D&amp;L"/>
    <w:basedOn w:val="2"/>
    <w:qFormat/>
    <w:uiPriority w:val="0"/>
    <w:pPr>
      <w:pBdr>
        <w:bottom w:val="thinThickSmallGap" w:color="auto" w:sz="18" w:space="1"/>
      </w:pBdr>
      <w:adjustRightInd w:val="0"/>
      <w:snapToGrid/>
      <w:spacing w:line="240" w:lineRule="atLeast"/>
      <w:textAlignment w:val="baseline"/>
    </w:pPr>
    <w:rPr>
      <w:kern w:val="0"/>
      <w:sz w:val="24"/>
      <w:szCs w:val="20"/>
    </w:rPr>
  </w:style>
  <w:style w:type="paragraph" w:customStyle="1" w:styleId="8">
    <w:name w:val="xl31"/>
    <w:basedOn w:val="1"/>
    <w:qFormat/>
    <w:uiPriority w:val="0"/>
    <w:pPr>
      <w:widowControl/>
      <w:spacing w:before="100" w:beforeAutospacing="1" w:after="100" w:afterAutospacing="1"/>
      <w:jc w:val="center"/>
    </w:pPr>
    <w:rPr>
      <w:b/>
      <w:bCs/>
      <w:kern w:val="0"/>
      <w:sz w:val="28"/>
      <w:szCs w:val="28"/>
    </w:rPr>
  </w:style>
  <w:style w:type="character" w:customStyle="1" w:styleId="9">
    <w:name w:val="font101"/>
    <w:basedOn w:val="5"/>
    <w:qFormat/>
    <w:uiPriority w:val="0"/>
    <w:rPr>
      <w:rFonts w:hint="eastAsia" w:ascii="宋体" w:hAnsi="宋体" w:eastAsia="宋体" w:cs="宋体"/>
      <w:b/>
      <w:bCs/>
      <w:color w:val="000000"/>
      <w:sz w:val="24"/>
      <w:szCs w:val="24"/>
      <w:u w:val="none"/>
    </w:rPr>
  </w:style>
  <w:style w:type="character" w:customStyle="1" w:styleId="10">
    <w:name w:val="font71"/>
    <w:basedOn w:val="5"/>
    <w:qFormat/>
    <w:uiPriority w:val="0"/>
    <w:rPr>
      <w:rFonts w:hint="eastAsia" w:ascii="宋体" w:hAnsi="宋体" w:eastAsia="宋体" w:cs="宋体"/>
      <w:color w:val="000000"/>
      <w:sz w:val="24"/>
      <w:szCs w:val="24"/>
      <w:u w:val="none"/>
    </w:rPr>
  </w:style>
  <w:style w:type="character" w:customStyle="1" w:styleId="11">
    <w:name w:val="font61"/>
    <w:basedOn w:val="5"/>
    <w:qFormat/>
    <w:uiPriority w:val="0"/>
    <w:rPr>
      <w:rFonts w:hint="default" w:ascii="Times New Roman" w:hAnsi="Times New Roman" w:cs="Times New Roman"/>
      <w:color w:val="000000"/>
      <w:sz w:val="24"/>
      <w:szCs w:val="24"/>
      <w:u w:val="none"/>
    </w:rPr>
  </w:style>
  <w:style w:type="character" w:customStyle="1" w:styleId="12">
    <w:name w:val="font81"/>
    <w:basedOn w:val="5"/>
    <w:qFormat/>
    <w:uiPriority w:val="0"/>
    <w:rPr>
      <w:rFonts w:hint="eastAsia" w:ascii="宋体" w:hAnsi="宋体" w:eastAsia="宋体" w:cs="宋体"/>
      <w:color w:val="000000"/>
      <w:sz w:val="24"/>
      <w:szCs w:val="24"/>
      <w:u w:val="none"/>
    </w:rPr>
  </w:style>
  <w:style w:type="character" w:customStyle="1" w:styleId="13">
    <w:name w:val="font01"/>
    <w:basedOn w:val="5"/>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2025-03-26T12:38:00Z</dcterms:created>
  <dc:creator>审核-程龙</dc:creator>
  <cp:lastModifiedBy>审核-程龙</cp:lastModifiedBy>
  <dcterms:modified xsi:type="dcterms:W3CDTF">2025-03-26T12:38:29Z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714005E72B76415EB65146E16D9D3816_11</vt:lpwstr>
  </property>
  <property fmtid="{D5CDD505-2E9C-101B-9397-08002B2CF9AE}" pid="4" name="KSOTemplateDocerSaveRecord">
    <vt:lpwstr>eyJoZGlkIjoiNjQ4Y2ExNzI3NTAxYWY2Njk0NmNhOWFlOWQ3ZmYzYTQiLCJ1c2VySWQiOiIzMjQ4MTEwODkifQ==</vt:lpwstr>
  </property>
</Properties>
</file>