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0D9E36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前注：</w:t>
      </w:r>
    </w:p>
    <w:p w14:paraId="648A989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olor w:val="auto"/>
          <w:sz w:val="21"/>
          <w:szCs w:val="21"/>
          <w:highlight w:val="none"/>
        </w:rPr>
      </w:pPr>
      <w:r>
        <w:rPr>
          <w:rFonts w:hint="eastAsia" w:asciiTheme="minorEastAsia" w:hAnsiTheme="minorEastAsia" w:eastAsiaTheme="minorEastAsia"/>
          <w:color w:val="auto"/>
          <w:sz w:val="21"/>
          <w:szCs w:val="21"/>
          <w:highlight w:val="none"/>
        </w:rPr>
        <w:t>1.</w:t>
      </w:r>
      <w:r>
        <w:rPr>
          <w:rFonts w:ascii="宋体" w:hAnsi="宋体" w:eastAsia="宋体"/>
          <w:color w:val="auto"/>
          <w:sz w:val="21"/>
          <w:szCs w:val="21"/>
          <w:highlight w:val="none"/>
        </w:rPr>
        <w:t>根据《</w:t>
      </w:r>
      <w:r>
        <w:rPr>
          <w:rFonts w:hint="eastAsia" w:ascii="宋体" w:hAnsi="宋体" w:eastAsia="宋体"/>
          <w:color w:val="auto"/>
          <w:sz w:val="21"/>
          <w:szCs w:val="21"/>
          <w:highlight w:val="none"/>
        </w:rPr>
        <w:t>政府采购进口产品管理办法</w:t>
      </w:r>
      <w:r>
        <w:rPr>
          <w:rFonts w:ascii="宋体" w:hAnsi="宋体" w:eastAsia="宋体"/>
          <w:color w:val="auto"/>
          <w:sz w:val="21"/>
          <w:szCs w:val="21"/>
          <w:highlight w:val="none"/>
        </w:rPr>
        <w:t>》及政府采购管理部门的相关规定，下列采购需求中</w:t>
      </w:r>
      <w:r>
        <w:rPr>
          <w:rFonts w:hint="eastAsia" w:ascii="宋体" w:hAnsi="宋体" w:eastAsia="宋体"/>
          <w:color w:val="auto"/>
          <w:sz w:val="21"/>
          <w:szCs w:val="21"/>
          <w:highlight w:val="none"/>
        </w:rPr>
        <w:t>标注进口产品的货物均</w:t>
      </w:r>
      <w:r>
        <w:rPr>
          <w:rFonts w:ascii="宋体" w:hAnsi="宋体" w:eastAsia="宋体"/>
          <w:color w:val="auto"/>
          <w:sz w:val="21"/>
          <w:szCs w:val="21"/>
          <w:highlight w:val="none"/>
        </w:rPr>
        <w:t>已履行相关论证手续，经核准采购进口</w:t>
      </w:r>
      <w:r>
        <w:rPr>
          <w:rFonts w:hint="eastAsia" w:ascii="宋体" w:hAnsi="宋体" w:eastAsia="宋体"/>
          <w:color w:val="auto"/>
          <w:sz w:val="21"/>
          <w:szCs w:val="21"/>
          <w:highlight w:val="none"/>
        </w:rPr>
        <w:t>产品</w:t>
      </w:r>
      <w:r>
        <w:rPr>
          <w:rFonts w:ascii="宋体" w:hAnsi="宋体" w:eastAsia="宋体"/>
          <w:color w:val="auto"/>
          <w:sz w:val="21"/>
          <w:szCs w:val="21"/>
          <w:highlight w:val="none"/>
        </w:rPr>
        <w:t>，但不限制满足招标文件要求的国内产品参与竞争</w:t>
      </w:r>
      <w:r>
        <w:rPr>
          <w:rFonts w:hint="eastAsia" w:ascii="宋体" w:hAnsi="宋体" w:eastAsia="宋体"/>
          <w:color w:val="auto"/>
          <w:sz w:val="21"/>
          <w:szCs w:val="21"/>
          <w:highlight w:val="none"/>
        </w:rPr>
        <w:t>。未标注进口产品的货物均</w:t>
      </w:r>
      <w:r>
        <w:rPr>
          <w:rFonts w:ascii="宋体" w:hAnsi="宋体" w:eastAsia="宋体"/>
          <w:color w:val="auto"/>
          <w:sz w:val="21"/>
          <w:szCs w:val="21"/>
          <w:highlight w:val="none"/>
        </w:rPr>
        <w:t>为拒绝采购进口产品</w:t>
      </w:r>
      <w:r>
        <w:rPr>
          <w:rFonts w:hint="eastAsia" w:ascii="宋体" w:hAnsi="宋体" w:eastAsia="宋体"/>
          <w:color w:val="auto"/>
          <w:sz w:val="21"/>
          <w:szCs w:val="21"/>
          <w:highlight w:val="none"/>
        </w:rPr>
        <w:t>。</w:t>
      </w:r>
    </w:p>
    <w:p w14:paraId="3D19009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olor w:val="auto"/>
          <w:sz w:val="21"/>
          <w:szCs w:val="21"/>
          <w:highlight w:val="none"/>
        </w:rPr>
        <w:t>：</w:t>
      </w:r>
    </w:p>
    <w:p w14:paraId="471EC60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olor w:val="auto"/>
          <w:sz w:val="21"/>
          <w:szCs w:val="21"/>
          <w:highlight w:val="none"/>
        </w:rPr>
        <w:t>如采购人允许采用分包方式履行合同的，应当明确可以分包履行的相关内容。</w:t>
      </w:r>
    </w:p>
    <w:p w14:paraId="0A603A90">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4.下列采购需求中：标注▲的产品为核心产品（主要中标标的）。</w:t>
      </w:r>
    </w:p>
    <w:p w14:paraId="30B0ED3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
          <w:color w:val="auto"/>
          <w:sz w:val="21"/>
          <w:szCs w:val="21"/>
          <w:highlight w:val="none"/>
        </w:rPr>
      </w:pPr>
      <w:bookmarkStart w:id="0" w:name="_Toc32151"/>
      <w:bookmarkStart w:id="1" w:name="_Toc2554"/>
      <w:bookmarkStart w:id="2" w:name="_Toc9011"/>
      <w:r>
        <w:rPr>
          <w:rFonts w:hint="eastAsia" w:ascii="宋体" w:hAnsi="宋体" w:eastAsia="宋体"/>
          <w:b/>
          <w:color w:val="auto"/>
          <w:sz w:val="21"/>
          <w:szCs w:val="21"/>
          <w:highlight w:val="none"/>
        </w:rPr>
        <w:t>一、</w:t>
      </w:r>
      <w:r>
        <w:rPr>
          <w:rFonts w:hint="eastAsia" w:ascii="宋体" w:hAnsi="宋体" w:eastAsia="宋体"/>
          <w:b/>
          <w:color w:val="auto"/>
          <w:sz w:val="21"/>
          <w:szCs w:val="21"/>
          <w:highlight w:val="none"/>
          <w:lang w:val="en-US" w:eastAsia="zh-CN"/>
        </w:rPr>
        <w:t>第1-2包</w:t>
      </w:r>
      <w:r>
        <w:rPr>
          <w:rFonts w:hint="eastAsia" w:ascii="宋体" w:hAnsi="宋体" w:eastAsia="宋体"/>
          <w:b/>
          <w:color w:val="auto"/>
          <w:sz w:val="21"/>
          <w:szCs w:val="21"/>
          <w:highlight w:val="none"/>
        </w:rPr>
        <w:t>采购需求前附表</w:t>
      </w:r>
      <w:bookmarkEnd w:id="0"/>
      <w:bookmarkEnd w:id="1"/>
      <w:bookmarkEnd w:id="2"/>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200C6B67">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7" w:type="pct"/>
            <w:vAlign w:val="center"/>
          </w:tcPr>
          <w:p w14:paraId="1E08E055">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1192" w:type="pct"/>
            <w:vAlign w:val="center"/>
          </w:tcPr>
          <w:p w14:paraId="7EA999D1">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付款方式</w:t>
            </w:r>
          </w:p>
        </w:tc>
        <w:tc>
          <w:tcPr>
            <w:tcW w:w="3217" w:type="pct"/>
            <w:vAlign w:val="center"/>
          </w:tcPr>
          <w:p w14:paraId="39B29540">
            <w:pPr>
              <w:pStyle w:val="11"/>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b w:val="0"/>
                <w:color w:val="auto"/>
                <w:sz w:val="21"/>
                <w:szCs w:val="21"/>
                <w:highlight w:val="none"/>
              </w:rPr>
            </w:pPr>
            <w:r>
              <w:rPr>
                <w:rFonts w:hint="eastAsia" w:ascii="宋体" w:hAnsi="宋体" w:eastAsia="宋体"/>
                <w:b w:val="0"/>
                <w:color w:val="auto"/>
                <w:sz w:val="21"/>
                <w:szCs w:val="21"/>
                <w:highlight w:val="none"/>
              </w:rPr>
              <w:t>合同生效后，采购人付至合同价的40%（中标人须提供等额预付款担保），货物运送至采购人指定地点并经采购人核对设备清单后支付至合同价的70%，项目经验收合格且相关资料齐备己移交后，一次性付清合同价款。</w:t>
            </w:r>
          </w:p>
          <w:p w14:paraId="2DB45ADA">
            <w:pPr>
              <w:pStyle w:val="11"/>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bCs w:val="0"/>
                <w:color w:val="auto"/>
                <w:sz w:val="21"/>
                <w:szCs w:val="21"/>
                <w:highlight w:val="none"/>
              </w:rPr>
            </w:pPr>
            <w:r>
              <w:rPr>
                <w:rFonts w:hint="eastAsia" w:ascii="宋体" w:hAnsi="宋体" w:eastAsia="宋体"/>
                <w:bCs w:val="0"/>
                <w:color w:val="auto"/>
                <w:sz w:val="21"/>
                <w:szCs w:val="21"/>
                <w:highlight w:val="none"/>
              </w:rPr>
              <w:t>注：</w:t>
            </w:r>
          </w:p>
          <w:p w14:paraId="706FF3BA">
            <w:pPr>
              <w:pStyle w:val="11"/>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bCs w:val="0"/>
                <w:color w:val="auto"/>
                <w:sz w:val="21"/>
                <w:szCs w:val="21"/>
                <w:highlight w:val="none"/>
              </w:rPr>
            </w:pPr>
            <w:r>
              <w:rPr>
                <w:rFonts w:hint="eastAsia" w:ascii="宋体" w:hAnsi="宋体" w:eastAsia="宋体"/>
                <w:bCs w:val="0"/>
                <w:color w:val="auto"/>
                <w:sz w:val="21"/>
                <w:szCs w:val="21"/>
                <w:highlight w:val="none"/>
              </w:rPr>
              <w:t>（1）中标人未按规定提供预付款担保的，视为放弃预付款；</w:t>
            </w:r>
          </w:p>
          <w:p w14:paraId="76814617">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Cs w:val="0"/>
                <w:color w:val="auto"/>
                <w:sz w:val="21"/>
                <w:szCs w:val="21"/>
                <w:highlight w:val="none"/>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400801A7">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3217" w:type="pct"/>
            <w:vAlign w:val="center"/>
          </w:tcPr>
          <w:p w14:paraId="008E1630">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安徽省产品质量监督检验研究院，具体按采购人指定地点。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28D0729D">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3217" w:type="pct"/>
            <w:vAlign w:val="center"/>
          </w:tcPr>
          <w:p w14:paraId="64A45A16">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lang w:val="en-US" w:eastAsia="zh-CN"/>
              </w:rPr>
              <w:t>合同生效之日起，3个月内完成供货、安装、调试、培训、检定或校准等所有工作内容。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6BA5A37C">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宋体" w:hAnsi="宋体" w:eastAsia="宋体"/>
                <w:b w:val="0"/>
                <w:color w:val="auto"/>
                <w:sz w:val="21"/>
                <w:szCs w:val="21"/>
                <w:highlight w:val="none"/>
              </w:rPr>
            </w:pPr>
            <w:r>
              <w:rPr>
                <w:rFonts w:hint="eastAsia" w:ascii="宋体" w:hAnsi="宋体" w:eastAsia="宋体"/>
                <w:b w:val="0"/>
                <w:color w:val="auto"/>
                <w:sz w:val="21"/>
                <w:szCs w:val="21"/>
                <w:highlight w:val="none"/>
              </w:rPr>
              <w:t>免费质保期</w:t>
            </w:r>
          </w:p>
        </w:tc>
        <w:tc>
          <w:tcPr>
            <w:tcW w:w="3217" w:type="pct"/>
            <w:vAlign w:val="center"/>
          </w:tcPr>
          <w:p w14:paraId="0D94A51E">
            <w:pPr>
              <w:pStyle w:val="1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lang w:val="en-US" w:eastAsia="zh-CN"/>
              </w:rPr>
              <w:t>货物需求</w:t>
            </w:r>
            <w:r>
              <w:rPr>
                <w:rFonts w:hint="eastAsia" w:ascii="宋体" w:hAnsi="宋体" w:eastAsia="宋体"/>
                <w:b w:val="0"/>
                <w:color w:val="auto"/>
                <w:sz w:val="21"/>
                <w:szCs w:val="21"/>
                <w:highlight w:val="none"/>
                <w:u w:val="none"/>
              </w:rPr>
              <w:t>清单中未明确的，免费质保期为自验收合格之日起</w:t>
            </w:r>
            <w:r>
              <w:rPr>
                <w:rFonts w:hint="eastAsia" w:ascii="宋体" w:hAnsi="宋体" w:eastAsia="宋体"/>
                <w:b w:val="0"/>
                <w:color w:val="auto"/>
                <w:sz w:val="21"/>
                <w:szCs w:val="21"/>
                <w:highlight w:val="none"/>
                <w:u w:val="none"/>
                <w:lang w:val="en-US" w:eastAsia="zh-CN"/>
              </w:rPr>
              <w:t>3</w:t>
            </w:r>
            <w:r>
              <w:rPr>
                <w:rFonts w:hint="eastAsia" w:ascii="宋体" w:hAnsi="宋体" w:eastAsia="宋体"/>
                <w:b w:val="0"/>
                <w:color w:val="auto"/>
                <w:sz w:val="21"/>
                <w:szCs w:val="21"/>
                <w:highlight w:val="none"/>
                <w:u w:val="none"/>
              </w:rPr>
              <w:t>年；</w:t>
            </w:r>
            <w:r>
              <w:rPr>
                <w:rFonts w:hint="eastAsia" w:ascii="宋体" w:hAnsi="宋体" w:eastAsia="宋体"/>
                <w:b w:val="0"/>
                <w:color w:val="auto"/>
                <w:sz w:val="21"/>
                <w:szCs w:val="21"/>
                <w:highlight w:val="none"/>
                <w:u w:val="none"/>
                <w:lang w:val="en-US" w:eastAsia="zh-CN"/>
              </w:rPr>
              <w:t>货物需求</w:t>
            </w:r>
            <w:r>
              <w:rPr>
                <w:rFonts w:hint="eastAsia" w:ascii="宋体" w:hAnsi="宋体" w:eastAsia="宋体"/>
                <w:b w:val="0"/>
                <w:color w:val="auto"/>
                <w:sz w:val="21"/>
                <w:szCs w:val="21"/>
                <w:highlight w:val="none"/>
                <w:u w:val="none"/>
              </w:rPr>
              <w:t>清单中明确的，免费质保期按</w:t>
            </w:r>
            <w:r>
              <w:rPr>
                <w:rFonts w:hint="eastAsia" w:ascii="宋体" w:hAnsi="宋体" w:eastAsia="宋体"/>
                <w:b w:val="0"/>
                <w:color w:val="auto"/>
                <w:sz w:val="21"/>
                <w:szCs w:val="21"/>
                <w:highlight w:val="none"/>
                <w:u w:val="none"/>
                <w:lang w:val="en-US" w:eastAsia="zh-CN"/>
              </w:rPr>
              <w:t>货物需求</w:t>
            </w:r>
            <w:r>
              <w:rPr>
                <w:rFonts w:hint="eastAsia" w:ascii="宋体" w:hAnsi="宋体" w:eastAsia="宋体"/>
                <w:b w:val="0"/>
                <w:color w:val="auto"/>
                <w:sz w:val="21"/>
                <w:szCs w:val="21"/>
                <w:highlight w:val="none"/>
                <w:u w:val="none"/>
              </w:rPr>
              <w:t>清单执行</w:t>
            </w:r>
            <w:r>
              <w:rPr>
                <w:rFonts w:hint="eastAsia" w:ascii="宋体" w:hAnsi="宋体" w:eastAsia="宋体"/>
                <w:b w:val="0"/>
                <w:color w:val="auto"/>
                <w:sz w:val="21"/>
                <w:szCs w:val="21"/>
                <w:highlight w:val="none"/>
                <w:u w:val="none"/>
                <w:lang w:eastAsia="zh-CN"/>
              </w:rPr>
              <w:t>。</w:t>
            </w:r>
          </w:p>
        </w:tc>
      </w:tr>
    </w:tbl>
    <w:p w14:paraId="608ADC2B">
      <w:pPr>
        <w:spacing w:line="360" w:lineRule="auto"/>
        <w:ind w:firstLine="437"/>
        <w:outlineLvl w:val="1"/>
        <w:rPr>
          <w:rFonts w:hint="eastAsia" w:ascii="宋体" w:hAnsi="宋体" w:eastAsia="宋体"/>
          <w:b/>
          <w:bCs/>
          <w:color w:val="auto"/>
          <w:sz w:val="21"/>
          <w:szCs w:val="21"/>
          <w:highlight w:val="none"/>
        </w:rPr>
      </w:pPr>
      <w:bookmarkStart w:id="3" w:name="_Toc7671"/>
      <w:bookmarkStart w:id="4" w:name="_Toc5944"/>
    </w:p>
    <w:p w14:paraId="3E806DB2">
      <w:pPr>
        <w:spacing w:line="360" w:lineRule="auto"/>
        <w:ind w:firstLine="437"/>
        <w:outlineLvl w:val="1"/>
        <w:rPr>
          <w:rFonts w:hint="eastAsia" w:ascii="宋体" w:hAnsi="宋体" w:eastAsia="宋体"/>
          <w:b/>
          <w:bCs/>
          <w:color w:val="auto"/>
          <w:sz w:val="21"/>
          <w:szCs w:val="21"/>
          <w:highlight w:val="none"/>
        </w:rPr>
      </w:pPr>
      <w:bookmarkStart w:id="5" w:name="_Toc4578"/>
      <w:r>
        <w:rPr>
          <w:rFonts w:hint="eastAsia" w:ascii="宋体" w:hAnsi="宋体" w:eastAsia="宋体"/>
          <w:b/>
          <w:bCs/>
          <w:color w:val="auto"/>
          <w:sz w:val="21"/>
          <w:szCs w:val="21"/>
          <w:highlight w:val="none"/>
        </w:rPr>
        <w:t>二、第1-</w:t>
      </w: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包</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3"/>
      <w:bookmarkEnd w:id="4"/>
      <w:bookmarkEnd w:id="5"/>
    </w:p>
    <w:p w14:paraId="6C3D332C">
      <w:pPr>
        <w:widowControl/>
        <w:wordWrap/>
        <w:ind w:firstLine="422" w:firstLineChars="200"/>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重要指标项</w:t>
            </w:r>
          </w:p>
        </w:tc>
        <w:tc>
          <w:tcPr>
            <w:tcW w:w="1365" w:type="dxa"/>
            <w:noWrap w:val="0"/>
            <w:vAlign w:val="center"/>
          </w:tcPr>
          <w:p w14:paraId="64C46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p>
        </w:tc>
        <w:tc>
          <w:tcPr>
            <w:tcW w:w="5363" w:type="dxa"/>
            <w:noWrap w:val="0"/>
            <w:vAlign w:val="center"/>
          </w:tcPr>
          <w:p w14:paraId="33E24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评分项，</w:t>
            </w:r>
            <w:r>
              <w:rPr>
                <w:rFonts w:hint="eastAsia" w:ascii="宋体" w:hAnsi="宋体" w:eastAsia="宋体" w:cs="宋体"/>
                <w:color w:val="auto"/>
                <w:sz w:val="21"/>
                <w:szCs w:val="21"/>
                <w:highlight w:val="none"/>
                <w:lang w:val="en-US" w:eastAsia="zh-CN"/>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412B5403">
            <w:pPr>
              <w:keepNext w:val="0"/>
              <w:keepLines w:val="0"/>
              <w:suppressLineNumbers w:val="0"/>
              <w:wordWrap w:val="0"/>
              <w:adjustRightInd w:val="0"/>
              <w:snapToGrid w:val="0"/>
              <w:spacing w:before="0" w:beforeAutospacing="0" w:after="0" w:afterAutospacing="0" w:line="300" w:lineRule="auto"/>
              <w:ind w:left="0" w:right="0"/>
              <w:jc w:val="left"/>
              <w:rPr>
                <w:rFonts w:hint="eastAsia" w:ascii="宋体" w:hAnsi="宋体" w:eastAsia="宋体" w:cs="宋体"/>
                <w:b w:val="0"/>
                <w:bCs/>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符合性审查项，该指标项不允许负偏离，否则投标无效</w:t>
            </w:r>
            <w:r>
              <w:rPr>
                <w:rFonts w:hint="eastAsia" w:ascii="宋体" w:hAnsi="宋体" w:eastAsia="宋体" w:cs="宋体"/>
                <w:b/>
                <w:bCs/>
                <w:color w:val="auto"/>
                <w:sz w:val="21"/>
                <w:szCs w:val="21"/>
                <w:highlight w:val="none"/>
              </w:rPr>
              <w:t>。</w:t>
            </w:r>
          </w:p>
          <w:p w14:paraId="3017C267">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rPr>
              <w:t>注：投标人须在投标文件中提供承诺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详见投标文件格式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我单位所投产品完全满足采购文件无标识项技术参数及要求，如履约验收期间所投产品不满足采购文件要求，采购人有权解除合同并上报政府采购监督管理部门</w:t>
            </w:r>
            <w:r>
              <w:rPr>
                <w:rFonts w:hint="eastAsia" w:ascii="宋体" w:hAnsi="宋体" w:eastAsia="宋体" w:cs="宋体"/>
                <w:color w:val="auto"/>
                <w:sz w:val="21"/>
                <w:szCs w:val="21"/>
                <w:highlight w:val="none"/>
              </w:rPr>
              <w:t>，中标人承担由此产生的一切后果及责任。投标文件中未提供相应承诺或承诺的内容不满足要求的，</w:t>
            </w:r>
            <w:r>
              <w:rPr>
                <w:rFonts w:hint="eastAsia" w:ascii="宋体" w:hAnsi="宋体" w:eastAsia="宋体" w:cs="宋体"/>
                <w:b/>
                <w:bCs/>
                <w:color w:val="auto"/>
                <w:sz w:val="21"/>
                <w:szCs w:val="21"/>
                <w:highlight w:val="none"/>
              </w:rPr>
              <w:t>投标无效。</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4968FBE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3405C9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标识条款中如包含多条子项技术参数或要求，则需满足或优于该标识条款内所有子项技术参数或要求方能得分。</w:t>
            </w:r>
          </w:p>
          <w:p w14:paraId="0A03CE8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w:t>
            </w:r>
            <w:r>
              <w:rPr>
                <w:rFonts w:hint="eastAsia" w:ascii="宋体" w:hAnsi="宋体" w:eastAsia="宋体" w:cs="宋体"/>
                <w:b w:val="0"/>
                <w:bCs w:val="0"/>
                <w:color w:val="auto"/>
                <w:kern w:val="0"/>
                <w:sz w:val="21"/>
                <w:szCs w:val="21"/>
                <w:highlight w:val="none"/>
                <w:lang w:val="en-US" w:eastAsia="zh-CN"/>
              </w:rPr>
              <w:t>需求清单</w:t>
            </w:r>
            <w:r>
              <w:rPr>
                <w:rFonts w:hint="eastAsia" w:ascii="宋体" w:hAnsi="宋体" w:eastAsia="宋体" w:cs="宋体"/>
                <w:b w:val="0"/>
                <w:bCs w:val="0"/>
                <w:color w:val="auto"/>
                <w:sz w:val="21"/>
                <w:szCs w:val="21"/>
                <w:highlight w:val="none"/>
                <w:lang w:val="en-US" w:eastAsia="zh-CN"/>
              </w:rPr>
              <w:t>要求</w:t>
            </w:r>
            <w:r>
              <w:rPr>
                <w:rFonts w:hint="eastAsia" w:ascii="宋体" w:hAnsi="宋体" w:eastAsia="宋体" w:cs="宋体"/>
                <w:b w:val="0"/>
                <w:bCs w:val="0"/>
                <w:color w:val="auto"/>
                <w:kern w:val="0"/>
                <w:sz w:val="21"/>
                <w:szCs w:val="21"/>
                <w:highlight w:val="none"/>
                <w:lang w:val="en-US" w:eastAsia="zh-CN"/>
              </w:rPr>
              <w:t>执行；货物需求清单中未明确允许偏离范围的，</w:t>
            </w:r>
            <w:r>
              <w:rPr>
                <w:rFonts w:hint="eastAsia" w:ascii="宋体" w:hAnsi="宋体" w:eastAsia="宋体" w:cs="宋体"/>
                <w:b w:val="0"/>
                <w:bCs w:val="0"/>
                <w:color w:val="auto"/>
                <w:kern w:val="0"/>
                <w:sz w:val="21"/>
                <w:szCs w:val="21"/>
                <w:highlight w:val="none"/>
              </w:rPr>
              <w:t>允许±5%偏离</w:t>
            </w:r>
            <w:r>
              <w:rPr>
                <w:rFonts w:hint="eastAsia" w:ascii="宋体" w:hAnsi="宋体" w:eastAsia="宋体" w:cs="宋体"/>
                <w:b w:val="0"/>
                <w:bCs w:val="0"/>
                <w:color w:val="auto"/>
                <w:sz w:val="21"/>
                <w:szCs w:val="21"/>
                <w:highlight w:val="none"/>
              </w:rPr>
              <w:t>。</w:t>
            </w:r>
          </w:p>
          <w:p w14:paraId="33450118">
            <w:pPr>
              <w:pStyle w:val="5"/>
              <w:keepNext w:val="0"/>
              <w:keepLines w:val="0"/>
              <w:suppressLineNumbers w:val="0"/>
              <w:spacing w:before="0" w:beforeAutospacing="0" w:afterAutospacing="0"/>
              <w:ind w:left="0" w:right="0"/>
              <w:rPr>
                <w:rFonts w:hint="eastAsia"/>
                <w:color w:val="auto"/>
                <w:lang w:val="en-US" w:eastAsia="zh-CN"/>
              </w:rPr>
            </w:pPr>
            <w:r>
              <w:rPr>
                <w:rFonts w:hint="eastAsia" w:ascii="宋体" w:hAnsi="宋体" w:eastAsia="宋体" w:cs="宋体"/>
                <w:b w:val="0"/>
                <w:bCs w:val="0"/>
                <w:color w:val="auto"/>
                <w:kern w:val="0"/>
                <w:sz w:val="21"/>
                <w:szCs w:val="21"/>
                <w:highlight w:val="none"/>
                <w:lang w:val="en-US" w:eastAsia="zh-CN"/>
              </w:rPr>
              <w:t>（3）货物需求清单中未要求提供证明材料的参数以6.2技术响应表作为评审依据。货物需求清单中要求提供证明材料的参数：技术参数及要求中未明确证明材料类型的，证明材料为产品技术说明书或产品彩页或产品功能截图或产品官网截图或第三方机构出具的检测报告，提供其一即可（需能体现关键评审因素，建议标注关键评审因素便于评审）；技术参数及要求中明确要求证明材料类型的，按要求执行。</w:t>
            </w:r>
          </w:p>
        </w:tc>
      </w:tr>
    </w:tbl>
    <w:p w14:paraId="7E9B8411">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货物需求</w:t>
      </w:r>
      <w:r>
        <w:rPr>
          <w:rFonts w:hint="eastAsia" w:ascii="宋体" w:hAnsi="宋体" w:eastAsia="宋体" w:cs="宋体"/>
          <w:b/>
          <w:bCs/>
          <w:color w:val="auto"/>
          <w:sz w:val="21"/>
          <w:szCs w:val="21"/>
          <w:highlight w:val="none"/>
        </w:rPr>
        <w:t>清单</w:t>
      </w:r>
    </w:p>
    <w:tbl>
      <w:tblPr>
        <w:tblStyle w:val="8"/>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398"/>
        <w:gridCol w:w="4817"/>
        <w:gridCol w:w="785"/>
        <w:gridCol w:w="814"/>
      </w:tblGrid>
      <w:tr w14:paraId="10E4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000" w:type="pct"/>
            <w:gridSpan w:val="5"/>
            <w:vAlign w:val="center"/>
          </w:tcPr>
          <w:p w14:paraId="737C6B2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第1包</w:t>
            </w:r>
          </w:p>
        </w:tc>
      </w:tr>
      <w:tr w14:paraId="3256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2" w:type="pct"/>
            <w:vAlign w:val="center"/>
          </w:tcPr>
          <w:p w14:paraId="40207FAC">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817" w:type="pct"/>
            <w:vAlign w:val="center"/>
          </w:tcPr>
          <w:p w14:paraId="465419D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2815" w:type="pct"/>
            <w:vAlign w:val="center"/>
          </w:tcPr>
          <w:p w14:paraId="78BFA7D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458" w:type="pct"/>
            <w:vAlign w:val="center"/>
          </w:tcPr>
          <w:p w14:paraId="56CDDBC5">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2883319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475" w:type="pct"/>
            <w:vAlign w:val="center"/>
          </w:tcPr>
          <w:p w14:paraId="774480A6">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4DB192B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169F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2" w:type="pct"/>
            <w:vAlign w:val="center"/>
          </w:tcPr>
          <w:p w14:paraId="7A23252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p>
        </w:tc>
        <w:tc>
          <w:tcPr>
            <w:tcW w:w="817" w:type="pct"/>
            <w:shd w:val="clear" w:color="auto" w:fill="FFFFFF"/>
            <w:vAlign w:val="center"/>
          </w:tcPr>
          <w:p w14:paraId="507911A6">
            <w:pPr>
              <w:keepNext w:val="0"/>
              <w:keepLines w:val="0"/>
              <w:pageBreakBefore w:val="0"/>
              <w:suppressLineNumbers w:val="0"/>
              <w:kinsoku/>
              <w:wordWrap w:val="0"/>
              <w:overflowPunct/>
              <w:topLinePunct w:val="0"/>
              <w:autoSpaceDE/>
              <w:autoSpaceDN/>
              <w:bidi w:val="0"/>
              <w:adjustRightInd/>
              <w:spacing w:before="0" w:beforeAutospacing="0" w:after="0" w:afterAutospacing="0" w:line="360" w:lineRule="auto"/>
              <w:ind w:left="0" w:right="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color w:val="auto"/>
                <w:sz w:val="21"/>
                <w:szCs w:val="21"/>
                <w:highlight w:val="none"/>
              </w:rPr>
              <w:t>功率分析仪</w:t>
            </w:r>
          </w:p>
        </w:tc>
        <w:tc>
          <w:tcPr>
            <w:tcW w:w="2815" w:type="pct"/>
            <w:shd w:val="clear" w:color="auto" w:fill="FFFFFF"/>
            <w:vAlign w:val="center"/>
          </w:tcPr>
          <w:p w14:paraId="0809F30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1.功率:100kW以上；DC电压量程0-1500V，交流AC电压量程0-1200V；</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2.额定电流500A（4只）以上；</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3.适用200V和380V额定电压产品；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4.总通道数≥5，电压电流测试≥4通道，电机≥1通道；</w:t>
            </w:r>
          </w:p>
          <w:p w14:paraId="22DD4D3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kern w:val="0"/>
                <w:sz w:val="21"/>
                <w:szCs w:val="21"/>
                <w:highlight w:val="none"/>
                <w:lang w:bidi="ar"/>
              </w:rPr>
              <w:t>5.</w:t>
            </w:r>
            <w:r>
              <w:rPr>
                <w:rFonts w:hint="eastAsia" w:ascii="宋体" w:hAnsi="宋体" w:eastAsia="宋体" w:cs="宋体"/>
                <w:color w:val="auto"/>
                <w:sz w:val="21"/>
                <w:szCs w:val="21"/>
                <w:highlight w:val="none"/>
              </w:rPr>
              <w:t>电流直接输入量程不少于：10m/20m/50m/100m/200m/500m/1/2/5[A]Arms（CF3）</w:t>
            </w:r>
            <w:r>
              <w:rPr>
                <w:rFonts w:hint="eastAsia" w:ascii="宋体" w:hAnsi="宋体" w:eastAsia="宋体" w:cs="宋体"/>
                <w:color w:val="auto"/>
                <w:kern w:val="0"/>
                <w:sz w:val="21"/>
                <w:szCs w:val="21"/>
                <w:highlight w:val="none"/>
                <w:lang w:bidi="ar"/>
              </w:rPr>
              <w:t>；</w:t>
            </w:r>
          </w:p>
          <w:p w14:paraId="62A7888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w:t>
            </w:r>
            <w:r>
              <w:rPr>
                <w:rFonts w:hint="eastAsia" w:ascii="宋体" w:hAnsi="宋体" w:eastAsia="宋体" w:cs="宋体"/>
                <w:color w:val="auto"/>
                <w:sz w:val="21"/>
                <w:szCs w:val="21"/>
                <w:highlight w:val="none"/>
              </w:rPr>
              <w:t>电压直接输入量程不少于：1.5/3V/6V/10V/15V/30V/60V/100V/150V/300V/600V/1000V/1500Vrms（CF3）</w:t>
            </w:r>
            <w:r>
              <w:rPr>
                <w:rFonts w:hint="eastAsia" w:ascii="宋体" w:hAnsi="宋体" w:eastAsia="宋体" w:cs="宋体"/>
                <w:color w:val="auto"/>
                <w:kern w:val="0"/>
                <w:sz w:val="21"/>
                <w:szCs w:val="21"/>
                <w:highlight w:val="none"/>
                <w:lang w:bidi="ar"/>
              </w:rPr>
              <w:t>；</w:t>
            </w:r>
          </w:p>
          <w:p w14:paraId="2F21096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w:t>
            </w:r>
            <w:r>
              <w:rPr>
                <w:rFonts w:hint="eastAsia" w:ascii="宋体" w:hAnsi="宋体" w:eastAsia="宋体" w:cs="宋体"/>
                <w:color w:val="auto"/>
                <w:kern w:val="0"/>
                <w:sz w:val="21"/>
                <w:szCs w:val="21"/>
                <w:highlight w:val="none"/>
                <w:lang w:bidi="ar"/>
              </w:rPr>
              <w:t>7.</w:t>
            </w:r>
            <w:r>
              <w:rPr>
                <w:rFonts w:hint="eastAsia" w:ascii="宋体" w:hAnsi="宋体" w:eastAsia="宋体" w:cs="宋体"/>
                <w:color w:val="auto"/>
                <w:sz w:val="21"/>
                <w:szCs w:val="21"/>
                <w:highlight w:val="none"/>
              </w:rPr>
              <w:t>电流测量基本精度不低于0.05%rdg+0.05%rng</w:t>
            </w:r>
            <w:r>
              <w:rPr>
                <w:rFonts w:hint="eastAsia" w:ascii="宋体" w:hAnsi="宋体" w:eastAsia="宋体" w:cs="宋体"/>
                <w:color w:val="auto"/>
                <w:sz w:val="21"/>
                <w:szCs w:val="21"/>
                <w:highlight w:val="none"/>
                <w:lang w:eastAsia="zh-CN"/>
              </w:rPr>
              <w:t>；</w:t>
            </w:r>
          </w:p>
          <w:p w14:paraId="7DF6A66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w:t>
            </w:r>
            <w:r>
              <w:rPr>
                <w:rFonts w:hint="eastAsia" w:ascii="宋体" w:hAnsi="宋体" w:eastAsia="宋体" w:cs="宋体"/>
                <w:color w:val="auto"/>
                <w:sz w:val="21"/>
                <w:szCs w:val="21"/>
                <w:highlight w:val="none"/>
              </w:rPr>
              <w:t>电压测量基本精度不低于0.05%rdg+0.05%rng</w:t>
            </w:r>
            <w:r>
              <w:rPr>
                <w:rFonts w:hint="eastAsia" w:ascii="宋体" w:hAnsi="宋体" w:eastAsia="宋体" w:cs="宋体"/>
                <w:color w:val="auto"/>
                <w:sz w:val="21"/>
                <w:szCs w:val="21"/>
                <w:highlight w:val="none"/>
                <w:lang w:eastAsia="zh-CN"/>
              </w:rPr>
              <w:t>；</w:t>
            </w:r>
          </w:p>
          <w:p w14:paraId="12353F6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bCs/>
                <w:color w:val="auto"/>
                <w:sz w:val="21"/>
                <w:szCs w:val="21"/>
                <w:highlight w:val="none"/>
              </w:rPr>
              <w:t>★</w:t>
            </w:r>
            <w:r>
              <w:rPr>
                <w:rFonts w:hint="eastAsia" w:ascii="宋体" w:hAnsi="宋体" w:eastAsia="宋体" w:cs="宋体"/>
                <w:color w:val="auto"/>
                <w:kern w:val="0"/>
                <w:sz w:val="21"/>
                <w:szCs w:val="21"/>
                <w:highlight w:val="none"/>
                <w:lang w:bidi="ar"/>
              </w:rPr>
              <w:t>9.</w:t>
            </w:r>
            <w:r>
              <w:rPr>
                <w:rFonts w:hint="eastAsia" w:ascii="宋体" w:hAnsi="宋体" w:eastAsia="宋体" w:cs="宋体"/>
                <w:color w:val="auto"/>
                <w:sz w:val="21"/>
                <w:szCs w:val="21"/>
                <w:highlight w:val="none"/>
              </w:rPr>
              <w:t>功率测量基本精度不低0.05%rdg+0.05%rng</w:t>
            </w:r>
            <w:r>
              <w:rPr>
                <w:rFonts w:hint="eastAsia" w:ascii="宋体" w:hAnsi="宋体" w:eastAsia="宋体" w:cs="宋体"/>
                <w:color w:val="auto"/>
                <w:sz w:val="21"/>
                <w:szCs w:val="21"/>
                <w:highlight w:val="none"/>
                <w:lang w:eastAsia="zh-CN"/>
              </w:rPr>
              <w:t>；</w:t>
            </w:r>
          </w:p>
          <w:p w14:paraId="4504019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★10.频率测试范围满足DC，AC0.1Hz～500KHz</w:t>
            </w:r>
            <w:r>
              <w:rPr>
                <w:rFonts w:hint="eastAsia" w:ascii="宋体" w:hAnsi="宋体" w:eastAsia="宋体" w:cs="宋体"/>
                <w:color w:val="auto"/>
                <w:kern w:val="0"/>
                <w:sz w:val="21"/>
                <w:szCs w:val="21"/>
                <w:highlight w:val="none"/>
                <w:lang w:eastAsia="zh-CN" w:bidi="ar"/>
              </w:rPr>
              <w:t>；</w:t>
            </w:r>
          </w:p>
          <w:p w14:paraId="1009957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★11.测试频率带宽不低于2MHz（-3dB）</w:t>
            </w:r>
            <w:r>
              <w:rPr>
                <w:rFonts w:hint="eastAsia" w:ascii="宋体" w:hAnsi="宋体" w:eastAsia="宋体" w:cs="宋体"/>
                <w:color w:val="auto"/>
                <w:kern w:val="0"/>
                <w:sz w:val="21"/>
                <w:szCs w:val="21"/>
                <w:highlight w:val="none"/>
                <w:lang w:eastAsia="zh-CN" w:bidi="ar"/>
              </w:rPr>
              <w:t>；</w:t>
            </w:r>
          </w:p>
          <w:p w14:paraId="35141FA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★12.采样率不低于2MS/s；数据更新率满足50ms、100ms、200ms、500ms、1s、2s、5s、10s、20s或高速模式下最高10ms,并且支持自定义；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★13.同步数据更新周期：50ms、100ms、200ms、500ms、1s、2s、5s、10s、20s，多种可选；</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★14.滤波功能：至少包含OFF，500Hz，5.5kHz、50kHz；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15.测试功能：至少包含常规电参数、谐波测量、波形回放、FFT分析、双矢量图、IEC谐波测量、周期分析、电压波动及闪变测量；</w:t>
            </w:r>
          </w:p>
          <w:p w14:paraId="3513D19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16.通讯接口：USB、LAN，提供上位机软件，配置测量参数，获取测量数据和波形。</w:t>
            </w:r>
          </w:p>
        </w:tc>
        <w:tc>
          <w:tcPr>
            <w:tcW w:w="458" w:type="pct"/>
            <w:shd w:val="clear" w:color="auto" w:fill="FFFFFF"/>
            <w:vAlign w:val="center"/>
          </w:tcPr>
          <w:p w14:paraId="6C072F4D">
            <w:pPr>
              <w:keepNext w:val="0"/>
              <w:keepLines w:val="0"/>
              <w:pageBreakBefore w:val="0"/>
              <w:suppressLineNumbers w:val="0"/>
              <w:kinsoku/>
              <w:wordWrap w:val="0"/>
              <w:overflowPunct/>
              <w:topLinePunct w:val="0"/>
              <w:autoSpaceDE/>
              <w:autoSpaceDN/>
              <w:bidi w:val="0"/>
              <w:adjustRightInd/>
              <w:spacing w:before="0" w:beforeAutospacing="0" w:after="0" w:afterAutospacing="0" w:line="360" w:lineRule="auto"/>
              <w:ind w:left="0" w:right="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1套</w:t>
            </w:r>
          </w:p>
        </w:tc>
        <w:tc>
          <w:tcPr>
            <w:tcW w:w="475" w:type="pct"/>
            <w:shd w:val="clear" w:color="auto" w:fill="FFFFFF"/>
            <w:vAlign w:val="center"/>
          </w:tcPr>
          <w:p w14:paraId="3611CAAE">
            <w:pPr>
              <w:keepNext w:val="0"/>
              <w:keepLines w:val="0"/>
              <w:pageBreakBefore w:val="0"/>
              <w:suppressLineNumbers w:val="0"/>
              <w:kinsoku/>
              <w:wordWrap w:val="0"/>
              <w:overflowPunct/>
              <w:topLinePunct w:val="0"/>
              <w:autoSpaceDE/>
              <w:autoSpaceDN/>
              <w:bidi w:val="0"/>
              <w:adjustRightInd/>
              <w:spacing w:before="0" w:beforeAutospacing="0" w:after="0" w:afterAutospacing="0" w:line="360" w:lineRule="auto"/>
              <w:ind w:left="0" w:right="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工业</w:t>
            </w:r>
          </w:p>
        </w:tc>
      </w:tr>
      <w:tr w14:paraId="3E8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000" w:type="pct"/>
            <w:gridSpan w:val="5"/>
            <w:vAlign w:val="center"/>
          </w:tcPr>
          <w:p w14:paraId="4ACCFF6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lang w:val="en-US" w:eastAsia="zh-CN"/>
              </w:rPr>
            </w:pPr>
            <w:bookmarkStart w:id="6" w:name="_Toc12179"/>
            <w:bookmarkStart w:id="7" w:name="_Toc7421"/>
            <w:bookmarkStart w:id="8" w:name="_Toc4843"/>
            <w:r>
              <w:rPr>
                <w:rFonts w:hint="eastAsia" w:ascii="宋体" w:hAnsi="宋体" w:eastAsia="宋体" w:cs="宋体"/>
                <w:b/>
                <w:bCs/>
                <w:color w:val="auto"/>
                <w:sz w:val="21"/>
                <w:szCs w:val="21"/>
                <w:highlight w:val="none"/>
                <w:lang w:val="en-US" w:eastAsia="zh-CN"/>
              </w:rPr>
              <w:t>第2包</w:t>
            </w:r>
          </w:p>
        </w:tc>
      </w:tr>
      <w:tr w14:paraId="7C39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2" w:type="pct"/>
            <w:vAlign w:val="center"/>
          </w:tcPr>
          <w:p w14:paraId="7CE59618">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817" w:type="pct"/>
            <w:vAlign w:val="center"/>
          </w:tcPr>
          <w:p w14:paraId="3F0E4816">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2815" w:type="pct"/>
            <w:vAlign w:val="center"/>
          </w:tcPr>
          <w:p w14:paraId="09E3BB90">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458" w:type="pct"/>
            <w:vAlign w:val="center"/>
          </w:tcPr>
          <w:p w14:paraId="1E0CC08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1C6BFA5E">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475" w:type="pct"/>
            <w:vAlign w:val="center"/>
          </w:tcPr>
          <w:p w14:paraId="57CA958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38A177A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25DC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2" w:type="pct"/>
            <w:vAlign w:val="center"/>
          </w:tcPr>
          <w:p w14:paraId="41F40CAE">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817" w:type="pct"/>
            <w:shd w:val="clear" w:color="auto" w:fill="FFFFFF"/>
            <w:vAlign w:val="center"/>
          </w:tcPr>
          <w:p w14:paraId="3AAC8D76">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color w:val="auto"/>
                <w:sz w:val="21"/>
                <w:szCs w:val="21"/>
                <w:highlight w:val="none"/>
              </w:rPr>
              <w:t>局放耐压试验系统（含屏蔽室）</w:t>
            </w:r>
          </w:p>
        </w:tc>
        <w:tc>
          <w:tcPr>
            <w:tcW w:w="2815" w:type="pct"/>
            <w:shd w:val="clear" w:color="auto" w:fill="FFFFFF"/>
            <w:vAlign w:val="center"/>
          </w:tcPr>
          <w:p w14:paraId="2E65354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i w:val="0"/>
                <w:iCs w:val="0"/>
                <w:color w:val="auto"/>
                <w:kern w:val="0"/>
                <w:sz w:val="21"/>
                <w:szCs w:val="21"/>
                <w:u w:val="none"/>
                <w:lang w:val="en-US" w:eastAsia="zh-CN" w:bidi="ar"/>
              </w:rPr>
            </w:pPr>
            <w:r>
              <w:rPr>
                <w:rFonts w:hint="eastAsia" w:ascii="宋体" w:hAnsi="宋体" w:eastAsia="宋体" w:cs="宋体"/>
                <w:b w:val="0"/>
                <w:i w:val="0"/>
                <w:iCs w:val="0"/>
                <w:color w:val="auto"/>
                <w:kern w:val="0"/>
                <w:sz w:val="21"/>
                <w:szCs w:val="21"/>
                <w:u w:val="none"/>
                <w:lang w:val="en-US" w:eastAsia="zh-CN" w:bidi="ar"/>
              </w:rPr>
              <w:t>1.额定容量：</w:t>
            </w:r>
            <w:r>
              <w:rPr>
                <w:rFonts w:hint="eastAsia" w:ascii="宋体" w:hAnsi="宋体" w:eastAsia="宋体" w:cs="宋体"/>
                <w:color w:val="auto"/>
                <w:sz w:val="22"/>
                <w:szCs w:val="22"/>
                <w:lang w:val="en-US" w:eastAsia="zh-CN"/>
              </w:rPr>
              <w:t>≥</w:t>
            </w:r>
            <w:r>
              <w:rPr>
                <w:rFonts w:hint="eastAsia" w:ascii="宋体" w:hAnsi="宋体" w:eastAsia="宋体" w:cs="宋体"/>
                <w:b w:val="0"/>
                <w:i w:val="0"/>
                <w:iCs w:val="0"/>
                <w:color w:val="auto"/>
                <w:kern w:val="0"/>
                <w:sz w:val="21"/>
                <w:szCs w:val="21"/>
                <w:u w:val="none"/>
                <w:lang w:val="en-US" w:eastAsia="zh-CN" w:bidi="ar"/>
              </w:rPr>
              <w:t>100kVA；</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2.输出电压：</w:t>
            </w:r>
            <w:r>
              <w:rPr>
                <w:rFonts w:hint="eastAsia" w:ascii="宋体" w:hAnsi="宋体" w:eastAsia="宋体" w:cs="宋体"/>
                <w:color w:val="auto"/>
                <w:sz w:val="22"/>
                <w:szCs w:val="22"/>
                <w:lang w:val="en-US" w:eastAsia="zh-CN"/>
              </w:rPr>
              <w:t>≥</w:t>
            </w:r>
            <w:r>
              <w:rPr>
                <w:rFonts w:hint="eastAsia" w:ascii="宋体" w:hAnsi="宋体" w:eastAsia="宋体" w:cs="宋体"/>
                <w:b w:val="0"/>
                <w:i w:val="0"/>
                <w:iCs w:val="0"/>
                <w:color w:val="auto"/>
                <w:kern w:val="0"/>
                <w:sz w:val="21"/>
                <w:szCs w:val="21"/>
                <w:u w:val="none"/>
                <w:lang w:val="en-US" w:eastAsia="zh-CN" w:bidi="ar"/>
              </w:rPr>
              <w:t>（0～150）kV；</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3.输出电压调节精度 ±3% FS（满量程）；</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highlight w:val="none"/>
              </w:rPr>
              <w:t>★</w:t>
            </w:r>
            <w:r>
              <w:rPr>
                <w:rFonts w:hint="eastAsia" w:ascii="宋体" w:hAnsi="宋体" w:eastAsia="宋体" w:cs="宋体"/>
                <w:b w:val="0"/>
                <w:i w:val="0"/>
                <w:iCs w:val="0"/>
                <w:color w:val="auto"/>
                <w:kern w:val="0"/>
                <w:sz w:val="21"/>
                <w:szCs w:val="21"/>
                <w:highlight w:val="none"/>
                <w:u w:val="none"/>
                <w:lang w:val="en-US" w:eastAsia="zh-CN" w:bidi="ar"/>
              </w:rPr>
              <w:t>4.背景噪声水平：80%额定电压下，背景局部放电量≤2pC。</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5.试验系统的电压、电流测量精度：≤1%，成套设备局部放电量:100%额定电压下≤2pC（系统不带负载的情况下）；</w:t>
            </w:r>
          </w:p>
          <w:p w14:paraId="06D6BFA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b w:val="0"/>
                <w:i w:val="0"/>
                <w:iCs w:val="0"/>
                <w:color w:val="auto"/>
                <w:kern w:val="2"/>
                <w:sz w:val="21"/>
                <w:szCs w:val="21"/>
                <w:u w:val="none"/>
                <w:lang w:val="en-US" w:eastAsia="zh-CN" w:bidi="ar-SA"/>
              </w:rPr>
            </w:pP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6.绝缘水平：1.1倍额定电压下耐压</w:t>
            </w:r>
            <w:r>
              <w:rPr>
                <w:rFonts w:hint="eastAsia" w:ascii="宋体" w:hAnsi="宋体" w:eastAsia="宋体" w:cs="宋体"/>
                <w:color w:val="auto"/>
                <w:sz w:val="22"/>
                <w:szCs w:val="22"/>
                <w:lang w:val="en-US" w:eastAsia="zh-CN"/>
              </w:rPr>
              <w:t>≥</w:t>
            </w:r>
            <w:r>
              <w:rPr>
                <w:rFonts w:hint="eastAsia" w:ascii="宋体" w:hAnsi="宋体" w:eastAsia="宋体" w:cs="宋体"/>
                <w:b w:val="0"/>
                <w:i w:val="0"/>
                <w:iCs w:val="0"/>
                <w:color w:val="auto"/>
                <w:kern w:val="0"/>
                <w:sz w:val="21"/>
                <w:szCs w:val="21"/>
                <w:u w:val="none"/>
                <w:lang w:val="en-US" w:eastAsia="zh-CN" w:bidi="ar"/>
              </w:rPr>
              <w:t>1min；</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7.采用光模块通讯；</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8.输入电流，具备电子和机械双保护装置，输出电流采用数字化保护装置；</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9.频率范围：（45～200）Hz，频率调节步幅：0.1Hz；</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10.检测灵敏度：0.01pC；</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11.测量范围：0.1pC～10000nC，自动量程切换；</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12.滤波频带：3dB低频端频率fL分20、40、60、80kHz档，OFF（9kHz)。3dB高频端频率fH分100、200、300、400kHz档，OFF（1MHz)。fL和fH可灵活任意组成各种滤波通带；</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13.随时保存试验数据和波形，并可重新显示、分析过去已保存的试验记录；</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14.增益范围：各通道单独调节，波形显示可随时平滑调节且不影响测量结果；</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15.可对特殊或随机波形进行单次捕捉抓取并进行详细分析；</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16.具有抗静态干扰功能，可去除相位固定的干扰信号；</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17.具有相关滤波技术抗干扰功能，可去除与电源不同步的随机干扰；</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18.带通滤波器采用模拟、数字混合滤波技术，带宽可任意组合，抑制各种干扰；</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19.任意相位开窗，单窗、双窗任选，360度内任意选择自由开窗；</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20.在检测局部放电的同时，能够监视试验电压；</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21.对局部放电脉冲进行放电测量、放电时间、波形分析；二维和三维局部放电图谱显示；试验计时参数：计时最大值≤99999.9s，计时分辨率 0.1s；消耗计量：最大流量测量范围 0~100L/h，计量分辨率 0.1mL，计量精度≤5%。</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22.任意存贮、打印局部放电图形及数据，自动生成试验报告；</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23.装置整体不小于：长6m×宽4m×高2.6m；</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Cs/>
                <w:color w:val="auto"/>
                <w:szCs w:val="21"/>
              </w:rPr>
              <w:t>★</w:t>
            </w:r>
            <w:r>
              <w:rPr>
                <w:rFonts w:hint="eastAsia" w:ascii="宋体" w:hAnsi="宋体" w:eastAsia="宋体" w:cs="宋体"/>
                <w:b w:val="0"/>
                <w:i w:val="0"/>
                <w:iCs w:val="0"/>
                <w:color w:val="auto"/>
                <w:kern w:val="0"/>
                <w:sz w:val="21"/>
                <w:szCs w:val="21"/>
                <w:u w:val="none"/>
                <w:lang w:val="en-US" w:eastAsia="zh-CN" w:bidi="ar"/>
              </w:rPr>
              <w:t>24.屏蔽性能（在大门内1m处测量）：0.5</w:t>
            </w:r>
            <w:r>
              <w:rPr>
                <w:rFonts w:hint="default" w:ascii="宋体" w:hAnsi="宋体" w:eastAsia="宋体" w:cs="宋体"/>
                <w:color w:val="auto"/>
                <w:sz w:val="24"/>
                <w:szCs w:val="24"/>
              </w:rPr>
              <w:t>MHz</w:t>
            </w:r>
            <w:r>
              <w:rPr>
                <w:rFonts w:hint="eastAsia" w:ascii="宋体" w:hAnsi="宋体" w:eastAsia="宋体" w:cs="宋体"/>
                <w:b w:val="0"/>
                <w:i w:val="0"/>
                <w:iCs w:val="0"/>
                <w:color w:val="auto"/>
                <w:kern w:val="0"/>
                <w:sz w:val="21"/>
                <w:szCs w:val="21"/>
                <w:u w:val="none"/>
                <w:lang w:val="en-US" w:eastAsia="zh-CN" w:bidi="ar"/>
              </w:rPr>
              <w:t>-1.6</w:t>
            </w:r>
            <w:r>
              <w:rPr>
                <w:rFonts w:hint="default" w:ascii="宋体" w:hAnsi="宋体" w:eastAsia="宋体" w:cs="宋体"/>
                <w:color w:val="auto"/>
                <w:sz w:val="24"/>
                <w:szCs w:val="24"/>
              </w:rPr>
              <w:t>MHz</w:t>
            </w:r>
            <w:r>
              <w:rPr>
                <w:rFonts w:hint="eastAsia" w:ascii="宋体" w:hAnsi="宋体" w:eastAsia="宋体" w:cs="宋体"/>
                <w:b w:val="0"/>
                <w:i w:val="0"/>
                <w:iCs w:val="0"/>
                <w:color w:val="auto"/>
                <w:kern w:val="0"/>
                <w:sz w:val="21"/>
                <w:szCs w:val="21"/>
                <w:u w:val="none"/>
                <w:lang w:val="en-US" w:eastAsia="zh-CN" w:bidi="ar"/>
              </w:rPr>
              <w:t>&gt;60dB；</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25.根据设备配置对应大小的滤波器，对应大小的屏蔽室电动门；</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26.屏蔽门能满足和室外产线联动，能现场手动控制。门与控制台通信，屏蔽室里面做试验时，外面的人和流水线都不能打开门；</w:t>
            </w:r>
            <w:r>
              <w:rPr>
                <w:rFonts w:hint="eastAsia" w:ascii="宋体" w:hAnsi="宋体" w:eastAsia="宋体" w:cs="宋体"/>
                <w:b w:val="0"/>
                <w:i w:val="0"/>
                <w:iCs w:val="0"/>
                <w:color w:val="auto"/>
                <w:kern w:val="0"/>
                <w:sz w:val="21"/>
                <w:szCs w:val="21"/>
                <w:u w:val="none"/>
                <w:lang w:val="en-US" w:eastAsia="zh-CN" w:bidi="ar"/>
              </w:rPr>
              <w:br w:type="textWrapping"/>
            </w:r>
            <w:r>
              <w:rPr>
                <w:rFonts w:hint="eastAsia" w:ascii="宋体" w:hAnsi="宋体" w:eastAsia="宋体" w:cs="宋体"/>
                <w:b w:val="0"/>
                <w:i w:val="0"/>
                <w:iCs w:val="0"/>
                <w:color w:val="auto"/>
                <w:kern w:val="0"/>
                <w:sz w:val="21"/>
                <w:szCs w:val="21"/>
                <w:u w:val="none"/>
                <w:lang w:val="en-US" w:eastAsia="zh-CN" w:bidi="ar"/>
              </w:rPr>
              <w:t>27.屏蔽室地面应采用对应强度的施工方式，需要配置钢筋，钢筋需要经过无局放处理。</w:t>
            </w:r>
          </w:p>
        </w:tc>
        <w:tc>
          <w:tcPr>
            <w:tcW w:w="458" w:type="pct"/>
            <w:shd w:val="clear" w:color="auto" w:fill="FFFFFF"/>
            <w:vAlign w:val="center"/>
          </w:tcPr>
          <w:p w14:paraId="06C1CA75">
            <w:pPr>
              <w:keepNext w:val="0"/>
              <w:keepLines w:val="0"/>
              <w:suppressLineNumbers w:val="0"/>
              <w:spacing w:before="0" w:beforeAutospacing="0" w:after="0" w:afterAutospacing="0" w:line="360" w:lineRule="auto"/>
              <w:ind w:left="0" w:right="0"/>
              <w:jc w:val="center"/>
              <w:rPr>
                <w:rFonts w:hint="eastAsia" w:ascii="宋体" w:hAnsi="宋体" w:eastAsia="宋体" w:cs="@仿宋_GB2312"/>
                <w:b w:val="0"/>
                <w:bCs/>
                <w:color w:val="auto"/>
                <w:kern w:val="2"/>
                <w:sz w:val="21"/>
                <w:szCs w:val="21"/>
                <w:highlight w:val="none"/>
                <w:lang w:val="en-US" w:eastAsia="zh-CN" w:bidi="ar-SA"/>
              </w:rPr>
            </w:pPr>
            <w:r>
              <w:rPr>
                <w:rFonts w:hint="eastAsia" w:ascii="宋体" w:hAnsi="宋体" w:eastAsia="宋体"/>
                <w:b w:val="0"/>
                <w:bCs/>
                <w:color w:val="auto"/>
                <w:sz w:val="21"/>
                <w:szCs w:val="21"/>
                <w:highlight w:val="none"/>
                <w:lang w:val="en-US" w:eastAsia="zh-CN"/>
              </w:rPr>
              <w:t>1套</w:t>
            </w:r>
          </w:p>
        </w:tc>
        <w:tc>
          <w:tcPr>
            <w:tcW w:w="475" w:type="pct"/>
            <w:shd w:val="clear" w:color="auto" w:fill="FFFFFF"/>
            <w:vAlign w:val="center"/>
          </w:tcPr>
          <w:p w14:paraId="20BF94E9">
            <w:pPr>
              <w:keepNext w:val="0"/>
              <w:keepLines w:val="0"/>
              <w:suppressLineNumbers w:val="0"/>
              <w:spacing w:before="0" w:beforeAutospacing="0" w:after="0" w:afterAutospacing="0" w:line="360" w:lineRule="auto"/>
              <w:ind w:left="0" w:right="0"/>
              <w:jc w:val="center"/>
              <w:rPr>
                <w:rFonts w:hint="eastAsia" w:ascii="宋体" w:hAnsi="宋体" w:eastAsia="宋体" w:cs="@仿宋_GB2312"/>
                <w:b w:val="0"/>
                <w:bCs/>
                <w:color w:val="auto"/>
                <w:kern w:val="2"/>
                <w:sz w:val="21"/>
                <w:szCs w:val="21"/>
                <w:highlight w:val="none"/>
                <w:lang w:val="en-US" w:eastAsia="zh-CN" w:bidi="ar-SA"/>
              </w:rPr>
            </w:pPr>
            <w:r>
              <w:rPr>
                <w:rFonts w:hint="eastAsia" w:ascii="宋体" w:hAnsi="宋体" w:eastAsia="宋体"/>
                <w:b w:val="0"/>
                <w:bCs/>
                <w:color w:val="auto"/>
                <w:sz w:val="21"/>
                <w:szCs w:val="21"/>
                <w:highlight w:val="none"/>
                <w:lang w:val="en-US" w:eastAsia="zh-CN"/>
              </w:rPr>
              <w:t>工业</w:t>
            </w:r>
          </w:p>
        </w:tc>
      </w:tr>
    </w:tbl>
    <w:p w14:paraId="3AFB9D1F">
      <w:pPr>
        <w:rPr>
          <w:rFonts w:hint="eastAsia" w:ascii="宋体" w:hAnsi="宋体" w:eastAsia="宋体" w:cs="@仿宋_GB2312"/>
          <w:b/>
          <w:bCs/>
          <w:color w:val="auto"/>
          <w:kern w:val="2"/>
          <w:sz w:val="21"/>
          <w:szCs w:val="15"/>
          <w:highlight w:val="none"/>
          <w:lang w:val="en-US" w:eastAsia="zh-CN" w:bidi="ar-SA"/>
        </w:rPr>
      </w:pPr>
    </w:p>
    <w:p w14:paraId="4A8B625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r>
        <w:rPr>
          <w:rFonts w:hint="eastAsia" w:ascii="宋体" w:hAnsi="宋体" w:eastAsia="宋体" w:cs="@仿宋_GB2312"/>
          <w:b/>
          <w:bCs/>
          <w:color w:val="auto"/>
          <w:kern w:val="2"/>
          <w:sz w:val="21"/>
          <w:szCs w:val="15"/>
          <w:highlight w:val="none"/>
          <w:lang w:val="en-US" w:eastAsia="zh-CN" w:bidi="ar-SA"/>
        </w:rPr>
        <w:t>三、</w:t>
      </w:r>
      <w:r>
        <w:rPr>
          <w:rFonts w:hint="eastAsia" w:ascii="宋体" w:hAnsi="宋体" w:eastAsia="宋体"/>
          <w:b/>
          <w:bCs/>
          <w:color w:val="auto"/>
          <w:sz w:val="21"/>
          <w:szCs w:val="15"/>
          <w:highlight w:val="none"/>
          <w:lang w:val="en-US" w:eastAsia="zh-CN"/>
        </w:rPr>
        <w:t>其他要求</w:t>
      </w:r>
      <w:bookmarkEnd w:id="6"/>
    </w:p>
    <w:p w14:paraId="5FB2113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1.</w:t>
      </w:r>
      <w:r>
        <w:rPr>
          <w:rFonts w:hint="eastAsia" w:ascii="宋体" w:hAnsi="宋体" w:eastAsia="宋体"/>
          <w:bCs/>
          <w:color w:val="auto"/>
          <w:sz w:val="21"/>
          <w:szCs w:val="15"/>
          <w:highlight w:val="none"/>
        </w:rPr>
        <w:t xml:space="preserve">中标人提供软、硬件设备的现场安装、调试和开通，并保证整个系统的正常运行；保证不同时期提供的同类设备（软件、硬件）兼容，所供设备在使用之前，必须提供现场培训。 </w:t>
      </w:r>
    </w:p>
    <w:p w14:paraId="7169A15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2.</w:t>
      </w:r>
      <w:r>
        <w:rPr>
          <w:rFonts w:hint="eastAsia" w:ascii="宋体" w:hAnsi="宋体" w:eastAsia="宋体"/>
          <w:bCs/>
          <w:color w:val="auto"/>
          <w:sz w:val="21"/>
          <w:szCs w:val="15"/>
          <w:highlight w:val="none"/>
        </w:rPr>
        <w:t xml:space="preserve">质保期内设备的软件升级、硬件保修由中标人承担。普通国产设备，质保期内，原生产厂提供全机免费保修。所有费用均包含在投标人的投标报价中，中标后采购人不再另行支付任何费用。 </w:t>
      </w:r>
    </w:p>
    <w:p w14:paraId="328D414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 xml:space="preserve">3.任何出具检测数据的仪器设备在安装调试阶段或仪器设备验收前，中标人（供应商）应需免费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 </w:t>
      </w:r>
    </w:p>
    <w:p w14:paraId="3F69B73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4.根据设备安装的复杂程度，需现场装配、安装的大型设备，以及设备本身所需水、电、气安装条件超过实验室原有的基本配置，设备供应商应通过现场勘察，并与相关实验室进行沟通，该部分费用包含在投标报价中，由中标人负责实施。</w:t>
      </w:r>
    </w:p>
    <w:p w14:paraId="7211EA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bookmarkStart w:id="9" w:name="_Toc8438"/>
      <w:r>
        <w:rPr>
          <w:rFonts w:hint="eastAsia" w:ascii="宋体" w:hAnsi="宋体" w:eastAsia="宋体" w:cs="@仿宋_GB2312"/>
          <w:b/>
          <w:bCs/>
          <w:color w:val="auto"/>
          <w:kern w:val="2"/>
          <w:sz w:val="21"/>
          <w:szCs w:val="15"/>
          <w:highlight w:val="none"/>
          <w:lang w:val="en-US" w:eastAsia="zh-CN" w:bidi="ar-SA"/>
        </w:rPr>
        <w:t>四、</w:t>
      </w:r>
      <w:r>
        <w:rPr>
          <w:rFonts w:hint="eastAsia" w:ascii="宋体" w:hAnsi="宋体" w:eastAsia="宋体"/>
          <w:b/>
          <w:bCs/>
          <w:color w:val="auto"/>
          <w:sz w:val="21"/>
          <w:szCs w:val="15"/>
          <w:highlight w:val="none"/>
        </w:rPr>
        <w:t>报价要求</w:t>
      </w:r>
      <w:bookmarkEnd w:id="7"/>
      <w:bookmarkEnd w:id="8"/>
      <w:bookmarkEnd w:id="9"/>
    </w:p>
    <w:p w14:paraId="6015AA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ascii="宋体" w:hAnsi="宋体" w:eastAsia="宋体"/>
          <w:bCs/>
          <w:color w:val="auto"/>
          <w:sz w:val="21"/>
          <w:szCs w:val="15"/>
          <w:highlight w:val="none"/>
        </w:rPr>
      </w:pPr>
      <w:r>
        <w:rPr>
          <w:rFonts w:hint="eastAsia" w:ascii="宋体" w:hAnsi="宋体" w:eastAsia="宋体"/>
          <w:bCs/>
          <w:color w:val="auto"/>
          <w:sz w:val="21"/>
          <w:szCs w:val="15"/>
          <w:highlight w:val="none"/>
        </w:rPr>
        <w:t>本项目报总价，投标报价</w:t>
      </w:r>
      <w:r>
        <w:rPr>
          <w:rFonts w:ascii="宋体" w:hAnsi="宋体" w:eastAsia="宋体"/>
          <w:bCs/>
          <w:color w:val="auto"/>
          <w:sz w:val="21"/>
          <w:szCs w:val="15"/>
          <w:highlight w:val="none"/>
        </w:rPr>
        <w:t>包括</w:t>
      </w:r>
      <w:r>
        <w:rPr>
          <w:rFonts w:hint="eastAsia" w:ascii="宋体" w:hAnsi="宋体" w:eastAsia="宋体"/>
          <w:bCs/>
          <w:color w:val="auto"/>
          <w:sz w:val="21"/>
          <w:szCs w:val="15"/>
          <w:highlight w:val="none"/>
        </w:rPr>
        <w:t>本项目需求的全部货物及所需附件购置费、包装费、运输费、人工费、保险费</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lang w:val="en-US" w:eastAsia="zh-CN"/>
        </w:rPr>
        <w:t>如有</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rPr>
        <w:t>、安装调试费、各种税费、资料费、售后服务费及完成项目应有的全部费用。</w:t>
      </w:r>
    </w:p>
    <w:p w14:paraId="75A8253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10" w:name="_Toc5724"/>
      <w:r>
        <w:rPr>
          <w:rFonts w:hint="eastAsia" w:ascii="宋体" w:hAnsi="宋体" w:eastAsia="宋体"/>
          <w:b/>
          <w:bCs/>
          <w:color w:val="auto"/>
          <w:sz w:val="21"/>
          <w:szCs w:val="15"/>
          <w:highlight w:val="none"/>
          <w:lang w:val="en-US" w:eastAsia="zh-CN"/>
        </w:rPr>
        <w:t>五</w:t>
      </w:r>
      <w:r>
        <w:rPr>
          <w:rFonts w:hint="eastAsia" w:ascii="宋体" w:hAnsi="宋体" w:eastAsia="宋体"/>
          <w:b/>
          <w:bCs/>
          <w:color w:val="auto"/>
          <w:sz w:val="21"/>
          <w:szCs w:val="15"/>
          <w:highlight w:val="none"/>
        </w:rPr>
        <w:t>、备品备件及专用工具</w:t>
      </w:r>
      <w:bookmarkEnd w:id="10"/>
    </w:p>
    <w:p w14:paraId="0A60713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11" w:name="_Toc7851"/>
      <w:bookmarkStart w:id="12" w:name="_Toc455587277"/>
      <w:bookmarkStart w:id="13" w:name="_Toc445554752"/>
      <w:bookmarkStart w:id="14" w:name="_Toc455587093"/>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备品备件：中标人提供能够满足质量保证期内的设备维修要求的备品备件，备品备件应是新品。</w:t>
      </w:r>
      <w:bookmarkEnd w:id="11"/>
    </w:p>
    <w:p w14:paraId="4DD333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15" w:name="_Toc15530"/>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专用工具：中标人提供设备安装、调试、验收、维修、保养所必要的专用工具、仪器、仪表等工具。</w:t>
      </w:r>
      <w:bookmarkEnd w:id="15"/>
    </w:p>
    <w:bookmarkEnd w:id="12"/>
    <w:bookmarkEnd w:id="13"/>
    <w:bookmarkEnd w:id="14"/>
    <w:p w14:paraId="29D6A96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16" w:name="_Toc11418"/>
      <w:bookmarkStart w:id="17" w:name="_Toc532199625"/>
      <w:bookmarkStart w:id="18" w:name="_Toc455587094"/>
      <w:bookmarkStart w:id="19" w:name="_Toc445554753"/>
      <w:bookmarkStart w:id="20" w:name="_Toc455587278"/>
      <w:r>
        <w:rPr>
          <w:rFonts w:hint="eastAsia" w:ascii="宋体" w:hAnsi="宋体" w:eastAsia="宋体"/>
          <w:b/>
          <w:bCs/>
          <w:color w:val="auto"/>
          <w:sz w:val="21"/>
          <w:szCs w:val="15"/>
          <w:highlight w:val="none"/>
          <w:lang w:val="en-US" w:eastAsia="zh-CN"/>
        </w:rPr>
        <w:t>六</w:t>
      </w:r>
      <w:r>
        <w:rPr>
          <w:rFonts w:hint="eastAsia" w:ascii="宋体" w:hAnsi="宋体" w:eastAsia="宋体"/>
          <w:b/>
          <w:bCs/>
          <w:color w:val="auto"/>
          <w:sz w:val="21"/>
          <w:szCs w:val="15"/>
          <w:highlight w:val="none"/>
        </w:rPr>
        <w:t>、安装调试、验收试验及质量保证</w:t>
      </w:r>
      <w:bookmarkEnd w:id="16"/>
      <w:bookmarkEnd w:id="17"/>
    </w:p>
    <w:p w14:paraId="49EDBB3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1" w:name="_Toc29429"/>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中标人在设备安装地点负责安装、调试。</w:t>
      </w:r>
      <w:bookmarkEnd w:id="21"/>
    </w:p>
    <w:p w14:paraId="7C8BDAD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2" w:name="_Toc16786"/>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具体设备验收标准和程序按采购人要求执行，下列验收程序可参照执行：</w:t>
      </w:r>
      <w:bookmarkEnd w:id="22"/>
    </w:p>
    <w:p w14:paraId="11840BE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3" w:name="_Toc1056"/>
      <w:r>
        <w:rPr>
          <w:rFonts w:ascii="宋体" w:hAnsi="宋体" w:eastAsia="宋体"/>
          <w:bCs/>
          <w:color w:val="auto"/>
          <w:sz w:val="21"/>
          <w:szCs w:val="15"/>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bookmarkEnd w:id="23"/>
    </w:p>
    <w:p w14:paraId="44EDDDC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4" w:name="_Toc14068"/>
      <w:r>
        <w:rPr>
          <w:rFonts w:ascii="宋体" w:hAnsi="宋体" w:eastAsia="宋体"/>
          <w:bCs/>
          <w:color w:val="auto"/>
          <w:sz w:val="21"/>
          <w:szCs w:val="15"/>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4"/>
    </w:p>
    <w:p w14:paraId="585538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5" w:name="_Toc24043"/>
      <w:r>
        <w:rPr>
          <w:rFonts w:ascii="宋体" w:hAnsi="宋体" w:eastAsia="宋体"/>
          <w:bCs/>
          <w:color w:val="auto"/>
          <w:sz w:val="21"/>
          <w:szCs w:val="15"/>
          <w:highlight w:val="none"/>
        </w:rPr>
        <w:t>2.3 中标人应根据采购人使用单位的技术要求提供相应的产品。由中标人所提供的设备部件间的连线和插接件均应视为设备内部器件，包含在相应的设备之中。</w:t>
      </w:r>
      <w:bookmarkEnd w:id="25"/>
    </w:p>
    <w:p w14:paraId="3AFACE8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6" w:name="_Toc24031"/>
      <w:r>
        <w:rPr>
          <w:rFonts w:ascii="宋体" w:hAnsi="宋体" w:eastAsia="宋体"/>
          <w:bCs/>
          <w:color w:val="auto"/>
          <w:sz w:val="21"/>
          <w:szCs w:val="15"/>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6"/>
    </w:p>
    <w:p w14:paraId="0BED61D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7" w:name="_Toc9709"/>
      <w:r>
        <w:rPr>
          <w:rFonts w:ascii="宋体" w:hAnsi="宋体" w:eastAsia="宋体"/>
          <w:bCs/>
          <w:color w:val="auto"/>
          <w:sz w:val="21"/>
          <w:szCs w:val="15"/>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27"/>
    </w:p>
    <w:p w14:paraId="5B2E9A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8" w:name="_Toc17072"/>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28"/>
    </w:p>
    <w:p w14:paraId="2714D47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29" w:name="_Toc26512"/>
      <w:bookmarkStart w:id="30" w:name="_Toc532199626"/>
      <w:r>
        <w:rPr>
          <w:rFonts w:hint="eastAsia" w:ascii="宋体" w:hAnsi="宋体" w:eastAsia="宋体"/>
          <w:b/>
          <w:bCs/>
          <w:color w:val="auto"/>
          <w:sz w:val="21"/>
          <w:szCs w:val="15"/>
          <w:highlight w:val="none"/>
          <w:lang w:val="en-US" w:eastAsia="zh-CN"/>
        </w:rPr>
        <w:t>七</w:t>
      </w:r>
      <w:r>
        <w:rPr>
          <w:rFonts w:hint="eastAsia" w:ascii="宋体" w:hAnsi="宋体" w:eastAsia="宋体"/>
          <w:b/>
          <w:bCs/>
          <w:color w:val="auto"/>
          <w:sz w:val="21"/>
          <w:szCs w:val="15"/>
          <w:highlight w:val="none"/>
        </w:rPr>
        <w:t>、包装运输</w:t>
      </w:r>
      <w:bookmarkEnd w:id="18"/>
      <w:bookmarkEnd w:id="19"/>
      <w:bookmarkEnd w:id="20"/>
      <w:bookmarkEnd w:id="29"/>
      <w:bookmarkEnd w:id="30"/>
    </w:p>
    <w:p w14:paraId="4786D7C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1" w:name="_Toc14762"/>
      <w:bookmarkStart w:id="32" w:name="_Toc445554754"/>
      <w:bookmarkStart w:id="33" w:name="_Toc455587279"/>
      <w:bookmarkStart w:id="34" w:name="_Toc455587095"/>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中标人负责设备包装、办理运输和保险，将设备安全运抵交货地点。</w:t>
      </w:r>
      <w:bookmarkEnd w:id="31"/>
    </w:p>
    <w:p w14:paraId="69524BB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5" w:name="_Toc10904"/>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设备制造完成并通过试验后应及时包装，否则应得到切实的保护，确保其不受污损。</w:t>
      </w:r>
      <w:bookmarkEnd w:id="35"/>
    </w:p>
    <w:p w14:paraId="2419B0B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6" w:name="_Toc26055"/>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在包装箱外应标明采购人的订货号、发货号。</w:t>
      </w:r>
      <w:bookmarkEnd w:id="36"/>
    </w:p>
    <w:p w14:paraId="20860EA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7" w:name="_Toc32577"/>
      <w:r>
        <w:rPr>
          <w:rFonts w:ascii="宋体" w:hAnsi="宋体" w:eastAsia="宋体"/>
          <w:bCs/>
          <w:color w:val="auto"/>
          <w:sz w:val="21"/>
          <w:szCs w:val="15"/>
          <w:highlight w:val="none"/>
        </w:rPr>
        <w:t>4</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各种包装应能确保各零部件在运输过程中不致遭到损坏、丢失、变形、受潮和腐蚀。</w:t>
      </w:r>
      <w:bookmarkEnd w:id="37"/>
    </w:p>
    <w:p w14:paraId="7AD9D44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8" w:name="_Toc13041"/>
      <w:r>
        <w:rPr>
          <w:rFonts w:ascii="宋体" w:hAnsi="宋体" w:eastAsia="宋体"/>
          <w:bCs/>
          <w:color w:val="auto"/>
          <w:sz w:val="21"/>
          <w:szCs w:val="15"/>
          <w:highlight w:val="none"/>
        </w:rPr>
        <w:t>5</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包装箱上应有明显的包装储运图示标志。</w:t>
      </w:r>
      <w:bookmarkEnd w:id="38"/>
    </w:p>
    <w:p w14:paraId="3C3B605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9" w:name="_Toc13306"/>
      <w:r>
        <w:rPr>
          <w:rFonts w:ascii="宋体" w:hAnsi="宋体" w:eastAsia="宋体"/>
          <w:bCs/>
          <w:color w:val="auto"/>
          <w:sz w:val="21"/>
          <w:szCs w:val="15"/>
          <w:highlight w:val="none"/>
        </w:rPr>
        <w:t>6</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整体产品或分别运输的部件都要适应运输和装载的要求。</w:t>
      </w:r>
      <w:bookmarkEnd w:id="39"/>
    </w:p>
    <w:p w14:paraId="2B200FB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0" w:name="_Toc18238"/>
      <w:r>
        <w:rPr>
          <w:rFonts w:ascii="宋体" w:hAnsi="宋体" w:eastAsia="宋体"/>
          <w:bCs/>
          <w:color w:val="auto"/>
          <w:sz w:val="21"/>
          <w:szCs w:val="15"/>
          <w:highlight w:val="none"/>
        </w:rPr>
        <w:t>7</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随产品提供的技术资料应完整无缺。</w:t>
      </w:r>
      <w:bookmarkEnd w:id="40"/>
    </w:p>
    <w:p w14:paraId="3C0B484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41" w:name="_Toc532199627"/>
      <w:bookmarkStart w:id="42" w:name="_Toc19176"/>
      <w:r>
        <w:rPr>
          <w:rFonts w:hint="eastAsia" w:ascii="宋体" w:hAnsi="宋体" w:eastAsia="宋体"/>
          <w:b/>
          <w:bCs/>
          <w:color w:val="auto"/>
          <w:sz w:val="21"/>
          <w:szCs w:val="15"/>
          <w:highlight w:val="none"/>
          <w:lang w:val="en-US" w:eastAsia="zh-CN"/>
        </w:rPr>
        <w:t>八</w:t>
      </w:r>
      <w:r>
        <w:rPr>
          <w:rFonts w:hint="eastAsia" w:ascii="宋体" w:hAnsi="宋体" w:eastAsia="宋体"/>
          <w:b/>
          <w:bCs/>
          <w:color w:val="auto"/>
          <w:sz w:val="21"/>
          <w:szCs w:val="15"/>
          <w:highlight w:val="none"/>
        </w:rPr>
        <w:t>、技术培训</w:t>
      </w:r>
      <w:bookmarkEnd w:id="32"/>
      <w:bookmarkEnd w:id="33"/>
      <w:bookmarkEnd w:id="34"/>
      <w:bookmarkEnd w:id="41"/>
      <w:bookmarkEnd w:id="42"/>
    </w:p>
    <w:p w14:paraId="35B2AD8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3" w:name="_Toc11077"/>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为使合同设备能正常安装和运行，由中标人提供相应的技术培训</w:t>
      </w:r>
      <w:bookmarkEnd w:id="43"/>
      <w:bookmarkStart w:id="44" w:name="_Toc9488"/>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lang w:val="en-US" w:eastAsia="zh-CN"/>
        </w:rPr>
        <w:t>相关费用包含在本项目投标报价中</w:t>
      </w:r>
      <w:r>
        <w:rPr>
          <w:rFonts w:ascii="宋体" w:hAnsi="宋体" w:eastAsia="宋体"/>
          <w:bCs/>
          <w:color w:val="auto"/>
          <w:sz w:val="21"/>
          <w:szCs w:val="15"/>
          <w:highlight w:val="none"/>
        </w:rPr>
        <w:t>。</w:t>
      </w:r>
    </w:p>
    <w:p w14:paraId="7183CAF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培训的时间、人数、地点等具体内容由买卖双方商定，内容至少包括：设备原理、使用、维护、运行操作、常见故障处理等。</w:t>
      </w:r>
      <w:bookmarkEnd w:id="44"/>
    </w:p>
    <w:p w14:paraId="016D874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45" w:name="_Toc25081"/>
      <w:bookmarkStart w:id="46" w:name="_Toc532199628"/>
      <w:r>
        <w:rPr>
          <w:rFonts w:hint="eastAsia" w:ascii="宋体" w:hAnsi="宋体" w:eastAsia="宋体"/>
          <w:b/>
          <w:bCs/>
          <w:color w:val="auto"/>
          <w:sz w:val="21"/>
          <w:szCs w:val="15"/>
          <w:highlight w:val="none"/>
          <w:lang w:val="en-US" w:eastAsia="zh-CN"/>
        </w:rPr>
        <w:t>九</w:t>
      </w:r>
      <w:r>
        <w:rPr>
          <w:rFonts w:hint="eastAsia" w:ascii="宋体" w:hAnsi="宋体" w:eastAsia="宋体"/>
          <w:b/>
          <w:bCs/>
          <w:color w:val="auto"/>
          <w:sz w:val="21"/>
          <w:szCs w:val="15"/>
          <w:highlight w:val="none"/>
        </w:rPr>
        <w:t>、质保及售后服务</w:t>
      </w:r>
      <w:bookmarkEnd w:id="45"/>
    </w:p>
    <w:p w14:paraId="5827F99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7" w:name="_Toc31632"/>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自双方签订《验收报告》起进入免费质保期。</w:t>
      </w:r>
      <w:bookmarkEnd w:id="47"/>
    </w:p>
    <w:p w14:paraId="04DF5FF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4"/>
          <w:szCs w:val="18"/>
          <w:highlight w:val="none"/>
        </w:rPr>
      </w:pPr>
      <w:bookmarkStart w:id="48" w:name="_Toc4165"/>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46"/>
      <w:bookmarkEnd w:id="48"/>
    </w:p>
    <w:p w14:paraId="56C993D7">
      <w:pPr>
        <w:spacing w:line="360" w:lineRule="auto"/>
        <w:ind w:firstLine="437"/>
        <w:outlineLvl w:val="1"/>
        <w:rPr>
          <w:rFonts w:ascii="宋体" w:hAnsi="宋体" w:eastAsia="宋体"/>
          <w:bCs/>
          <w:color w:val="auto"/>
          <w:sz w:val="24"/>
          <w:szCs w:val="18"/>
          <w:highlight w:val="none"/>
        </w:rPr>
      </w:pPr>
    </w:p>
    <w:p w14:paraId="78DD31D1">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15119"/>
    <w:rsid w:val="3796606A"/>
    <w:rsid w:val="59715119"/>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3"/>
    <w:next w:val="4"/>
    <w:uiPriority w:val="0"/>
    <w:pPr>
      <w:jc w:val="left"/>
    </w:pPr>
    <w:rPr>
      <w:rFonts w:ascii="@仿宋_GB2312" w:hAnsi="@仿宋_GB2312" w:eastAsia="仿宋" w:cs="@仿宋_GB2312"/>
    </w:rPr>
  </w:style>
  <w:style w:type="paragraph" w:styleId="3">
    <w:name w:val="Block Text"/>
    <w:basedOn w:val="1"/>
    <w:qFormat/>
    <w:uiPriority w:val="0"/>
    <w:pPr>
      <w:spacing w:after="120" w:afterLines="0" w:afterAutospacing="0"/>
      <w:ind w:left="1440" w:leftChars="700" w:rightChars="700"/>
    </w:pPr>
  </w:style>
  <w:style w:type="paragraph" w:styleId="4">
    <w:name w:val="annotation subject"/>
    <w:basedOn w:val="2"/>
    <w:next w:val="2"/>
    <w:uiPriority w:val="0"/>
    <w:rPr>
      <w:b/>
    </w:rPr>
  </w:style>
  <w:style w:type="paragraph" w:styleId="5">
    <w:name w:val="Body Text"/>
    <w:basedOn w:val="1"/>
    <w:next w:val="6"/>
    <w:qFormat/>
    <w:uiPriority w:val="0"/>
    <w:pPr>
      <w:spacing w:after="120"/>
    </w:pPr>
    <w:rPr>
      <w:rFonts w:ascii="@微软简标宋" w:hAnsi="@微软简标宋" w:eastAsia="@微软简标宋" w:cs="@微软简标宋"/>
      <w:szCs w:val="24"/>
      <w:lang w:val="zh-CN"/>
    </w:rPr>
  </w:style>
  <w:style w:type="paragraph" w:styleId="6">
    <w:name w:val="toc 9"/>
    <w:basedOn w:val="1"/>
    <w:next w:val="1"/>
    <w:qFormat/>
    <w:uiPriority w:val="0"/>
    <w:pPr>
      <w:ind w:left="3360" w:leftChars="1600"/>
    </w:p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D&amp;L"/>
    <w:basedOn w:val="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2026-08-21T08:17:00Z</dcterms:created>
  <dc:creator>省招</dc:creator>
  <cp:lastModifiedBy>省招</cp:lastModifiedBy>
  <dcterms:modified xsi:type="dcterms:W3CDTF">2026-08-21T08:17:46Z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622BC8F12D53438D836FB1F9BE2BBB2C_11</vt:lpwstr>
  </property>
  <property fmtid="{D5CDD505-2E9C-101B-9397-08002B2CF9AE}" pid="4" name="KSOTemplateDocerSaveRecord">
    <vt:lpwstr>eyJoZGlkIjoiNjQ4Y2ExNzI3NTAxYWY2Njk0NmNhOWFlOWQ3ZmYzYTQiLCJ1c2VySWQiOiI4ODgyMDUxMzUifQ==</vt:lpwstr>
  </property>
</Properties>
</file>