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18.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AD28FD2">
      <w:pPr>
        <w:widowControl/>
        <w:tabs>
          <w:tab w:val="center" w:pos="4153"/>
        </w:tabs>
        <w:spacing w:line="440" w:lineRule="exact"/>
        <w:jc w:val="center"/>
        <w:rPr>
          <w:rFonts w:hint="eastAsia" w:ascii="宋体" w:hAnsi="宋体" w:eastAsia="仿宋"/>
          <w:sz w:val="36"/>
          <w:szCs w:val="36"/>
          <w:highlight w:val="none"/>
        </w:rPr>
      </w:pPr>
    </w:p>
    <w:p w14:paraId="445CDA14">
      <w:pPr>
        <w:widowControl/>
        <w:tabs>
          <w:tab w:val="center" w:pos="4153"/>
        </w:tabs>
        <w:spacing w:line="440" w:lineRule="exact"/>
        <w:jc w:val="center"/>
        <w:rPr>
          <w:rFonts w:hint="eastAsia" w:ascii="宋体" w:hAnsi="宋体" w:eastAsia="仿宋"/>
          <w:sz w:val="36"/>
          <w:szCs w:val="36"/>
          <w:highlight w:val="none"/>
        </w:rPr>
      </w:pPr>
    </w:p>
    <w:p w14:paraId="2CF6DC9A">
      <w:pPr>
        <w:widowControl/>
        <w:tabs>
          <w:tab w:val="center" w:pos="4153"/>
        </w:tabs>
        <w:spacing w:line="440" w:lineRule="exact"/>
        <w:jc w:val="center"/>
        <w:rPr>
          <w:rFonts w:hint="eastAsia" w:ascii="宋体" w:hAnsi="宋体" w:eastAsia="仿宋"/>
          <w:sz w:val="36"/>
          <w:szCs w:val="36"/>
          <w:highlight w:val="none"/>
        </w:rPr>
      </w:pPr>
    </w:p>
    <w:p w14:paraId="7490A254">
      <w:pPr>
        <w:widowControl/>
        <w:tabs>
          <w:tab w:val="center" w:pos="4153"/>
        </w:tabs>
        <w:spacing w:line="440" w:lineRule="exact"/>
        <w:jc w:val="center"/>
        <w:rPr>
          <w:rFonts w:hint="eastAsia" w:ascii="宋体" w:hAnsi="宋体" w:eastAsia="仿宋"/>
          <w:sz w:val="36"/>
          <w:szCs w:val="36"/>
          <w:highlight w:val="none"/>
        </w:rPr>
      </w:pPr>
    </w:p>
    <w:p w14:paraId="11245A54">
      <w:pPr>
        <w:widowControl/>
        <w:tabs>
          <w:tab w:val="center" w:pos="4153"/>
        </w:tabs>
        <w:spacing w:line="440" w:lineRule="exact"/>
        <w:jc w:val="center"/>
        <w:rPr>
          <w:rFonts w:hint="eastAsia" w:ascii="宋体" w:hAnsi="宋体" w:eastAsia="仿宋"/>
          <w:color w:val="000000"/>
          <w:sz w:val="36"/>
          <w:szCs w:val="36"/>
          <w:highlight w:val="none"/>
        </w:rPr>
      </w:pPr>
    </w:p>
    <w:p w14:paraId="18565951">
      <w:pPr>
        <w:widowControl/>
        <w:tabs>
          <w:tab w:val="center" w:pos="4153"/>
        </w:tabs>
        <w:spacing w:line="440" w:lineRule="exact"/>
        <w:jc w:val="center"/>
        <w:rPr>
          <w:rFonts w:hint="eastAsia" w:ascii="宋体" w:hAnsi="宋体" w:eastAsia="仿宋"/>
          <w:color w:val="000000"/>
          <w:sz w:val="36"/>
          <w:szCs w:val="36"/>
          <w:highlight w:val="none"/>
        </w:rPr>
      </w:pPr>
      <w:r>
        <w:rPr>
          <w:rFonts w:hint="eastAsia" w:ascii="宋体" w:hAnsi="宋体" w:eastAsia="仿宋"/>
          <w:color w:val="000000"/>
          <w:sz w:val="36"/>
          <w:szCs w:val="36"/>
          <w:highlight w:val="none"/>
        </w:rPr>
        <w:t xml:space="preserve"> </w:t>
      </w:r>
    </w:p>
    <w:p w14:paraId="27BFC7FA">
      <w:pPr>
        <w:widowControl/>
        <w:spacing w:line="360" w:lineRule="auto"/>
        <w:jc w:val="center"/>
        <w:rPr>
          <w:rFonts w:hint="eastAsia" w:eastAsia="仿宋"/>
          <w:b/>
          <w:color w:val="000000"/>
          <w:sz w:val="44"/>
          <w:szCs w:val="44"/>
          <w:highlight w:val="none"/>
          <w:lang w:eastAsia="zh-CN"/>
        </w:rPr>
      </w:pPr>
      <w:r>
        <w:rPr>
          <w:rFonts w:hint="eastAsia" w:eastAsia="仿宋"/>
          <w:b/>
          <w:bCs/>
          <w:color w:val="000000"/>
          <w:sz w:val="56"/>
          <w:szCs w:val="56"/>
          <w:highlight w:val="none"/>
          <w:lang w:eastAsia="zh-CN"/>
        </w:rPr>
        <w:t>安徽省紧密型县域医共体设备更新一期项目-超声诊断仪三</w:t>
      </w:r>
    </w:p>
    <w:p w14:paraId="04DF29FC">
      <w:pPr>
        <w:widowControl/>
        <w:jc w:val="center"/>
        <w:rPr>
          <w:rFonts w:hint="eastAsia" w:ascii="宋体" w:hAnsi="宋体" w:eastAsia="仿宋"/>
          <w:b/>
          <w:color w:val="000000"/>
          <w:sz w:val="60"/>
          <w:szCs w:val="22"/>
          <w:highlight w:val="none"/>
        </w:rPr>
      </w:pPr>
      <w:r>
        <w:rPr>
          <w:rFonts w:hint="eastAsia" w:ascii="宋体" w:hAnsi="宋体" w:eastAsia="仿宋"/>
          <w:b/>
          <w:color w:val="000000"/>
          <w:sz w:val="60"/>
          <w:szCs w:val="22"/>
          <w:highlight w:val="none"/>
        </w:rPr>
        <w:t>招标文件</w:t>
      </w:r>
    </w:p>
    <w:p w14:paraId="6EFA4C76">
      <w:pPr>
        <w:widowControl/>
        <w:jc w:val="center"/>
        <w:rPr>
          <w:rFonts w:hint="eastAsia" w:ascii="宋体" w:hAnsi="宋体" w:eastAsia="仿宋"/>
          <w:b/>
          <w:color w:val="000000"/>
          <w:sz w:val="72"/>
          <w:highlight w:val="none"/>
        </w:rPr>
      </w:pPr>
    </w:p>
    <w:p w14:paraId="2ACD2E1F">
      <w:pPr>
        <w:widowControl/>
        <w:spacing w:line="360" w:lineRule="auto"/>
        <w:jc w:val="center"/>
        <w:rPr>
          <w:rFonts w:hint="eastAsia" w:ascii="宋体" w:hAnsi="宋体" w:eastAsia="仿宋"/>
          <w:b/>
          <w:color w:val="000000"/>
          <w:sz w:val="28"/>
          <w:szCs w:val="28"/>
          <w:highlight w:val="none"/>
          <w:lang w:eastAsia="zh-CN"/>
        </w:rPr>
      </w:pPr>
      <w:r>
        <w:rPr>
          <w:rFonts w:hint="eastAsia" w:ascii="宋体" w:hAnsi="宋体" w:eastAsia="仿宋"/>
          <w:b/>
          <w:color w:val="000000"/>
          <w:sz w:val="28"/>
          <w:szCs w:val="28"/>
          <w:highlight w:val="none"/>
        </w:rPr>
        <w:t>项目编号：</w:t>
      </w:r>
      <w:r>
        <w:rPr>
          <w:rFonts w:hint="eastAsia" w:ascii="宋体" w:hAnsi="宋体" w:eastAsia="仿宋"/>
          <w:b/>
          <w:color w:val="000000"/>
          <w:sz w:val="28"/>
          <w:szCs w:val="28"/>
          <w:highlight w:val="none"/>
          <w:lang w:eastAsia="zh-CN"/>
        </w:rPr>
        <w:t>ZF2025-36-1978</w:t>
      </w:r>
    </w:p>
    <w:p w14:paraId="7BCECCA0">
      <w:pPr>
        <w:widowControl/>
        <w:tabs>
          <w:tab w:val="center" w:pos="4153"/>
        </w:tabs>
        <w:spacing w:line="480" w:lineRule="auto"/>
        <w:jc w:val="center"/>
        <w:rPr>
          <w:rFonts w:hint="eastAsia" w:ascii="宋体" w:hAnsi="宋体" w:eastAsia="仿宋"/>
          <w:color w:val="000000"/>
          <w:sz w:val="36"/>
          <w:szCs w:val="36"/>
          <w:highlight w:val="none"/>
        </w:rPr>
      </w:pPr>
    </w:p>
    <w:p w14:paraId="37A9887A">
      <w:pPr>
        <w:widowControl/>
        <w:tabs>
          <w:tab w:val="center" w:pos="4153"/>
        </w:tabs>
        <w:spacing w:line="480" w:lineRule="auto"/>
        <w:jc w:val="center"/>
        <w:rPr>
          <w:rFonts w:hint="eastAsia" w:ascii="宋体" w:hAnsi="宋体" w:eastAsia="仿宋"/>
          <w:color w:val="000000"/>
          <w:sz w:val="36"/>
          <w:szCs w:val="36"/>
          <w:highlight w:val="none"/>
        </w:rPr>
      </w:pPr>
    </w:p>
    <w:p w14:paraId="1FFAFCDC">
      <w:pPr>
        <w:widowControl/>
        <w:tabs>
          <w:tab w:val="center" w:pos="4153"/>
        </w:tabs>
        <w:spacing w:line="480" w:lineRule="auto"/>
        <w:jc w:val="center"/>
        <w:rPr>
          <w:rFonts w:hint="eastAsia" w:ascii="宋体" w:hAnsi="宋体" w:eastAsia="仿宋"/>
          <w:color w:val="000000"/>
          <w:sz w:val="36"/>
          <w:szCs w:val="36"/>
          <w:highlight w:val="none"/>
        </w:rPr>
      </w:pPr>
    </w:p>
    <w:p w14:paraId="1FC63F3C">
      <w:pPr>
        <w:widowControl/>
        <w:tabs>
          <w:tab w:val="center" w:pos="4153"/>
        </w:tabs>
        <w:spacing w:line="480" w:lineRule="auto"/>
        <w:rPr>
          <w:rFonts w:hint="eastAsia" w:ascii="宋体" w:hAnsi="宋体" w:eastAsia="仿宋"/>
          <w:color w:val="000000"/>
          <w:sz w:val="36"/>
          <w:szCs w:val="36"/>
          <w:highlight w:val="none"/>
        </w:rPr>
      </w:pPr>
    </w:p>
    <w:p w14:paraId="7355BB7D">
      <w:pPr>
        <w:widowControl/>
        <w:tabs>
          <w:tab w:val="center" w:pos="4153"/>
        </w:tabs>
        <w:spacing w:line="480" w:lineRule="auto"/>
        <w:ind w:firstLine="1699" w:firstLineChars="531"/>
        <w:rPr>
          <w:rFonts w:hint="eastAsia" w:ascii="宋体" w:hAnsi="宋体" w:eastAsia="仿宋"/>
          <w:color w:val="000000"/>
          <w:sz w:val="32"/>
          <w:szCs w:val="36"/>
          <w:highlight w:val="none"/>
        </w:rPr>
      </w:pPr>
      <w:r>
        <w:rPr>
          <w:rFonts w:hint="eastAsia" w:ascii="宋体" w:hAnsi="宋体" w:eastAsia="仿宋"/>
          <w:color w:val="000000"/>
          <w:sz w:val="32"/>
          <w:szCs w:val="36"/>
          <w:highlight w:val="none"/>
        </w:rPr>
        <w:t>采   购   人：安徽省卫生健康委员会</w:t>
      </w:r>
    </w:p>
    <w:p w14:paraId="44BCF329">
      <w:pPr>
        <w:widowControl/>
        <w:tabs>
          <w:tab w:val="center" w:pos="4153"/>
        </w:tabs>
        <w:spacing w:line="480" w:lineRule="auto"/>
        <w:ind w:firstLine="1699" w:firstLineChars="531"/>
        <w:rPr>
          <w:rFonts w:hint="eastAsia" w:ascii="宋体" w:hAnsi="宋体" w:eastAsia="仿宋"/>
          <w:color w:val="000000"/>
          <w:sz w:val="32"/>
          <w:szCs w:val="36"/>
          <w:highlight w:val="none"/>
        </w:rPr>
      </w:pPr>
      <w:r>
        <w:rPr>
          <w:rFonts w:hint="eastAsia" w:ascii="宋体" w:hAnsi="宋体" w:eastAsia="仿宋"/>
          <w:color w:val="000000"/>
          <w:sz w:val="32"/>
          <w:szCs w:val="36"/>
          <w:highlight w:val="none"/>
        </w:rPr>
        <w:t>采购代理机构：安徽省招标集团股份有限公司</w:t>
      </w:r>
    </w:p>
    <w:p w14:paraId="4430CC8C">
      <w:pPr>
        <w:widowControl/>
        <w:tabs>
          <w:tab w:val="center" w:pos="4153"/>
        </w:tabs>
        <w:spacing w:line="480" w:lineRule="auto"/>
        <w:jc w:val="center"/>
        <w:rPr>
          <w:rFonts w:hint="eastAsia" w:ascii="宋体" w:hAnsi="宋体" w:eastAsia="仿宋"/>
          <w:color w:val="000000"/>
          <w:sz w:val="36"/>
          <w:szCs w:val="36"/>
          <w:highlight w:val="none"/>
        </w:rPr>
      </w:pPr>
      <w:r>
        <w:rPr>
          <w:rFonts w:hint="eastAsia" w:ascii="宋体" w:hAnsi="宋体" w:eastAsia="仿宋"/>
          <w:color w:val="000000"/>
          <w:sz w:val="36"/>
          <w:szCs w:val="36"/>
          <w:highlight w:val="none"/>
        </w:rPr>
        <w:t>2025年</w:t>
      </w:r>
      <w:r>
        <w:rPr>
          <w:rFonts w:hint="eastAsia" w:ascii="宋体" w:hAnsi="宋体" w:eastAsia="仿宋"/>
          <w:color w:val="000000"/>
          <w:sz w:val="36"/>
          <w:szCs w:val="36"/>
          <w:highlight w:val="none"/>
          <w:lang w:val="en-US" w:eastAsia="zh-CN"/>
        </w:rPr>
        <w:t>12</w:t>
      </w:r>
      <w:r>
        <w:rPr>
          <w:rFonts w:hint="eastAsia" w:ascii="宋体" w:hAnsi="宋体" w:eastAsia="仿宋"/>
          <w:color w:val="000000"/>
          <w:sz w:val="36"/>
          <w:szCs w:val="36"/>
          <w:highlight w:val="none"/>
        </w:rPr>
        <w:t>月</w:t>
      </w:r>
    </w:p>
    <w:p w14:paraId="3C5DAAA5">
      <w:pPr>
        <w:widowControl/>
        <w:tabs>
          <w:tab w:val="center" w:pos="4153"/>
        </w:tabs>
        <w:spacing w:line="480" w:lineRule="auto"/>
        <w:ind w:firstLine="849" w:firstLineChars="236"/>
        <w:rPr>
          <w:rFonts w:ascii="宋体" w:hAnsi="宋体" w:eastAsia="仿宋"/>
          <w:color w:val="000000"/>
          <w:sz w:val="36"/>
          <w:szCs w:val="36"/>
          <w:highlight w:val="none"/>
        </w:rPr>
        <w:sectPr>
          <w:footerReference r:id="rId4" w:type="default"/>
          <w:footnotePr>
            <w:numFmt w:val="decimalEnclosedCircleChinese"/>
            <w:numRestart w:val="eachPage"/>
          </w:footnotePr>
          <w:pgSz w:w="11906" w:h="16838"/>
          <w:pgMar w:top="1134" w:right="1134" w:bottom="1134" w:left="1134" w:header="851" w:footer="851" w:gutter="0"/>
          <w:cols w:space="720" w:num="1"/>
          <w:docGrid w:linePitch="312" w:charSpace="0"/>
        </w:sectPr>
      </w:pPr>
    </w:p>
    <w:p w14:paraId="28F14593">
      <w:pPr>
        <w:widowControl/>
        <w:tabs>
          <w:tab w:val="center" w:pos="4153"/>
        </w:tabs>
        <w:spacing w:line="480" w:lineRule="auto"/>
        <w:jc w:val="center"/>
        <w:outlineLvl w:val="0"/>
        <w:rPr>
          <w:rFonts w:hint="eastAsia" w:ascii="宋体" w:hAnsi="宋体" w:eastAsia="仿宋"/>
          <w:sz w:val="44"/>
          <w:szCs w:val="52"/>
          <w:highlight w:val="none"/>
        </w:rPr>
      </w:pPr>
      <w:r>
        <w:rPr>
          <w:rFonts w:hint="eastAsia" w:ascii="宋体" w:hAnsi="宋体" w:eastAsia="仿宋"/>
          <w:sz w:val="44"/>
          <w:szCs w:val="52"/>
          <w:highlight w:val="none"/>
        </w:rPr>
        <w:t>目  录</w:t>
      </w:r>
    </w:p>
    <w:p w14:paraId="41B1C59D">
      <w:pPr>
        <w:pStyle w:val="33"/>
        <w:tabs>
          <w:tab w:val="right" w:leader="dot" w:pos="9638"/>
        </w:tabs>
        <w:rPr>
          <w:rFonts w:hint="eastAsia" w:ascii="仿宋" w:hAnsi="仿宋" w:eastAsia="仿宋" w:cs="仿宋"/>
          <w:sz w:val="28"/>
          <w:szCs w:val="28"/>
          <w:highlight w:val="none"/>
        </w:rPr>
      </w:pPr>
      <w:r>
        <w:rPr>
          <w:rFonts w:ascii="Times New Roman" w:hAnsi="Times New Roman" w:eastAsia="仿宋"/>
          <w:sz w:val="28"/>
          <w:szCs w:val="28"/>
          <w:highlight w:val="none"/>
        </w:rPr>
        <w:fldChar w:fldCharType="begin"/>
      </w:r>
      <w:r>
        <w:rPr>
          <w:rFonts w:ascii="Times New Roman" w:hAnsi="Times New Roman" w:eastAsia="仿宋"/>
          <w:sz w:val="28"/>
          <w:szCs w:val="28"/>
          <w:highlight w:val="none"/>
        </w:rPr>
        <w:instrText xml:space="preserve"> TOC \o "1-1" \h \z \u </w:instrText>
      </w:r>
      <w:r>
        <w:rPr>
          <w:rFonts w:ascii="Times New Roman" w:hAnsi="Times New Roman" w:eastAsia="仿宋"/>
          <w:sz w:val="28"/>
          <w:szCs w:val="28"/>
          <w:highlight w:val="none"/>
        </w:rPr>
        <w:fldChar w:fldCharType="separate"/>
      </w:r>
      <w:r>
        <w:rPr>
          <w:rFonts w:hint="eastAsia" w:ascii="仿宋" w:hAnsi="仿宋" w:eastAsia="仿宋" w:cs="仿宋"/>
          <w:sz w:val="28"/>
          <w:szCs w:val="28"/>
          <w:highlight w:val="none"/>
        </w:rPr>
        <w:fldChar w:fldCharType="begin"/>
      </w:r>
      <w:r>
        <w:rPr>
          <w:rFonts w:hint="eastAsia" w:ascii="仿宋" w:hAnsi="仿宋" w:eastAsia="仿宋" w:cs="仿宋"/>
          <w:sz w:val="28"/>
          <w:szCs w:val="28"/>
          <w:highlight w:val="none"/>
        </w:rPr>
        <w:instrText xml:space="preserve"> HYPERLINK \l _Toc1434 </w:instrText>
      </w:r>
      <w:r>
        <w:rPr>
          <w:rFonts w:hint="eastAsia" w:ascii="仿宋" w:hAnsi="仿宋" w:eastAsia="仿宋" w:cs="仿宋"/>
          <w:sz w:val="28"/>
          <w:szCs w:val="28"/>
          <w:highlight w:val="none"/>
        </w:rPr>
        <w:fldChar w:fldCharType="separate"/>
      </w:r>
      <w:r>
        <w:rPr>
          <w:rFonts w:hint="eastAsia" w:ascii="仿宋" w:hAnsi="仿宋" w:eastAsia="仿宋" w:cs="仿宋"/>
          <w:sz w:val="28"/>
          <w:szCs w:val="28"/>
          <w:highlight w:val="none"/>
        </w:rPr>
        <w:t>第一章  招标公告</w:t>
      </w:r>
      <w:r>
        <w:rPr>
          <w:rFonts w:hint="eastAsia" w:ascii="仿宋" w:hAnsi="仿宋" w:eastAsia="仿宋" w:cs="仿宋"/>
          <w:sz w:val="28"/>
          <w:szCs w:val="28"/>
          <w:highlight w:val="none"/>
        </w:rPr>
        <w:tab/>
      </w:r>
      <w:r>
        <w:rPr>
          <w:rFonts w:hint="eastAsia" w:ascii="仿宋" w:hAnsi="仿宋" w:eastAsia="仿宋" w:cs="仿宋"/>
          <w:sz w:val="28"/>
          <w:szCs w:val="28"/>
          <w:highlight w:val="none"/>
        </w:rPr>
        <w:fldChar w:fldCharType="begin"/>
      </w:r>
      <w:r>
        <w:rPr>
          <w:rFonts w:hint="eastAsia" w:ascii="仿宋" w:hAnsi="仿宋" w:eastAsia="仿宋" w:cs="仿宋"/>
          <w:sz w:val="28"/>
          <w:szCs w:val="28"/>
          <w:highlight w:val="none"/>
        </w:rPr>
        <w:instrText xml:space="preserve"> PAGEREF _Toc1434 \h </w:instrText>
      </w:r>
      <w:r>
        <w:rPr>
          <w:rFonts w:hint="eastAsia" w:ascii="仿宋" w:hAnsi="仿宋" w:eastAsia="仿宋" w:cs="仿宋"/>
          <w:sz w:val="28"/>
          <w:szCs w:val="28"/>
          <w:highlight w:val="none"/>
        </w:rPr>
        <w:fldChar w:fldCharType="separate"/>
      </w:r>
      <w:r>
        <w:rPr>
          <w:rFonts w:hint="eastAsia" w:ascii="仿宋" w:hAnsi="仿宋" w:eastAsia="仿宋" w:cs="仿宋"/>
          <w:sz w:val="28"/>
          <w:szCs w:val="28"/>
          <w:highlight w:val="none"/>
        </w:rPr>
        <w:t>1</w:t>
      </w:r>
      <w:r>
        <w:rPr>
          <w:rFonts w:hint="eastAsia" w:ascii="仿宋" w:hAnsi="仿宋" w:eastAsia="仿宋" w:cs="仿宋"/>
          <w:sz w:val="28"/>
          <w:szCs w:val="28"/>
          <w:highlight w:val="none"/>
        </w:rPr>
        <w:fldChar w:fldCharType="end"/>
      </w:r>
      <w:r>
        <w:rPr>
          <w:rFonts w:hint="eastAsia" w:ascii="仿宋" w:hAnsi="仿宋" w:eastAsia="仿宋" w:cs="仿宋"/>
          <w:sz w:val="28"/>
          <w:szCs w:val="28"/>
          <w:highlight w:val="none"/>
        </w:rPr>
        <w:fldChar w:fldCharType="end"/>
      </w:r>
    </w:p>
    <w:p w14:paraId="0943155B">
      <w:pPr>
        <w:pStyle w:val="33"/>
        <w:tabs>
          <w:tab w:val="right" w:leader="dot" w:pos="9638"/>
        </w:tabs>
        <w:rPr>
          <w:rFonts w:hint="eastAsia" w:ascii="仿宋" w:hAnsi="仿宋" w:eastAsia="仿宋" w:cs="仿宋"/>
          <w:sz w:val="28"/>
          <w:szCs w:val="28"/>
          <w:highlight w:val="none"/>
        </w:rPr>
      </w:pPr>
      <w:r>
        <w:rPr>
          <w:rFonts w:hint="eastAsia" w:ascii="仿宋" w:hAnsi="仿宋" w:eastAsia="仿宋" w:cs="仿宋"/>
          <w:sz w:val="28"/>
          <w:szCs w:val="28"/>
          <w:highlight w:val="none"/>
        </w:rPr>
        <w:fldChar w:fldCharType="begin"/>
      </w:r>
      <w:r>
        <w:rPr>
          <w:rFonts w:hint="eastAsia" w:ascii="仿宋" w:hAnsi="仿宋" w:eastAsia="仿宋" w:cs="仿宋"/>
          <w:sz w:val="28"/>
          <w:szCs w:val="28"/>
          <w:highlight w:val="none"/>
        </w:rPr>
        <w:instrText xml:space="preserve"> HYPERLINK \l _Toc26870 </w:instrText>
      </w:r>
      <w:r>
        <w:rPr>
          <w:rFonts w:hint="eastAsia" w:ascii="仿宋" w:hAnsi="仿宋" w:eastAsia="仿宋" w:cs="仿宋"/>
          <w:sz w:val="28"/>
          <w:szCs w:val="28"/>
          <w:highlight w:val="none"/>
        </w:rPr>
        <w:fldChar w:fldCharType="separate"/>
      </w:r>
      <w:r>
        <w:rPr>
          <w:rFonts w:hint="eastAsia" w:ascii="仿宋" w:hAnsi="仿宋" w:eastAsia="仿宋" w:cs="仿宋"/>
          <w:sz w:val="28"/>
          <w:szCs w:val="28"/>
          <w:highlight w:val="none"/>
        </w:rPr>
        <w:t>第二章  投标人须知</w:t>
      </w:r>
      <w:r>
        <w:rPr>
          <w:rFonts w:hint="eastAsia" w:ascii="仿宋" w:hAnsi="仿宋" w:eastAsia="仿宋" w:cs="仿宋"/>
          <w:sz w:val="28"/>
          <w:szCs w:val="28"/>
          <w:highlight w:val="none"/>
        </w:rPr>
        <w:tab/>
      </w:r>
      <w:r>
        <w:rPr>
          <w:rFonts w:hint="eastAsia" w:ascii="仿宋" w:hAnsi="仿宋" w:eastAsia="仿宋" w:cs="仿宋"/>
          <w:sz w:val="28"/>
          <w:szCs w:val="28"/>
          <w:highlight w:val="none"/>
        </w:rPr>
        <w:fldChar w:fldCharType="begin"/>
      </w:r>
      <w:r>
        <w:rPr>
          <w:rFonts w:hint="eastAsia" w:ascii="仿宋" w:hAnsi="仿宋" w:eastAsia="仿宋" w:cs="仿宋"/>
          <w:sz w:val="28"/>
          <w:szCs w:val="28"/>
          <w:highlight w:val="none"/>
        </w:rPr>
        <w:instrText xml:space="preserve"> PAGEREF _Toc26870 \h </w:instrText>
      </w:r>
      <w:r>
        <w:rPr>
          <w:rFonts w:hint="eastAsia" w:ascii="仿宋" w:hAnsi="仿宋" w:eastAsia="仿宋" w:cs="仿宋"/>
          <w:sz w:val="28"/>
          <w:szCs w:val="28"/>
          <w:highlight w:val="none"/>
        </w:rPr>
        <w:fldChar w:fldCharType="separate"/>
      </w:r>
      <w:r>
        <w:rPr>
          <w:rFonts w:hint="eastAsia" w:ascii="仿宋" w:hAnsi="仿宋" w:eastAsia="仿宋" w:cs="仿宋"/>
          <w:sz w:val="28"/>
          <w:szCs w:val="28"/>
          <w:highlight w:val="none"/>
        </w:rPr>
        <w:t>7</w:t>
      </w:r>
      <w:r>
        <w:rPr>
          <w:rFonts w:hint="eastAsia" w:ascii="仿宋" w:hAnsi="仿宋" w:eastAsia="仿宋" w:cs="仿宋"/>
          <w:sz w:val="28"/>
          <w:szCs w:val="28"/>
          <w:highlight w:val="none"/>
        </w:rPr>
        <w:fldChar w:fldCharType="end"/>
      </w:r>
      <w:r>
        <w:rPr>
          <w:rFonts w:hint="eastAsia" w:ascii="仿宋" w:hAnsi="仿宋" w:eastAsia="仿宋" w:cs="仿宋"/>
          <w:sz w:val="28"/>
          <w:szCs w:val="28"/>
          <w:highlight w:val="none"/>
        </w:rPr>
        <w:fldChar w:fldCharType="end"/>
      </w:r>
    </w:p>
    <w:p w14:paraId="74FC8A7E">
      <w:pPr>
        <w:pStyle w:val="33"/>
        <w:tabs>
          <w:tab w:val="right" w:leader="dot" w:pos="9638"/>
        </w:tabs>
        <w:rPr>
          <w:rFonts w:hint="eastAsia" w:ascii="仿宋" w:hAnsi="仿宋" w:eastAsia="仿宋" w:cs="仿宋"/>
          <w:sz w:val="28"/>
          <w:szCs w:val="28"/>
          <w:highlight w:val="none"/>
        </w:rPr>
      </w:pPr>
      <w:r>
        <w:rPr>
          <w:rFonts w:hint="eastAsia" w:ascii="仿宋" w:hAnsi="仿宋" w:eastAsia="仿宋" w:cs="仿宋"/>
          <w:sz w:val="28"/>
          <w:szCs w:val="28"/>
          <w:highlight w:val="none"/>
        </w:rPr>
        <w:fldChar w:fldCharType="begin"/>
      </w:r>
      <w:r>
        <w:rPr>
          <w:rFonts w:hint="eastAsia" w:ascii="仿宋" w:hAnsi="仿宋" w:eastAsia="仿宋" w:cs="仿宋"/>
          <w:sz w:val="28"/>
          <w:szCs w:val="28"/>
          <w:highlight w:val="none"/>
        </w:rPr>
        <w:instrText xml:space="preserve"> HYPERLINK \l _Toc24366 </w:instrText>
      </w:r>
      <w:r>
        <w:rPr>
          <w:rFonts w:hint="eastAsia" w:ascii="仿宋" w:hAnsi="仿宋" w:eastAsia="仿宋" w:cs="仿宋"/>
          <w:sz w:val="28"/>
          <w:szCs w:val="28"/>
          <w:highlight w:val="none"/>
        </w:rPr>
        <w:fldChar w:fldCharType="separate"/>
      </w:r>
      <w:r>
        <w:rPr>
          <w:rFonts w:hint="eastAsia" w:ascii="仿宋" w:hAnsi="仿宋" w:eastAsia="仿宋" w:cs="仿宋"/>
          <w:sz w:val="28"/>
          <w:szCs w:val="28"/>
          <w:highlight w:val="none"/>
        </w:rPr>
        <w:t>第三章  采购需</w:t>
      </w:r>
      <w:bookmarkStart w:id="0" w:name="_Hlt195033203"/>
      <w:r>
        <w:rPr>
          <w:rFonts w:hint="eastAsia" w:ascii="仿宋" w:hAnsi="仿宋" w:eastAsia="仿宋" w:cs="仿宋"/>
          <w:sz w:val="28"/>
          <w:szCs w:val="28"/>
          <w:highlight w:val="none"/>
        </w:rPr>
        <w:t>求</w:t>
      </w:r>
      <w:bookmarkEnd w:id="0"/>
      <w:bookmarkStart w:id="1" w:name="_Hlt194306827"/>
      <w:bookmarkStart w:id="2" w:name="_Hlt194571156"/>
      <w:bookmarkStart w:id="3" w:name="_Hlt194306826"/>
      <w:bookmarkStart w:id="4" w:name="_Hlt194571547"/>
      <w:r>
        <w:rPr>
          <w:rFonts w:hint="eastAsia" w:ascii="仿宋" w:hAnsi="仿宋" w:eastAsia="仿宋" w:cs="仿宋"/>
          <w:sz w:val="28"/>
          <w:szCs w:val="28"/>
          <w:highlight w:val="none"/>
        </w:rPr>
        <w:tab/>
      </w:r>
      <w:bookmarkEnd w:id="1"/>
      <w:bookmarkEnd w:id="2"/>
      <w:bookmarkEnd w:id="3"/>
      <w:bookmarkEnd w:id="4"/>
      <w:r>
        <w:rPr>
          <w:rFonts w:hint="eastAsia" w:ascii="仿宋" w:hAnsi="仿宋" w:eastAsia="仿宋" w:cs="仿宋"/>
          <w:sz w:val="28"/>
          <w:szCs w:val="28"/>
          <w:highlight w:val="none"/>
        </w:rPr>
        <w:fldChar w:fldCharType="begin"/>
      </w:r>
      <w:r>
        <w:rPr>
          <w:rFonts w:hint="eastAsia" w:ascii="仿宋" w:hAnsi="仿宋" w:eastAsia="仿宋" w:cs="仿宋"/>
          <w:sz w:val="28"/>
          <w:szCs w:val="28"/>
          <w:highlight w:val="none"/>
        </w:rPr>
        <w:instrText xml:space="preserve"> PAGEREF _Toc24366 \h </w:instrText>
      </w:r>
      <w:r>
        <w:rPr>
          <w:rFonts w:hint="eastAsia" w:ascii="仿宋" w:hAnsi="仿宋" w:eastAsia="仿宋" w:cs="仿宋"/>
          <w:sz w:val="28"/>
          <w:szCs w:val="28"/>
          <w:highlight w:val="none"/>
        </w:rPr>
        <w:fldChar w:fldCharType="separate"/>
      </w:r>
      <w:r>
        <w:rPr>
          <w:rFonts w:hint="eastAsia" w:ascii="仿宋" w:hAnsi="仿宋" w:eastAsia="仿宋" w:cs="仿宋"/>
          <w:sz w:val="28"/>
          <w:szCs w:val="28"/>
          <w:highlight w:val="none"/>
        </w:rPr>
        <w:t>33</w:t>
      </w:r>
      <w:r>
        <w:rPr>
          <w:rFonts w:hint="eastAsia" w:ascii="仿宋" w:hAnsi="仿宋" w:eastAsia="仿宋" w:cs="仿宋"/>
          <w:sz w:val="28"/>
          <w:szCs w:val="28"/>
          <w:highlight w:val="none"/>
        </w:rPr>
        <w:fldChar w:fldCharType="end"/>
      </w:r>
      <w:r>
        <w:rPr>
          <w:rFonts w:hint="eastAsia" w:ascii="仿宋" w:hAnsi="仿宋" w:eastAsia="仿宋" w:cs="仿宋"/>
          <w:sz w:val="28"/>
          <w:szCs w:val="28"/>
          <w:highlight w:val="none"/>
        </w:rPr>
        <w:fldChar w:fldCharType="end"/>
      </w:r>
    </w:p>
    <w:p w14:paraId="47304838">
      <w:pPr>
        <w:pStyle w:val="33"/>
        <w:tabs>
          <w:tab w:val="right" w:leader="dot" w:pos="9638"/>
        </w:tabs>
        <w:rPr>
          <w:rFonts w:hint="eastAsia" w:ascii="仿宋" w:hAnsi="仿宋" w:eastAsia="仿宋" w:cs="仿宋"/>
          <w:sz w:val="28"/>
          <w:szCs w:val="28"/>
          <w:highlight w:val="none"/>
        </w:rPr>
      </w:pPr>
      <w:r>
        <w:rPr>
          <w:rFonts w:hint="eastAsia" w:ascii="仿宋" w:hAnsi="仿宋" w:eastAsia="仿宋" w:cs="仿宋"/>
          <w:sz w:val="28"/>
          <w:szCs w:val="28"/>
          <w:highlight w:val="none"/>
        </w:rPr>
        <w:fldChar w:fldCharType="begin"/>
      </w:r>
      <w:r>
        <w:rPr>
          <w:rFonts w:hint="eastAsia" w:ascii="仿宋" w:hAnsi="仿宋" w:eastAsia="仿宋" w:cs="仿宋"/>
          <w:sz w:val="28"/>
          <w:szCs w:val="28"/>
          <w:highlight w:val="none"/>
        </w:rPr>
        <w:instrText xml:space="preserve"> HYPERLINK \l _Toc9357 </w:instrText>
      </w:r>
      <w:r>
        <w:rPr>
          <w:rFonts w:hint="eastAsia" w:ascii="仿宋" w:hAnsi="仿宋" w:eastAsia="仿宋" w:cs="仿宋"/>
          <w:sz w:val="28"/>
          <w:szCs w:val="28"/>
          <w:highlight w:val="none"/>
        </w:rPr>
        <w:fldChar w:fldCharType="separate"/>
      </w:r>
      <w:r>
        <w:rPr>
          <w:rFonts w:hint="eastAsia" w:ascii="仿宋" w:hAnsi="仿宋" w:eastAsia="仿宋" w:cs="仿宋"/>
          <w:sz w:val="28"/>
          <w:szCs w:val="28"/>
          <w:highlight w:val="none"/>
        </w:rPr>
        <w:t>第四章  资格审查和评标办法（综合评分法）</w:t>
      </w:r>
      <w:r>
        <w:rPr>
          <w:rFonts w:hint="eastAsia" w:ascii="仿宋" w:hAnsi="仿宋" w:eastAsia="仿宋" w:cs="仿宋"/>
          <w:sz w:val="28"/>
          <w:szCs w:val="28"/>
          <w:highlight w:val="none"/>
        </w:rPr>
        <w:tab/>
      </w:r>
      <w:r>
        <w:rPr>
          <w:rFonts w:hint="eastAsia" w:ascii="仿宋" w:hAnsi="仿宋" w:eastAsia="仿宋" w:cs="仿宋"/>
          <w:sz w:val="28"/>
          <w:szCs w:val="28"/>
          <w:highlight w:val="none"/>
        </w:rPr>
        <w:fldChar w:fldCharType="begin"/>
      </w:r>
      <w:r>
        <w:rPr>
          <w:rFonts w:hint="eastAsia" w:ascii="仿宋" w:hAnsi="仿宋" w:eastAsia="仿宋" w:cs="仿宋"/>
          <w:sz w:val="28"/>
          <w:szCs w:val="28"/>
          <w:highlight w:val="none"/>
        </w:rPr>
        <w:instrText xml:space="preserve"> PAGEREF _Toc9357 \h </w:instrText>
      </w:r>
      <w:r>
        <w:rPr>
          <w:rFonts w:hint="eastAsia" w:ascii="仿宋" w:hAnsi="仿宋" w:eastAsia="仿宋" w:cs="仿宋"/>
          <w:sz w:val="28"/>
          <w:szCs w:val="28"/>
          <w:highlight w:val="none"/>
        </w:rPr>
        <w:fldChar w:fldCharType="separate"/>
      </w:r>
      <w:r>
        <w:rPr>
          <w:rFonts w:hint="eastAsia" w:ascii="仿宋" w:hAnsi="仿宋" w:eastAsia="仿宋" w:cs="仿宋"/>
          <w:sz w:val="28"/>
          <w:szCs w:val="28"/>
          <w:highlight w:val="none"/>
        </w:rPr>
        <w:t>42</w:t>
      </w:r>
      <w:r>
        <w:rPr>
          <w:rFonts w:hint="eastAsia" w:ascii="仿宋" w:hAnsi="仿宋" w:eastAsia="仿宋" w:cs="仿宋"/>
          <w:sz w:val="28"/>
          <w:szCs w:val="28"/>
          <w:highlight w:val="none"/>
        </w:rPr>
        <w:fldChar w:fldCharType="end"/>
      </w:r>
      <w:r>
        <w:rPr>
          <w:rFonts w:hint="eastAsia" w:ascii="仿宋" w:hAnsi="仿宋" w:eastAsia="仿宋" w:cs="仿宋"/>
          <w:sz w:val="28"/>
          <w:szCs w:val="28"/>
          <w:highlight w:val="none"/>
        </w:rPr>
        <w:fldChar w:fldCharType="end"/>
      </w:r>
    </w:p>
    <w:p w14:paraId="6AF12CD3">
      <w:pPr>
        <w:pStyle w:val="33"/>
        <w:tabs>
          <w:tab w:val="right" w:leader="dot" w:pos="9638"/>
        </w:tabs>
        <w:rPr>
          <w:rFonts w:hint="eastAsia" w:ascii="仿宋" w:hAnsi="仿宋" w:eastAsia="仿宋" w:cs="仿宋"/>
          <w:sz w:val="28"/>
          <w:szCs w:val="28"/>
          <w:highlight w:val="none"/>
        </w:rPr>
      </w:pPr>
      <w:r>
        <w:rPr>
          <w:rFonts w:hint="eastAsia" w:ascii="仿宋" w:hAnsi="仿宋" w:eastAsia="仿宋" w:cs="仿宋"/>
          <w:sz w:val="28"/>
          <w:szCs w:val="28"/>
          <w:highlight w:val="none"/>
        </w:rPr>
        <w:fldChar w:fldCharType="begin"/>
      </w:r>
      <w:r>
        <w:rPr>
          <w:rFonts w:hint="eastAsia" w:ascii="仿宋" w:hAnsi="仿宋" w:eastAsia="仿宋" w:cs="仿宋"/>
          <w:sz w:val="28"/>
          <w:szCs w:val="28"/>
          <w:highlight w:val="none"/>
        </w:rPr>
        <w:instrText xml:space="preserve"> HYPERLINK \l _Toc395 </w:instrText>
      </w:r>
      <w:r>
        <w:rPr>
          <w:rFonts w:hint="eastAsia" w:ascii="仿宋" w:hAnsi="仿宋" w:eastAsia="仿宋" w:cs="仿宋"/>
          <w:sz w:val="28"/>
          <w:szCs w:val="28"/>
          <w:highlight w:val="none"/>
        </w:rPr>
        <w:fldChar w:fldCharType="separate"/>
      </w:r>
      <w:r>
        <w:rPr>
          <w:rFonts w:hint="eastAsia" w:ascii="仿宋" w:hAnsi="仿宋" w:eastAsia="仿宋" w:cs="仿宋"/>
          <w:sz w:val="28"/>
          <w:szCs w:val="28"/>
          <w:highlight w:val="none"/>
        </w:rPr>
        <w:t>第五章  合同条款及格式</w:t>
      </w:r>
      <w:r>
        <w:rPr>
          <w:rFonts w:hint="eastAsia" w:ascii="仿宋" w:hAnsi="仿宋" w:eastAsia="仿宋" w:cs="仿宋"/>
          <w:sz w:val="28"/>
          <w:szCs w:val="28"/>
          <w:highlight w:val="none"/>
        </w:rPr>
        <w:tab/>
      </w:r>
      <w:r>
        <w:rPr>
          <w:rFonts w:hint="eastAsia" w:ascii="仿宋" w:hAnsi="仿宋" w:eastAsia="仿宋" w:cs="仿宋"/>
          <w:sz w:val="28"/>
          <w:szCs w:val="28"/>
          <w:highlight w:val="none"/>
        </w:rPr>
        <w:fldChar w:fldCharType="begin"/>
      </w:r>
      <w:r>
        <w:rPr>
          <w:rFonts w:hint="eastAsia" w:ascii="仿宋" w:hAnsi="仿宋" w:eastAsia="仿宋" w:cs="仿宋"/>
          <w:sz w:val="28"/>
          <w:szCs w:val="28"/>
          <w:highlight w:val="none"/>
        </w:rPr>
        <w:instrText xml:space="preserve"> PAGEREF _Toc395 \h </w:instrText>
      </w:r>
      <w:r>
        <w:rPr>
          <w:rFonts w:hint="eastAsia" w:ascii="仿宋" w:hAnsi="仿宋" w:eastAsia="仿宋" w:cs="仿宋"/>
          <w:sz w:val="28"/>
          <w:szCs w:val="28"/>
          <w:highlight w:val="none"/>
        </w:rPr>
        <w:fldChar w:fldCharType="separate"/>
      </w:r>
      <w:r>
        <w:rPr>
          <w:rFonts w:hint="eastAsia" w:ascii="仿宋" w:hAnsi="仿宋" w:eastAsia="仿宋" w:cs="仿宋"/>
          <w:sz w:val="28"/>
          <w:szCs w:val="28"/>
          <w:highlight w:val="none"/>
        </w:rPr>
        <w:t>57</w:t>
      </w:r>
      <w:r>
        <w:rPr>
          <w:rFonts w:hint="eastAsia" w:ascii="仿宋" w:hAnsi="仿宋" w:eastAsia="仿宋" w:cs="仿宋"/>
          <w:sz w:val="28"/>
          <w:szCs w:val="28"/>
          <w:highlight w:val="none"/>
        </w:rPr>
        <w:fldChar w:fldCharType="end"/>
      </w:r>
      <w:r>
        <w:rPr>
          <w:rFonts w:hint="eastAsia" w:ascii="仿宋" w:hAnsi="仿宋" w:eastAsia="仿宋" w:cs="仿宋"/>
          <w:sz w:val="28"/>
          <w:szCs w:val="28"/>
          <w:highlight w:val="none"/>
        </w:rPr>
        <w:fldChar w:fldCharType="end"/>
      </w:r>
    </w:p>
    <w:p w14:paraId="4198C597">
      <w:pPr>
        <w:pStyle w:val="33"/>
        <w:tabs>
          <w:tab w:val="right" w:leader="dot" w:pos="9638"/>
        </w:tabs>
        <w:rPr>
          <w:highlight w:val="none"/>
        </w:rPr>
      </w:pPr>
      <w:r>
        <w:rPr>
          <w:rFonts w:hint="eastAsia" w:ascii="仿宋" w:hAnsi="仿宋" w:eastAsia="仿宋" w:cs="仿宋"/>
          <w:sz w:val="28"/>
          <w:szCs w:val="28"/>
          <w:highlight w:val="none"/>
        </w:rPr>
        <w:fldChar w:fldCharType="begin"/>
      </w:r>
      <w:r>
        <w:rPr>
          <w:rFonts w:hint="eastAsia" w:ascii="仿宋" w:hAnsi="仿宋" w:eastAsia="仿宋" w:cs="仿宋"/>
          <w:sz w:val="28"/>
          <w:szCs w:val="28"/>
          <w:highlight w:val="none"/>
        </w:rPr>
        <w:instrText xml:space="preserve"> HYPERLINK \l _Toc13236 </w:instrText>
      </w:r>
      <w:r>
        <w:rPr>
          <w:rFonts w:hint="eastAsia" w:ascii="仿宋" w:hAnsi="仿宋" w:eastAsia="仿宋" w:cs="仿宋"/>
          <w:sz w:val="28"/>
          <w:szCs w:val="28"/>
          <w:highlight w:val="none"/>
        </w:rPr>
        <w:fldChar w:fldCharType="separate"/>
      </w:r>
      <w:r>
        <w:rPr>
          <w:rFonts w:hint="eastAsia" w:ascii="仿宋" w:hAnsi="仿宋" w:eastAsia="仿宋" w:cs="仿宋"/>
          <w:sz w:val="28"/>
          <w:szCs w:val="28"/>
          <w:highlight w:val="none"/>
        </w:rPr>
        <w:t>第六章  投标文件格式</w:t>
      </w:r>
      <w:r>
        <w:rPr>
          <w:rFonts w:hint="eastAsia" w:ascii="仿宋" w:hAnsi="仿宋" w:eastAsia="仿宋" w:cs="仿宋"/>
          <w:sz w:val="28"/>
          <w:szCs w:val="28"/>
          <w:highlight w:val="none"/>
        </w:rPr>
        <w:tab/>
      </w:r>
      <w:r>
        <w:rPr>
          <w:rFonts w:hint="eastAsia" w:ascii="仿宋" w:hAnsi="仿宋" w:eastAsia="仿宋" w:cs="仿宋"/>
          <w:sz w:val="28"/>
          <w:szCs w:val="28"/>
          <w:highlight w:val="none"/>
        </w:rPr>
        <w:fldChar w:fldCharType="begin"/>
      </w:r>
      <w:r>
        <w:rPr>
          <w:rFonts w:hint="eastAsia" w:ascii="仿宋" w:hAnsi="仿宋" w:eastAsia="仿宋" w:cs="仿宋"/>
          <w:sz w:val="28"/>
          <w:szCs w:val="28"/>
          <w:highlight w:val="none"/>
        </w:rPr>
        <w:instrText xml:space="preserve"> PAGEREF _Toc13236 \h </w:instrText>
      </w:r>
      <w:r>
        <w:rPr>
          <w:rFonts w:hint="eastAsia" w:ascii="仿宋" w:hAnsi="仿宋" w:eastAsia="仿宋" w:cs="仿宋"/>
          <w:sz w:val="28"/>
          <w:szCs w:val="28"/>
          <w:highlight w:val="none"/>
        </w:rPr>
        <w:fldChar w:fldCharType="separate"/>
      </w:r>
      <w:r>
        <w:rPr>
          <w:rFonts w:hint="eastAsia" w:ascii="仿宋" w:hAnsi="仿宋" w:eastAsia="仿宋" w:cs="仿宋"/>
          <w:sz w:val="28"/>
          <w:szCs w:val="28"/>
          <w:highlight w:val="none"/>
        </w:rPr>
        <w:t>77</w:t>
      </w:r>
      <w:r>
        <w:rPr>
          <w:rFonts w:hint="eastAsia" w:ascii="仿宋" w:hAnsi="仿宋" w:eastAsia="仿宋" w:cs="仿宋"/>
          <w:sz w:val="28"/>
          <w:szCs w:val="28"/>
          <w:highlight w:val="none"/>
        </w:rPr>
        <w:fldChar w:fldCharType="end"/>
      </w:r>
      <w:r>
        <w:rPr>
          <w:rFonts w:hint="eastAsia" w:ascii="仿宋" w:hAnsi="仿宋" w:eastAsia="仿宋" w:cs="仿宋"/>
          <w:sz w:val="28"/>
          <w:szCs w:val="28"/>
          <w:highlight w:val="none"/>
        </w:rPr>
        <w:fldChar w:fldCharType="end"/>
      </w:r>
    </w:p>
    <w:p w14:paraId="1E49676D">
      <w:pPr>
        <w:widowControl/>
        <w:spacing w:line="360" w:lineRule="auto"/>
        <w:rPr>
          <w:rFonts w:hint="eastAsia" w:ascii="宋体" w:hAnsi="宋体" w:eastAsia="仿宋"/>
          <w:sz w:val="52"/>
          <w:szCs w:val="52"/>
          <w:highlight w:val="none"/>
        </w:rPr>
      </w:pPr>
      <w:r>
        <w:rPr>
          <w:rFonts w:eastAsia="仿宋"/>
          <w:szCs w:val="28"/>
          <w:highlight w:val="none"/>
        </w:rPr>
        <w:fldChar w:fldCharType="end"/>
      </w:r>
    </w:p>
    <w:p w14:paraId="7099BC49">
      <w:pPr>
        <w:widowControl/>
        <w:tabs>
          <w:tab w:val="center" w:pos="4153"/>
        </w:tabs>
        <w:spacing w:line="480" w:lineRule="auto"/>
        <w:jc w:val="center"/>
        <w:rPr>
          <w:rFonts w:ascii="宋体" w:hAnsi="宋体" w:eastAsia="仿宋"/>
          <w:sz w:val="52"/>
          <w:szCs w:val="52"/>
          <w:highlight w:val="none"/>
        </w:rPr>
        <w:sectPr>
          <w:headerReference r:id="rId5" w:type="first"/>
          <w:footerReference r:id="rId7" w:type="first"/>
          <w:footerReference r:id="rId6" w:type="default"/>
          <w:footnotePr>
            <w:numFmt w:val="decimalEnclosedCircleChinese"/>
            <w:numRestart w:val="eachPage"/>
          </w:footnotePr>
          <w:pgSz w:w="11906" w:h="16838"/>
          <w:pgMar w:top="1134" w:right="1134" w:bottom="1134" w:left="1134" w:header="851" w:footer="851" w:gutter="0"/>
          <w:pgNumType w:start="1"/>
          <w:cols w:space="720" w:num="1"/>
          <w:docGrid w:linePitch="312" w:charSpace="0"/>
        </w:sectPr>
      </w:pPr>
    </w:p>
    <w:p w14:paraId="59573769">
      <w:pPr>
        <w:pStyle w:val="2"/>
        <w:widowControl/>
        <w:spacing w:before="0" w:after="0" w:line="240" w:lineRule="auto"/>
        <w:jc w:val="center"/>
        <w:rPr>
          <w:rFonts w:hint="eastAsia" w:ascii="宋体" w:hAnsi="宋体" w:eastAsia="仿宋"/>
          <w:highlight w:val="none"/>
        </w:rPr>
      </w:pPr>
      <w:bookmarkStart w:id="5" w:name="_Toc466024489"/>
      <w:bookmarkStart w:id="6" w:name="_Toc1434"/>
      <w:r>
        <w:rPr>
          <w:rFonts w:hint="eastAsia" w:ascii="宋体" w:hAnsi="宋体" w:eastAsia="仿宋"/>
          <w:highlight w:val="none"/>
        </w:rPr>
        <w:t>第一章  招标公告</w:t>
      </w:r>
      <w:bookmarkEnd w:id="5"/>
      <w:bookmarkEnd w:id="6"/>
    </w:p>
    <w:p w14:paraId="3DD65A8F">
      <w:pPr>
        <w:rPr>
          <w:rFonts w:hint="eastAsia" w:eastAsia="仿宋"/>
          <w:highlight w:val="none"/>
        </w:rPr>
      </w:pPr>
    </w:p>
    <w:p w14:paraId="04A9C91D">
      <w:pPr>
        <w:widowControl/>
        <w:spacing w:before="120" w:beforeLines="50" w:after="120" w:afterLines="50" w:line="400" w:lineRule="exact"/>
        <w:jc w:val="center"/>
        <w:rPr>
          <w:rFonts w:eastAsia="仿宋"/>
          <w:b/>
          <w:bCs/>
          <w:sz w:val="28"/>
          <w:szCs w:val="28"/>
          <w:highlight w:val="none"/>
        </w:rPr>
      </w:pPr>
      <w:r>
        <w:rPr>
          <w:rFonts w:hint="eastAsia" w:ascii="仿宋" w:hAnsi="仿宋" w:eastAsia="仿宋" w:cs="仿宋"/>
          <w:b/>
          <w:bCs/>
          <w:color w:val="000000"/>
          <w:sz w:val="28"/>
          <w:szCs w:val="28"/>
          <w:highlight w:val="none"/>
          <w:lang w:eastAsia="zh-CN"/>
        </w:rPr>
        <w:t>安徽省紧密型县域医共体设备更新一期项目-超声诊断仪三</w:t>
      </w:r>
      <w:r>
        <w:rPr>
          <w:rFonts w:hint="eastAsia" w:ascii="仿宋" w:hAnsi="仿宋" w:eastAsia="仿宋" w:cs="仿宋"/>
          <w:b/>
          <w:bCs/>
          <w:sz w:val="28"/>
          <w:szCs w:val="28"/>
          <w:highlight w:val="none"/>
        </w:rPr>
        <w:t>招标公告</w:t>
      </w:r>
    </w:p>
    <w:p w14:paraId="63C2CEE3">
      <w:pPr>
        <w:pBdr>
          <w:top w:val="single" w:color="auto" w:sz="4" w:space="1"/>
          <w:left w:val="single" w:color="auto" w:sz="4" w:space="4"/>
          <w:bottom w:val="single" w:color="auto" w:sz="4" w:space="13"/>
          <w:right w:val="single" w:color="auto" w:sz="4" w:space="4"/>
        </w:pBdr>
        <w:adjustRightInd w:val="0"/>
        <w:snapToGrid w:val="0"/>
        <w:spacing w:line="560" w:lineRule="exact"/>
        <w:ind w:firstLine="560" w:firstLineChars="200"/>
        <w:rPr>
          <w:rFonts w:hint="eastAsia" w:ascii="仿宋" w:hAnsi="仿宋" w:eastAsia="仿宋" w:cs="仿宋"/>
          <w:color w:val="000000"/>
          <w:sz w:val="28"/>
          <w:szCs w:val="28"/>
          <w:highlight w:val="none"/>
        </w:rPr>
      </w:pPr>
      <w:r>
        <w:rPr>
          <w:rFonts w:hint="eastAsia" w:ascii="仿宋" w:hAnsi="仿宋" w:eastAsia="仿宋" w:cs="仿宋"/>
          <w:color w:val="000000"/>
          <w:sz w:val="28"/>
          <w:szCs w:val="28"/>
          <w:highlight w:val="none"/>
        </w:rPr>
        <w:t>项目概况</w:t>
      </w:r>
    </w:p>
    <w:p w14:paraId="277D1E94">
      <w:pPr>
        <w:pBdr>
          <w:top w:val="single" w:color="auto" w:sz="4" w:space="1"/>
          <w:left w:val="single" w:color="auto" w:sz="4" w:space="4"/>
          <w:bottom w:val="single" w:color="auto" w:sz="4" w:space="13"/>
          <w:right w:val="single" w:color="auto" w:sz="4" w:space="4"/>
        </w:pBdr>
        <w:adjustRightInd w:val="0"/>
        <w:snapToGrid w:val="0"/>
        <w:spacing w:line="560" w:lineRule="exact"/>
        <w:ind w:firstLine="560" w:firstLineChars="200"/>
        <w:rPr>
          <w:rFonts w:hint="eastAsia" w:ascii="仿宋" w:hAnsi="仿宋" w:eastAsia="仿宋" w:cs="仿宋"/>
          <w:sz w:val="28"/>
          <w:szCs w:val="28"/>
          <w:highlight w:val="none"/>
        </w:rPr>
      </w:pPr>
      <w:r>
        <w:rPr>
          <w:rFonts w:hint="eastAsia" w:ascii="仿宋" w:hAnsi="仿宋" w:eastAsia="仿宋" w:cs="仿宋"/>
          <w:color w:val="000000"/>
          <w:sz w:val="28"/>
          <w:szCs w:val="28"/>
          <w:highlight w:val="none"/>
          <w:lang w:eastAsia="zh-CN"/>
        </w:rPr>
        <w:t>安徽省紧密型县域医共体设备更新一期项目-超声诊断仪三</w:t>
      </w:r>
      <w:r>
        <w:rPr>
          <w:rFonts w:hint="eastAsia" w:ascii="仿宋" w:hAnsi="仿宋" w:eastAsia="仿宋" w:cs="仿宋"/>
          <w:color w:val="000000"/>
          <w:sz w:val="28"/>
          <w:szCs w:val="28"/>
          <w:highlight w:val="none"/>
        </w:rPr>
        <w:t>招标项目的潜在投标人应在“优质采招标采购平台（www.yzczb.com）”或“优质采云采购平台（www.youzhicai.com）”获取招标文件，并于2025年</w:t>
      </w:r>
      <w:r>
        <w:rPr>
          <w:rFonts w:hint="eastAsia" w:ascii="仿宋" w:hAnsi="仿宋" w:eastAsia="仿宋" w:cs="仿宋"/>
          <w:color w:val="000000"/>
          <w:sz w:val="28"/>
          <w:szCs w:val="28"/>
          <w:highlight w:val="none"/>
          <w:lang w:val="en-US" w:eastAsia="zh-CN"/>
        </w:rPr>
        <w:t>12</w:t>
      </w:r>
      <w:r>
        <w:rPr>
          <w:rFonts w:hint="eastAsia" w:ascii="仿宋" w:hAnsi="仿宋" w:eastAsia="仿宋" w:cs="仿宋"/>
          <w:color w:val="000000"/>
          <w:sz w:val="28"/>
          <w:szCs w:val="28"/>
          <w:highlight w:val="none"/>
        </w:rPr>
        <w:t>月</w:t>
      </w:r>
      <w:r>
        <w:rPr>
          <w:rFonts w:hint="eastAsia" w:ascii="仿宋" w:hAnsi="仿宋" w:eastAsia="仿宋" w:cs="仿宋"/>
          <w:color w:val="000000"/>
          <w:sz w:val="28"/>
          <w:szCs w:val="28"/>
          <w:highlight w:val="none"/>
          <w:lang w:val="en-US" w:eastAsia="zh-CN"/>
        </w:rPr>
        <w:t>23</w:t>
      </w:r>
      <w:r>
        <w:rPr>
          <w:rFonts w:hint="eastAsia" w:ascii="仿宋" w:hAnsi="仿宋" w:eastAsia="仿宋" w:cs="仿宋"/>
          <w:color w:val="000000"/>
          <w:sz w:val="28"/>
          <w:szCs w:val="28"/>
          <w:highlight w:val="none"/>
        </w:rPr>
        <w:t>日</w:t>
      </w:r>
      <w:r>
        <w:rPr>
          <w:rFonts w:hint="eastAsia" w:ascii="仿宋" w:hAnsi="仿宋" w:eastAsia="仿宋" w:cs="仿宋"/>
          <w:color w:val="000000"/>
          <w:sz w:val="28"/>
          <w:szCs w:val="28"/>
          <w:highlight w:val="none"/>
          <w:lang w:val="en-US" w:eastAsia="zh-CN"/>
        </w:rPr>
        <w:t>09</w:t>
      </w:r>
      <w:r>
        <w:rPr>
          <w:rFonts w:hint="eastAsia" w:ascii="仿宋" w:hAnsi="仿宋" w:eastAsia="仿宋" w:cs="仿宋"/>
          <w:color w:val="000000"/>
          <w:sz w:val="28"/>
          <w:szCs w:val="28"/>
          <w:highlight w:val="none"/>
        </w:rPr>
        <w:t>点</w:t>
      </w:r>
      <w:r>
        <w:rPr>
          <w:rFonts w:hint="eastAsia" w:ascii="仿宋" w:hAnsi="仿宋" w:eastAsia="仿宋" w:cs="仿宋"/>
          <w:color w:val="000000"/>
          <w:sz w:val="28"/>
          <w:szCs w:val="28"/>
          <w:highlight w:val="none"/>
          <w:lang w:val="en-US" w:eastAsia="zh-CN"/>
        </w:rPr>
        <w:t>30</w:t>
      </w:r>
      <w:r>
        <w:rPr>
          <w:rFonts w:hint="eastAsia" w:ascii="仿宋" w:hAnsi="仿宋" w:eastAsia="仿宋" w:cs="仿宋"/>
          <w:color w:val="000000"/>
          <w:sz w:val="28"/>
          <w:szCs w:val="28"/>
          <w:highlight w:val="none"/>
        </w:rPr>
        <w:t>分</w:t>
      </w:r>
      <w:r>
        <w:rPr>
          <w:rFonts w:hint="eastAsia" w:ascii="仿宋" w:hAnsi="仿宋" w:eastAsia="仿宋" w:cs="仿宋"/>
          <w:bCs/>
          <w:color w:val="000000"/>
          <w:sz w:val="28"/>
          <w:szCs w:val="28"/>
          <w:highlight w:val="none"/>
        </w:rPr>
        <w:t>（北京时间）前递交投标文件</w:t>
      </w:r>
      <w:r>
        <w:rPr>
          <w:rFonts w:hint="eastAsia" w:ascii="仿宋" w:hAnsi="仿宋" w:eastAsia="仿宋" w:cs="仿宋"/>
          <w:color w:val="000000"/>
          <w:sz w:val="28"/>
          <w:szCs w:val="28"/>
          <w:highlight w:val="none"/>
        </w:rPr>
        <w:t>。</w:t>
      </w:r>
    </w:p>
    <w:p w14:paraId="1CB25AF5">
      <w:pPr>
        <w:pStyle w:val="3"/>
        <w:pageBreakBefore w:val="0"/>
        <w:widowControl/>
        <w:kinsoku/>
        <w:overflowPunct/>
        <w:autoSpaceDE/>
        <w:autoSpaceDN/>
        <w:bidi w:val="0"/>
        <w:adjustRightInd w:val="0"/>
        <w:snapToGrid w:val="0"/>
        <w:spacing w:before="0" w:beforeLines="0" w:after="0" w:afterLines="0" w:line="560" w:lineRule="exact"/>
        <w:textAlignment w:val="auto"/>
        <w:rPr>
          <w:rStyle w:val="107"/>
          <w:rFonts w:hAnsi="宋体"/>
          <w:b w:val="0"/>
          <w:bCs w:val="0"/>
          <w:sz w:val="28"/>
          <w:szCs w:val="28"/>
          <w:highlight w:val="none"/>
        </w:rPr>
      </w:pPr>
      <w:bookmarkStart w:id="7" w:name="_Toc28359079"/>
      <w:bookmarkStart w:id="8" w:name="_Toc35393621"/>
      <w:bookmarkStart w:id="9" w:name="_Toc28359002"/>
      <w:bookmarkStart w:id="10" w:name="_Toc35393790"/>
      <w:bookmarkStart w:id="11" w:name="_Hlk24379207"/>
      <w:r>
        <w:rPr>
          <w:rStyle w:val="107"/>
          <w:rFonts w:hint="eastAsia" w:hAnsi="宋体"/>
          <w:b w:val="0"/>
          <w:bCs w:val="0"/>
          <w:sz w:val="28"/>
          <w:szCs w:val="28"/>
          <w:highlight w:val="none"/>
        </w:rPr>
        <w:t>一、项目基本情况</w:t>
      </w:r>
      <w:bookmarkEnd w:id="7"/>
      <w:bookmarkEnd w:id="8"/>
      <w:bookmarkEnd w:id="9"/>
      <w:bookmarkEnd w:id="10"/>
    </w:p>
    <w:p w14:paraId="0211EAA5">
      <w:pPr>
        <w:pageBreakBefore w:val="0"/>
        <w:kinsoku/>
        <w:overflowPunct/>
        <w:autoSpaceDE/>
        <w:autoSpaceDN/>
        <w:bidi w:val="0"/>
        <w:adjustRightInd w:val="0"/>
        <w:snapToGrid w:val="0"/>
        <w:spacing w:line="560" w:lineRule="exact"/>
        <w:ind w:firstLine="560" w:firstLineChars="200"/>
        <w:textAlignment w:val="auto"/>
        <w:rPr>
          <w:rFonts w:hint="eastAsia" w:ascii="仿宋" w:hAnsi="仿宋" w:eastAsia="仿宋" w:cs="仿宋"/>
          <w:sz w:val="28"/>
          <w:szCs w:val="28"/>
          <w:highlight w:val="none"/>
          <w:u w:val="single"/>
          <w:lang w:eastAsia="zh-CN"/>
        </w:rPr>
      </w:pPr>
      <w:r>
        <w:rPr>
          <w:rFonts w:hint="eastAsia" w:ascii="仿宋" w:hAnsi="仿宋" w:eastAsia="仿宋" w:cs="仿宋"/>
          <w:sz w:val="28"/>
          <w:szCs w:val="28"/>
          <w:highlight w:val="none"/>
        </w:rPr>
        <w:t>项目编号：</w:t>
      </w:r>
      <w:r>
        <w:rPr>
          <w:rFonts w:hint="eastAsia" w:ascii="仿宋" w:hAnsi="仿宋" w:eastAsia="仿宋" w:cs="仿宋"/>
          <w:sz w:val="28"/>
          <w:szCs w:val="28"/>
          <w:highlight w:val="none"/>
          <w:lang w:eastAsia="zh-CN"/>
        </w:rPr>
        <w:t>ZF2025-36-1978</w:t>
      </w:r>
    </w:p>
    <w:p w14:paraId="7CD4952E">
      <w:pPr>
        <w:pageBreakBefore w:val="0"/>
        <w:kinsoku/>
        <w:overflowPunct/>
        <w:autoSpaceDE/>
        <w:autoSpaceDN/>
        <w:bidi w:val="0"/>
        <w:adjustRightInd w:val="0"/>
        <w:snapToGrid w:val="0"/>
        <w:spacing w:line="560" w:lineRule="exact"/>
        <w:ind w:firstLine="560" w:firstLineChars="200"/>
        <w:textAlignment w:val="auto"/>
        <w:rPr>
          <w:rFonts w:hint="eastAsia" w:ascii="仿宋" w:hAnsi="仿宋" w:eastAsia="仿宋" w:cs="仿宋"/>
          <w:sz w:val="28"/>
          <w:szCs w:val="28"/>
          <w:highlight w:val="none"/>
          <w:u w:val="single"/>
          <w:lang w:eastAsia="zh-CN"/>
        </w:rPr>
      </w:pPr>
      <w:r>
        <w:rPr>
          <w:rFonts w:hint="eastAsia" w:ascii="仿宋" w:hAnsi="仿宋" w:eastAsia="仿宋" w:cs="仿宋"/>
          <w:sz w:val="28"/>
          <w:szCs w:val="28"/>
          <w:highlight w:val="none"/>
        </w:rPr>
        <w:t>项目名称：</w:t>
      </w:r>
      <w:r>
        <w:rPr>
          <w:rFonts w:hint="eastAsia" w:ascii="仿宋" w:hAnsi="仿宋" w:eastAsia="仿宋" w:cs="仿宋"/>
          <w:sz w:val="28"/>
          <w:szCs w:val="28"/>
          <w:highlight w:val="none"/>
          <w:lang w:eastAsia="zh-CN"/>
        </w:rPr>
        <w:t>安徽省紧密型县域医共体设备更新一期项目-超声诊断仪三</w:t>
      </w:r>
    </w:p>
    <w:bookmarkEnd w:id="11"/>
    <w:p w14:paraId="554A8A0C">
      <w:pPr>
        <w:pageBreakBefore w:val="0"/>
        <w:kinsoku/>
        <w:overflowPunct/>
        <w:autoSpaceDE/>
        <w:autoSpaceDN/>
        <w:bidi w:val="0"/>
        <w:adjustRightInd w:val="0"/>
        <w:snapToGrid w:val="0"/>
        <w:spacing w:line="560" w:lineRule="exact"/>
        <w:ind w:firstLine="560" w:firstLineChars="200"/>
        <w:textAlignment w:val="auto"/>
        <w:rPr>
          <w:rFonts w:hint="eastAsia" w:ascii="仿宋" w:hAnsi="仿宋" w:eastAsia="仿宋" w:cs="仿宋"/>
          <w:sz w:val="28"/>
          <w:szCs w:val="28"/>
          <w:highlight w:val="none"/>
          <w:lang w:eastAsia="zh-CN"/>
        </w:rPr>
      </w:pPr>
      <w:r>
        <w:rPr>
          <w:rFonts w:hint="eastAsia" w:ascii="仿宋" w:hAnsi="仿宋" w:eastAsia="仿宋" w:cs="仿宋"/>
          <w:sz w:val="28"/>
          <w:szCs w:val="28"/>
          <w:highlight w:val="none"/>
        </w:rPr>
        <w:t>预算金额：</w:t>
      </w:r>
      <w:r>
        <w:rPr>
          <w:rFonts w:hint="eastAsia" w:ascii="仿宋" w:hAnsi="仿宋" w:eastAsia="仿宋" w:cs="仿宋"/>
          <w:sz w:val="28"/>
          <w:szCs w:val="28"/>
          <w:highlight w:val="none"/>
          <w:lang w:val="en-US" w:eastAsia="zh-CN"/>
        </w:rPr>
        <w:t>2730万元。</w:t>
      </w:r>
    </w:p>
    <w:p w14:paraId="163F76B8">
      <w:pPr>
        <w:pageBreakBefore w:val="0"/>
        <w:kinsoku/>
        <w:overflowPunct/>
        <w:autoSpaceDE/>
        <w:autoSpaceDN/>
        <w:bidi w:val="0"/>
        <w:adjustRightInd w:val="0"/>
        <w:snapToGrid w:val="0"/>
        <w:spacing w:line="560" w:lineRule="exact"/>
        <w:ind w:firstLine="560" w:firstLineChars="200"/>
        <w:textAlignment w:val="auto"/>
        <w:rPr>
          <w:rFonts w:hint="eastAsia" w:ascii="仿宋" w:hAnsi="仿宋" w:eastAsia="仿宋" w:cs="仿宋"/>
          <w:sz w:val="28"/>
          <w:szCs w:val="28"/>
          <w:highlight w:val="none"/>
          <w:lang w:eastAsia="zh-CN"/>
        </w:rPr>
      </w:pPr>
      <w:r>
        <w:rPr>
          <w:rFonts w:hint="eastAsia" w:ascii="仿宋" w:hAnsi="仿宋" w:eastAsia="仿宋" w:cs="仿宋"/>
          <w:sz w:val="28"/>
          <w:szCs w:val="28"/>
          <w:highlight w:val="none"/>
        </w:rPr>
        <w:t>最高限价：</w:t>
      </w:r>
      <w:r>
        <w:rPr>
          <w:rFonts w:hint="eastAsia" w:ascii="仿宋" w:hAnsi="仿宋" w:eastAsia="仿宋" w:cs="仿宋"/>
          <w:sz w:val="28"/>
          <w:szCs w:val="28"/>
          <w:highlight w:val="none"/>
          <w:lang w:val="en-US" w:eastAsia="zh-CN"/>
        </w:rPr>
        <w:t>2730万元</w:t>
      </w:r>
      <w:r>
        <w:rPr>
          <w:rFonts w:hint="eastAsia" w:ascii="仿宋" w:hAnsi="仿宋" w:eastAsia="仿宋" w:cs="仿宋"/>
          <w:sz w:val="28"/>
          <w:szCs w:val="28"/>
          <w:highlight w:val="none"/>
          <w:lang w:eastAsia="zh-CN"/>
        </w:rPr>
        <w:t>。</w:t>
      </w:r>
    </w:p>
    <w:p w14:paraId="20FBFF2B">
      <w:pPr>
        <w:pageBreakBefore w:val="0"/>
        <w:kinsoku/>
        <w:overflowPunct/>
        <w:autoSpaceDE/>
        <w:autoSpaceDN/>
        <w:bidi w:val="0"/>
        <w:adjustRightInd w:val="0"/>
        <w:snapToGrid w:val="0"/>
        <w:spacing w:line="560" w:lineRule="exact"/>
        <w:ind w:firstLine="560" w:firstLineChars="200"/>
        <w:textAlignment w:val="auto"/>
        <w:rPr>
          <w:rFonts w:hint="eastAsia" w:ascii="仿宋" w:hAnsi="仿宋" w:eastAsia="仿宋" w:cs="仿宋"/>
          <w:sz w:val="28"/>
          <w:szCs w:val="28"/>
          <w:highlight w:val="none"/>
        </w:rPr>
      </w:pPr>
      <w:r>
        <w:rPr>
          <w:rFonts w:hint="eastAsia" w:ascii="仿宋" w:hAnsi="仿宋" w:eastAsia="仿宋" w:cs="仿宋"/>
          <w:sz w:val="28"/>
          <w:szCs w:val="28"/>
          <w:highlight w:val="none"/>
        </w:rPr>
        <w:t>采购需求：</w:t>
      </w:r>
      <w:r>
        <w:rPr>
          <w:rFonts w:hint="eastAsia" w:ascii="仿宋" w:hAnsi="仿宋" w:eastAsia="仿宋" w:cs="仿宋"/>
          <w:sz w:val="28"/>
          <w:szCs w:val="28"/>
          <w:highlight w:val="none"/>
          <w:lang w:eastAsia="zh-CN"/>
        </w:rPr>
        <w:t>安徽省紧密型县域医共体设备更新一期项目-超声诊断仪三</w:t>
      </w:r>
      <w:r>
        <w:rPr>
          <w:rFonts w:hint="eastAsia" w:ascii="仿宋" w:hAnsi="仿宋" w:eastAsia="仿宋" w:cs="仿宋"/>
          <w:sz w:val="28"/>
          <w:szCs w:val="28"/>
          <w:highlight w:val="none"/>
        </w:rPr>
        <w:t>，具体内容详见采购文件。</w:t>
      </w:r>
    </w:p>
    <w:p w14:paraId="38BA4A22">
      <w:pPr>
        <w:pageBreakBefore w:val="0"/>
        <w:kinsoku/>
        <w:overflowPunct/>
        <w:autoSpaceDE/>
        <w:autoSpaceDN/>
        <w:bidi w:val="0"/>
        <w:adjustRightInd w:val="0"/>
        <w:snapToGrid w:val="0"/>
        <w:spacing w:line="560" w:lineRule="exact"/>
        <w:ind w:firstLine="560" w:firstLineChars="200"/>
        <w:textAlignment w:val="auto"/>
        <w:rPr>
          <w:rFonts w:hint="eastAsia" w:ascii="仿宋" w:hAnsi="仿宋" w:eastAsia="仿宋" w:cs="仿宋"/>
          <w:sz w:val="28"/>
          <w:szCs w:val="28"/>
          <w:highlight w:val="none"/>
        </w:rPr>
      </w:pPr>
      <w:r>
        <w:rPr>
          <w:rFonts w:hint="eastAsia" w:ascii="仿宋" w:hAnsi="仿宋" w:eastAsia="仿宋" w:cs="仿宋"/>
          <w:sz w:val="28"/>
          <w:szCs w:val="28"/>
          <w:highlight w:val="none"/>
        </w:rPr>
        <w:t>合同履行期限：合同生效后60日历天内完成供货安装调试。</w:t>
      </w:r>
    </w:p>
    <w:p w14:paraId="0C0B47C4">
      <w:pPr>
        <w:pageBreakBefore w:val="0"/>
        <w:kinsoku/>
        <w:overflowPunct/>
        <w:autoSpaceDE/>
        <w:autoSpaceDN/>
        <w:bidi w:val="0"/>
        <w:adjustRightInd w:val="0"/>
        <w:snapToGrid w:val="0"/>
        <w:spacing w:line="560" w:lineRule="exact"/>
        <w:ind w:firstLine="560" w:firstLineChars="200"/>
        <w:textAlignment w:val="auto"/>
        <w:rPr>
          <w:rFonts w:hint="eastAsia" w:ascii="仿宋" w:hAnsi="仿宋" w:eastAsia="仿宋" w:cs="仿宋"/>
          <w:sz w:val="28"/>
          <w:szCs w:val="28"/>
          <w:highlight w:val="none"/>
        </w:rPr>
      </w:pPr>
      <w:r>
        <w:rPr>
          <w:rFonts w:hint="eastAsia" w:ascii="仿宋" w:hAnsi="仿宋" w:eastAsia="仿宋" w:cs="仿宋"/>
          <w:sz w:val="28"/>
          <w:szCs w:val="28"/>
          <w:highlight w:val="none"/>
        </w:rPr>
        <w:t>本项目不接受联合体投标。</w:t>
      </w:r>
      <w:bookmarkStart w:id="12" w:name="_Toc35393791"/>
      <w:bookmarkStart w:id="13" w:name="_Toc35393622"/>
      <w:bookmarkStart w:id="14" w:name="_Toc28359080"/>
      <w:bookmarkStart w:id="15" w:name="_Toc28359003"/>
    </w:p>
    <w:p w14:paraId="143CFE92">
      <w:pPr>
        <w:pStyle w:val="3"/>
        <w:pageBreakBefore w:val="0"/>
        <w:widowControl/>
        <w:kinsoku/>
        <w:overflowPunct/>
        <w:autoSpaceDE/>
        <w:autoSpaceDN/>
        <w:bidi w:val="0"/>
        <w:adjustRightInd w:val="0"/>
        <w:snapToGrid w:val="0"/>
        <w:spacing w:before="0" w:beforeLines="0" w:after="0" w:afterLines="0" w:line="560" w:lineRule="exact"/>
        <w:textAlignment w:val="auto"/>
        <w:rPr>
          <w:rStyle w:val="107"/>
          <w:rFonts w:hAnsi="宋体"/>
          <w:b w:val="0"/>
          <w:bCs w:val="0"/>
          <w:color w:val="auto"/>
          <w:sz w:val="28"/>
          <w:szCs w:val="28"/>
          <w:highlight w:val="none"/>
        </w:rPr>
      </w:pPr>
      <w:r>
        <w:rPr>
          <w:rStyle w:val="107"/>
          <w:rFonts w:hint="eastAsia" w:hAnsi="宋体"/>
          <w:b w:val="0"/>
          <w:bCs w:val="0"/>
          <w:color w:val="auto"/>
          <w:sz w:val="28"/>
          <w:szCs w:val="28"/>
          <w:highlight w:val="none"/>
        </w:rPr>
        <w:t>二、投标人的资格要求：</w:t>
      </w:r>
      <w:bookmarkEnd w:id="12"/>
      <w:bookmarkEnd w:id="13"/>
      <w:bookmarkEnd w:id="14"/>
      <w:bookmarkEnd w:id="15"/>
    </w:p>
    <w:p w14:paraId="247F9CA8">
      <w:pPr>
        <w:pageBreakBefore w:val="0"/>
        <w:kinsoku/>
        <w:overflowPunct/>
        <w:autoSpaceDE/>
        <w:autoSpaceDN/>
        <w:bidi w:val="0"/>
        <w:adjustRightInd w:val="0"/>
        <w:snapToGrid w:val="0"/>
        <w:spacing w:line="560" w:lineRule="exact"/>
        <w:ind w:firstLine="560" w:firstLineChars="200"/>
        <w:textAlignment w:val="auto"/>
        <w:rPr>
          <w:rFonts w:hint="eastAsia" w:ascii="仿宋" w:hAnsi="仿宋" w:eastAsia="仿宋" w:cs="仿宋"/>
          <w:color w:val="auto"/>
          <w:sz w:val="28"/>
          <w:szCs w:val="28"/>
          <w:highlight w:val="none"/>
        </w:rPr>
      </w:pPr>
      <w:bookmarkStart w:id="16" w:name="OLE_LINK9"/>
      <w:bookmarkStart w:id="17" w:name="_Toc35393792"/>
      <w:bookmarkStart w:id="18" w:name="_Toc28359004"/>
      <w:bookmarkStart w:id="19" w:name="_Toc35393623"/>
      <w:bookmarkStart w:id="20" w:name="_Toc28359081"/>
      <w:r>
        <w:rPr>
          <w:rFonts w:hint="eastAsia" w:ascii="仿宋" w:hAnsi="仿宋" w:eastAsia="仿宋" w:cs="仿宋"/>
          <w:color w:val="auto"/>
          <w:sz w:val="28"/>
          <w:szCs w:val="28"/>
          <w:highlight w:val="none"/>
        </w:rPr>
        <w:t>1.满足《中华人民共和国政府采购法》第二十二条规定；</w:t>
      </w:r>
    </w:p>
    <w:p w14:paraId="6BE9CC68">
      <w:pPr>
        <w:pageBreakBefore w:val="0"/>
        <w:kinsoku/>
        <w:overflowPunct/>
        <w:autoSpaceDE/>
        <w:autoSpaceDN/>
        <w:bidi w:val="0"/>
        <w:adjustRightInd w:val="0"/>
        <w:snapToGrid w:val="0"/>
        <w:spacing w:line="560" w:lineRule="exact"/>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2.落实政府采购政策需满足的资格要求：无；</w:t>
      </w:r>
    </w:p>
    <w:p w14:paraId="5059F44F">
      <w:pPr>
        <w:pageBreakBefore w:val="0"/>
        <w:kinsoku/>
        <w:overflowPunct/>
        <w:autoSpaceDE/>
        <w:autoSpaceDN/>
        <w:bidi w:val="0"/>
        <w:adjustRightInd w:val="0"/>
        <w:snapToGrid w:val="0"/>
        <w:spacing w:line="560" w:lineRule="exact"/>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3.本项目的特定资格要求：</w:t>
      </w:r>
    </w:p>
    <w:p w14:paraId="3A7EFE2E">
      <w:pPr>
        <w:pageBreakBefore w:val="0"/>
        <w:widowControl/>
        <w:kinsoku/>
        <w:overflowPunct/>
        <w:autoSpaceDE/>
        <w:autoSpaceDN/>
        <w:bidi w:val="0"/>
        <w:spacing w:line="560" w:lineRule="exact"/>
        <w:ind w:firstLine="560" w:firstLineChars="200"/>
        <w:textAlignment w:val="auto"/>
        <w:rPr>
          <w:rFonts w:hint="eastAsia" w:ascii="仿宋" w:hAnsi="仿宋" w:eastAsia="仿宋" w:cs="仿宋"/>
          <w:color w:val="auto"/>
          <w:sz w:val="28"/>
          <w:szCs w:val="28"/>
          <w:highlight w:val="none"/>
        </w:rPr>
      </w:pPr>
      <w:bookmarkStart w:id="21" w:name="OLE_LINK11"/>
      <w:r>
        <w:rPr>
          <w:rFonts w:hint="eastAsia" w:ascii="仿宋" w:hAnsi="仿宋" w:eastAsia="仿宋" w:cs="仿宋"/>
          <w:color w:val="auto"/>
          <w:sz w:val="28"/>
          <w:szCs w:val="28"/>
          <w:highlight w:val="none"/>
        </w:rPr>
        <w:t>3.1</w:t>
      </w:r>
      <w:bookmarkEnd w:id="21"/>
      <w:r>
        <w:rPr>
          <w:rFonts w:hint="eastAsia" w:ascii="仿宋" w:hAnsi="仿宋" w:eastAsia="仿宋" w:cs="仿宋"/>
          <w:color w:val="auto"/>
          <w:sz w:val="28"/>
          <w:szCs w:val="28"/>
          <w:highlight w:val="none"/>
        </w:rPr>
        <w:t>投标主体要求</w:t>
      </w:r>
    </w:p>
    <w:p w14:paraId="6A4BD24E">
      <w:pPr>
        <w:pageBreakBefore w:val="0"/>
        <w:widowControl/>
        <w:kinsoku/>
        <w:overflowPunct/>
        <w:autoSpaceDE/>
        <w:autoSpaceDN/>
        <w:bidi w:val="0"/>
        <w:spacing w:line="560" w:lineRule="exact"/>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3.1.1在中华人民共和国关境内注册，有能力供货的产品制造商。</w:t>
      </w:r>
    </w:p>
    <w:p w14:paraId="57B4C606">
      <w:pPr>
        <w:pageBreakBefore w:val="0"/>
        <w:widowControl/>
        <w:kinsoku/>
        <w:overflowPunct/>
        <w:autoSpaceDE/>
        <w:autoSpaceDN/>
        <w:bidi w:val="0"/>
        <w:spacing w:line="560" w:lineRule="exact"/>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3.1.2制造商可以独立参加投标；制造商（或制造商所在的集团公司）在中国关境内设立的仅销售本制造商（或制造商所在的集团公司）产品的贸易公司也可参加投标，视同为制造商。</w:t>
      </w:r>
    </w:p>
    <w:p w14:paraId="25A1F3F8">
      <w:pPr>
        <w:pageBreakBefore w:val="0"/>
        <w:widowControl/>
        <w:kinsoku/>
        <w:overflowPunct/>
        <w:autoSpaceDE/>
        <w:autoSpaceDN/>
        <w:bidi w:val="0"/>
        <w:spacing w:line="560" w:lineRule="exact"/>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3.2资质要求：</w:t>
      </w:r>
    </w:p>
    <w:p w14:paraId="02838082">
      <w:pPr>
        <w:pageBreakBefore w:val="0"/>
        <w:widowControl/>
        <w:kinsoku/>
        <w:overflowPunct/>
        <w:autoSpaceDE/>
        <w:autoSpaceDN/>
        <w:bidi w:val="0"/>
        <w:spacing w:line="560" w:lineRule="exact"/>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3.2.1若投标产品为第二类和第三类医疗器械，应提供有效的医疗器械生产许可证；若投标产品为第一类医疗器械，须在投标文件中提供备案证明材料或承诺函，承诺在合同签订前提供其向所在地设区的市级负责药品监督管理部门完成生产备案的证明材料，若未按规定提供视为自动放弃中标资格；</w:t>
      </w:r>
    </w:p>
    <w:p w14:paraId="2D95E144">
      <w:pPr>
        <w:pageBreakBefore w:val="0"/>
        <w:widowControl/>
        <w:kinsoku/>
        <w:overflowPunct/>
        <w:autoSpaceDE/>
        <w:autoSpaceDN/>
        <w:bidi w:val="0"/>
        <w:spacing w:line="560" w:lineRule="exact"/>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3.2.2投标人资格要求第3.1.2</w:t>
      </w:r>
      <w:r>
        <w:rPr>
          <w:rFonts w:hint="eastAsia" w:ascii="仿宋" w:hAnsi="仿宋" w:eastAsia="仿宋" w:cs="仿宋"/>
          <w:color w:val="auto"/>
          <w:sz w:val="28"/>
          <w:szCs w:val="28"/>
          <w:highlight w:val="none"/>
          <w:lang w:val="en-US" w:eastAsia="zh-CN"/>
        </w:rPr>
        <w:t>项</w:t>
      </w:r>
      <w:r>
        <w:rPr>
          <w:rFonts w:hint="eastAsia" w:ascii="仿宋" w:hAnsi="仿宋" w:eastAsia="仿宋" w:cs="仿宋"/>
          <w:color w:val="auto"/>
          <w:sz w:val="28"/>
          <w:szCs w:val="28"/>
          <w:highlight w:val="none"/>
        </w:rPr>
        <w:t>所述视同制造商的贸易公司参加投标时，或投标人（医疗器械注册人、备案人）在其他场所（非其住所或者生产地址）贮存并销售医疗器械时：若投标产品为第三类医疗器械，应提供有效的医疗器械经营许可证；若投标产品为第二类医疗器械，须在投标文件中提供备案证明材料或承诺函，承诺在合同签订前提供其向所在地设区的市级负责药品监督管理部门完成经营备案的证明材料，若未按规定提供视为自动放弃中标资格；若投标产品在《免于经营备案的第二类医疗器械产品目录》中，可不提供备案证明材料或者承诺函，但需要投标文件中提供目录或说明。</w:t>
      </w:r>
    </w:p>
    <w:p w14:paraId="5CD3B875">
      <w:pPr>
        <w:pageBreakBefore w:val="0"/>
        <w:widowControl/>
        <w:kinsoku/>
        <w:overflowPunct/>
        <w:autoSpaceDE/>
        <w:autoSpaceDN/>
        <w:bidi w:val="0"/>
        <w:spacing w:line="560" w:lineRule="exact"/>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3.2.3 若投标产品为第二类和第三类医疗器械，投标产品须具有有效的医疗器械注册证；若投标产品为第一类医疗器械，须在投标文件中提供备案证明材料或承诺函，承诺在合同签订前提供其向相应药品监督管理部门完成产品备案的证明材料，若未按规定提供视为自动放弃中标资格。</w:t>
      </w:r>
    </w:p>
    <w:bookmarkEnd w:id="16"/>
    <w:p w14:paraId="0FE20562">
      <w:pPr>
        <w:pageBreakBefore w:val="0"/>
        <w:widowControl/>
        <w:kinsoku/>
        <w:overflowPunct/>
        <w:autoSpaceDE/>
        <w:autoSpaceDN/>
        <w:bidi w:val="0"/>
        <w:spacing w:line="560" w:lineRule="exact"/>
        <w:ind w:firstLine="560" w:firstLineChars="200"/>
        <w:textAlignment w:val="auto"/>
        <w:rPr>
          <w:rFonts w:hint="eastAsia" w:ascii="仿宋" w:hAnsi="仿宋" w:eastAsia="仿宋" w:cs="仿宋"/>
          <w:color w:val="auto"/>
          <w:sz w:val="28"/>
          <w:szCs w:val="28"/>
          <w:highlight w:val="none"/>
          <w:u w:val="single"/>
        </w:rPr>
      </w:pPr>
      <w:r>
        <w:rPr>
          <w:rFonts w:hint="eastAsia" w:ascii="仿宋" w:hAnsi="仿宋" w:eastAsia="仿宋" w:cs="仿宋"/>
          <w:color w:val="auto"/>
          <w:sz w:val="28"/>
          <w:szCs w:val="28"/>
          <w:highlight w:val="none"/>
        </w:rPr>
        <w:t>3.3业绩要求：无；</w:t>
      </w:r>
    </w:p>
    <w:p w14:paraId="66340E8D">
      <w:pPr>
        <w:pageBreakBefore w:val="0"/>
        <w:kinsoku/>
        <w:overflowPunct/>
        <w:autoSpaceDE/>
        <w:autoSpaceDN/>
        <w:bidi w:val="0"/>
        <w:adjustRightInd w:val="0"/>
        <w:snapToGrid w:val="0"/>
        <w:spacing w:line="560" w:lineRule="exact"/>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3.4接受联合体参加采购活动的，联合体应当满足下列要求：无；</w:t>
      </w:r>
    </w:p>
    <w:p w14:paraId="4218757F">
      <w:pPr>
        <w:pageBreakBefore w:val="0"/>
        <w:kinsoku/>
        <w:overflowPunct/>
        <w:autoSpaceDE/>
        <w:autoSpaceDN/>
        <w:bidi w:val="0"/>
        <w:adjustRightInd w:val="0"/>
        <w:snapToGrid w:val="0"/>
        <w:spacing w:line="560" w:lineRule="exact"/>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3.5信誉要求</w:t>
      </w:r>
    </w:p>
    <w:p w14:paraId="388B9220">
      <w:pPr>
        <w:pageBreakBefore w:val="0"/>
        <w:kinsoku/>
        <w:overflowPunct/>
        <w:autoSpaceDE/>
        <w:autoSpaceDN/>
        <w:bidi w:val="0"/>
        <w:adjustRightInd w:val="0"/>
        <w:snapToGrid w:val="0"/>
        <w:spacing w:line="560" w:lineRule="exact"/>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截至提交投标文件截止时间，投标人（不含其不具有独立法人资格的分支机构）存在下列有效情形之一的，其投标文件按无效处理。</w:t>
      </w:r>
    </w:p>
    <w:p w14:paraId="353342D2">
      <w:pPr>
        <w:pageBreakBefore w:val="0"/>
        <w:kinsoku/>
        <w:overflowPunct/>
        <w:autoSpaceDE/>
        <w:autoSpaceDN/>
        <w:bidi w:val="0"/>
        <w:adjustRightInd w:val="0"/>
        <w:snapToGrid w:val="0"/>
        <w:spacing w:line="560" w:lineRule="exact"/>
        <w:ind w:firstLine="560" w:firstLineChars="200"/>
        <w:textAlignment w:val="auto"/>
        <w:rPr>
          <w:rFonts w:hint="eastAsia" w:ascii="仿宋" w:hAnsi="仿宋" w:eastAsia="仿宋" w:cs="仿宋"/>
          <w:color w:val="000000"/>
          <w:sz w:val="28"/>
          <w:szCs w:val="28"/>
          <w:highlight w:val="none"/>
        </w:rPr>
      </w:pPr>
      <w:r>
        <w:rPr>
          <w:rFonts w:hint="eastAsia" w:ascii="仿宋" w:hAnsi="仿宋" w:eastAsia="仿宋" w:cs="仿宋"/>
          <w:color w:val="auto"/>
          <w:sz w:val="28"/>
          <w:szCs w:val="28"/>
          <w:highlight w:val="none"/>
        </w:rPr>
        <w:t>（1）被人民法院列入失信被</w:t>
      </w:r>
      <w:r>
        <w:rPr>
          <w:rFonts w:hint="eastAsia" w:ascii="仿宋" w:hAnsi="仿宋" w:eastAsia="仿宋" w:cs="仿宋"/>
          <w:color w:val="000000"/>
          <w:sz w:val="28"/>
          <w:szCs w:val="28"/>
          <w:highlight w:val="none"/>
        </w:rPr>
        <w:t>执行人名单的；</w:t>
      </w:r>
    </w:p>
    <w:p w14:paraId="0DC1C6C3">
      <w:pPr>
        <w:pageBreakBefore w:val="0"/>
        <w:kinsoku/>
        <w:overflowPunct/>
        <w:autoSpaceDE/>
        <w:autoSpaceDN/>
        <w:bidi w:val="0"/>
        <w:adjustRightInd w:val="0"/>
        <w:snapToGrid w:val="0"/>
        <w:spacing w:line="560" w:lineRule="exact"/>
        <w:ind w:firstLine="560" w:firstLineChars="200"/>
        <w:textAlignment w:val="auto"/>
        <w:rPr>
          <w:rFonts w:hint="eastAsia" w:ascii="仿宋" w:hAnsi="仿宋" w:eastAsia="仿宋" w:cs="仿宋"/>
          <w:color w:val="000000"/>
          <w:sz w:val="28"/>
          <w:szCs w:val="28"/>
          <w:highlight w:val="none"/>
        </w:rPr>
      </w:pPr>
      <w:r>
        <w:rPr>
          <w:rFonts w:hint="eastAsia" w:ascii="仿宋" w:hAnsi="仿宋" w:eastAsia="仿宋" w:cs="仿宋"/>
          <w:color w:val="000000"/>
          <w:sz w:val="28"/>
          <w:szCs w:val="28"/>
          <w:highlight w:val="none"/>
        </w:rPr>
        <w:t>（2）被税务机关列入重大税收违法案件当事人名单的；</w:t>
      </w:r>
    </w:p>
    <w:p w14:paraId="1B227897">
      <w:pPr>
        <w:pageBreakBefore w:val="0"/>
        <w:kinsoku/>
        <w:overflowPunct/>
        <w:autoSpaceDE/>
        <w:autoSpaceDN/>
        <w:bidi w:val="0"/>
        <w:adjustRightInd w:val="0"/>
        <w:snapToGrid w:val="0"/>
        <w:spacing w:line="560" w:lineRule="exact"/>
        <w:ind w:firstLine="560" w:firstLineChars="200"/>
        <w:textAlignment w:val="auto"/>
        <w:rPr>
          <w:rFonts w:hint="eastAsia" w:ascii="仿宋" w:hAnsi="仿宋" w:eastAsia="仿宋" w:cs="仿宋"/>
          <w:color w:val="000000"/>
          <w:sz w:val="28"/>
          <w:szCs w:val="28"/>
          <w:highlight w:val="none"/>
        </w:rPr>
      </w:pPr>
      <w:r>
        <w:rPr>
          <w:rFonts w:hint="eastAsia" w:ascii="仿宋" w:hAnsi="仿宋" w:eastAsia="仿宋" w:cs="仿宋"/>
          <w:color w:val="000000"/>
          <w:sz w:val="28"/>
          <w:szCs w:val="28"/>
          <w:highlight w:val="none"/>
        </w:rPr>
        <w:t>（3）被财政部门列入政府采购严重违法失信名单的；</w:t>
      </w:r>
    </w:p>
    <w:p w14:paraId="3B66B812">
      <w:pPr>
        <w:pageBreakBefore w:val="0"/>
        <w:kinsoku/>
        <w:overflowPunct/>
        <w:autoSpaceDE/>
        <w:autoSpaceDN/>
        <w:bidi w:val="0"/>
        <w:adjustRightInd w:val="0"/>
        <w:snapToGrid w:val="0"/>
        <w:spacing w:line="560" w:lineRule="exact"/>
        <w:ind w:firstLine="560" w:firstLineChars="200"/>
        <w:textAlignment w:val="auto"/>
        <w:rPr>
          <w:rFonts w:hint="eastAsia" w:ascii="仿宋" w:hAnsi="仿宋" w:eastAsia="仿宋" w:cs="仿宋"/>
          <w:color w:val="000000"/>
          <w:sz w:val="28"/>
          <w:szCs w:val="28"/>
          <w:highlight w:val="none"/>
        </w:rPr>
      </w:pPr>
      <w:r>
        <w:rPr>
          <w:rFonts w:hint="eastAsia" w:ascii="仿宋" w:hAnsi="仿宋" w:eastAsia="仿宋" w:cs="仿宋"/>
          <w:color w:val="000000"/>
          <w:sz w:val="28"/>
          <w:szCs w:val="28"/>
          <w:highlight w:val="none"/>
        </w:rPr>
        <w:t>（4）被市场监督管理部门（或工商行政管理部门）列入经营异常名录（未按照《企业信息公示暂行条例》（国务院令第654号）第八条规定的期限公示年度报告被列入经营异常名录的除外）或者严重违法失信企业名单的。</w:t>
      </w:r>
    </w:p>
    <w:p w14:paraId="1C5DAF19">
      <w:pPr>
        <w:pageBreakBefore w:val="0"/>
        <w:kinsoku/>
        <w:overflowPunct/>
        <w:autoSpaceDE/>
        <w:autoSpaceDN/>
        <w:bidi w:val="0"/>
        <w:adjustRightInd w:val="0"/>
        <w:snapToGrid w:val="0"/>
        <w:spacing w:line="560" w:lineRule="exact"/>
        <w:ind w:firstLine="560" w:firstLineChars="200"/>
        <w:textAlignment w:val="auto"/>
        <w:rPr>
          <w:rFonts w:hint="eastAsia" w:ascii="仿宋" w:hAnsi="仿宋" w:eastAsia="仿宋" w:cs="仿宋"/>
          <w:color w:val="000000"/>
          <w:sz w:val="28"/>
          <w:szCs w:val="28"/>
          <w:highlight w:val="none"/>
        </w:rPr>
      </w:pPr>
      <w:r>
        <w:rPr>
          <w:rFonts w:hint="eastAsia" w:ascii="仿宋" w:hAnsi="仿宋" w:eastAsia="仿宋" w:cs="仿宋"/>
          <w:color w:val="000000"/>
          <w:sz w:val="28"/>
          <w:szCs w:val="28"/>
          <w:highlight w:val="none"/>
        </w:rPr>
        <w:t>注：“有效”是指“情形”规定的程度、起止期间处于有效状态。投标人为联合体的，对投标人的要求视同对联合体成员的要求。</w:t>
      </w:r>
    </w:p>
    <w:p w14:paraId="22445E6E">
      <w:pPr>
        <w:pageBreakBefore w:val="0"/>
        <w:kinsoku/>
        <w:overflowPunct/>
        <w:autoSpaceDE/>
        <w:autoSpaceDN/>
        <w:bidi w:val="0"/>
        <w:adjustRightInd w:val="0"/>
        <w:snapToGrid w:val="0"/>
        <w:spacing w:line="560" w:lineRule="exact"/>
        <w:ind w:firstLine="560" w:firstLineChars="200"/>
        <w:textAlignment w:val="auto"/>
        <w:rPr>
          <w:rFonts w:hint="eastAsia" w:ascii="仿宋" w:hAnsi="仿宋" w:eastAsia="仿宋" w:cs="仿宋"/>
          <w:color w:val="000000"/>
          <w:sz w:val="28"/>
          <w:szCs w:val="28"/>
          <w:highlight w:val="none"/>
        </w:rPr>
      </w:pPr>
      <w:r>
        <w:rPr>
          <w:rFonts w:hint="eastAsia" w:ascii="仿宋" w:hAnsi="仿宋" w:eastAsia="仿宋" w:cs="仿宋"/>
          <w:color w:val="auto"/>
          <w:sz w:val="28"/>
          <w:szCs w:val="28"/>
          <w:highlight w:val="none"/>
        </w:rPr>
        <w:t>3.6</w:t>
      </w:r>
      <w:r>
        <w:rPr>
          <w:rFonts w:hint="eastAsia" w:ascii="仿宋" w:hAnsi="仿宋" w:eastAsia="仿宋" w:cs="仿宋"/>
          <w:color w:val="000000"/>
          <w:sz w:val="28"/>
          <w:szCs w:val="28"/>
          <w:highlight w:val="none"/>
        </w:rPr>
        <w:t>其他要求：无。</w:t>
      </w:r>
    </w:p>
    <w:p w14:paraId="16F8C222">
      <w:pPr>
        <w:pStyle w:val="3"/>
        <w:pageBreakBefore w:val="0"/>
        <w:widowControl/>
        <w:kinsoku/>
        <w:overflowPunct/>
        <w:autoSpaceDE/>
        <w:autoSpaceDN/>
        <w:bidi w:val="0"/>
        <w:adjustRightInd w:val="0"/>
        <w:snapToGrid w:val="0"/>
        <w:spacing w:before="0" w:beforeLines="0" w:after="0" w:afterLines="0" w:line="560" w:lineRule="exact"/>
        <w:textAlignment w:val="auto"/>
        <w:rPr>
          <w:rStyle w:val="107"/>
          <w:rFonts w:hAnsi="宋体"/>
          <w:b w:val="0"/>
          <w:bCs w:val="0"/>
          <w:sz w:val="28"/>
          <w:szCs w:val="28"/>
          <w:highlight w:val="none"/>
        </w:rPr>
      </w:pPr>
      <w:r>
        <w:rPr>
          <w:rStyle w:val="107"/>
          <w:rFonts w:hint="eastAsia" w:hAnsi="宋体"/>
          <w:b w:val="0"/>
          <w:bCs w:val="0"/>
          <w:sz w:val="28"/>
          <w:szCs w:val="28"/>
          <w:highlight w:val="none"/>
        </w:rPr>
        <w:t>三、获取招标文件</w:t>
      </w:r>
      <w:bookmarkEnd w:id="17"/>
      <w:bookmarkEnd w:id="18"/>
      <w:bookmarkEnd w:id="19"/>
      <w:bookmarkEnd w:id="20"/>
    </w:p>
    <w:p w14:paraId="3A27B1B2">
      <w:pPr>
        <w:pageBreakBefore w:val="0"/>
        <w:kinsoku/>
        <w:overflowPunct/>
        <w:autoSpaceDE/>
        <w:autoSpaceDN/>
        <w:bidi w:val="0"/>
        <w:adjustRightInd w:val="0"/>
        <w:snapToGrid w:val="0"/>
        <w:spacing w:line="560" w:lineRule="exact"/>
        <w:ind w:firstLine="560" w:firstLineChars="200"/>
        <w:textAlignment w:val="auto"/>
        <w:rPr>
          <w:rFonts w:hint="eastAsia" w:ascii="仿宋" w:hAnsi="仿宋" w:eastAsia="仿宋" w:cs="仿宋"/>
          <w:color w:val="000000"/>
          <w:sz w:val="28"/>
          <w:szCs w:val="28"/>
          <w:highlight w:val="none"/>
        </w:rPr>
      </w:pPr>
      <w:r>
        <w:rPr>
          <w:rFonts w:hint="eastAsia" w:ascii="仿宋" w:hAnsi="仿宋" w:eastAsia="仿宋" w:cs="仿宋"/>
          <w:color w:val="000000"/>
          <w:sz w:val="28"/>
          <w:szCs w:val="28"/>
          <w:highlight w:val="none"/>
        </w:rPr>
        <w:t>时间：2025年</w:t>
      </w:r>
      <w:r>
        <w:rPr>
          <w:rFonts w:hint="eastAsia" w:ascii="仿宋" w:hAnsi="仿宋" w:eastAsia="仿宋" w:cs="仿宋"/>
          <w:color w:val="000000"/>
          <w:sz w:val="28"/>
          <w:szCs w:val="28"/>
          <w:highlight w:val="none"/>
          <w:lang w:val="en-US" w:eastAsia="zh-CN"/>
        </w:rPr>
        <w:t>12</w:t>
      </w:r>
      <w:r>
        <w:rPr>
          <w:rFonts w:hint="eastAsia" w:ascii="仿宋" w:hAnsi="仿宋" w:eastAsia="仿宋" w:cs="仿宋"/>
          <w:color w:val="000000"/>
          <w:sz w:val="28"/>
          <w:szCs w:val="28"/>
          <w:highlight w:val="none"/>
        </w:rPr>
        <w:t>月</w:t>
      </w:r>
      <w:r>
        <w:rPr>
          <w:rFonts w:hint="eastAsia" w:ascii="仿宋" w:hAnsi="仿宋" w:eastAsia="仿宋" w:cs="仿宋"/>
          <w:color w:val="000000"/>
          <w:sz w:val="28"/>
          <w:szCs w:val="28"/>
          <w:highlight w:val="none"/>
          <w:lang w:val="en-US" w:eastAsia="zh-CN"/>
        </w:rPr>
        <w:t>2</w:t>
      </w:r>
      <w:r>
        <w:rPr>
          <w:rFonts w:hint="eastAsia" w:ascii="仿宋" w:hAnsi="仿宋" w:eastAsia="仿宋" w:cs="仿宋"/>
          <w:color w:val="000000"/>
          <w:sz w:val="28"/>
          <w:szCs w:val="28"/>
          <w:highlight w:val="none"/>
        </w:rPr>
        <w:t>日至2025年</w:t>
      </w:r>
      <w:r>
        <w:rPr>
          <w:rFonts w:hint="eastAsia" w:ascii="仿宋" w:hAnsi="仿宋" w:eastAsia="仿宋" w:cs="仿宋"/>
          <w:color w:val="000000"/>
          <w:sz w:val="28"/>
          <w:szCs w:val="28"/>
          <w:highlight w:val="none"/>
          <w:lang w:val="en-US" w:eastAsia="zh-CN"/>
        </w:rPr>
        <w:t>12</w:t>
      </w:r>
      <w:r>
        <w:rPr>
          <w:rFonts w:hint="eastAsia" w:ascii="仿宋" w:hAnsi="仿宋" w:eastAsia="仿宋" w:cs="仿宋"/>
          <w:color w:val="000000"/>
          <w:sz w:val="28"/>
          <w:szCs w:val="28"/>
          <w:highlight w:val="none"/>
        </w:rPr>
        <w:t>月</w:t>
      </w:r>
      <w:r>
        <w:rPr>
          <w:rFonts w:hint="eastAsia" w:ascii="仿宋" w:hAnsi="仿宋" w:eastAsia="仿宋" w:cs="仿宋"/>
          <w:color w:val="000000"/>
          <w:sz w:val="28"/>
          <w:szCs w:val="28"/>
          <w:highlight w:val="none"/>
          <w:lang w:val="en-US" w:eastAsia="zh-CN"/>
        </w:rPr>
        <w:t>9</w:t>
      </w:r>
      <w:r>
        <w:rPr>
          <w:rFonts w:hint="eastAsia" w:ascii="仿宋" w:hAnsi="仿宋" w:eastAsia="仿宋" w:cs="仿宋"/>
          <w:color w:val="000000"/>
          <w:sz w:val="28"/>
          <w:szCs w:val="28"/>
          <w:highlight w:val="none"/>
        </w:rPr>
        <w:t>日。</w:t>
      </w:r>
    </w:p>
    <w:p w14:paraId="7094CDA2">
      <w:pPr>
        <w:pageBreakBefore w:val="0"/>
        <w:kinsoku/>
        <w:overflowPunct/>
        <w:autoSpaceDE/>
        <w:autoSpaceDN/>
        <w:bidi w:val="0"/>
        <w:adjustRightInd w:val="0"/>
        <w:snapToGrid w:val="0"/>
        <w:spacing w:line="560" w:lineRule="exact"/>
        <w:ind w:firstLine="560" w:firstLineChars="200"/>
        <w:textAlignment w:val="auto"/>
        <w:rPr>
          <w:rFonts w:hint="eastAsia" w:ascii="仿宋" w:hAnsi="仿宋" w:eastAsia="仿宋" w:cs="仿宋"/>
          <w:color w:val="000000"/>
          <w:sz w:val="28"/>
          <w:szCs w:val="28"/>
          <w:highlight w:val="none"/>
        </w:rPr>
      </w:pPr>
      <w:r>
        <w:rPr>
          <w:rFonts w:hint="eastAsia" w:ascii="仿宋" w:hAnsi="仿宋" w:eastAsia="仿宋" w:cs="仿宋"/>
          <w:color w:val="000000"/>
          <w:sz w:val="28"/>
          <w:szCs w:val="28"/>
          <w:highlight w:val="none"/>
        </w:rPr>
        <w:t>地点：“优质采招标采购平台（www.yzczb.com）”或“优质采云采购平台（www.youzhicai.com）”</w:t>
      </w:r>
    </w:p>
    <w:p w14:paraId="05A15963">
      <w:pPr>
        <w:pageBreakBefore w:val="0"/>
        <w:kinsoku/>
        <w:overflowPunct/>
        <w:autoSpaceDE/>
        <w:autoSpaceDN/>
        <w:bidi w:val="0"/>
        <w:adjustRightInd w:val="0"/>
        <w:snapToGrid w:val="0"/>
        <w:spacing w:line="560" w:lineRule="exact"/>
        <w:ind w:firstLine="560" w:firstLineChars="200"/>
        <w:textAlignment w:val="auto"/>
        <w:rPr>
          <w:rFonts w:hint="eastAsia" w:ascii="仿宋" w:hAnsi="仿宋" w:eastAsia="仿宋" w:cs="仿宋"/>
          <w:color w:val="000000"/>
          <w:sz w:val="28"/>
          <w:szCs w:val="28"/>
          <w:highlight w:val="none"/>
        </w:rPr>
      </w:pPr>
      <w:r>
        <w:rPr>
          <w:rFonts w:hint="eastAsia" w:ascii="仿宋" w:hAnsi="仿宋" w:eastAsia="仿宋" w:cs="仿宋"/>
          <w:color w:val="000000"/>
          <w:sz w:val="28"/>
          <w:szCs w:val="28"/>
          <w:highlight w:val="none"/>
        </w:rPr>
        <w:t>方式：在线下载</w:t>
      </w:r>
    </w:p>
    <w:p w14:paraId="6255C661">
      <w:pPr>
        <w:pageBreakBefore w:val="0"/>
        <w:kinsoku/>
        <w:overflowPunct/>
        <w:autoSpaceDE/>
        <w:autoSpaceDN/>
        <w:bidi w:val="0"/>
        <w:adjustRightInd w:val="0"/>
        <w:snapToGrid w:val="0"/>
        <w:spacing w:line="560" w:lineRule="exact"/>
        <w:ind w:firstLine="560" w:firstLineChars="200"/>
        <w:textAlignment w:val="auto"/>
        <w:rPr>
          <w:rFonts w:hint="eastAsia" w:ascii="仿宋" w:hAnsi="仿宋" w:eastAsia="仿宋" w:cs="仿宋"/>
          <w:color w:val="000000"/>
          <w:sz w:val="28"/>
          <w:szCs w:val="28"/>
          <w:highlight w:val="none"/>
          <w:u w:val="single"/>
        </w:rPr>
      </w:pPr>
      <w:r>
        <w:rPr>
          <w:rFonts w:hint="eastAsia" w:ascii="仿宋" w:hAnsi="仿宋" w:eastAsia="仿宋" w:cs="仿宋"/>
          <w:color w:val="000000"/>
          <w:sz w:val="28"/>
          <w:szCs w:val="28"/>
          <w:highlight w:val="none"/>
        </w:rPr>
        <w:t>售价(元)：0</w:t>
      </w:r>
    </w:p>
    <w:p w14:paraId="1BEED62E">
      <w:pPr>
        <w:pStyle w:val="3"/>
        <w:pageBreakBefore w:val="0"/>
        <w:widowControl/>
        <w:kinsoku/>
        <w:overflowPunct/>
        <w:autoSpaceDE/>
        <w:autoSpaceDN/>
        <w:bidi w:val="0"/>
        <w:adjustRightInd w:val="0"/>
        <w:snapToGrid w:val="0"/>
        <w:spacing w:before="0" w:beforeLines="0" w:after="0" w:afterLines="0" w:line="560" w:lineRule="exact"/>
        <w:textAlignment w:val="auto"/>
        <w:rPr>
          <w:rStyle w:val="107"/>
          <w:rFonts w:hAnsi="宋体"/>
          <w:b w:val="0"/>
          <w:bCs w:val="0"/>
          <w:color w:val="000000"/>
          <w:sz w:val="28"/>
          <w:szCs w:val="28"/>
          <w:highlight w:val="none"/>
        </w:rPr>
      </w:pPr>
      <w:bookmarkStart w:id="22" w:name="_Toc28359005"/>
      <w:bookmarkStart w:id="23" w:name="_Toc28359082"/>
      <w:bookmarkStart w:id="24" w:name="_Toc35393624"/>
      <w:bookmarkStart w:id="25" w:name="_Toc35393793"/>
      <w:r>
        <w:rPr>
          <w:rStyle w:val="107"/>
          <w:rFonts w:hint="eastAsia" w:hAnsi="宋体"/>
          <w:b w:val="0"/>
          <w:bCs w:val="0"/>
          <w:color w:val="000000"/>
          <w:sz w:val="28"/>
          <w:szCs w:val="28"/>
          <w:highlight w:val="none"/>
        </w:rPr>
        <w:t>四、提交投标文件</w:t>
      </w:r>
      <w:bookmarkEnd w:id="22"/>
      <w:bookmarkEnd w:id="23"/>
      <w:r>
        <w:rPr>
          <w:rStyle w:val="107"/>
          <w:rFonts w:hint="eastAsia" w:hAnsi="宋体"/>
          <w:b w:val="0"/>
          <w:bCs w:val="0"/>
          <w:color w:val="000000"/>
          <w:sz w:val="28"/>
          <w:szCs w:val="28"/>
          <w:highlight w:val="none"/>
        </w:rPr>
        <w:t>截止时间、开标时间和地点</w:t>
      </w:r>
      <w:bookmarkEnd w:id="24"/>
      <w:bookmarkEnd w:id="25"/>
    </w:p>
    <w:p w14:paraId="1D2E6713">
      <w:pPr>
        <w:pageBreakBefore w:val="0"/>
        <w:kinsoku/>
        <w:overflowPunct/>
        <w:autoSpaceDE/>
        <w:autoSpaceDN/>
        <w:bidi w:val="0"/>
        <w:adjustRightInd w:val="0"/>
        <w:snapToGrid w:val="0"/>
        <w:spacing w:line="560" w:lineRule="exact"/>
        <w:ind w:firstLine="560" w:firstLineChars="200"/>
        <w:textAlignment w:val="auto"/>
        <w:rPr>
          <w:rFonts w:hint="eastAsia" w:ascii="仿宋" w:hAnsi="仿宋" w:eastAsia="仿宋" w:cs="仿宋"/>
          <w:color w:val="000000"/>
          <w:sz w:val="28"/>
          <w:szCs w:val="28"/>
          <w:highlight w:val="none"/>
          <w:u w:val="single"/>
        </w:rPr>
      </w:pPr>
      <w:r>
        <w:rPr>
          <w:rFonts w:hint="eastAsia" w:ascii="仿宋" w:hAnsi="仿宋" w:eastAsia="仿宋" w:cs="仿宋"/>
          <w:color w:val="000000"/>
          <w:sz w:val="28"/>
          <w:szCs w:val="28"/>
          <w:highlight w:val="none"/>
        </w:rPr>
        <w:t>2025年</w:t>
      </w:r>
      <w:r>
        <w:rPr>
          <w:rFonts w:hint="eastAsia" w:ascii="仿宋" w:hAnsi="仿宋" w:eastAsia="仿宋" w:cs="仿宋"/>
          <w:color w:val="000000"/>
          <w:sz w:val="28"/>
          <w:szCs w:val="28"/>
          <w:highlight w:val="none"/>
          <w:lang w:val="en-US" w:eastAsia="zh-CN"/>
        </w:rPr>
        <w:t>12</w:t>
      </w:r>
      <w:r>
        <w:rPr>
          <w:rFonts w:hint="eastAsia" w:ascii="仿宋" w:hAnsi="仿宋" w:eastAsia="仿宋" w:cs="仿宋"/>
          <w:color w:val="000000"/>
          <w:sz w:val="28"/>
          <w:szCs w:val="28"/>
          <w:highlight w:val="none"/>
        </w:rPr>
        <w:t>月</w:t>
      </w:r>
      <w:r>
        <w:rPr>
          <w:rFonts w:hint="eastAsia" w:ascii="仿宋" w:hAnsi="仿宋" w:eastAsia="仿宋" w:cs="仿宋"/>
          <w:color w:val="000000"/>
          <w:sz w:val="28"/>
          <w:szCs w:val="28"/>
          <w:highlight w:val="none"/>
          <w:lang w:val="en-US" w:eastAsia="zh-CN"/>
        </w:rPr>
        <w:t>23</w:t>
      </w:r>
      <w:r>
        <w:rPr>
          <w:rFonts w:hint="eastAsia" w:ascii="仿宋" w:hAnsi="仿宋" w:eastAsia="仿宋" w:cs="仿宋"/>
          <w:color w:val="000000"/>
          <w:sz w:val="28"/>
          <w:szCs w:val="28"/>
          <w:highlight w:val="none"/>
        </w:rPr>
        <w:t>日</w:t>
      </w:r>
      <w:r>
        <w:rPr>
          <w:rFonts w:hint="eastAsia" w:ascii="仿宋" w:hAnsi="仿宋" w:eastAsia="仿宋" w:cs="仿宋"/>
          <w:color w:val="000000"/>
          <w:sz w:val="28"/>
          <w:szCs w:val="28"/>
          <w:highlight w:val="none"/>
          <w:lang w:val="en-US" w:eastAsia="zh-CN"/>
        </w:rPr>
        <w:t>09</w:t>
      </w:r>
      <w:r>
        <w:rPr>
          <w:rFonts w:hint="eastAsia" w:ascii="仿宋" w:hAnsi="仿宋" w:eastAsia="仿宋" w:cs="仿宋"/>
          <w:color w:val="000000"/>
          <w:sz w:val="28"/>
          <w:szCs w:val="28"/>
          <w:highlight w:val="none"/>
        </w:rPr>
        <w:t>点</w:t>
      </w:r>
      <w:r>
        <w:rPr>
          <w:rFonts w:hint="eastAsia" w:ascii="仿宋" w:hAnsi="仿宋" w:eastAsia="仿宋" w:cs="仿宋"/>
          <w:color w:val="000000"/>
          <w:sz w:val="28"/>
          <w:szCs w:val="28"/>
          <w:highlight w:val="none"/>
          <w:lang w:val="en-US" w:eastAsia="zh-CN"/>
        </w:rPr>
        <w:t>30</w:t>
      </w:r>
      <w:r>
        <w:rPr>
          <w:rFonts w:hint="eastAsia" w:ascii="仿宋" w:hAnsi="仿宋" w:eastAsia="仿宋" w:cs="仿宋"/>
          <w:color w:val="000000"/>
          <w:sz w:val="28"/>
          <w:szCs w:val="28"/>
          <w:highlight w:val="none"/>
        </w:rPr>
        <w:t>分</w:t>
      </w:r>
      <w:r>
        <w:rPr>
          <w:rFonts w:hint="eastAsia" w:ascii="仿宋" w:hAnsi="仿宋" w:eastAsia="仿宋" w:cs="仿宋"/>
          <w:bCs/>
          <w:color w:val="000000"/>
          <w:sz w:val="28"/>
          <w:szCs w:val="28"/>
          <w:highlight w:val="none"/>
        </w:rPr>
        <w:t>（北京时间）</w:t>
      </w:r>
    </w:p>
    <w:p w14:paraId="639656CB">
      <w:pPr>
        <w:pageBreakBefore w:val="0"/>
        <w:kinsoku/>
        <w:overflowPunct/>
        <w:autoSpaceDE/>
        <w:autoSpaceDN/>
        <w:bidi w:val="0"/>
        <w:adjustRightInd w:val="0"/>
        <w:snapToGrid w:val="0"/>
        <w:spacing w:line="560" w:lineRule="exact"/>
        <w:ind w:firstLine="560" w:firstLineChars="200"/>
        <w:textAlignment w:val="auto"/>
        <w:rPr>
          <w:rFonts w:ascii="宋体" w:hAnsi="宋体" w:eastAsia="仿宋"/>
          <w:color w:val="000000"/>
          <w:sz w:val="28"/>
          <w:szCs w:val="28"/>
          <w:highlight w:val="none"/>
        </w:rPr>
      </w:pPr>
      <w:r>
        <w:rPr>
          <w:rFonts w:hint="eastAsia" w:ascii="仿宋" w:hAnsi="仿宋" w:eastAsia="仿宋" w:cs="仿宋"/>
          <w:color w:val="000000"/>
          <w:sz w:val="28"/>
          <w:szCs w:val="28"/>
          <w:highlight w:val="none"/>
        </w:rPr>
        <w:t>地点：</w:t>
      </w:r>
      <w:bookmarkStart w:id="26" w:name="_Hlk44253880"/>
      <w:r>
        <w:rPr>
          <w:rFonts w:hint="eastAsia" w:ascii="仿宋" w:hAnsi="仿宋" w:eastAsia="仿宋" w:cs="仿宋"/>
          <w:color w:val="000000"/>
          <w:sz w:val="28"/>
          <w:szCs w:val="28"/>
          <w:highlight w:val="none"/>
        </w:rPr>
        <w:t>“优质采招标采购平台（www.yzczb.com）”或“优质采云采购平台（www.youzhicai.com）”</w:t>
      </w:r>
      <w:bookmarkEnd w:id="26"/>
    </w:p>
    <w:p w14:paraId="61CBC8F0">
      <w:pPr>
        <w:pStyle w:val="3"/>
        <w:pageBreakBefore w:val="0"/>
        <w:widowControl/>
        <w:kinsoku/>
        <w:overflowPunct/>
        <w:autoSpaceDE/>
        <w:autoSpaceDN/>
        <w:bidi w:val="0"/>
        <w:adjustRightInd w:val="0"/>
        <w:snapToGrid w:val="0"/>
        <w:spacing w:before="0" w:beforeLines="0" w:after="0" w:afterLines="0" w:line="560" w:lineRule="exact"/>
        <w:textAlignment w:val="auto"/>
        <w:rPr>
          <w:rStyle w:val="107"/>
          <w:rFonts w:hAnsi="宋体"/>
          <w:b w:val="0"/>
          <w:bCs w:val="0"/>
          <w:sz w:val="28"/>
          <w:szCs w:val="28"/>
          <w:highlight w:val="none"/>
        </w:rPr>
      </w:pPr>
      <w:bookmarkStart w:id="27" w:name="_Toc28359084"/>
      <w:bookmarkStart w:id="28" w:name="_Toc35393625"/>
      <w:bookmarkStart w:id="29" w:name="_Toc28359007"/>
      <w:bookmarkStart w:id="30" w:name="_Toc35393794"/>
      <w:r>
        <w:rPr>
          <w:rStyle w:val="107"/>
          <w:rFonts w:hint="eastAsia" w:hAnsi="宋体"/>
          <w:b w:val="0"/>
          <w:bCs w:val="0"/>
          <w:sz w:val="28"/>
          <w:szCs w:val="28"/>
          <w:highlight w:val="none"/>
        </w:rPr>
        <w:t>五、公告期限</w:t>
      </w:r>
      <w:bookmarkEnd w:id="27"/>
      <w:bookmarkEnd w:id="28"/>
      <w:bookmarkEnd w:id="29"/>
      <w:bookmarkEnd w:id="30"/>
    </w:p>
    <w:p w14:paraId="30AB66BA">
      <w:pPr>
        <w:pageBreakBefore w:val="0"/>
        <w:kinsoku/>
        <w:overflowPunct/>
        <w:autoSpaceDE/>
        <w:autoSpaceDN/>
        <w:bidi w:val="0"/>
        <w:adjustRightInd w:val="0"/>
        <w:snapToGrid w:val="0"/>
        <w:spacing w:line="560" w:lineRule="exact"/>
        <w:ind w:firstLine="560" w:firstLineChars="200"/>
        <w:textAlignment w:val="auto"/>
        <w:rPr>
          <w:rFonts w:hint="eastAsia" w:ascii="仿宋" w:hAnsi="仿宋" w:eastAsia="仿宋" w:cs="仿宋"/>
          <w:kern w:val="0"/>
          <w:sz w:val="28"/>
          <w:szCs w:val="28"/>
          <w:highlight w:val="none"/>
        </w:rPr>
      </w:pPr>
      <w:r>
        <w:rPr>
          <w:rFonts w:hint="eastAsia" w:ascii="仿宋" w:hAnsi="仿宋" w:eastAsia="仿宋" w:cs="仿宋"/>
          <w:kern w:val="0"/>
          <w:sz w:val="28"/>
          <w:szCs w:val="28"/>
          <w:highlight w:val="none"/>
        </w:rPr>
        <w:t>自本公告发布之日起5个工作日。</w:t>
      </w:r>
    </w:p>
    <w:p w14:paraId="785E08E6">
      <w:pPr>
        <w:pStyle w:val="3"/>
        <w:pageBreakBefore w:val="0"/>
        <w:widowControl/>
        <w:kinsoku/>
        <w:overflowPunct/>
        <w:autoSpaceDE/>
        <w:autoSpaceDN/>
        <w:bidi w:val="0"/>
        <w:adjustRightInd w:val="0"/>
        <w:snapToGrid w:val="0"/>
        <w:spacing w:before="0" w:beforeLines="0" w:after="0" w:afterLines="0" w:line="560" w:lineRule="exact"/>
        <w:textAlignment w:val="auto"/>
        <w:rPr>
          <w:rStyle w:val="107"/>
          <w:rFonts w:hAnsi="宋体"/>
          <w:b w:val="0"/>
          <w:bCs w:val="0"/>
          <w:sz w:val="28"/>
          <w:szCs w:val="28"/>
          <w:highlight w:val="none"/>
        </w:rPr>
      </w:pPr>
      <w:bookmarkStart w:id="31" w:name="_Toc35393626"/>
      <w:bookmarkStart w:id="32" w:name="_Toc35393795"/>
      <w:r>
        <w:rPr>
          <w:rStyle w:val="107"/>
          <w:rFonts w:hint="eastAsia" w:hAnsi="宋体"/>
          <w:b w:val="0"/>
          <w:bCs w:val="0"/>
          <w:sz w:val="28"/>
          <w:szCs w:val="28"/>
          <w:highlight w:val="none"/>
        </w:rPr>
        <w:t>六、其他补充事宜</w:t>
      </w:r>
      <w:bookmarkEnd w:id="31"/>
      <w:bookmarkEnd w:id="32"/>
    </w:p>
    <w:p w14:paraId="0F9CC822">
      <w:pPr>
        <w:pageBreakBefore w:val="0"/>
        <w:widowControl/>
        <w:kinsoku/>
        <w:overflowPunct/>
        <w:topLinePunct/>
        <w:autoSpaceDE/>
        <w:autoSpaceDN/>
        <w:bidi w:val="0"/>
        <w:spacing w:line="560" w:lineRule="exact"/>
        <w:ind w:firstLine="560" w:firstLineChars="200"/>
        <w:textAlignment w:val="auto"/>
        <w:rPr>
          <w:rFonts w:hint="eastAsia" w:ascii="仿宋" w:hAnsi="仿宋" w:eastAsia="仿宋" w:cs="仿宋"/>
          <w:sz w:val="28"/>
          <w:szCs w:val="28"/>
          <w:highlight w:val="none"/>
        </w:rPr>
      </w:pPr>
      <w:r>
        <w:rPr>
          <w:rFonts w:hint="eastAsia" w:ascii="仿宋" w:hAnsi="仿宋" w:eastAsia="仿宋" w:cs="仿宋"/>
          <w:sz w:val="28"/>
          <w:szCs w:val="28"/>
          <w:highlight w:val="none"/>
        </w:rPr>
        <w:t>1.本项目相关信息同时在“安徽省政府采购网、优质采招标采购平台（www.yzczb.com）和优质采云采购平台（www.youzhicai.com）”等媒介上发布；</w:t>
      </w:r>
    </w:p>
    <w:p w14:paraId="49B524B2">
      <w:pPr>
        <w:pageBreakBefore w:val="0"/>
        <w:widowControl/>
        <w:kinsoku/>
        <w:overflowPunct/>
        <w:topLinePunct/>
        <w:autoSpaceDE/>
        <w:autoSpaceDN/>
        <w:bidi w:val="0"/>
        <w:spacing w:line="560" w:lineRule="exact"/>
        <w:ind w:firstLine="560" w:firstLineChars="200"/>
        <w:textAlignment w:val="auto"/>
        <w:rPr>
          <w:rFonts w:hint="eastAsia" w:ascii="仿宋" w:hAnsi="仿宋" w:eastAsia="仿宋" w:cs="仿宋"/>
          <w:sz w:val="28"/>
          <w:szCs w:val="28"/>
          <w:highlight w:val="none"/>
        </w:rPr>
      </w:pPr>
      <w:r>
        <w:rPr>
          <w:rFonts w:hint="eastAsia" w:ascii="仿宋" w:hAnsi="仿宋" w:eastAsia="仿宋" w:cs="仿宋"/>
          <w:sz w:val="28"/>
          <w:szCs w:val="28"/>
          <w:highlight w:val="none"/>
        </w:rPr>
        <w:t>2.本项目需落实的节能环保、中小企业扶持等相关政府采购政策详见招标文件。</w:t>
      </w:r>
    </w:p>
    <w:p w14:paraId="112CA478">
      <w:pPr>
        <w:pageBreakBefore w:val="0"/>
        <w:widowControl/>
        <w:kinsoku/>
        <w:overflowPunct/>
        <w:topLinePunct/>
        <w:autoSpaceDE/>
        <w:autoSpaceDN/>
        <w:bidi w:val="0"/>
        <w:spacing w:line="560" w:lineRule="exact"/>
        <w:ind w:firstLine="560" w:firstLineChars="200"/>
        <w:textAlignment w:val="auto"/>
        <w:rPr>
          <w:rFonts w:hint="eastAsia" w:ascii="仿宋" w:hAnsi="仿宋" w:eastAsia="仿宋" w:cs="仿宋"/>
          <w:sz w:val="28"/>
          <w:szCs w:val="28"/>
          <w:highlight w:val="none"/>
        </w:rPr>
      </w:pPr>
      <w:r>
        <w:rPr>
          <w:rFonts w:hint="eastAsia" w:ascii="仿宋" w:hAnsi="仿宋" w:eastAsia="仿宋" w:cs="仿宋"/>
          <w:sz w:val="28"/>
          <w:szCs w:val="28"/>
          <w:highlight w:val="none"/>
        </w:rPr>
        <w:t>3.政府采购电子化交易要求：</w:t>
      </w:r>
    </w:p>
    <w:p w14:paraId="3527641A">
      <w:pPr>
        <w:pageBreakBefore w:val="0"/>
        <w:widowControl/>
        <w:kinsoku/>
        <w:overflowPunct/>
        <w:topLinePunct/>
        <w:autoSpaceDE/>
        <w:autoSpaceDN/>
        <w:bidi w:val="0"/>
        <w:spacing w:line="560" w:lineRule="exact"/>
        <w:ind w:firstLine="560" w:firstLineChars="200"/>
        <w:textAlignment w:val="auto"/>
        <w:rPr>
          <w:rFonts w:hint="eastAsia" w:ascii="仿宋" w:hAnsi="仿宋" w:eastAsia="仿宋" w:cs="仿宋"/>
          <w:sz w:val="28"/>
          <w:szCs w:val="28"/>
          <w:highlight w:val="none"/>
        </w:rPr>
      </w:pPr>
      <w:r>
        <w:rPr>
          <w:rFonts w:hint="eastAsia" w:ascii="仿宋" w:hAnsi="仿宋" w:eastAsia="仿宋" w:cs="仿宋"/>
          <w:sz w:val="28"/>
          <w:szCs w:val="28"/>
          <w:highlight w:val="none"/>
        </w:rPr>
        <w:t>（1）潜在投标人/供应商须登录“优质采招标采购平台（www.yzczb.com）”或“优质采云采购平台（www.youzhicai.com）”（以下称“优质采平台”）参与本项目招标采购活动。首次登录须办理注册手续，请务必选择注册为“投标人角色”类型。注册流程见优质采平台“用户注册”栏目，咨询电话：400-0099-555。因未及时办理注册手续影响参加招标采购活动的，责任自负。</w:t>
      </w:r>
    </w:p>
    <w:p w14:paraId="7F6C4A0B">
      <w:pPr>
        <w:pageBreakBefore w:val="0"/>
        <w:widowControl/>
        <w:kinsoku/>
        <w:overflowPunct/>
        <w:topLinePunct/>
        <w:autoSpaceDE/>
        <w:autoSpaceDN/>
        <w:bidi w:val="0"/>
        <w:spacing w:line="560" w:lineRule="exact"/>
        <w:ind w:firstLine="560" w:firstLineChars="200"/>
        <w:textAlignment w:val="auto"/>
        <w:rPr>
          <w:rFonts w:hint="eastAsia" w:ascii="仿宋" w:hAnsi="仿宋" w:eastAsia="仿宋" w:cs="仿宋"/>
          <w:sz w:val="28"/>
          <w:szCs w:val="28"/>
          <w:highlight w:val="none"/>
        </w:rPr>
      </w:pPr>
      <w:r>
        <w:rPr>
          <w:rFonts w:hint="eastAsia" w:ascii="仿宋" w:hAnsi="仿宋" w:eastAsia="仿宋" w:cs="仿宋"/>
          <w:sz w:val="28"/>
          <w:szCs w:val="28"/>
          <w:highlight w:val="none"/>
        </w:rPr>
        <w:t>（2）已注册的潜在投标人/供应商可登录优质采平台获取招标文件，本项目的招标文件及其他资料（含澄清、答疑及相关补充文件）通过优质采平台发布，采购人/代理机构不再另行书面通知，潜在投标人/供应商应及时关注、查阅优质采平台。因未及时查看导致不利后果的，责任自负。</w:t>
      </w:r>
    </w:p>
    <w:p w14:paraId="41622B8F">
      <w:pPr>
        <w:pageBreakBefore w:val="0"/>
        <w:widowControl/>
        <w:kinsoku/>
        <w:overflowPunct/>
        <w:topLinePunct/>
        <w:autoSpaceDE/>
        <w:autoSpaceDN/>
        <w:bidi w:val="0"/>
        <w:spacing w:line="560" w:lineRule="exact"/>
        <w:ind w:firstLine="560" w:firstLineChars="200"/>
        <w:textAlignment w:val="auto"/>
        <w:rPr>
          <w:rFonts w:hint="eastAsia" w:ascii="仿宋" w:hAnsi="仿宋" w:eastAsia="仿宋" w:cs="仿宋"/>
          <w:sz w:val="28"/>
          <w:szCs w:val="28"/>
          <w:highlight w:val="none"/>
        </w:rPr>
      </w:pPr>
      <w:r>
        <w:rPr>
          <w:rFonts w:hint="eastAsia" w:ascii="仿宋" w:hAnsi="仿宋" w:eastAsia="仿宋" w:cs="仿宋"/>
          <w:sz w:val="28"/>
          <w:szCs w:val="28"/>
          <w:highlight w:val="none"/>
        </w:rPr>
        <w:t>（3）已注册的潜在投标人/供应商若注册信息发生变更（如：与初始注册信息不一致），应及时网上提交变更申请。因未及时变更导致不利后果的，责任自负。</w:t>
      </w:r>
    </w:p>
    <w:p w14:paraId="302EF242">
      <w:pPr>
        <w:pageBreakBefore w:val="0"/>
        <w:widowControl/>
        <w:kinsoku/>
        <w:wordWrap w:val="0"/>
        <w:overflowPunct/>
        <w:topLinePunct/>
        <w:autoSpaceDE/>
        <w:autoSpaceDN/>
        <w:bidi w:val="0"/>
        <w:spacing w:line="560" w:lineRule="exact"/>
        <w:ind w:firstLine="560" w:firstLineChars="200"/>
        <w:textAlignment w:val="auto"/>
        <w:rPr>
          <w:rFonts w:hint="eastAsia" w:ascii="仿宋" w:hAnsi="仿宋" w:eastAsia="仿宋" w:cs="仿宋"/>
          <w:sz w:val="28"/>
          <w:szCs w:val="28"/>
          <w:highlight w:val="none"/>
        </w:rPr>
      </w:pPr>
      <w:r>
        <w:rPr>
          <w:rFonts w:hint="eastAsia" w:ascii="仿宋" w:hAnsi="仿宋" w:eastAsia="仿宋" w:cs="仿宋"/>
          <w:sz w:val="28"/>
          <w:szCs w:val="28"/>
          <w:highlight w:val="none"/>
        </w:rPr>
        <w:t>（4）本项目采用全流程电子化招标采购方式，潜在投标人/供应商须办理CA数字证书（以下简称CA），CA用于电子投标/响应文件的签章及上传（上传投标/响应文件需使用CA进行加密）；CA办理详见《关于优质采平台数字证书办理的须知》（http://www.youzhicai.com/nd/a_8f80a7ec-911f-4c4d-a123-f8849880f045.html）；咨询热线：400-0099-555。</w:t>
      </w:r>
    </w:p>
    <w:p w14:paraId="2A82B267">
      <w:pPr>
        <w:pageBreakBefore w:val="0"/>
        <w:widowControl/>
        <w:kinsoku/>
        <w:wordWrap w:val="0"/>
        <w:overflowPunct/>
        <w:topLinePunct/>
        <w:autoSpaceDE/>
        <w:autoSpaceDN/>
        <w:bidi w:val="0"/>
        <w:spacing w:line="560" w:lineRule="exact"/>
        <w:ind w:firstLine="560" w:firstLineChars="200"/>
        <w:textAlignment w:val="auto"/>
        <w:rPr>
          <w:rFonts w:hint="eastAsia" w:ascii="仿宋" w:hAnsi="仿宋" w:eastAsia="仿宋" w:cs="仿宋"/>
          <w:sz w:val="28"/>
          <w:szCs w:val="28"/>
          <w:highlight w:val="none"/>
        </w:rPr>
      </w:pPr>
      <w:r>
        <w:rPr>
          <w:rFonts w:hint="eastAsia" w:ascii="仿宋" w:hAnsi="仿宋" w:eastAsia="仿宋" w:cs="仿宋"/>
          <w:sz w:val="28"/>
          <w:szCs w:val="28"/>
          <w:highlight w:val="none"/>
        </w:rPr>
        <w:t>（5）电子投标/响应文件必须使用“优质采投标文件制作工具”制作生成并上传。下载地址：http://toolcdn.youzhicai.com/tools/BidderTools.zip，使用说明书及视频教程下载地址:http://file.youzhicai.com/files/BidderHelp.rar。</w:t>
      </w:r>
    </w:p>
    <w:p w14:paraId="78039BFF">
      <w:pPr>
        <w:pageBreakBefore w:val="0"/>
        <w:widowControl/>
        <w:kinsoku/>
        <w:overflowPunct/>
        <w:topLinePunct/>
        <w:autoSpaceDE/>
        <w:autoSpaceDN/>
        <w:bidi w:val="0"/>
        <w:spacing w:line="560" w:lineRule="exact"/>
        <w:ind w:firstLine="560" w:firstLineChars="200"/>
        <w:jc w:val="left"/>
        <w:textAlignment w:val="auto"/>
        <w:rPr>
          <w:rFonts w:hint="eastAsia" w:ascii="仿宋" w:hAnsi="仿宋" w:eastAsia="仿宋" w:cs="仿宋"/>
          <w:sz w:val="28"/>
          <w:szCs w:val="28"/>
          <w:highlight w:val="none"/>
        </w:rPr>
      </w:pPr>
      <w:r>
        <w:rPr>
          <w:rFonts w:hint="eastAsia" w:ascii="仿宋" w:hAnsi="仿宋" w:eastAsia="仿宋" w:cs="仿宋"/>
          <w:sz w:val="28"/>
          <w:szCs w:val="28"/>
          <w:highlight w:val="none"/>
        </w:rPr>
        <w:t>4.根据《政府采购促进中小企业发展管理办法》（财库〔2020〕46号）第六条规定，本次采购符合不专门面向中小企业预留采购份额的情形：本项目符合财政部、工业和信息化部制定的《政府采购促进中小企业发展管理办法》第六条第</w:t>
      </w:r>
      <w:r>
        <w:rPr>
          <w:rFonts w:hint="eastAsia" w:ascii="仿宋" w:hAnsi="仿宋" w:eastAsia="仿宋" w:cs="仿宋"/>
          <w:sz w:val="28"/>
          <w:szCs w:val="28"/>
          <w:highlight w:val="none"/>
          <w:lang w:val="en-US" w:eastAsia="zh-CN"/>
        </w:rPr>
        <w:t>3</w:t>
      </w:r>
      <w:r>
        <w:rPr>
          <w:rFonts w:hint="eastAsia" w:ascii="仿宋" w:hAnsi="仿宋" w:eastAsia="仿宋" w:cs="仿宋"/>
          <w:sz w:val="28"/>
          <w:szCs w:val="28"/>
          <w:highlight w:val="none"/>
        </w:rPr>
        <w:t>款之规定，为非专门面向中小企业采购项目。具体原因如下：按照本办法规定预留采购份额无法确保充分供应、充分竞争，或者</w:t>
      </w:r>
      <w:r>
        <w:rPr>
          <w:rFonts w:hint="eastAsia" w:ascii="仿宋" w:hAnsi="仿宋" w:eastAsia="仿宋" w:cs="仿宋"/>
          <w:sz w:val="28"/>
          <w:szCs w:val="28"/>
          <w:highlight w:val="none"/>
          <w:lang w:val="en-US" w:eastAsia="zh-CN"/>
        </w:rPr>
        <w:t>存</w:t>
      </w:r>
      <w:r>
        <w:rPr>
          <w:rFonts w:hint="eastAsia" w:ascii="仿宋" w:hAnsi="仿宋" w:eastAsia="仿宋" w:cs="仿宋"/>
          <w:sz w:val="28"/>
          <w:szCs w:val="28"/>
          <w:highlight w:val="none"/>
        </w:rPr>
        <w:t>在可能影响政府</w:t>
      </w:r>
      <w:r>
        <w:rPr>
          <w:rFonts w:hint="eastAsia" w:ascii="仿宋" w:hAnsi="仿宋" w:eastAsia="仿宋" w:cs="仿宋"/>
          <w:sz w:val="28"/>
          <w:szCs w:val="28"/>
          <w:highlight w:val="none"/>
          <w:lang w:val="en-US" w:eastAsia="zh-CN"/>
        </w:rPr>
        <w:t>采</w:t>
      </w:r>
      <w:r>
        <w:rPr>
          <w:rFonts w:hint="eastAsia" w:ascii="仿宋" w:hAnsi="仿宋" w:eastAsia="仿宋" w:cs="仿宋"/>
          <w:sz w:val="28"/>
          <w:szCs w:val="28"/>
          <w:highlight w:val="none"/>
        </w:rPr>
        <w:t>购</w:t>
      </w:r>
      <w:r>
        <w:rPr>
          <w:rFonts w:hint="eastAsia" w:ascii="仿宋" w:hAnsi="仿宋" w:eastAsia="仿宋" w:cs="仿宋"/>
          <w:sz w:val="28"/>
          <w:szCs w:val="28"/>
          <w:highlight w:val="none"/>
          <w:lang w:val="en-US" w:eastAsia="zh-CN"/>
        </w:rPr>
        <w:t>目标实现的情形</w:t>
      </w:r>
      <w:r>
        <w:rPr>
          <w:rFonts w:hint="eastAsia" w:ascii="仿宋" w:hAnsi="仿宋" w:eastAsia="仿宋" w:cs="仿宋"/>
          <w:sz w:val="28"/>
          <w:szCs w:val="28"/>
          <w:highlight w:val="none"/>
        </w:rPr>
        <w:t>。投标人如有异议，可按招标文件约定提出询问或质疑。</w:t>
      </w:r>
    </w:p>
    <w:p w14:paraId="1481CE38">
      <w:pPr>
        <w:pageBreakBefore w:val="0"/>
        <w:widowControl/>
        <w:kinsoku/>
        <w:overflowPunct/>
        <w:topLinePunct/>
        <w:autoSpaceDE/>
        <w:autoSpaceDN/>
        <w:bidi w:val="0"/>
        <w:spacing w:line="560" w:lineRule="exact"/>
        <w:ind w:firstLine="560" w:firstLineChars="200"/>
        <w:jc w:val="left"/>
        <w:textAlignment w:val="auto"/>
        <w:rPr>
          <w:rFonts w:hint="eastAsia" w:ascii="仿宋" w:hAnsi="仿宋" w:eastAsia="仿宋" w:cs="仿宋"/>
          <w:sz w:val="28"/>
          <w:szCs w:val="28"/>
          <w:highlight w:val="none"/>
        </w:rPr>
      </w:pPr>
      <w:r>
        <w:rPr>
          <w:rFonts w:hint="eastAsia" w:ascii="仿宋" w:hAnsi="仿宋" w:eastAsia="仿宋" w:cs="仿宋"/>
          <w:sz w:val="28"/>
          <w:szCs w:val="28"/>
          <w:highlight w:val="none"/>
        </w:rPr>
        <w:t>5.本项目由各使用单位委托采购人安徽省卫生健康委员会统一组织采购，具体使用单位信息详见本公告附件。</w:t>
      </w:r>
    </w:p>
    <w:p w14:paraId="55D020B2">
      <w:pPr>
        <w:pStyle w:val="3"/>
        <w:pageBreakBefore w:val="0"/>
        <w:widowControl/>
        <w:kinsoku/>
        <w:overflowPunct/>
        <w:autoSpaceDE/>
        <w:autoSpaceDN/>
        <w:bidi w:val="0"/>
        <w:adjustRightInd w:val="0"/>
        <w:snapToGrid w:val="0"/>
        <w:spacing w:before="0" w:beforeLines="0" w:after="0" w:afterLines="0" w:line="560" w:lineRule="exact"/>
        <w:textAlignment w:val="auto"/>
        <w:rPr>
          <w:rStyle w:val="107"/>
          <w:rFonts w:hAnsi="宋体"/>
          <w:b w:val="0"/>
          <w:bCs w:val="0"/>
          <w:sz w:val="28"/>
          <w:szCs w:val="28"/>
          <w:highlight w:val="none"/>
        </w:rPr>
      </w:pPr>
      <w:bookmarkStart w:id="33" w:name="_Toc28359008"/>
      <w:bookmarkStart w:id="34" w:name="_Toc28359085"/>
      <w:bookmarkStart w:id="35" w:name="_Toc35393627"/>
      <w:bookmarkStart w:id="36" w:name="_Toc35393796"/>
      <w:r>
        <w:rPr>
          <w:rStyle w:val="107"/>
          <w:rFonts w:hint="eastAsia" w:hAnsi="宋体"/>
          <w:b w:val="0"/>
          <w:bCs w:val="0"/>
          <w:sz w:val="28"/>
          <w:szCs w:val="28"/>
          <w:highlight w:val="none"/>
        </w:rPr>
        <w:t>七、对本次招标提出询问，请按</w:t>
      </w:r>
      <w:r>
        <w:rPr>
          <w:rStyle w:val="107"/>
          <w:rFonts w:hAnsi="宋体"/>
          <w:b w:val="0"/>
          <w:bCs w:val="0"/>
          <w:sz w:val="28"/>
          <w:szCs w:val="28"/>
          <w:highlight w:val="none"/>
        </w:rPr>
        <w:t>以下方式</w:t>
      </w:r>
      <w:r>
        <w:rPr>
          <w:rStyle w:val="107"/>
          <w:rFonts w:hint="eastAsia" w:hAnsi="宋体"/>
          <w:b w:val="0"/>
          <w:bCs w:val="0"/>
          <w:sz w:val="28"/>
          <w:szCs w:val="28"/>
          <w:highlight w:val="none"/>
        </w:rPr>
        <w:t>联系。</w:t>
      </w:r>
      <w:bookmarkEnd w:id="33"/>
      <w:bookmarkEnd w:id="34"/>
      <w:bookmarkEnd w:id="35"/>
      <w:bookmarkEnd w:id="36"/>
    </w:p>
    <w:p w14:paraId="515429B0">
      <w:pPr>
        <w:pageBreakBefore w:val="0"/>
        <w:widowControl/>
        <w:kinsoku/>
        <w:overflowPunct/>
        <w:autoSpaceDE/>
        <w:autoSpaceDN/>
        <w:bidi w:val="0"/>
        <w:adjustRightInd w:val="0"/>
        <w:snapToGrid w:val="0"/>
        <w:spacing w:line="560" w:lineRule="exact"/>
        <w:ind w:firstLine="560" w:firstLineChars="200"/>
        <w:jc w:val="left"/>
        <w:textAlignment w:val="auto"/>
        <w:rPr>
          <w:rFonts w:hint="eastAsia" w:ascii="仿宋" w:hAnsi="仿宋" w:eastAsia="仿宋" w:cs="仿宋"/>
          <w:sz w:val="28"/>
          <w:szCs w:val="28"/>
          <w:highlight w:val="none"/>
        </w:rPr>
      </w:pPr>
      <w:r>
        <w:rPr>
          <w:rFonts w:hint="eastAsia" w:ascii="仿宋" w:hAnsi="仿宋" w:eastAsia="仿宋" w:cs="仿宋"/>
          <w:sz w:val="28"/>
          <w:szCs w:val="28"/>
          <w:highlight w:val="none"/>
        </w:rPr>
        <w:t>1.采购人信息</w:t>
      </w:r>
    </w:p>
    <w:p w14:paraId="35918C78">
      <w:pPr>
        <w:pageBreakBefore w:val="0"/>
        <w:widowControl/>
        <w:kinsoku/>
        <w:overflowPunct/>
        <w:autoSpaceDE/>
        <w:autoSpaceDN/>
        <w:bidi w:val="0"/>
        <w:adjustRightInd w:val="0"/>
        <w:snapToGrid w:val="0"/>
        <w:spacing w:line="560" w:lineRule="exact"/>
        <w:ind w:firstLine="560" w:firstLineChars="200"/>
        <w:jc w:val="left"/>
        <w:textAlignment w:val="auto"/>
        <w:rPr>
          <w:rFonts w:hint="eastAsia" w:ascii="仿宋" w:hAnsi="仿宋" w:eastAsia="仿宋" w:cs="仿宋"/>
          <w:color w:val="000000"/>
          <w:sz w:val="28"/>
          <w:szCs w:val="28"/>
          <w:highlight w:val="none"/>
        </w:rPr>
      </w:pPr>
      <w:r>
        <w:rPr>
          <w:rFonts w:hint="eastAsia" w:ascii="仿宋" w:hAnsi="仿宋" w:eastAsia="仿宋" w:cs="仿宋"/>
          <w:color w:val="000000"/>
          <w:sz w:val="28"/>
          <w:szCs w:val="28"/>
          <w:highlight w:val="none"/>
        </w:rPr>
        <w:t>名 称：安徽省卫生健康委员会</w:t>
      </w:r>
    </w:p>
    <w:p w14:paraId="464250F1">
      <w:pPr>
        <w:pageBreakBefore w:val="0"/>
        <w:widowControl/>
        <w:kinsoku/>
        <w:overflowPunct/>
        <w:autoSpaceDE/>
        <w:autoSpaceDN/>
        <w:bidi w:val="0"/>
        <w:adjustRightInd w:val="0"/>
        <w:snapToGrid w:val="0"/>
        <w:spacing w:line="560" w:lineRule="exact"/>
        <w:ind w:firstLine="560" w:firstLineChars="200"/>
        <w:jc w:val="left"/>
        <w:textAlignment w:val="auto"/>
        <w:rPr>
          <w:rFonts w:hint="eastAsia" w:ascii="仿宋" w:hAnsi="仿宋" w:eastAsia="仿宋" w:cs="仿宋"/>
          <w:color w:val="000000"/>
          <w:sz w:val="28"/>
          <w:szCs w:val="28"/>
          <w:highlight w:val="none"/>
        </w:rPr>
      </w:pPr>
      <w:r>
        <w:rPr>
          <w:rFonts w:hint="eastAsia" w:ascii="仿宋" w:hAnsi="仿宋" w:eastAsia="仿宋" w:cs="仿宋"/>
          <w:color w:val="000000"/>
          <w:sz w:val="28"/>
          <w:szCs w:val="28"/>
          <w:highlight w:val="none"/>
        </w:rPr>
        <w:t>地 址：合肥市包河区屯溪路435号</w:t>
      </w:r>
    </w:p>
    <w:p w14:paraId="58632362">
      <w:pPr>
        <w:pageBreakBefore w:val="0"/>
        <w:widowControl/>
        <w:kinsoku/>
        <w:overflowPunct/>
        <w:autoSpaceDE/>
        <w:autoSpaceDN/>
        <w:bidi w:val="0"/>
        <w:adjustRightInd w:val="0"/>
        <w:snapToGrid w:val="0"/>
        <w:spacing w:line="560" w:lineRule="exact"/>
        <w:ind w:firstLine="560" w:firstLineChars="200"/>
        <w:jc w:val="left"/>
        <w:textAlignment w:val="auto"/>
        <w:rPr>
          <w:rFonts w:hint="eastAsia" w:ascii="仿宋" w:hAnsi="仿宋" w:eastAsia="仿宋" w:cs="仿宋"/>
          <w:color w:val="000000"/>
          <w:sz w:val="28"/>
          <w:szCs w:val="28"/>
          <w:highlight w:val="none"/>
          <w:u w:val="single"/>
          <w:lang w:val="en-US" w:eastAsia="zh-CN"/>
        </w:rPr>
      </w:pPr>
      <w:r>
        <w:rPr>
          <w:rFonts w:hint="eastAsia" w:ascii="仿宋" w:hAnsi="仿宋" w:eastAsia="仿宋" w:cs="仿宋"/>
          <w:color w:val="000000"/>
          <w:sz w:val="28"/>
          <w:szCs w:val="28"/>
          <w:highlight w:val="none"/>
        </w:rPr>
        <w:t>联系方式：</w:t>
      </w:r>
      <w:bookmarkStart w:id="37" w:name="_Toc28359009"/>
      <w:bookmarkStart w:id="38" w:name="_Toc28359086"/>
      <w:r>
        <w:rPr>
          <w:rFonts w:hint="eastAsia" w:ascii="仿宋" w:hAnsi="仿宋" w:eastAsia="仿宋" w:cs="仿宋"/>
          <w:color w:val="000000"/>
          <w:sz w:val="28"/>
          <w:szCs w:val="28"/>
          <w:highlight w:val="none"/>
          <w:lang w:val="en-US" w:eastAsia="zh-CN"/>
        </w:rPr>
        <w:t>0551-62998136</w:t>
      </w:r>
    </w:p>
    <w:p w14:paraId="458A1FB0">
      <w:pPr>
        <w:pageBreakBefore w:val="0"/>
        <w:widowControl/>
        <w:kinsoku/>
        <w:overflowPunct/>
        <w:autoSpaceDE/>
        <w:autoSpaceDN/>
        <w:bidi w:val="0"/>
        <w:adjustRightInd w:val="0"/>
        <w:snapToGrid w:val="0"/>
        <w:spacing w:line="560" w:lineRule="exact"/>
        <w:ind w:firstLine="560" w:firstLineChars="200"/>
        <w:jc w:val="left"/>
        <w:textAlignment w:val="auto"/>
        <w:rPr>
          <w:rFonts w:hint="eastAsia" w:ascii="仿宋" w:hAnsi="仿宋" w:eastAsia="仿宋" w:cs="仿宋"/>
          <w:color w:val="000000"/>
          <w:sz w:val="28"/>
          <w:szCs w:val="28"/>
          <w:highlight w:val="none"/>
        </w:rPr>
      </w:pPr>
      <w:r>
        <w:rPr>
          <w:rFonts w:hint="eastAsia" w:ascii="仿宋" w:hAnsi="仿宋" w:eastAsia="仿宋" w:cs="仿宋"/>
          <w:color w:val="000000"/>
          <w:sz w:val="28"/>
          <w:szCs w:val="28"/>
          <w:highlight w:val="none"/>
        </w:rPr>
        <w:t>2.采购代理机构信息</w:t>
      </w:r>
      <w:bookmarkEnd w:id="37"/>
      <w:bookmarkEnd w:id="38"/>
    </w:p>
    <w:p w14:paraId="619E7107">
      <w:pPr>
        <w:pageBreakBefore w:val="0"/>
        <w:widowControl/>
        <w:kinsoku/>
        <w:overflowPunct/>
        <w:autoSpaceDE/>
        <w:autoSpaceDN/>
        <w:bidi w:val="0"/>
        <w:adjustRightInd w:val="0"/>
        <w:snapToGrid w:val="0"/>
        <w:spacing w:line="560" w:lineRule="exact"/>
        <w:ind w:firstLine="560" w:firstLineChars="200"/>
        <w:jc w:val="left"/>
        <w:textAlignment w:val="auto"/>
        <w:rPr>
          <w:rFonts w:hint="eastAsia" w:ascii="仿宋" w:hAnsi="仿宋" w:eastAsia="仿宋" w:cs="仿宋"/>
          <w:color w:val="000000"/>
          <w:sz w:val="28"/>
          <w:szCs w:val="28"/>
          <w:highlight w:val="none"/>
        </w:rPr>
      </w:pPr>
      <w:r>
        <w:rPr>
          <w:rFonts w:hint="eastAsia" w:ascii="仿宋" w:hAnsi="仿宋" w:eastAsia="仿宋" w:cs="仿宋"/>
          <w:color w:val="000000"/>
          <w:sz w:val="28"/>
          <w:szCs w:val="28"/>
          <w:highlight w:val="none"/>
        </w:rPr>
        <w:t>名 称：安徽省招标集团股份有限公司</w:t>
      </w:r>
    </w:p>
    <w:p w14:paraId="533148C4">
      <w:pPr>
        <w:pageBreakBefore w:val="0"/>
        <w:widowControl/>
        <w:kinsoku/>
        <w:overflowPunct/>
        <w:autoSpaceDE/>
        <w:autoSpaceDN/>
        <w:bidi w:val="0"/>
        <w:adjustRightInd w:val="0"/>
        <w:snapToGrid w:val="0"/>
        <w:spacing w:line="560" w:lineRule="exact"/>
        <w:ind w:firstLine="560" w:firstLineChars="200"/>
        <w:jc w:val="left"/>
        <w:textAlignment w:val="auto"/>
        <w:rPr>
          <w:rFonts w:hint="eastAsia" w:ascii="仿宋" w:hAnsi="仿宋" w:eastAsia="仿宋" w:cs="仿宋"/>
          <w:color w:val="000000"/>
          <w:sz w:val="28"/>
          <w:szCs w:val="28"/>
          <w:highlight w:val="none"/>
        </w:rPr>
      </w:pPr>
      <w:r>
        <w:rPr>
          <w:rFonts w:hint="eastAsia" w:ascii="仿宋" w:hAnsi="仿宋" w:eastAsia="仿宋" w:cs="仿宋"/>
          <w:color w:val="000000"/>
          <w:sz w:val="28"/>
          <w:szCs w:val="28"/>
          <w:highlight w:val="none"/>
        </w:rPr>
        <w:t>地 址：安徽省合肥市包河区紫云路888号</w:t>
      </w:r>
    </w:p>
    <w:p w14:paraId="5199ED45">
      <w:pPr>
        <w:pageBreakBefore w:val="0"/>
        <w:widowControl/>
        <w:kinsoku/>
        <w:overflowPunct/>
        <w:autoSpaceDE/>
        <w:autoSpaceDN/>
        <w:bidi w:val="0"/>
        <w:adjustRightInd w:val="0"/>
        <w:snapToGrid w:val="0"/>
        <w:spacing w:line="560" w:lineRule="exact"/>
        <w:ind w:firstLine="560" w:firstLineChars="200"/>
        <w:jc w:val="left"/>
        <w:textAlignment w:val="auto"/>
        <w:rPr>
          <w:rFonts w:hint="eastAsia" w:ascii="仿宋" w:hAnsi="仿宋" w:eastAsia="仿宋" w:cs="仿宋"/>
          <w:color w:val="000000"/>
          <w:sz w:val="28"/>
          <w:szCs w:val="28"/>
          <w:highlight w:val="none"/>
        </w:rPr>
      </w:pPr>
      <w:r>
        <w:rPr>
          <w:rFonts w:hint="eastAsia" w:ascii="仿宋" w:hAnsi="仿宋" w:eastAsia="仿宋" w:cs="仿宋"/>
          <w:color w:val="000000"/>
          <w:sz w:val="28"/>
          <w:szCs w:val="28"/>
          <w:highlight w:val="none"/>
        </w:rPr>
        <w:t>联系方式：</w:t>
      </w:r>
      <w:bookmarkStart w:id="39" w:name="_Toc28359087"/>
      <w:bookmarkStart w:id="40" w:name="_Toc28359010"/>
      <w:r>
        <w:rPr>
          <w:rFonts w:hint="eastAsia" w:ascii="仿宋" w:hAnsi="仿宋" w:eastAsia="仿宋" w:cs="仿宋"/>
          <w:color w:val="000000"/>
          <w:sz w:val="28"/>
          <w:szCs w:val="28"/>
          <w:highlight w:val="none"/>
        </w:rPr>
        <w:t>应急客服电话：0551-62220153（接听时间：8:30-12:00,13:30-17:30，节假日除外。潜在投标人应优先拨打联系电话，无人接听时再拨打该“应急客服电话”）</w:t>
      </w:r>
    </w:p>
    <w:p w14:paraId="18F8A230">
      <w:pPr>
        <w:pageBreakBefore w:val="0"/>
        <w:widowControl/>
        <w:kinsoku/>
        <w:overflowPunct/>
        <w:autoSpaceDE/>
        <w:autoSpaceDN/>
        <w:bidi w:val="0"/>
        <w:adjustRightInd w:val="0"/>
        <w:snapToGrid w:val="0"/>
        <w:spacing w:line="560" w:lineRule="exact"/>
        <w:ind w:firstLine="560" w:firstLineChars="200"/>
        <w:jc w:val="left"/>
        <w:textAlignment w:val="auto"/>
        <w:rPr>
          <w:rFonts w:hint="eastAsia" w:ascii="仿宋" w:hAnsi="仿宋" w:eastAsia="仿宋" w:cs="仿宋"/>
          <w:color w:val="000000"/>
          <w:sz w:val="28"/>
          <w:szCs w:val="28"/>
          <w:highlight w:val="none"/>
        </w:rPr>
      </w:pPr>
      <w:r>
        <w:rPr>
          <w:rFonts w:hint="eastAsia" w:ascii="仿宋" w:hAnsi="仿宋" w:eastAsia="仿宋" w:cs="仿宋"/>
          <w:color w:val="000000"/>
          <w:sz w:val="28"/>
          <w:szCs w:val="28"/>
          <w:highlight w:val="none"/>
        </w:rPr>
        <w:t>3.项目联系方式</w:t>
      </w:r>
      <w:bookmarkEnd w:id="39"/>
      <w:bookmarkEnd w:id="40"/>
    </w:p>
    <w:p w14:paraId="1C4AF86D">
      <w:pPr>
        <w:pStyle w:val="25"/>
        <w:pageBreakBefore w:val="0"/>
        <w:kinsoku/>
        <w:overflowPunct/>
        <w:autoSpaceDE/>
        <w:autoSpaceDN/>
        <w:bidi w:val="0"/>
        <w:adjustRightInd w:val="0"/>
        <w:snapToGrid w:val="0"/>
        <w:spacing w:line="560" w:lineRule="exact"/>
        <w:ind w:firstLine="560" w:firstLineChars="200"/>
        <w:textAlignment w:val="auto"/>
        <w:rPr>
          <w:rFonts w:hint="eastAsia" w:ascii="仿宋" w:hAnsi="仿宋" w:eastAsia="仿宋" w:cs="仿宋"/>
          <w:color w:val="000000"/>
          <w:sz w:val="28"/>
          <w:szCs w:val="28"/>
          <w:highlight w:val="none"/>
          <w:lang w:val="en-US" w:eastAsia="zh-CN"/>
        </w:rPr>
      </w:pPr>
      <w:r>
        <w:rPr>
          <w:rFonts w:hint="eastAsia" w:ascii="仿宋" w:hAnsi="仿宋" w:eastAsia="仿宋" w:cs="仿宋"/>
          <w:color w:val="000000"/>
          <w:sz w:val="28"/>
          <w:szCs w:val="28"/>
          <w:highlight w:val="none"/>
        </w:rPr>
        <w:t>项目联系人：</w:t>
      </w:r>
      <w:r>
        <w:rPr>
          <w:rFonts w:hint="eastAsia" w:ascii="仿宋" w:hAnsi="仿宋" w:eastAsia="仿宋" w:cs="仿宋"/>
          <w:color w:val="000000"/>
          <w:sz w:val="28"/>
          <w:szCs w:val="28"/>
          <w:highlight w:val="none"/>
          <w:lang w:val="en-US" w:eastAsia="zh-CN"/>
        </w:rPr>
        <w:t>施雨朦、杨婉莹、李星、许亮、章永兴</w:t>
      </w:r>
    </w:p>
    <w:p w14:paraId="7B6BC0E1">
      <w:pPr>
        <w:pStyle w:val="25"/>
        <w:pageBreakBefore w:val="0"/>
        <w:kinsoku/>
        <w:overflowPunct/>
        <w:autoSpaceDE/>
        <w:autoSpaceDN/>
        <w:bidi w:val="0"/>
        <w:adjustRightInd w:val="0"/>
        <w:snapToGrid w:val="0"/>
        <w:spacing w:line="560" w:lineRule="exact"/>
        <w:ind w:firstLine="560" w:firstLineChars="200"/>
        <w:textAlignment w:val="auto"/>
        <w:rPr>
          <w:rFonts w:hint="eastAsia" w:ascii="仿宋" w:hAnsi="仿宋" w:eastAsia="仿宋" w:cs="仿宋"/>
          <w:color w:val="auto"/>
          <w:sz w:val="28"/>
          <w:szCs w:val="28"/>
          <w:highlight w:val="none"/>
          <w:u w:val="single"/>
          <w:lang w:val="en-US" w:eastAsia="zh-CN"/>
        </w:rPr>
      </w:pPr>
      <w:r>
        <w:rPr>
          <w:rFonts w:hint="eastAsia" w:ascii="仿宋" w:hAnsi="仿宋" w:eastAsia="仿宋" w:cs="仿宋"/>
          <w:color w:val="000000"/>
          <w:sz w:val="28"/>
          <w:szCs w:val="28"/>
          <w:highlight w:val="none"/>
        </w:rPr>
        <w:t>电 话：0551-66061355、0551-66061353</w:t>
      </w:r>
      <w:r>
        <w:rPr>
          <w:rFonts w:hint="eastAsia" w:ascii="仿宋" w:hAnsi="仿宋" w:eastAsia="仿宋" w:cs="仿宋"/>
          <w:color w:val="000000"/>
          <w:sz w:val="28"/>
          <w:szCs w:val="28"/>
          <w:highlight w:val="none"/>
          <w:lang w:eastAsia="zh-CN"/>
        </w:rPr>
        <w:t>、</w:t>
      </w:r>
      <w:r>
        <w:rPr>
          <w:rFonts w:hint="eastAsia" w:ascii="仿宋" w:hAnsi="仿宋" w:eastAsia="仿宋" w:cs="仿宋"/>
          <w:color w:val="000000"/>
          <w:sz w:val="28"/>
          <w:szCs w:val="28"/>
          <w:highlight w:val="none"/>
        </w:rPr>
        <w:t>0551-66061356、0551-66061351、0551-66061349、18096669151（施）、13696536668（许）</w:t>
      </w:r>
    </w:p>
    <w:p w14:paraId="247F309E">
      <w:pPr>
        <w:widowControl/>
        <w:spacing w:line="360" w:lineRule="auto"/>
        <w:ind w:firstLine="420"/>
        <w:rPr>
          <w:rFonts w:hint="eastAsia" w:ascii="宋体" w:hAnsi="宋体" w:eastAsia="仿宋"/>
          <w:sz w:val="28"/>
          <w:szCs w:val="28"/>
          <w:highlight w:val="none"/>
        </w:rPr>
      </w:pPr>
    </w:p>
    <w:p w14:paraId="1D7F9FFF">
      <w:pPr>
        <w:widowControl/>
        <w:spacing w:line="360" w:lineRule="auto"/>
        <w:ind w:firstLine="560" w:firstLineChars="200"/>
        <w:rPr>
          <w:rFonts w:hint="eastAsia" w:ascii="宋体" w:hAnsi="宋体" w:eastAsia="仿宋" w:cs="Calibri"/>
          <w:sz w:val="28"/>
          <w:szCs w:val="28"/>
          <w:highlight w:val="none"/>
        </w:rPr>
        <w:sectPr>
          <w:footerReference r:id="rId8" w:type="default"/>
          <w:footnotePr>
            <w:numFmt w:val="decimalEnclosedCircleChinese"/>
            <w:numRestart w:val="eachPage"/>
          </w:footnotePr>
          <w:pgSz w:w="11906" w:h="16838"/>
          <w:pgMar w:top="1134" w:right="1134" w:bottom="1134" w:left="1134" w:header="851" w:footer="851" w:gutter="0"/>
          <w:pgNumType w:start="1"/>
          <w:cols w:space="720" w:num="1"/>
          <w:docGrid w:linePitch="312" w:charSpace="0"/>
        </w:sectPr>
      </w:pPr>
    </w:p>
    <w:p w14:paraId="2CE7518F">
      <w:pPr>
        <w:widowControl/>
        <w:autoSpaceDN w:val="0"/>
        <w:jc w:val="center"/>
        <w:rPr>
          <w:rFonts w:hint="eastAsia" w:ascii="宋体" w:hAnsi="宋体" w:eastAsia="仿宋"/>
          <w:b/>
          <w:bCs/>
          <w:sz w:val="24"/>
          <w:highlight w:val="none"/>
        </w:rPr>
      </w:pPr>
      <w:r>
        <w:rPr>
          <w:rFonts w:hint="eastAsia" w:ascii="宋体" w:hAnsi="宋体" w:eastAsia="仿宋"/>
          <w:b/>
          <w:bCs/>
          <w:sz w:val="24"/>
          <w:highlight w:val="none"/>
        </w:rPr>
        <w:t>附件：《</w:t>
      </w:r>
      <w:r>
        <w:rPr>
          <w:rFonts w:hint="eastAsia" w:ascii="宋体" w:hAnsi="宋体" w:eastAsia="仿宋"/>
          <w:b/>
          <w:bCs/>
          <w:sz w:val="24"/>
          <w:highlight w:val="none"/>
          <w:lang w:eastAsia="zh-CN"/>
        </w:rPr>
        <w:t>安徽省紧密型县域医共体设备更新一期项目-超声诊断仪三</w:t>
      </w:r>
      <w:r>
        <w:rPr>
          <w:rFonts w:hint="eastAsia" w:ascii="宋体" w:hAnsi="宋体" w:eastAsia="仿宋"/>
          <w:b/>
          <w:bCs/>
          <w:sz w:val="24"/>
          <w:highlight w:val="none"/>
        </w:rPr>
        <w:t>使用单位名单》</w:t>
      </w:r>
    </w:p>
    <w:p w14:paraId="174A80E9">
      <w:pPr>
        <w:widowControl/>
        <w:autoSpaceDN w:val="0"/>
        <w:rPr>
          <w:rFonts w:hint="eastAsia" w:ascii="宋体" w:hAnsi="宋体" w:eastAsia="仿宋"/>
          <w:b/>
          <w:bCs/>
          <w:sz w:val="24"/>
          <w:highlight w:val="none"/>
        </w:rPr>
      </w:pPr>
    </w:p>
    <w:tbl>
      <w:tblPr>
        <w:tblStyle w:val="48"/>
        <w:tblW w:w="499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20"/>
        <w:gridCol w:w="1340"/>
        <w:gridCol w:w="2267"/>
        <w:gridCol w:w="5220"/>
        <w:gridCol w:w="1314"/>
        <w:gridCol w:w="1981"/>
        <w:gridCol w:w="1314"/>
      </w:tblGrid>
      <w:tr w14:paraId="3E4CE9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447" w:type="pct"/>
            <w:noWrap w:val="0"/>
            <w:vAlign w:val="center"/>
          </w:tcPr>
          <w:p w14:paraId="379F352C">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序号</w:t>
            </w:r>
          </w:p>
        </w:tc>
        <w:tc>
          <w:tcPr>
            <w:tcW w:w="454" w:type="pct"/>
            <w:noWrap w:val="0"/>
            <w:vAlign w:val="center"/>
          </w:tcPr>
          <w:p w14:paraId="4FFA40B2">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包号</w:t>
            </w:r>
          </w:p>
        </w:tc>
        <w:tc>
          <w:tcPr>
            <w:tcW w:w="768" w:type="pct"/>
            <w:noWrap w:val="0"/>
            <w:vAlign w:val="center"/>
          </w:tcPr>
          <w:p w14:paraId="69A361FD">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标的名称</w:t>
            </w:r>
          </w:p>
        </w:tc>
        <w:tc>
          <w:tcPr>
            <w:tcW w:w="1768" w:type="pct"/>
            <w:noWrap w:val="0"/>
            <w:vAlign w:val="center"/>
          </w:tcPr>
          <w:p w14:paraId="32FF5B48">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使用单位</w:t>
            </w:r>
          </w:p>
        </w:tc>
        <w:tc>
          <w:tcPr>
            <w:tcW w:w="445" w:type="pct"/>
            <w:noWrap w:val="0"/>
            <w:vAlign w:val="center"/>
          </w:tcPr>
          <w:p w14:paraId="007C6FE4">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采购数量</w:t>
            </w:r>
          </w:p>
        </w:tc>
        <w:tc>
          <w:tcPr>
            <w:tcW w:w="671" w:type="pct"/>
            <w:noWrap w:val="0"/>
            <w:vAlign w:val="center"/>
          </w:tcPr>
          <w:p w14:paraId="316A09C5">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超长期国债资金付款金额（万元）</w:t>
            </w:r>
          </w:p>
        </w:tc>
        <w:tc>
          <w:tcPr>
            <w:tcW w:w="445" w:type="pct"/>
            <w:noWrap w:val="0"/>
            <w:vAlign w:val="center"/>
          </w:tcPr>
          <w:p w14:paraId="729A40EB">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备注</w:t>
            </w:r>
          </w:p>
        </w:tc>
      </w:tr>
      <w:tr w14:paraId="15B650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447" w:type="pct"/>
            <w:noWrap w:val="0"/>
            <w:vAlign w:val="center"/>
          </w:tcPr>
          <w:p w14:paraId="480EF192">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1</w:t>
            </w:r>
          </w:p>
        </w:tc>
        <w:tc>
          <w:tcPr>
            <w:tcW w:w="454" w:type="pct"/>
            <w:vMerge w:val="restart"/>
            <w:noWrap w:val="0"/>
            <w:vAlign w:val="center"/>
          </w:tcPr>
          <w:p w14:paraId="78B8AC5A">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第1包</w:t>
            </w:r>
          </w:p>
        </w:tc>
        <w:tc>
          <w:tcPr>
            <w:tcW w:w="768" w:type="pct"/>
            <w:vMerge w:val="restart"/>
            <w:noWrap w:val="0"/>
            <w:vAlign w:val="center"/>
          </w:tcPr>
          <w:p w14:paraId="61A6ED8C">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i w:val="0"/>
                <w:iCs w:val="0"/>
                <w:color w:val="000000"/>
                <w:sz w:val="24"/>
                <w:szCs w:val="24"/>
                <w:highlight w:val="none"/>
                <w:u w:val="none"/>
                <w:lang w:val="en-US"/>
              </w:rPr>
            </w:pPr>
            <w:r>
              <w:rPr>
                <w:rFonts w:hint="default" w:ascii="仿宋" w:hAnsi="仿宋" w:eastAsia="仿宋" w:cs="仿宋"/>
                <w:i w:val="0"/>
                <w:iCs w:val="0"/>
                <w:color w:val="000000"/>
                <w:sz w:val="24"/>
                <w:szCs w:val="24"/>
                <w:highlight w:val="none"/>
                <w:u w:val="none"/>
                <w:lang w:val="en-US"/>
              </w:rPr>
              <w:t>彩超(高端心脏机)</w:t>
            </w:r>
          </w:p>
        </w:tc>
        <w:tc>
          <w:tcPr>
            <w:tcW w:w="5221" w:type="dxa"/>
            <w:noWrap w:val="0"/>
            <w:vAlign w:val="center"/>
          </w:tcPr>
          <w:p w14:paraId="49A009C2">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4"/>
                <w:szCs w:val="24"/>
                <w:highlight w:val="none"/>
                <w:u w:val="none"/>
                <w:lang w:val="en-US" w:eastAsia="zh-CN"/>
              </w:rPr>
            </w:pPr>
            <w:r>
              <w:rPr>
                <w:rFonts w:hint="eastAsia" w:ascii="仿宋" w:hAnsi="仿宋" w:eastAsia="仿宋" w:cs="仿宋"/>
                <w:i w:val="0"/>
                <w:iCs w:val="0"/>
                <w:color w:val="000000"/>
                <w:sz w:val="24"/>
                <w:szCs w:val="24"/>
                <w:highlight w:val="none"/>
                <w:u w:val="none"/>
                <w:lang w:val="en-US" w:eastAsia="zh-CN"/>
              </w:rPr>
              <w:t>怀宁县人民医院</w:t>
            </w:r>
          </w:p>
        </w:tc>
        <w:tc>
          <w:tcPr>
            <w:tcW w:w="445" w:type="pct"/>
            <w:noWrap w:val="0"/>
            <w:vAlign w:val="center"/>
          </w:tcPr>
          <w:p w14:paraId="4502F5EC">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4"/>
                <w:szCs w:val="24"/>
                <w:highlight w:val="none"/>
                <w:u w:val="none"/>
                <w:lang w:val="en-US" w:eastAsia="zh-CN"/>
              </w:rPr>
            </w:pPr>
            <w:r>
              <w:rPr>
                <w:rFonts w:hint="eastAsia" w:ascii="仿宋" w:hAnsi="仿宋" w:eastAsia="仿宋" w:cs="仿宋"/>
                <w:i w:val="0"/>
                <w:iCs w:val="0"/>
                <w:color w:val="000000"/>
                <w:sz w:val="24"/>
                <w:szCs w:val="24"/>
                <w:highlight w:val="none"/>
                <w:u w:val="none"/>
                <w:lang w:val="en-US" w:eastAsia="zh-CN"/>
              </w:rPr>
              <w:t>1</w:t>
            </w:r>
          </w:p>
        </w:tc>
        <w:tc>
          <w:tcPr>
            <w:tcW w:w="1981" w:type="dxa"/>
            <w:noWrap w:val="0"/>
            <w:vAlign w:val="center"/>
          </w:tcPr>
          <w:p w14:paraId="32FF3EF1">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4"/>
                <w:szCs w:val="24"/>
                <w:highlight w:val="none"/>
                <w:u w:val="none"/>
                <w:lang w:val="en-US" w:eastAsia="zh-CN"/>
              </w:rPr>
            </w:pPr>
            <w:r>
              <w:rPr>
                <w:rFonts w:hint="eastAsia" w:ascii="仿宋" w:hAnsi="仿宋" w:eastAsia="仿宋" w:cs="仿宋"/>
                <w:i w:val="0"/>
                <w:iCs w:val="0"/>
                <w:color w:val="000000"/>
                <w:sz w:val="24"/>
                <w:szCs w:val="24"/>
                <w:highlight w:val="none"/>
                <w:u w:val="none"/>
                <w:lang w:val="en-US" w:eastAsia="zh-CN"/>
              </w:rPr>
              <w:t>117</w:t>
            </w:r>
          </w:p>
        </w:tc>
        <w:tc>
          <w:tcPr>
            <w:tcW w:w="445" w:type="pct"/>
            <w:noWrap w:val="0"/>
            <w:vAlign w:val="center"/>
          </w:tcPr>
          <w:p w14:paraId="5825A78F">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4"/>
                <w:szCs w:val="24"/>
                <w:highlight w:val="none"/>
                <w:u w:val="none"/>
                <w:lang w:val="en-US" w:eastAsia="zh-CN"/>
              </w:rPr>
            </w:pPr>
            <w:r>
              <w:rPr>
                <w:rFonts w:hint="eastAsia" w:ascii="仿宋" w:hAnsi="仿宋" w:eastAsia="仿宋" w:cs="仿宋"/>
                <w:i w:val="0"/>
                <w:iCs w:val="0"/>
                <w:color w:val="000000"/>
                <w:sz w:val="24"/>
                <w:szCs w:val="24"/>
                <w:highlight w:val="none"/>
                <w:u w:val="none"/>
                <w:lang w:val="en-US" w:eastAsia="zh-CN"/>
              </w:rPr>
              <w:t>/</w:t>
            </w:r>
          </w:p>
        </w:tc>
      </w:tr>
      <w:tr w14:paraId="770219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447" w:type="pct"/>
            <w:noWrap w:val="0"/>
            <w:vAlign w:val="center"/>
          </w:tcPr>
          <w:p w14:paraId="23191F10">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2</w:t>
            </w:r>
          </w:p>
        </w:tc>
        <w:tc>
          <w:tcPr>
            <w:tcW w:w="454" w:type="pct"/>
            <w:vMerge w:val="continue"/>
            <w:noWrap w:val="0"/>
            <w:vAlign w:val="center"/>
          </w:tcPr>
          <w:p w14:paraId="604CD889">
            <w:pPr>
              <w:keepNext w:val="0"/>
              <w:keepLines w:val="0"/>
              <w:suppressLineNumbers w:val="0"/>
              <w:spacing w:before="0" w:beforeAutospacing="0" w:after="0" w:afterAutospacing="0"/>
              <w:ind w:left="0" w:right="0"/>
              <w:jc w:val="center"/>
              <w:rPr>
                <w:rFonts w:hint="eastAsia" w:ascii="仿宋" w:hAnsi="仿宋" w:eastAsia="仿宋" w:cs="仿宋"/>
                <w:i w:val="0"/>
                <w:iCs w:val="0"/>
                <w:color w:val="000000"/>
                <w:sz w:val="24"/>
                <w:szCs w:val="24"/>
                <w:highlight w:val="none"/>
                <w:u w:val="none"/>
              </w:rPr>
            </w:pPr>
          </w:p>
        </w:tc>
        <w:tc>
          <w:tcPr>
            <w:tcW w:w="768" w:type="pct"/>
            <w:vMerge w:val="continue"/>
            <w:noWrap w:val="0"/>
            <w:vAlign w:val="center"/>
          </w:tcPr>
          <w:p w14:paraId="6D98A68F">
            <w:pPr>
              <w:keepNext w:val="0"/>
              <w:keepLines w:val="0"/>
              <w:suppressLineNumbers w:val="0"/>
              <w:spacing w:before="0" w:beforeAutospacing="0" w:after="0" w:afterAutospacing="0"/>
              <w:ind w:left="0" w:right="0"/>
              <w:jc w:val="center"/>
              <w:rPr>
                <w:rFonts w:hint="eastAsia" w:ascii="仿宋" w:hAnsi="仿宋" w:eastAsia="仿宋" w:cs="仿宋"/>
                <w:i w:val="0"/>
                <w:iCs w:val="0"/>
                <w:color w:val="000000"/>
                <w:sz w:val="24"/>
                <w:szCs w:val="24"/>
                <w:highlight w:val="none"/>
                <w:u w:val="none"/>
              </w:rPr>
            </w:pPr>
          </w:p>
        </w:tc>
        <w:tc>
          <w:tcPr>
            <w:tcW w:w="5221" w:type="dxa"/>
            <w:noWrap w:val="0"/>
            <w:vAlign w:val="center"/>
          </w:tcPr>
          <w:p w14:paraId="7136F783">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4"/>
                <w:szCs w:val="24"/>
                <w:highlight w:val="none"/>
                <w:u w:val="none"/>
                <w:lang w:val="en-US" w:eastAsia="zh-CN"/>
              </w:rPr>
            </w:pPr>
            <w:r>
              <w:rPr>
                <w:rFonts w:hint="eastAsia" w:ascii="仿宋" w:hAnsi="仿宋" w:eastAsia="仿宋" w:cs="仿宋"/>
                <w:i w:val="0"/>
                <w:iCs w:val="0"/>
                <w:color w:val="000000"/>
                <w:sz w:val="24"/>
                <w:szCs w:val="24"/>
                <w:highlight w:val="none"/>
                <w:u w:val="none"/>
                <w:lang w:val="en-US" w:eastAsia="zh-CN"/>
              </w:rPr>
              <w:t>宿松县千岭乡卫生院</w:t>
            </w:r>
          </w:p>
        </w:tc>
        <w:tc>
          <w:tcPr>
            <w:tcW w:w="445" w:type="pct"/>
            <w:noWrap w:val="0"/>
            <w:vAlign w:val="center"/>
          </w:tcPr>
          <w:p w14:paraId="0980BDEF">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4"/>
                <w:szCs w:val="24"/>
                <w:highlight w:val="none"/>
                <w:u w:val="none"/>
                <w:lang w:val="en-US" w:eastAsia="zh-CN"/>
              </w:rPr>
            </w:pPr>
            <w:r>
              <w:rPr>
                <w:rFonts w:hint="eastAsia" w:ascii="仿宋" w:hAnsi="仿宋" w:eastAsia="仿宋" w:cs="仿宋"/>
                <w:i w:val="0"/>
                <w:iCs w:val="0"/>
                <w:color w:val="000000"/>
                <w:sz w:val="24"/>
                <w:szCs w:val="24"/>
                <w:highlight w:val="none"/>
                <w:u w:val="none"/>
                <w:lang w:val="en-US" w:eastAsia="zh-CN"/>
              </w:rPr>
              <w:t>1</w:t>
            </w:r>
          </w:p>
        </w:tc>
        <w:tc>
          <w:tcPr>
            <w:tcW w:w="1981" w:type="dxa"/>
            <w:noWrap w:val="0"/>
            <w:vAlign w:val="center"/>
          </w:tcPr>
          <w:p w14:paraId="5A2BD1F1">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4"/>
                <w:szCs w:val="24"/>
                <w:highlight w:val="none"/>
                <w:u w:val="none"/>
                <w:lang w:val="en-US" w:eastAsia="zh-CN"/>
              </w:rPr>
            </w:pPr>
            <w:r>
              <w:rPr>
                <w:rFonts w:hint="eastAsia" w:ascii="仿宋" w:hAnsi="仿宋" w:eastAsia="仿宋" w:cs="仿宋"/>
                <w:i w:val="0"/>
                <w:iCs w:val="0"/>
                <w:color w:val="000000"/>
                <w:sz w:val="24"/>
                <w:szCs w:val="24"/>
                <w:highlight w:val="none"/>
                <w:u w:val="none"/>
                <w:lang w:val="en-US" w:eastAsia="zh-CN"/>
              </w:rPr>
              <w:t>74</w:t>
            </w:r>
          </w:p>
        </w:tc>
        <w:tc>
          <w:tcPr>
            <w:tcW w:w="445" w:type="pct"/>
            <w:noWrap w:val="0"/>
            <w:vAlign w:val="center"/>
          </w:tcPr>
          <w:p w14:paraId="1523A646">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4"/>
                <w:szCs w:val="24"/>
                <w:highlight w:val="none"/>
                <w:u w:val="none"/>
                <w:lang w:val="en-US" w:eastAsia="zh-CN"/>
              </w:rPr>
            </w:pPr>
            <w:r>
              <w:rPr>
                <w:rFonts w:hint="eastAsia" w:ascii="仿宋" w:hAnsi="仿宋" w:eastAsia="仿宋" w:cs="仿宋"/>
                <w:i w:val="0"/>
                <w:iCs w:val="0"/>
                <w:color w:val="000000"/>
                <w:sz w:val="24"/>
                <w:szCs w:val="24"/>
                <w:highlight w:val="none"/>
                <w:u w:val="none"/>
                <w:lang w:val="en-US" w:eastAsia="zh-CN"/>
              </w:rPr>
              <w:t>/</w:t>
            </w:r>
          </w:p>
        </w:tc>
      </w:tr>
      <w:tr w14:paraId="6C4B23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447" w:type="pct"/>
            <w:noWrap w:val="0"/>
            <w:vAlign w:val="center"/>
          </w:tcPr>
          <w:p w14:paraId="22489A2B">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3</w:t>
            </w:r>
          </w:p>
        </w:tc>
        <w:tc>
          <w:tcPr>
            <w:tcW w:w="454" w:type="pct"/>
            <w:vMerge w:val="continue"/>
            <w:noWrap w:val="0"/>
            <w:vAlign w:val="center"/>
          </w:tcPr>
          <w:p w14:paraId="7F070834">
            <w:pPr>
              <w:keepNext w:val="0"/>
              <w:keepLines w:val="0"/>
              <w:suppressLineNumbers w:val="0"/>
              <w:spacing w:before="0" w:beforeAutospacing="0" w:after="0" w:afterAutospacing="0"/>
              <w:ind w:left="0" w:right="0"/>
              <w:jc w:val="center"/>
              <w:rPr>
                <w:rFonts w:hint="eastAsia" w:ascii="仿宋" w:hAnsi="仿宋" w:eastAsia="仿宋" w:cs="仿宋"/>
                <w:i w:val="0"/>
                <w:iCs w:val="0"/>
                <w:color w:val="000000"/>
                <w:sz w:val="24"/>
                <w:szCs w:val="24"/>
                <w:highlight w:val="none"/>
                <w:u w:val="none"/>
              </w:rPr>
            </w:pPr>
          </w:p>
        </w:tc>
        <w:tc>
          <w:tcPr>
            <w:tcW w:w="768" w:type="pct"/>
            <w:vMerge w:val="continue"/>
            <w:noWrap w:val="0"/>
            <w:vAlign w:val="center"/>
          </w:tcPr>
          <w:p w14:paraId="497B32B0">
            <w:pPr>
              <w:keepNext w:val="0"/>
              <w:keepLines w:val="0"/>
              <w:suppressLineNumbers w:val="0"/>
              <w:spacing w:before="0" w:beforeAutospacing="0" w:after="0" w:afterAutospacing="0"/>
              <w:ind w:left="0" w:right="0"/>
              <w:jc w:val="center"/>
              <w:rPr>
                <w:rFonts w:hint="eastAsia" w:ascii="仿宋" w:hAnsi="仿宋" w:eastAsia="仿宋" w:cs="仿宋"/>
                <w:i w:val="0"/>
                <w:iCs w:val="0"/>
                <w:color w:val="000000"/>
                <w:sz w:val="24"/>
                <w:szCs w:val="24"/>
                <w:highlight w:val="none"/>
                <w:u w:val="none"/>
              </w:rPr>
            </w:pPr>
          </w:p>
        </w:tc>
        <w:tc>
          <w:tcPr>
            <w:tcW w:w="5221" w:type="dxa"/>
            <w:noWrap w:val="0"/>
            <w:vAlign w:val="center"/>
          </w:tcPr>
          <w:p w14:paraId="0C90DC73">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4"/>
                <w:szCs w:val="24"/>
                <w:highlight w:val="none"/>
                <w:u w:val="none"/>
                <w:lang w:val="en-US" w:eastAsia="zh-CN"/>
              </w:rPr>
            </w:pPr>
            <w:r>
              <w:rPr>
                <w:rFonts w:hint="eastAsia" w:ascii="仿宋" w:hAnsi="仿宋" w:eastAsia="仿宋" w:cs="仿宋"/>
                <w:i w:val="0"/>
                <w:iCs w:val="0"/>
                <w:color w:val="000000"/>
                <w:sz w:val="24"/>
                <w:szCs w:val="24"/>
                <w:highlight w:val="none"/>
                <w:u w:val="none"/>
                <w:lang w:val="en-US" w:eastAsia="zh-CN"/>
              </w:rPr>
              <w:t>怀远县中医院</w:t>
            </w:r>
          </w:p>
        </w:tc>
        <w:tc>
          <w:tcPr>
            <w:tcW w:w="445" w:type="pct"/>
            <w:noWrap w:val="0"/>
            <w:vAlign w:val="center"/>
          </w:tcPr>
          <w:p w14:paraId="22FFDF27">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4"/>
                <w:szCs w:val="24"/>
                <w:highlight w:val="none"/>
                <w:u w:val="none"/>
                <w:lang w:val="en-US" w:eastAsia="zh-CN"/>
              </w:rPr>
            </w:pPr>
            <w:r>
              <w:rPr>
                <w:rFonts w:hint="eastAsia" w:ascii="仿宋" w:hAnsi="仿宋" w:eastAsia="仿宋" w:cs="仿宋"/>
                <w:i w:val="0"/>
                <w:iCs w:val="0"/>
                <w:color w:val="000000"/>
                <w:sz w:val="24"/>
                <w:szCs w:val="24"/>
                <w:highlight w:val="none"/>
                <w:u w:val="none"/>
                <w:lang w:val="en-US" w:eastAsia="zh-CN"/>
              </w:rPr>
              <w:t>1</w:t>
            </w:r>
          </w:p>
        </w:tc>
        <w:tc>
          <w:tcPr>
            <w:tcW w:w="1981" w:type="dxa"/>
            <w:noWrap w:val="0"/>
            <w:vAlign w:val="center"/>
          </w:tcPr>
          <w:p w14:paraId="2CF904F5">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4"/>
                <w:szCs w:val="24"/>
                <w:highlight w:val="none"/>
                <w:u w:val="none"/>
                <w:lang w:val="en-US" w:eastAsia="zh-CN"/>
              </w:rPr>
            </w:pPr>
            <w:r>
              <w:rPr>
                <w:rFonts w:hint="eastAsia" w:ascii="仿宋" w:hAnsi="仿宋" w:eastAsia="仿宋" w:cs="仿宋"/>
                <w:i w:val="0"/>
                <w:iCs w:val="0"/>
                <w:color w:val="000000"/>
                <w:sz w:val="24"/>
                <w:szCs w:val="24"/>
                <w:highlight w:val="none"/>
                <w:u w:val="none"/>
                <w:lang w:val="en-US" w:eastAsia="zh-CN"/>
              </w:rPr>
              <w:t>92</w:t>
            </w:r>
          </w:p>
        </w:tc>
        <w:tc>
          <w:tcPr>
            <w:tcW w:w="445" w:type="pct"/>
            <w:noWrap w:val="0"/>
            <w:vAlign w:val="center"/>
          </w:tcPr>
          <w:p w14:paraId="7A94C66B">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4"/>
                <w:szCs w:val="24"/>
                <w:highlight w:val="none"/>
                <w:u w:val="none"/>
                <w:lang w:val="en-US" w:eastAsia="zh-CN"/>
              </w:rPr>
            </w:pPr>
            <w:r>
              <w:rPr>
                <w:rFonts w:hint="eastAsia" w:ascii="仿宋" w:hAnsi="仿宋" w:eastAsia="仿宋" w:cs="仿宋"/>
                <w:i w:val="0"/>
                <w:iCs w:val="0"/>
                <w:color w:val="000000"/>
                <w:sz w:val="24"/>
                <w:szCs w:val="24"/>
                <w:highlight w:val="none"/>
                <w:u w:val="none"/>
                <w:lang w:val="en-US" w:eastAsia="zh-CN"/>
              </w:rPr>
              <w:t>/</w:t>
            </w:r>
          </w:p>
        </w:tc>
      </w:tr>
      <w:tr w14:paraId="626279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47" w:type="pct"/>
            <w:noWrap w:val="0"/>
            <w:vAlign w:val="center"/>
          </w:tcPr>
          <w:p w14:paraId="05156087">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4</w:t>
            </w:r>
          </w:p>
        </w:tc>
        <w:tc>
          <w:tcPr>
            <w:tcW w:w="454" w:type="pct"/>
            <w:vMerge w:val="continue"/>
            <w:noWrap w:val="0"/>
            <w:vAlign w:val="center"/>
          </w:tcPr>
          <w:p w14:paraId="7E19D515">
            <w:pPr>
              <w:keepNext w:val="0"/>
              <w:keepLines w:val="0"/>
              <w:suppressLineNumbers w:val="0"/>
              <w:spacing w:before="0" w:beforeAutospacing="0" w:after="0" w:afterAutospacing="0"/>
              <w:ind w:left="0" w:right="0"/>
              <w:jc w:val="center"/>
              <w:rPr>
                <w:rFonts w:hint="eastAsia" w:ascii="仿宋" w:hAnsi="仿宋" w:eastAsia="仿宋" w:cs="仿宋"/>
                <w:i w:val="0"/>
                <w:iCs w:val="0"/>
                <w:color w:val="000000"/>
                <w:sz w:val="24"/>
                <w:szCs w:val="24"/>
                <w:highlight w:val="none"/>
                <w:u w:val="none"/>
              </w:rPr>
            </w:pPr>
          </w:p>
        </w:tc>
        <w:tc>
          <w:tcPr>
            <w:tcW w:w="768" w:type="pct"/>
            <w:vMerge w:val="continue"/>
            <w:noWrap w:val="0"/>
            <w:vAlign w:val="center"/>
          </w:tcPr>
          <w:p w14:paraId="33076007">
            <w:pPr>
              <w:keepNext w:val="0"/>
              <w:keepLines w:val="0"/>
              <w:suppressLineNumbers w:val="0"/>
              <w:spacing w:before="0" w:beforeAutospacing="0" w:after="0" w:afterAutospacing="0"/>
              <w:ind w:left="0" w:right="0"/>
              <w:jc w:val="center"/>
              <w:rPr>
                <w:rFonts w:hint="eastAsia" w:ascii="仿宋" w:hAnsi="仿宋" w:eastAsia="仿宋" w:cs="仿宋"/>
                <w:i w:val="0"/>
                <w:iCs w:val="0"/>
                <w:color w:val="000000"/>
                <w:sz w:val="24"/>
                <w:szCs w:val="24"/>
                <w:highlight w:val="none"/>
                <w:u w:val="none"/>
              </w:rPr>
            </w:pPr>
          </w:p>
        </w:tc>
        <w:tc>
          <w:tcPr>
            <w:tcW w:w="5221" w:type="dxa"/>
            <w:noWrap w:val="0"/>
            <w:vAlign w:val="center"/>
          </w:tcPr>
          <w:p w14:paraId="67B9FA5D">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4"/>
                <w:szCs w:val="24"/>
                <w:highlight w:val="none"/>
                <w:u w:val="none"/>
                <w:lang w:val="en-US" w:eastAsia="zh-CN"/>
              </w:rPr>
            </w:pPr>
            <w:r>
              <w:rPr>
                <w:rFonts w:hint="eastAsia" w:ascii="仿宋" w:hAnsi="仿宋" w:eastAsia="仿宋" w:cs="仿宋"/>
                <w:i w:val="0"/>
                <w:iCs w:val="0"/>
                <w:color w:val="000000"/>
                <w:sz w:val="24"/>
                <w:szCs w:val="24"/>
                <w:highlight w:val="none"/>
                <w:u w:val="none"/>
                <w:lang w:val="en-US" w:eastAsia="zh-CN"/>
              </w:rPr>
              <w:t>五河县中医院</w:t>
            </w:r>
          </w:p>
        </w:tc>
        <w:tc>
          <w:tcPr>
            <w:tcW w:w="445" w:type="pct"/>
            <w:noWrap w:val="0"/>
            <w:vAlign w:val="center"/>
          </w:tcPr>
          <w:p w14:paraId="45EACCFC">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4"/>
                <w:szCs w:val="24"/>
                <w:highlight w:val="none"/>
                <w:u w:val="none"/>
                <w:lang w:val="en-US" w:eastAsia="zh-CN"/>
              </w:rPr>
            </w:pPr>
            <w:r>
              <w:rPr>
                <w:rFonts w:hint="eastAsia" w:ascii="仿宋" w:hAnsi="仿宋" w:eastAsia="仿宋" w:cs="仿宋"/>
                <w:i w:val="0"/>
                <w:iCs w:val="0"/>
                <w:color w:val="000000"/>
                <w:sz w:val="24"/>
                <w:szCs w:val="24"/>
                <w:highlight w:val="none"/>
                <w:u w:val="none"/>
                <w:lang w:val="en-US" w:eastAsia="zh-CN"/>
              </w:rPr>
              <w:t>1</w:t>
            </w:r>
          </w:p>
        </w:tc>
        <w:tc>
          <w:tcPr>
            <w:tcW w:w="1981" w:type="dxa"/>
            <w:noWrap w:val="0"/>
            <w:vAlign w:val="center"/>
          </w:tcPr>
          <w:p w14:paraId="1F164EF4">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4"/>
                <w:szCs w:val="24"/>
                <w:highlight w:val="none"/>
                <w:u w:val="none"/>
                <w:lang w:val="en-US" w:eastAsia="zh-CN"/>
              </w:rPr>
            </w:pPr>
            <w:r>
              <w:rPr>
                <w:rFonts w:hint="eastAsia" w:ascii="仿宋" w:hAnsi="仿宋" w:eastAsia="仿宋" w:cs="仿宋"/>
                <w:i w:val="0"/>
                <w:iCs w:val="0"/>
                <w:color w:val="000000"/>
                <w:sz w:val="24"/>
                <w:szCs w:val="24"/>
                <w:highlight w:val="none"/>
                <w:u w:val="none"/>
                <w:lang w:val="en-US" w:eastAsia="zh-CN"/>
              </w:rPr>
              <w:t>110</w:t>
            </w:r>
          </w:p>
        </w:tc>
        <w:tc>
          <w:tcPr>
            <w:tcW w:w="445" w:type="pct"/>
            <w:noWrap w:val="0"/>
            <w:vAlign w:val="center"/>
          </w:tcPr>
          <w:p w14:paraId="53EF8DAE">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4"/>
                <w:szCs w:val="24"/>
                <w:highlight w:val="none"/>
                <w:u w:val="none"/>
                <w:lang w:val="en-US" w:eastAsia="zh-CN"/>
              </w:rPr>
            </w:pPr>
            <w:r>
              <w:rPr>
                <w:rFonts w:hint="eastAsia" w:ascii="仿宋" w:hAnsi="仿宋" w:eastAsia="仿宋" w:cs="仿宋"/>
                <w:i w:val="0"/>
                <w:iCs w:val="0"/>
                <w:color w:val="000000"/>
                <w:sz w:val="24"/>
                <w:szCs w:val="24"/>
                <w:highlight w:val="none"/>
                <w:u w:val="none"/>
                <w:lang w:val="en-US" w:eastAsia="zh-CN"/>
              </w:rPr>
              <w:t>/</w:t>
            </w:r>
          </w:p>
        </w:tc>
      </w:tr>
      <w:tr w14:paraId="6AB8BE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447" w:type="pct"/>
            <w:noWrap w:val="0"/>
            <w:vAlign w:val="center"/>
          </w:tcPr>
          <w:p w14:paraId="06DCF962">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5</w:t>
            </w:r>
          </w:p>
        </w:tc>
        <w:tc>
          <w:tcPr>
            <w:tcW w:w="454" w:type="pct"/>
            <w:vMerge w:val="continue"/>
            <w:noWrap w:val="0"/>
            <w:vAlign w:val="center"/>
          </w:tcPr>
          <w:p w14:paraId="690BFF14">
            <w:pPr>
              <w:keepNext w:val="0"/>
              <w:keepLines w:val="0"/>
              <w:suppressLineNumbers w:val="0"/>
              <w:spacing w:before="0" w:beforeAutospacing="0" w:after="0" w:afterAutospacing="0"/>
              <w:ind w:left="0" w:right="0"/>
              <w:jc w:val="center"/>
              <w:rPr>
                <w:rFonts w:hint="eastAsia" w:ascii="仿宋" w:hAnsi="仿宋" w:eastAsia="仿宋" w:cs="仿宋"/>
                <w:i w:val="0"/>
                <w:iCs w:val="0"/>
                <w:color w:val="000000"/>
                <w:sz w:val="24"/>
                <w:szCs w:val="24"/>
                <w:highlight w:val="none"/>
                <w:u w:val="none"/>
              </w:rPr>
            </w:pPr>
          </w:p>
        </w:tc>
        <w:tc>
          <w:tcPr>
            <w:tcW w:w="768" w:type="pct"/>
            <w:vMerge w:val="continue"/>
            <w:noWrap w:val="0"/>
            <w:vAlign w:val="center"/>
          </w:tcPr>
          <w:p w14:paraId="5E78B341">
            <w:pPr>
              <w:keepNext w:val="0"/>
              <w:keepLines w:val="0"/>
              <w:suppressLineNumbers w:val="0"/>
              <w:spacing w:before="0" w:beforeAutospacing="0" w:after="0" w:afterAutospacing="0"/>
              <w:ind w:left="0" w:right="0"/>
              <w:jc w:val="center"/>
              <w:rPr>
                <w:rFonts w:hint="eastAsia" w:ascii="仿宋" w:hAnsi="仿宋" w:eastAsia="仿宋" w:cs="仿宋"/>
                <w:i w:val="0"/>
                <w:iCs w:val="0"/>
                <w:color w:val="000000"/>
                <w:sz w:val="24"/>
                <w:szCs w:val="24"/>
                <w:highlight w:val="none"/>
                <w:u w:val="none"/>
              </w:rPr>
            </w:pPr>
          </w:p>
        </w:tc>
        <w:tc>
          <w:tcPr>
            <w:tcW w:w="5221" w:type="dxa"/>
            <w:noWrap w:val="0"/>
            <w:vAlign w:val="center"/>
          </w:tcPr>
          <w:p w14:paraId="06F248F7">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4"/>
                <w:szCs w:val="24"/>
                <w:highlight w:val="none"/>
                <w:u w:val="none"/>
                <w:lang w:val="en-US" w:eastAsia="zh-CN"/>
              </w:rPr>
            </w:pPr>
            <w:r>
              <w:rPr>
                <w:rFonts w:hint="eastAsia" w:ascii="仿宋" w:hAnsi="仿宋" w:eastAsia="仿宋" w:cs="仿宋"/>
                <w:i w:val="0"/>
                <w:iCs w:val="0"/>
                <w:color w:val="000000"/>
                <w:sz w:val="24"/>
                <w:szCs w:val="24"/>
                <w:highlight w:val="none"/>
                <w:u w:val="none"/>
                <w:lang w:val="en-US" w:eastAsia="zh-CN"/>
              </w:rPr>
              <w:t>固镇县人民医院</w:t>
            </w:r>
          </w:p>
        </w:tc>
        <w:tc>
          <w:tcPr>
            <w:tcW w:w="445" w:type="pct"/>
            <w:noWrap w:val="0"/>
            <w:vAlign w:val="center"/>
          </w:tcPr>
          <w:p w14:paraId="48189D1D">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4"/>
                <w:szCs w:val="24"/>
                <w:highlight w:val="none"/>
                <w:u w:val="none"/>
                <w:lang w:val="en-US" w:eastAsia="zh-CN"/>
              </w:rPr>
            </w:pPr>
            <w:r>
              <w:rPr>
                <w:rFonts w:hint="eastAsia" w:ascii="仿宋" w:hAnsi="仿宋" w:eastAsia="仿宋" w:cs="仿宋"/>
                <w:i w:val="0"/>
                <w:iCs w:val="0"/>
                <w:color w:val="000000"/>
                <w:sz w:val="24"/>
                <w:szCs w:val="24"/>
                <w:highlight w:val="none"/>
                <w:u w:val="none"/>
                <w:lang w:val="en-US" w:eastAsia="zh-CN"/>
              </w:rPr>
              <w:t>1</w:t>
            </w:r>
          </w:p>
        </w:tc>
        <w:tc>
          <w:tcPr>
            <w:tcW w:w="1981" w:type="dxa"/>
            <w:noWrap w:val="0"/>
            <w:vAlign w:val="center"/>
          </w:tcPr>
          <w:p w14:paraId="2DB6CD09">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4"/>
                <w:szCs w:val="24"/>
                <w:highlight w:val="none"/>
                <w:u w:val="none"/>
                <w:lang w:val="en-US" w:eastAsia="zh-CN"/>
              </w:rPr>
            </w:pPr>
            <w:r>
              <w:rPr>
                <w:rFonts w:hint="eastAsia" w:ascii="仿宋" w:hAnsi="仿宋" w:eastAsia="仿宋" w:cs="仿宋"/>
                <w:i w:val="0"/>
                <w:iCs w:val="0"/>
                <w:color w:val="000000"/>
                <w:sz w:val="24"/>
                <w:szCs w:val="24"/>
                <w:highlight w:val="none"/>
                <w:u w:val="none"/>
                <w:lang w:val="en-US" w:eastAsia="zh-CN"/>
              </w:rPr>
              <w:t>113</w:t>
            </w:r>
          </w:p>
        </w:tc>
        <w:tc>
          <w:tcPr>
            <w:tcW w:w="445" w:type="pct"/>
            <w:noWrap w:val="0"/>
            <w:vAlign w:val="center"/>
          </w:tcPr>
          <w:p w14:paraId="24E912EA">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4"/>
                <w:szCs w:val="24"/>
                <w:highlight w:val="none"/>
                <w:u w:val="none"/>
                <w:lang w:val="en-US" w:eastAsia="zh-CN"/>
              </w:rPr>
            </w:pPr>
            <w:r>
              <w:rPr>
                <w:rFonts w:hint="eastAsia" w:ascii="仿宋" w:hAnsi="仿宋" w:eastAsia="仿宋" w:cs="仿宋"/>
                <w:i w:val="0"/>
                <w:iCs w:val="0"/>
                <w:color w:val="000000"/>
                <w:sz w:val="24"/>
                <w:szCs w:val="24"/>
                <w:highlight w:val="none"/>
                <w:u w:val="none"/>
                <w:lang w:val="en-US" w:eastAsia="zh-CN"/>
              </w:rPr>
              <w:t>/</w:t>
            </w:r>
          </w:p>
        </w:tc>
      </w:tr>
      <w:tr w14:paraId="0BFC6C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447" w:type="pct"/>
            <w:noWrap w:val="0"/>
            <w:vAlign w:val="center"/>
          </w:tcPr>
          <w:p w14:paraId="4BF7EF1C">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6</w:t>
            </w:r>
          </w:p>
        </w:tc>
        <w:tc>
          <w:tcPr>
            <w:tcW w:w="454" w:type="pct"/>
            <w:vMerge w:val="continue"/>
            <w:noWrap w:val="0"/>
            <w:vAlign w:val="center"/>
          </w:tcPr>
          <w:p w14:paraId="75F62BCF">
            <w:pPr>
              <w:keepNext w:val="0"/>
              <w:keepLines w:val="0"/>
              <w:suppressLineNumbers w:val="0"/>
              <w:spacing w:before="0" w:beforeAutospacing="0" w:after="0" w:afterAutospacing="0"/>
              <w:ind w:left="0" w:right="0"/>
              <w:jc w:val="center"/>
              <w:rPr>
                <w:rFonts w:hint="eastAsia" w:ascii="仿宋" w:hAnsi="仿宋" w:eastAsia="仿宋" w:cs="仿宋"/>
                <w:i w:val="0"/>
                <w:iCs w:val="0"/>
                <w:color w:val="000000"/>
                <w:sz w:val="24"/>
                <w:szCs w:val="24"/>
                <w:highlight w:val="none"/>
                <w:u w:val="none"/>
              </w:rPr>
            </w:pPr>
          </w:p>
        </w:tc>
        <w:tc>
          <w:tcPr>
            <w:tcW w:w="768" w:type="pct"/>
            <w:vMerge w:val="continue"/>
            <w:noWrap w:val="0"/>
            <w:vAlign w:val="center"/>
          </w:tcPr>
          <w:p w14:paraId="1054747C">
            <w:pPr>
              <w:keepNext w:val="0"/>
              <w:keepLines w:val="0"/>
              <w:suppressLineNumbers w:val="0"/>
              <w:spacing w:before="0" w:beforeAutospacing="0" w:after="0" w:afterAutospacing="0"/>
              <w:ind w:left="0" w:right="0"/>
              <w:jc w:val="center"/>
              <w:rPr>
                <w:rFonts w:hint="eastAsia" w:ascii="仿宋" w:hAnsi="仿宋" w:eastAsia="仿宋" w:cs="仿宋"/>
                <w:i w:val="0"/>
                <w:iCs w:val="0"/>
                <w:color w:val="000000"/>
                <w:sz w:val="24"/>
                <w:szCs w:val="24"/>
                <w:highlight w:val="none"/>
                <w:u w:val="none"/>
              </w:rPr>
            </w:pPr>
          </w:p>
        </w:tc>
        <w:tc>
          <w:tcPr>
            <w:tcW w:w="5221" w:type="dxa"/>
            <w:noWrap w:val="0"/>
            <w:vAlign w:val="center"/>
          </w:tcPr>
          <w:p w14:paraId="451BC88D">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4"/>
                <w:szCs w:val="24"/>
                <w:highlight w:val="none"/>
                <w:u w:val="none"/>
                <w:lang w:val="en-US" w:eastAsia="zh-CN"/>
              </w:rPr>
            </w:pPr>
            <w:r>
              <w:rPr>
                <w:rFonts w:hint="eastAsia" w:ascii="仿宋" w:hAnsi="仿宋" w:eastAsia="仿宋" w:cs="仿宋"/>
                <w:i w:val="0"/>
                <w:iCs w:val="0"/>
                <w:color w:val="000000"/>
                <w:sz w:val="24"/>
                <w:szCs w:val="24"/>
                <w:highlight w:val="none"/>
                <w:u w:val="none"/>
                <w:lang w:val="en-US" w:eastAsia="zh-CN"/>
              </w:rPr>
              <w:t>太和县人民医院</w:t>
            </w:r>
          </w:p>
        </w:tc>
        <w:tc>
          <w:tcPr>
            <w:tcW w:w="445" w:type="pct"/>
            <w:noWrap w:val="0"/>
            <w:vAlign w:val="center"/>
          </w:tcPr>
          <w:p w14:paraId="2B726B43">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4"/>
                <w:szCs w:val="24"/>
                <w:highlight w:val="none"/>
                <w:u w:val="none"/>
                <w:lang w:val="en-US" w:eastAsia="zh-CN"/>
              </w:rPr>
            </w:pPr>
            <w:r>
              <w:rPr>
                <w:rFonts w:hint="eastAsia" w:ascii="仿宋" w:hAnsi="仿宋" w:eastAsia="仿宋" w:cs="仿宋"/>
                <w:i w:val="0"/>
                <w:iCs w:val="0"/>
                <w:color w:val="000000"/>
                <w:sz w:val="24"/>
                <w:szCs w:val="24"/>
                <w:highlight w:val="none"/>
                <w:u w:val="none"/>
                <w:lang w:val="en-US" w:eastAsia="zh-CN"/>
              </w:rPr>
              <w:t>1</w:t>
            </w:r>
          </w:p>
        </w:tc>
        <w:tc>
          <w:tcPr>
            <w:tcW w:w="1981" w:type="dxa"/>
            <w:noWrap w:val="0"/>
            <w:vAlign w:val="center"/>
          </w:tcPr>
          <w:p w14:paraId="05C06515">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4"/>
                <w:szCs w:val="24"/>
                <w:highlight w:val="none"/>
                <w:u w:val="none"/>
                <w:lang w:val="en-US" w:eastAsia="zh-CN"/>
              </w:rPr>
            </w:pPr>
            <w:r>
              <w:rPr>
                <w:rFonts w:hint="eastAsia" w:ascii="仿宋" w:hAnsi="仿宋" w:eastAsia="仿宋" w:cs="仿宋"/>
                <w:i w:val="0"/>
                <w:iCs w:val="0"/>
                <w:color w:val="000000"/>
                <w:sz w:val="24"/>
                <w:szCs w:val="24"/>
                <w:highlight w:val="none"/>
                <w:u w:val="none"/>
                <w:lang w:val="en-US" w:eastAsia="zh-CN"/>
              </w:rPr>
              <w:t>50</w:t>
            </w:r>
          </w:p>
        </w:tc>
        <w:tc>
          <w:tcPr>
            <w:tcW w:w="445" w:type="pct"/>
            <w:noWrap w:val="0"/>
            <w:vAlign w:val="center"/>
          </w:tcPr>
          <w:p w14:paraId="63B5DAD4">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4"/>
                <w:szCs w:val="24"/>
                <w:highlight w:val="none"/>
                <w:u w:val="none"/>
                <w:lang w:val="en-US" w:eastAsia="zh-CN"/>
              </w:rPr>
            </w:pPr>
            <w:r>
              <w:rPr>
                <w:rFonts w:hint="eastAsia" w:ascii="仿宋" w:hAnsi="仿宋" w:eastAsia="仿宋" w:cs="仿宋"/>
                <w:i w:val="0"/>
                <w:iCs w:val="0"/>
                <w:color w:val="000000"/>
                <w:sz w:val="24"/>
                <w:szCs w:val="24"/>
                <w:highlight w:val="none"/>
                <w:u w:val="none"/>
                <w:lang w:val="en-US" w:eastAsia="zh-CN"/>
              </w:rPr>
              <w:t>/</w:t>
            </w:r>
          </w:p>
        </w:tc>
      </w:tr>
      <w:tr w14:paraId="7D3DE9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47" w:type="pct"/>
            <w:noWrap w:val="0"/>
            <w:vAlign w:val="center"/>
          </w:tcPr>
          <w:p w14:paraId="189A6D19">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7</w:t>
            </w:r>
          </w:p>
        </w:tc>
        <w:tc>
          <w:tcPr>
            <w:tcW w:w="454" w:type="pct"/>
            <w:vMerge w:val="continue"/>
            <w:noWrap w:val="0"/>
            <w:vAlign w:val="center"/>
          </w:tcPr>
          <w:p w14:paraId="233124D9">
            <w:pPr>
              <w:keepNext w:val="0"/>
              <w:keepLines w:val="0"/>
              <w:suppressLineNumbers w:val="0"/>
              <w:spacing w:before="0" w:beforeAutospacing="0" w:after="0" w:afterAutospacing="0"/>
              <w:ind w:left="0" w:right="0"/>
              <w:jc w:val="center"/>
              <w:rPr>
                <w:rFonts w:hint="eastAsia" w:ascii="仿宋" w:hAnsi="仿宋" w:eastAsia="仿宋" w:cs="仿宋"/>
                <w:i w:val="0"/>
                <w:iCs w:val="0"/>
                <w:color w:val="000000"/>
                <w:sz w:val="24"/>
                <w:szCs w:val="24"/>
                <w:highlight w:val="none"/>
                <w:u w:val="none"/>
              </w:rPr>
            </w:pPr>
          </w:p>
        </w:tc>
        <w:tc>
          <w:tcPr>
            <w:tcW w:w="768" w:type="pct"/>
            <w:vMerge w:val="continue"/>
            <w:noWrap w:val="0"/>
            <w:vAlign w:val="center"/>
          </w:tcPr>
          <w:p w14:paraId="2607FCFA">
            <w:pPr>
              <w:keepNext w:val="0"/>
              <w:keepLines w:val="0"/>
              <w:suppressLineNumbers w:val="0"/>
              <w:spacing w:before="0" w:beforeAutospacing="0" w:after="0" w:afterAutospacing="0"/>
              <w:ind w:left="0" w:right="0"/>
              <w:jc w:val="center"/>
              <w:rPr>
                <w:rFonts w:hint="eastAsia" w:ascii="仿宋" w:hAnsi="仿宋" w:eastAsia="仿宋" w:cs="仿宋"/>
                <w:i w:val="0"/>
                <w:iCs w:val="0"/>
                <w:color w:val="000000"/>
                <w:sz w:val="24"/>
                <w:szCs w:val="24"/>
                <w:highlight w:val="none"/>
                <w:u w:val="none"/>
              </w:rPr>
            </w:pPr>
          </w:p>
        </w:tc>
        <w:tc>
          <w:tcPr>
            <w:tcW w:w="5221" w:type="dxa"/>
            <w:noWrap w:val="0"/>
            <w:vAlign w:val="center"/>
          </w:tcPr>
          <w:p w14:paraId="4D7C63D6">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4"/>
                <w:szCs w:val="24"/>
                <w:highlight w:val="none"/>
                <w:u w:val="none"/>
                <w:lang w:val="en-US" w:eastAsia="zh-CN"/>
              </w:rPr>
            </w:pPr>
            <w:r>
              <w:rPr>
                <w:rFonts w:hint="eastAsia" w:ascii="仿宋" w:hAnsi="仿宋" w:eastAsia="仿宋" w:cs="仿宋"/>
                <w:i w:val="0"/>
                <w:iCs w:val="0"/>
                <w:color w:val="000000"/>
                <w:sz w:val="24"/>
                <w:szCs w:val="24"/>
                <w:highlight w:val="none"/>
                <w:u w:val="none"/>
                <w:lang w:val="en-US" w:eastAsia="zh-CN"/>
              </w:rPr>
              <w:t>阜南县第三人民医院</w:t>
            </w:r>
          </w:p>
        </w:tc>
        <w:tc>
          <w:tcPr>
            <w:tcW w:w="445" w:type="pct"/>
            <w:noWrap w:val="0"/>
            <w:vAlign w:val="center"/>
          </w:tcPr>
          <w:p w14:paraId="48FE0DF5">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4"/>
                <w:szCs w:val="24"/>
                <w:highlight w:val="none"/>
                <w:u w:val="none"/>
                <w:lang w:val="en-US" w:eastAsia="zh-CN"/>
              </w:rPr>
            </w:pPr>
            <w:r>
              <w:rPr>
                <w:rFonts w:hint="eastAsia" w:ascii="仿宋" w:hAnsi="仿宋" w:eastAsia="仿宋" w:cs="仿宋"/>
                <w:i w:val="0"/>
                <w:iCs w:val="0"/>
                <w:color w:val="000000"/>
                <w:sz w:val="24"/>
                <w:szCs w:val="24"/>
                <w:highlight w:val="none"/>
                <w:u w:val="none"/>
                <w:lang w:val="en-US" w:eastAsia="zh-CN"/>
              </w:rPr>
              <w:t>1</w:t>
            </w:r>
          </w:p>
        </w:tc>
        <w:tc>
          <w:tcPr>
            <w:tcW w:w="1981" w:type="dxa"/>
            <w:noWrap w:val="0"/>
            <w:vAlign w:val="center"/>
          </w:tcPr>
          <w:p w14:paraId="271BDF4C">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4"/>
                <w:szCs w:val="24"/>
                <w:highlight w:val="none"/>
                <w:u w:val="none"/>
                <w:lang w:val="en-US" w:eastAsia="zh-CN"/>
              </w:rPr>
            </w:pPr>
            <w:r>
              <w:rPr>
                <w:rFonts w:hint="eastAsia" w:ascii="仿宋" w:hAnsi="仿宋" w:eastAsia="仿宋" w:cs="仿宋"/>
                <w:i w:val="0"/>
                <w:iCs w:val="0"/>
                <w:color w:val="000000"/>
                <w:sz w:val="24"/>
                <w:szCs w:val="24"/>
                <w:highlight w:val="none"/>
                <w:u w:val="none"/>
                <w:lang w:val="en-US" w:eastAsia="zh-CN"/>
              </w:rPr>
              <w:t>117</w:t>
            </w:r>
          </w:p>
        </w:tc>
        <w:tc>
          <w:tcPr>
            <w:tcW w:w="445" w:type="pct"/>
            <w:noWrap w:val="0"/>
            <w:vAlign w:val="center"/>
          </w:tcPr>
          <w:p w14:paraId="6E2825B9">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4"/>
                <w:szCs w:val="24"/>
                <w:highlight w:val="none"/>
                <w:u w:val="none"/>
                <w:lang w:val="en-US" w:eastAsia="zh-CN"/>
              </w:rPr>
            </w:pPr>
            <w:r>
              <w:rPr>
                <w:rFonts w:hint="eastAsia" w:ascii="仿宋" w:hAnsi="仿宋" w:eastAsia="仿宋" w:cs="仿宋"/>
                <w:i w:val="0"/>
                <w:iCs w:val="0"/>
                <w:color w:val="000000"/>
                <w:sz w:val="24"/>
                <w:szCs w:val="24"/>
                <w:highlight w:val="none"/>
                <w:u w:val="none"/>
                <w:lang w:val="en-US" w:eastAsia="zh-CN"/>
              </w:rPr>
              <w:t>/</w:t>
            </w:r>
          </w:p>
        </w:tc>
      </w:tr>
      <w:tr w14:paraId="2D96DA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447" w:type="pct"/>
            <w:noWrap w:val="0"/>
            <w:vAlign w:val="center"/>
          </w:tcPr>
          <w:p w14:paraId="25C56CF0">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8</w:t>
            </w:r>
          </w:p>
        </w:tc>
        <w:tc>
          <w:tcPr>
            <w:tcW w:w="454" w:type="pct"/>
            <w:vMerge w:val="continue"/>
            <w:noWrap w:val="0"/>
            <w:vAlign w:val="center"/>
          </w:tcPr>
          <w:p w14:paraId="37A3A149">
            <w:pPr>
              <w:keepNext w:val="0"/>
              <w:keepLines w:val="0"/>
              <w:suppressLineNumbers w:val="0"/>
              <w:spacing w:before="0" w:beforeAutospacing="0" w:after="0" w:afterAutospacing="0"/>
              <w:ind w:left="0" w:right="0"/>
              <w:jc w:val="center"/>
              <w:rPr>
                <w:rFonts w:hint="eastAsia" w:ascii="仿宋" w:hAnsi="仿宋" w:eastAsia="仿宋" w:cs="仿宋"/>
                <w:i w:val="0"/>
                <w:iCs w:val="0"/>
                <w:color w:val="000000"/>
                <w:sz w:val="24"/>
                <w:szCs w:val="24"/>
                <w:highlight w:val="none"/>
                <w:u w:val="none"/>
              </w:rPr>
            </w:pPr>
          </w:p>
        </w:tc>
        <w:tc>
          <w:tcPr>
            <w:tcW w:w="768" w:type="pct"/>
            <w:vMerge w:val="continue"/>
            <w:noWrap w:val="0"/>
            <w:vAlign w:val="center"/>
          </w:tcPr>
          <w:p w14:paraId="50563221">
            <w:pPr>
              <w:keepNext w:val="0"/>
              <w:keepLines w:val="0"/>
              <w:suppressLineNumbers w:val="0"/>
              <w:spacing w:before="0" w:beforeAutospacing="0" w:after="0" w:afterAutospacing="0"/>
              <w:ind w:left="0" w:right="0"/>
              <w:jc w:val="center"/>
              <w:rPr>
                <w:rFonts w:hint="eastAsia" w:ascii="仿宋" w:hAnsi="仿宋" w:eastAsia="仿宋" w:cs="仿宋"/>
                <w:i w:val="0"/>
                <w:iCs w:val="0"/>
                <w:color w:val="000000"/>
                <w:sz w:val="24"/>
                <w:szCs w:val="24"/>
                <w:highlight w:val="none"/>
                <w:u w:val="none"/>
              </w:rPr>
            </w:pPr>
          </w:p>
        </w:tc>
        <w:tc>
          <w:tcPr>
            <w:tcW w:w="5221" w:type="dxa"/>
            <w:noWrap w:val="0"/>
            <w:vAlign w:val="center"/>
          </w:tcPr>
          <w:p w14:paraId="618C4C3C">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4"/>
                <w:szCs w:val="24"/>
                <w:highlight w:val="none"/>
                <w:u w:val="none"/>
                <w:lang w:val="en-US" w:eastAsia="zh-CN"/>
              </w:rPr>
            </w:pPr>
            <w:r>
              <w:rPr>
                <w:rFonts w:hint="eastAsia" w:ascii="仿宋" w:hAnsi="仿宋" w:eastAsia="仿宋" w:cs="仿宋"/>
                <w:i w:val="0"/>
                <w:iCs w:val="0"/>
                <w:color w:val="000000"/>
                <w:sz w:val="24"/>
                <w:szCs w:val="24"/>
                <w:highlight w:val="none"/>
                <w:u w:val="none"/>
                <w:lang w:val="en-US" w:eastAsia="zh-CN"/>
              </w:rPr>
              <w:t>岗集中心卫生院</w:t>
            </w:r>
          </w:p>
        </w:tc>
        <w:tc>
          <w:tcPr>
            <w:tcW w:w="445" w:type="pct"/>
            <w:noWrap w:val="0"/>
            <w:vAlign w:val="center"/>
          </w:tcPr>
          <w:p w14:paraId="26A8C4F0">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4"/>
                <w:szCs w:val="24"/>
                <w:highlight w:val="none"/>
                <w:u w:val="none"/>
                <w:lang w:val="en-US" w:eastAsia="zh-CN"/>
              </w:rPr>
            </w:pPr>
            <w:r>
              <w:rPr>
                <w:rFonts w:hint="eastAsia" w:ascii="仿宋" w:hAnsi="仿宋" w:eastAsia="仿宋" w:cs="仿宋"/>
                <w:i w:val="0"/>
                <w:iCs w:val="0"/>
                <w:color w:val="000000"/>
                <w:sz w:val="24"/>
                <w:szCs w:val="24"/>
                <w:highlight w:val="none"/>
                <w:u w:val="none"/>
                <w:lang w:val="en-US" w:eastAsia="zh-CN"/>
              </w:rPr>
              <w:t>1</w:t>
            </w:r>
          </w:p>
        </w:tc>
        <w:tc>
          <w:tcPr>
            <w:tcW w:w="1981" w:type="dxa"/>
            <w:noWrap w:val="0"/>
            <w:vAlign w:val="center"/>
          </w:tcPr>
          <w:p w14:paraId="2B712DB0">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4"/>
                <w:szCs w:val="24"/>
                <w:highlight w:val="none"/>
                <w:u w:val="none"/>
                <w:lang w:val="en-US" w:eastAsia="zh-CN"/>
              </w:rPr>
            </w:pPr>
            <w:r>
              <w:rPr>
                <w:rFonts w:hint="eastAsia" w:ascii="仿宋" w:hAnsi="仿宋" w:eastAsia="仿宋" w:cs="仿宋"/>
                <w:i w:val="0"/>
                <w:iCs w:val="0"/>
                <w:color w:val="000000"/>
                <w:sz w:val="24"/>
                <w:szCs w:val="24"/>
                <w:highlight w:val="none"/>
                <w:u w:val="none"/>
                <w:lang w:val="en-US" w:eastAsia="zh-CN"/>
              </w:rPr>
              <w:t>65</w:t>
            </w:r>
          </w:p>
        </w:tc>
        <w:tc>
          <w:tcPr>
            <w:tcW w:w="445" w:type="pct"/>
            <w:noWrap w:val="0"/>
            <w:vAlign w:val="center"/>
          </w:tcPr>
          <w:p w14:paraId="12C4C25F">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4"/>
                <w:szCs w:val="24"/>
                <w:highlight w:val="none"/>
                <w:u w:val="none"/>
                <w:lang w:val="en-US" w:eastAsia="zh-CN"/>
              </w:rPr>
            </w:pPr>
            <w:r>
              <w:rPr>
                <w:rFonts w:hint="eastAsia" w:ascii="仿宋" w:hAnsi="仿宋" w:eastAsia="仿宋" w:cs="仿宋"/>
                <w:i w:val="0"/>
                <w:iCs w:val="0"/>
                <w:color w:val="000000"/>
                <w:sz w:val="24"/>
                <w:szCs w:val="24"/>
                <w:highlight w:val="none"/>
                <w:u w:val="none"/>
                <w:lang w:val="en-US" w:eastAsia="zh-CN"/>
              </w:rPr>
              <w:t>/</w:t>
            </w:r>
          </w:p>
        </w:tc>
      </w:tr>
      <w:tr w14:paraId="33B442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447" w:type="pct"/>
            <w:noWrap w:val="0"/>
            <w:vAlign w:val="center"/>
          </w:tcPr>
          <w:p w14:paraId="39133647">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9</w:t>
            </w:r>
          </w:p>
        </w:tc>
        <w:tc>
          <w:tcPr>
            <w:tcW w:w="454" w:type="pct"/>
            <w:vMerge w:val="continue"/>
            <w:noWrap w:val="0"/>
            <w:vAlign w:val="center"/>
          </w:tcPr>
          <w:p w14:paraId="0A108BAA">
            <w:pPr>
              <w:keepNext w:val="0"/>
              <w:keepLines w:val="0"/>
              <w:suppressLineNumbers w:val="0"/>
              <w:spacing w:before="0" w:beforeAutospacing="0" w:after="0" w:afterAutospacing="0"/>
              <w:ind w:left="0" w:right="0"/>
              <w:jc w:val="center"/>
              <w:rPr>
                <w:rFonts w:hint="eastAsia" w:ascii="仿宋" w:hAnsi="仿宋" w:eastAsia="仿宋" w:cs="仿宋"/>
                <w:i w:val="0"/>
                <w:iCs w:val="0"/>
                <w:color w:val="000000"/>
                <w:sz w:val="24"/>
                <w:szCs w:val="24"/>
                <w:highlight w:val="none"/>
                <w:u w:val="none"/>
              </w:rPr>
            </w:pPr>
          </w:p>
        </w:tc>
        <w:tc>
          <w:tcPr>
            <w:tcW w:w="768" w:type="pct"/>
            <w:vMerge w:val="continue"/>
            <w:noWrap w:val="0"/>
            <w:vAlign w:val="center"/>
          </w:tcPr>
          <w:p w14:paraId="0BE7F46E">
            <w:pPr>
              <w:keepNext w:val="0"/>
              <w:keepLines w:val="0"/>
              <w:suppressLineNumbers w:val="0"/>
              <w:spacing w:before="0" w:beforeAutospacing="0" w:after="0" w:afterAutospacing="0"/>
              <w:ind w:left="0" w:right="0"/>
              <w:jc w:val="center"/>
              <w:rPr>
                <w:rFonts w:hint="eastAsia" w:ascii="仿宋" w:hAnsi="仿宋" w:eastAsia="仿宋" w:cs="仿宋"/>
                <w:i w:val="0"/>
                <w:iCs w:val="0"/>
                <w:color w:val="000000"/>
                <w:sz w:val="24"/>
                <w:szCs w:val="24"/>
                <w:highlight w:val="none"/>
                <w:u w:val="none"/>
              </w:rPr>
            </w:pPr>
          </w:p>
        </w:tc>
        <w:tc>
          <w:tcPr>
            <w:tcW w:w="5221" w:type="dxa"/>
            <w:noWrap w:val="0"/>
            <w:vAlign w:val="center"/>
          </w:tcPr>
          <w:p w14:paraId="66EED78F">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4"/>
                <w:szCs w:val="24"/>
                <w:highlight w:val="none"/>
                <w:u w:val="none"/>
                <w:lang w:val="en-US" w:eastAsia="zh-CN"/>
              </w:rPr>
            </w:pPr>
            <w:r>
              <w:rPr>
                <w:rFonts w:hint="eastAsia" w:ascii="仿宋" w:hAnsi="仿宋" w:eastAsia="仿宋" w:cs="仿宋"/>
                <w:i w:val="0"/>
                <w:iCs w:val="0"/>
                <w:color w:val="000000"/>
                <w:sz w:val="24"/>
                <w:szCs w:val="24"/>
                <w:highlight w:val="none"/>
                <w:u w:val="none"/>
                <w:lang w:val="en-US" w:eastAsia="zh-CN"/>
              </w:rPr>
              <w:t>裕安区苏埠镇中心卫生院</w:t>
            </w:r>
          </w:p>
        </w:tc>
        <w:tc>
          <w:tcPr>
            <w:tcW w:w="445" w:type="pct"/>
            <w:noWrap w:val="0"/>
            <w:vAlign w:val="center"/>
          </w:tcPr>
          <w:p w14:paraId="58B59E8E">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4"/>
                <w:szCs w:val="24"/>
                <w:highlight w:val="none"/>
                <w:u w:val="none"/>
                <w:lang w:val="en-US" w:eastAsia="zh-CN"/>
              </w:rPr>
            </w:pPr>
            <w:r>
              <w:rPr>
                <w:rFonts w:hint="eastAsia" w:ascii="仿宋" w:hAnsi="仿宋" w:eastAsia="仿宋" w:cs="仿宋"/>
                <w:i w:val="0"/>
                <w:iCs w:val="0"/>
                <w:color w:val="000000"/>
                <w:sz w:val="24"/>
                <w:szCs w:val="24"/>
                <w:highlight w:val="none"/>
                <w:u w:val="none"/>
                <w:lang w:val="en-US" w:eastAsia="zh-CN"/>
              </w:rPr>
              <w:t>1</w:t>
            </w:r>
          </w:p>
        </w:tc>
        <w:tc>
          <w:tcPr>
            <w:tcW w:w="1981" w:type="dxa"/>
            <w:noWrap w:val="0"/>
            <w:vAlign w:val="center"/>
          </w:tcPr>
          <w:p w14:paraId="6BA157B0">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4"/>
                <w:szCs w:val="24"/>
                <w:highlight w:val="none"/>
                <w:u w:val="none"/>
                <w:lang w:val="en-US" w:eastAsia="zh-CN"/>
              </w:rPr>
            </w:pPr>
            <w:r>
              <w:rPr>
                <w:rFonts w:hint="eastAsia" w:ascii="仿宋" w:hAnsi="仿宋" w:eastAsia="仿宋" w:cs="仿宋"/>
                <w:i w:val="0"/>
                <w:iCs w:val="0"/>
                <w:color w:val="000000"/>
                <w:sz w:val="24"/>
                <w:szCs w:val="24"/>
                <w:highlight w:val="none"/>
                <w:u w:val="none"/>
                <w:lang w:val="en-US" w:eastAsia="zh-CN"/>
              </w:rPr>
              <w:t xml:space="preserve">117 </w:t>
            </w:r>
          </w:p>
        </w:tc>
        <w:tc>
          <w:tcPr>
            <w:tcW w:w="445" w:type="pct"/>
            <w:noWrap w:val="0"/>
            <w:vAlign w:val="center"/>
          </w:tcPr>
          <w:p w14:paraId="786809CC">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4"/>
                <w:szCs w:val="24"/>
                <w:highlight w:val="none"/>
                <w:u w:val="none"/>
                <w:lang w:val="en-US" w:eastAsia="zh-CN"/>
              </w:rPr>
            </w:pPr>
            <w:r>
              <w:rPr>
                <w:rFonts w:hint="eastAsia" w:ascii="仿宋" w:hAnsi="仿宋" w:eastAsia="仿宋" w:cs="仿宋"/>
                <w:i w:val="0"/>
                <w:iCs w:val="0"/>
                <w:color w:val="000000"/>
                <w:sz w:val="24"/>
                <w:szCs w:val="24"/>
                <w:highlight w:val="none"/>
                <w:u w:val="none"/>
                <w:lang w:val="en-US" w:eastAsia="zh-CN"/>
              </w:rPr>
              <w:t>/</w:t>
            </w:r>
          </w:p>
        </w:tc>
      </w:tr>
      <w:tr w14:paraId="628645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447" w:type="pct"/>
            <w:noWrap w:val="0"/>
            <w:vAlign w:val="center"/>
          </w:tcPr>
          <w:p w14:paraId="266AA00C">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10</w:t>
            </w:r>
          </w:p>
        </w:tc>
        <w:tc>
          <w:tcPr>
            <w:tcW w:w="454" w:type="pct"/>
            <w:vMerge w:val="continue"/>
            <w:noWrap w:val="0"/>
            <w:vAlign w:val="center"/>
          </w:tcPr>
          <w:p w14:paraId="30C1373C">
            <w:pPr>
              <w:keepNext w:val="0"/>
              <w:keepLines w:val="0"/>
              <w:suppressLineNumbers w:val="0"/>
              <w:spacing w:before="0" w:beforeAutospacing="0" w:after="0" w:afterAutospacing="0"/>
              <w:ind w:left="0" w:right="0"/>
              <w:jc w:val="center"/>
              <w:rPr>
                <w:rFonts w:hint="eastAsia" w:ascii="仿宋" w:hAnsi="仿宋" w:eastAsia="仿宋" w:cs="仿宋"/>
                <w:i w:val="0"/>
                <w:iCs w:val="0"/>
                <w:color w:val="000000"/>
                <w:sz w:val="24"/>
                <w:szCs w:val="24"/>
                <w:highlight w:val="none"/>
                <w:u w:val="none"/>
              </w:rPr>
            </w:pPr>
          </w:p>
        </w:tc>
        <w:tc>
          <w:tcPr>
            <w:tcW w:w="768" w:type="pct"/>
            <w:vMerge w:val="continue"/>
            <w:noWrap w:val="0"/>
            <w:vAlign w:val="center"/>
          </w:tcPr>
          <w:p w14:paraId="37AA9729">
            <w:pPr>
              <w:keepNext w:val="0"/>
              <w:keepLines w:val="0"/>
              <w:suppressLineNumbers w:val="0"/>
              <w:spacing w:before="0" w:beforeAutospacing="0" w:after="0" w:afterAutospacing="0"/>
              <w:ind w:left="0" w:right="0"/>
              <w:jc w:val="center"/>
              <w:rPr>
                <w:rFonts w:hint="eastAsia" w:ascii="仿宋" w:hAnsi="仿宋" w:eastAsia="仿宋" w:cs="仿宋"/>
                <w:i w:val="0"/>
                <w:iCs w:val="0"/>
                <w:color w:val="000000"/>
                <w:sz w:val="24"/>
                <w:szCs w:val="24"/>
                <w:highlight w:val="none"/>
                <w:u w:val="none"/>
              </w:rPr>
            </w:pPr>
          </w:p>
        </w:tc>
        <w:tc>
          <w:tcPr>
            <w:tcW w:w="5221" w:type="dxa"/>
            <w:noWrap w:val="0"/>
            <w:vAlign w:val="center"/>
          </w:tcPr>
          <w:p w14:paraId="4736C492">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4"/>
                <w:szCs w:val="24"/>
                <w:highlight w:val="none"/>
                <w:u w:val="none"/>
                <w:lang w:val="en-US" w:eastAsia="zh-CN"/>
              </w:rPr>
            </w:pPr>
            <w:r>
              <w:rPr>
                <w:rFonts w:hint="eastAsia" w:ascii="仿宋" w:hAnsi="仿宋" w:eastAsia="仿宋" w:cs="仿宋"/>
                <w:i w:val="0"/>
                <w:iCs w:val="0"/>
                <w:color w:val="000000"/>
                <w:sz w:val="24"/>
                <w:szCs w:val="24"/>
                <w:highlight w:val="none"/>
                <w:u w:val="none"/>
                <w:lang w:val="en-US" w:eastAsia="zh-CN"/>
              </w:rPr>
              <w:t>砀山县人民医院</w:t>
            </w:r>
          </w:p>
        </w:tc>
        <w:tc>
          <w:tcPr>
            <w:tcW w:w="445" w:type="pct"/>
            <w:noWrap w:val="0"/>
            <w:vAlign w:val="center"/>
          </w:tcPr>
          <w:p w14:paraId="14669653">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4"/>
                <w:szCs w:val="24"/>
                <w:highlight w:val="none"/>
                <w:u w:val="none"/>
                <w:lang w:val="en-US" w:eastAsia="zh-CN"/>
              </w:rPr>
            </w:pPr>
            <w:r>
              <w:rPr>
                <w:rFonts w:hint="eastAsia" w:ascii="仿宋" w:hAnsi="仿宋" w:eastAsia="仿宋" w:cs="仿宋"/>
                <w:i w:val="0"/>
                <w:iCs w:val="0"/>
                <w:color w:val="000000"/>
                <w:sz w:val="24"/>
                <w:szCs w:val="24"/>
                <w:highlight w:val="none"/>
                <w:u w:val="none"/>
                <w:lang w:val="en-US" w:eastAsia="zh-CN"/>
              </w:rPr>
              <w:t>1</w:t>
            </w:r>
          </w:p>
        </w:tc>
        <w:tc>
          <w:tcPr>
            <w:tcW w:w="1981" w:type="dxa"/>
            <w:noWrap w:val="0"/>
            <w:vAlign w:val="center"/>
          </w:tcPr>
          <w:p w14:paraId="05F70B16">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4"/>
                <w:szCs w:val="24"/>
                <w:highlight w:val="none"/>
                <w:u w:val="none"/>
                <w:lang w:val="en-US" w:eastAsia="zh-CN"/>
              </w:rPr>
            </w:pPr>
            <w:r>
              <w:rPr>
                <w:rFonts w:hint="eastAsia" w:ascii="仿宋" w:hAnsi="仿宋" w:eastAsia="仿宋" w:cs="仿宋"/>
                <w:i w:val="0"/>
                <w:iCs w:val="0"/>
                <w:color w:val="000000"/>
                <w:sz w:val="24"/>
                <w:szCs w:val="24"/>
                <w:highlight w:val="none"/>
                <w:u w:val="none"/>
                <w:lang w:val="en-US" w:eastAsia="zh-CN"/>
              </w:rPr>
              <w:t>110</w:t>
            </w:r>
          </w:p>
        </w:tc>
        <w:tc>
          <w:tcPr>
            <w:tcW w:w="445" w:type="pct"/>
            <w:noWrap w:val="0"/>
            <w:vAlign w:val="center"/>
          </w:tcPr>
          <w:p w14:paraId="2252932A">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4"/>
                <w:szCs w:val="24"/>
                <w:highlight w:val="none"/>
                <w:u w:val="none"/>
                <w:lang w:val="en-US" w:eastAsia="zh-CN"/>
              </w:rPr>
            </w:pPr>
            <w:r>
              <w:rPr>
                <w:rFonts w:hint="eastAsia" w:ascii="仿宋" w:hAnsi="仿宋" w:eastAsia="仿宋" w:cs="仿宋"/>
                <w:i w:val="0"/>
                <w:iCs w:val="0"/>
                <w:color w:val="000000"/>
                <w:sz w:val="24"/>
                <w:szCs w:val="24"/>
                <w:highlight w:val="none"/>
                <w:u w:val="none"/>
                <w:lang w:val="en-US" w:eastAsia="zh-CN"/>
              </w:rPr>
              <w:t>/</w:t>
            </w:r>
          </w:p>
        </w:tc>
      </w:tr>
      <w:tr w14:paraId="1B778C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447" w:type="pct"/>
            <w:noWrap w:val="0"/>
            <w:vAlign w:val="center"/>
          </w:tcPr>
          <w:p w14:paraId="7AA9D524">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11</w:t>
            </w:r>
          </w:p>
        </w:tc>
        <w:tc>
          <w:tcPr>
            <w:tcW w:w="454" w:type="pct"/>
            <w:vMerge w:val="continue"/>
            <w:noWrap w:val="0"/>
            <w:vAlign w:val="center"/>
          </w:tcPr>
          <w:p w14:paraId="09B66A7F">
            <w:pPr>
              <w:keepNext w:val="0"/>
              <w:keepLines w:val="0"/>
              <w:suppressLineNumbers w:val="0"/>
              <w:spacing w:before="0" w:beforeAutospacing="0" w:after="0" w:afterAutospacing="0"/>
              <w:ind w:left="0" w:right="0"/>
              <w:jc w:val="center"/>
              <w:rPr>
                <w:rFonts w:hint="eastAsia" w:ascii="仿宋" w:hAnsi="仿宋" w:eastAsia="仿宋" w:cs="仿宋"/>
                <w:i w:val="0"/>
                <w:iCs w:val="0"/>
                <w:color w:val="000000"/>
                <w:sz w:val="24"/>
                <w:szCs w:val="24"/>
                <w:highlight w:val="none"/>
                <w:u w:val="none"/>
              </w:rPr>
            </w:pPr>
          </w:p>
        </w:tc>
        <w:tc>
          <w:tcPr>
            <w:tcW w:w="768" w:type="pct"/>
            <w:vMerge w:val="continue"/>
            <w:noWrap w:val="0"/>
            <w:vAlign w:val="center"/>
          </w:tcPr>
          <w:p w14:paraId="44B6FFAB">
            <w:pPr>
              <w:keepNext w:val="0"/>
              <w:keepLines w:val="0"/>
              <w:suppressLineNumbers w:val="0"/>
              <w:spacing w:before="0" w:beforeAutospacing="0" w:after="0" w:afterAutospacing="0"/>
              <w:ind w:left="0" w:right="0"/>
              <w:jc w:val="center"/>
              <w:rPr>
                <w:rFonts w:hint="eastAsia" w:ascii="仿宋" w:hAnsi="仿宋" w:eastAsia="仿宋" w:cs="仿宋"/>
                <w:i w:val="0"/>
                <w:iCs w:val="0"/>
                <w:color w:val="000000"/>
                <w:sz w:val="24"/>
                <w:szCs w:val="24"/>
                <w:highlight w:val="none"/>
                <w:u w:val="none"/>
              </w:rPr>
            </w:pPr>
          </w:p>
        </w:tc>
        <w:tc>
          <w:tcPr>
            <w:tcW w:w="5221" w:type="dxa"/>
            <w:noWrap w:val="0"/>
            <w:vAlign w:val="center"/>
          </w:tcPr>
          <w:p w14:paraId="1D95B148">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4"/>
                <w:szCs w:val="24"/>
                <w:highlight w:val="none"/>
                <w:u w:val="none"/>
                <w:lang w:val="en-US" w:eastAsia="zh-CN"/>
              </w:rPr>
            </w:pPr>
            <w:r>
              <w:rPr>
                <w:rFonts w:hint="eastAsia" w:ascii="仿宋" w:hAnsi="仿宋" w:eastAsia="仿宋" w:cs="仿宋"/>
                <w:i w:val="0"/>
                <w:iCs w:val="0"/>
                <w:color w:val="000000"/>
                <w:sz w:val="24"/>
                <w:szCs w:val="24"/>
                <w:highlight w:val="none"/>
                <w:u w:val="none"/>
                <w:lang w:val="en-US" w:eastAsia="zh-CN"/>
              </w:rPr>
              <w:t>灵璧县灵城镇卫生院</w:t>
            </w:r>
          </w:p>
        </w:tc>
        <w:tc>
          <w:tcPr>
            <w:tcW w:w="445" w:type="pct"/>
            <w:noWrap w:val="0"/>
            <w:vAlign w:val="center"/>
          </w:tcPr>
          <w:p w14:paraId="4237AC88">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4"/>
                <w:szCs w:val="24"/>
                <w:highlight w:val="none"/>
                <w:u w:val="none"/>
                <w:lang w:val="en-US" w:eastAsia="zh-CN"/>
              </w:rPr>
            </w:pPr>
            <w:r>
              <w:rPr>
                <w:rFonts w:hint="eastAsia" w:ascii="仿宋" w:hAnsi="仿宋" w:eastAsia="仿宋" w:cs="仿宋"/>
                <w:i w:val="0"/>
                <w:iCs w:val="0"/>
                <w:color w:val="000000"/>
                <w:sz w:val="24"/>
                <w:szCs w:val="24"/>
                <w:highlight w:val="none"/>
                <w:u w:val="none"/>
                <w:lang w:val="en-US" w:eastAsia="zh-CN"/>
              </w:rPr>
              <w:t>1</w:t>
            </w:r>
          </w:p>
        </w:tc>
        <w:tc>
          <w:tcPr>
            <w:tcW w:w="1981" w:type="dxa"/>
            <w:noWrap w:val="0"/>
            <w:vAlign w:val="center"/>
          </w:tcPr>
          <w:p w14:paraId="22820356">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4"/>
                <w:szCs w:val="24"/>
                <w:highlight w:val="none"/>
                <w:u w:val="none"/>
                <w:lang w:val="en-US" w:eastAsia="zh-CN"/>
              </w:rPr>
            </w:pPr>
            <w:r>
              <w:rPr>
                <w:rFonts w:hint="eastAsia" w:ascii="仿宋" w:hAnsi="仿宋" w:eastAsia="仿宋" w:cs="仿宋"/>
                <w:i w:val="0"/>
                <w:iCs w:val="0"/>
                <w:color w:val="000000"/>
                <w:sz w:val="24"/>
                <w:szCs w:val="24"/>
                <w:highlight w:val="none"/>
                <w:u w:val="none"/>
                <w:lang w:val="en-US" w:eastAsia="zh-CN"/>
              </w:rPr>
              <w:t>58</w:t>
            </w:r>
          </w:p>
        </w:tc>
        <w:tc>
          <w:tcPr>
            <w:tcW w:w="445" w:type="pct"/>
            <w:noWrap w:val="0"/>
            <w:vAlign w:val="center"/>
          </w:tcPr>
          <w:p w14:paraId="2D13DB71">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4"/>
                <w:szCs w:val="24"/>
                <w:highlight w:val="none"/>
                <w:u w:val="none"/>
                <w:lang w:val="en-US" w:eastAsia="zh-CN"/>
              </w:rPr>
            </w:pPr>
            <w:r>
              <w:rPr>
                <w:rFonts w:hint="eastAsia" w:ascii="仿宋" w:hAnsi="仿宋" w:eastAsia="仿宋" w:cs="仿宋"/>
                <w:i w:val="0"/>
                <w:iCs w:val="0"/>
                <w:color w:val="000000"/>
                <w:sz w:val="24"/>
                <w:szCs w:val="24"/>
                <w:highlight w:val="none"/>
                <w:u w:val="none"/>
                <w:lang w:val="en-US" w:eastAsia="zh-CN"/>
              </w:rPr>
              <w:t>/</w:t>
            </w:r>
          </w:p>
        </w:tc>
      </w:tr>
      <w:tr w14:paraId="6FC6F5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447" w:type="pct"/>
            <w:noWrap w:val="0"/>
            <w:vAlign w:val="center"/>
          </w:tcPr>
          <w:p w14:paraId="41E4B947">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12</w:t>
            </w:r>
          </w:p>
        </w:tc>
        <w:tc>
          <w:tcPr>
            <w:tcW w:w="454" w:type="pct"/>
            <w:vMerge w:val="continue"/>
            <w:noWrap w:val="0"/>
            <w:vAlign w:val="center"/>
          </w:tcPr>
          <w:p w14:paraId="13DE1E12">
            <w:pPr>
              <w:keepNext w:val="0"/>
              <w:keepLines w:val="0"/>
              <w:suppressLineNumbers w:val="0"/>
              <w:spacing w:before="0" w:beforeAutospacing="0" w:after="0" w:afterAutospacing="0"/>
              <w:ind w:left="0" w:right="0"/>
              <w:jc w:val="center"/>
              <w:rPr>
                <w:rFonts w:hint="eastAsia" w:ascii="仿宋" w:hAnsi="仿宋" w:eastAsia="仿宋" w:cs="仿宋"/>
                <w:i w:val="0"/>
                <w:iCs w:val="0"/>
                <w:color w:val="000000"/>
                <w:sz w:val="24"/>
                <w:szCs w:val="24"/>
                <w:highlight w:val="none"/>
                <w:u w:val="none"/>
              </w:rPr>
            </w:pPr>
          </w:p>
        </w:tc>
        <w:tc>
          <w:tcPr>
            <w:tcW w:w="768" w:type="pct"/>
            <w:vMerge w:val="continue"/>
            <w:noWrap w:val="0"/>
            <w:vAlign w:val="center"/>
          </w:tcPr>
          <w:p w14:paraId="04AAE8EB">
            <w:pPr>
              <w:keepNext w:val="0"/>
              <w:keepLines w:val="0"/>
              <w:suppressLineNumbers w:val="0"/>
              <w:spacing w:before="0" w:beforeAutospacing="0" w:after="0" w:afterAutospacing="0"/>
              <w:ind w:left="0" w:right="0"/>
              <w:jc w:val="center"/>
              <w:rPr>
                <w:rFonts w:hint="eastAsia" w:ascii="仿宋" w:hAnsi="仿宋" w:eastAsia="仿宋" w:cs="仿宋"/>
                <w:i w:val="0"/>
                <w:iCs w:val="0"/>
                <w:color w:val="000000"/>
                <w:sz w:val="24"/>
                <w:szCs w:val="24"/>
                <w:highlight w:val="none"/>
                <w:u w:val="none"/>
              </w:rPr>
            </w:pPr>
          </w:p>
        </w:tc>
        <w:tc>
          <w:tcPr>
            <w:tcW w:w="5221" w:type="dxa"/>
            <w:noWrap w:val="0"/>
            <w:vAlign w:val="center"/>
          </w:tcPr>
          <w:p w14:paraId="3E448BE6">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4"/>
                <w:szCs w:val="24"/>
                <w:highlight w:val="none"/>
                <w:u w:val="none"/>
                <w:lang w:val="en-US" w:eastAsia="zh-CN"/>
              </w:rPr>
            </w:pPr>
            <w:r>
              <w:rPr>
                <w:rFonts w:hint="eastAsia" w:ascii="仿宋" w:hAnsi="仿宋" w:eastAsia="仿宋" w:cs="仿宋"/>
                <w:i w:val="0"/>
                <w:iCs w:val="0"/>
                <w:color w:val="000000"/>
                <w:sz w:val="24"/>
                <w:szCs w:val="24"/>
                <w:highlight w:val="none"/>
                <w:u w:val="none"/>
                <w:lang w:val="en-US" w:eastAsia="zh-CN"/>
              </w:rPr>
              <w:t>无为市人民医院</w:t>
            </w:r>
          </w:p>
        </w:tc>
        <w:tc>
          <w:tcPr>
            <w:tcW w:w="445" w:type="pct"/>
            <w:noWrap w:val="0"/>
            <w:vAlign w:val="center"/>
          </w:tcPr>
          <w:p w14:paraId="01298784">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4"/>
                <w:szCs w:val="24"/>
                <w:highlight w:val="none"/>
                <w:u w:val="none"/>
                <w:lang w:val="en-US" w:eastAsia="zh-CN"/>
              </w:rPr>
            </w:pPr>
            <w:r>
              <w:rPr>
                <w:rFonts w:hint="eastAsia" w:ascii="仿宋" w:hAnsi="仿宋" w:eastAsia="仿宋" w:cs="仿宋"/>
                <w:i w:val="0"/>
                <w:iCs w:val="0"/>
                <w:color w:val="000000"/>
                <w:sz w:val="24"/>
                <w:szCs w:val="24"/>
                <w:highlight w:val="none"/>
                <w:u w:val="none"/>
                <w:lang w:val="en-US" w:eastAsia="zh-CN"/>
              </w:rPr>
              <w:t>1</w:t>
            </w:r>
          </w:p>
        </w:tc>
        <w:tc>
          <w:tcPr>
            <w:tcW w:w="1981" w:type="dxa"/>
            <w:noWrap w:val="0"/>
            <w:vAlign w:val="center"/>
          </w:tcPr>
          <w:p w14:paraId="1A7E69BF">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4"/>
                <w:szCs w:val="24"/>
                <w:highlight w:val="none"/>
                <w:u w:val="none"/>
                <w:lang w:val="en-US" w:eastAsia="zh-CN"/>
              </w:rPr>
            </w:pPr>
            <w:r>
              <w:rPr>
                <w:rFonts w:hint="eastAsia" w:ascii="仿宋" w:hAnsi="仿宋" w:eastAsia="仿宋" w:cs="仿宋"/>
                <w:i w:val="0"/>
                <w:iCs w:val="0"/>
                <w:color w:val="000000"/>
                <w:sz w:val="24"/>
                <w:szCs w:val="24"/>
                <w:highlight w:val="none"/>
                <w:u w:val="none"/>
                <w:lang w:val="en-US" w:eastAsia="zh-CN"/>
              </w:rPr>
              <w:t>117</w:t>
            </w:r>
          </w:p>
        </w:tc>
        <w:tc>
          <w:tcPr>
            <w:tcW w:w="445" w:type="pct"/>
            <w:noWrap w:val="0"/>
            <w:vAlign w:val="center"/>
          </w:tcPr>
          <w:p w14:paraId="6E24487A">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4"/>
                <w:szCs w:val="24"/>
                <w:highlight w:val="none"/>
                <w:u w:val="none"/>
                <w:lang w:val="en-US" w:eastAsia="zh-CN"/>
              </w:rPr>
            </w:pPr>
            <w:r>
              <w:rPr>
                <w:rFonts w:hint="eastAsia" w:ascii="仿宋" w:hAnsi="仿宋" w:eastAsia="仿宋" w:cs="仿宋"/>
                <w:i w:val="0"/>
                <w:iCs w:val="0"/>
                <w:color w:val="000000"/>
                <w:sz w:val="24"/>
                <w:szCs w:val="24"/>
                <w:highlight w:val="none"/>
                <w:u w:val="none"/>
                <w:lang w:val="en-US" w:eastAsia="zh-CN"/>
              </w:rPr>
              <w:t>/</w:t>
            </w:r>
          </w:p>
        </w:tc>
      </w:tr>
      <w:tr w14:paraId="357ED4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447" w:type="pct"/>
            <w:noWrap w:val="0"/>
            <w:vAlign w:val="center"/>
          </w:tcPr>
          <w:p w14:paraId="0F2DCC40">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13</w:t>
            </w:r>
          </w:p>
        </w:tc>
        <w:tc>
          <w:tcPr>
            <w:tcW w:w="454" w:type="pct"/>
            <w:vMerge w:val="continue"/>
            <w:noWrap w:val="0"/>
            <w:vAlign w:val="center"/>
          </w:tcPr>
          <w:p w14:paraId="44B296C4">
            <w:pPr>
              <w:keepNext w:val="0"/>
              <w:keepLines w:val="0"/>
              <w:suppressLineNumbers w:val="0"/>
              <w:spacing w:before="0" w:beforeAutospacing="0" w:after="0" w:afterAutospacing="0"/>
              <w:ind w:left="0" w:right="0"/>
              <w:jc w:val="center"/>
              <w:rPr>
                <w:rFonts w:hint="eastAsia" w:ascii="仿宋" w:hAnsi="仿宋" w:eastAsia="仿宋" w:cs="仿宋"/>
                <w:i w:val="0"/>
                <w:iCs w:val="0"/>
                <w:color w:val="000000"/>
                <w:sz w:val="24"/>
                <w:szCs w:val="24"/>
                <w:highlight w:val="none"/>
                <w:u w:val="none"/>
              </w:rPr>
            </w:pPr>
          </w:p>
        </w:tc>
        <w:tc>
          <w:tcPr>
            <w:tcW w:w="768" w:type="pct"/>
            <w:vMerge w:val="continue"/>
            <w:noWrap w:val="0"/>
            <w:vAlign w:val="center"/>
          </w:tcPr>
          <w:p w14:paraId="518FD526">
            <w:pPr>
              <w:keepNext w:val="0"/>
              <w:keepLines w:val="0"/>
              <w:suppressLineNumbers w:val="0"/>
              <w:spacing w:before="0" w:beforeAutospacing="0" w:after="0" w:afterAutospacing="0"/>
              <w:ind w:left="0" w:right="0"/>
              <w:jc w:val="center"/>
              <w:rPr>
                <w:rFonts w:hint="eastAsia" w:ascii="仿宋" w:hAnsi="仿宋" w:eastAsia="仿宋" w:cs="仿宋"/>
                <w:i w:val="0"/>
                <w:iCs w:val="0"/>
                <w:color w:val="000000"/>
                <w:sz w:val="24"/>
                <w:szCs w:val="24"/>
                <w:highlight w:val="none"/>
                <w:u w:val="none"/>
              </w:rPr>
            </w:pPr>
          </w:p>
        </w:tc>
        <w:tc>
          <w:tcPr>
            <w:tcW w:w="5221" w:type="dxa"/>
            <w:noWrap w:val="0"/>
            <w:vAlign w:val="center"/>
          </w:tcPr>
          <w:p w14:paraId="4166DC8E">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4"/>
                <w:szCs w:val="24"/>
                <w:highlight w:val="none"/>
                <w:u w:val="none"/>
                <w:lang w:val="en-US" w:eastAsia="zh-CN"/>
              </w:rPr>
            </w:pPr>
            <w:r>
              <w:rPr>
                <w:rFonts w:hint="eastAsia" w:ascii="仿宋" w:hAnsi="仿宋" w:eastAsia="仿宋" w:cs="仿宋"/>
                <w:i w:val="0"/>
                <w:iCs w:val="0"/>
                <w:color w:val="000000"/>
                <w:sz w:val="24"/>
                <w:szCs w:val="24"/>
                <w:highlight w:val="none"/>
                <w:u w:val="none"/>
                <w:lang w:val="en-US" w:eastAsia="zh-CN"/>
              </w:rPr>
              <w:t>广德市中医院</w:t>
            </w:r>
          </w:p>
        </w:tc>
        <w:tc>
          <w:tcPr>
            <w:tcW w:w="445" w:type="pct"/>
            <w:noWrap w:val="0"/>
            <w:vAlign w:val="center"/>
          </w:tcPr>
          <w:p w14:paraId="5BAD08FA">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4"/>
                <w:szCs w:val="24"/>
                <w:highlight w:val="none"/>
                <w:u w:val="none"/>
                <w:lang w:val="en-US" w:eastAsia="zh-CN"/>
              </w:rPr>
            </w:pPr>
            <w:r>
              <w:rPr>
                <w:rFonts w:hint="eastAsia" w:ascii="仿宋" w:hAnsi="仿宋" w:eastAsia="仿宋" w:cs="仿宋"/>
                <w:i w:val="0"/>
                <w:iCs w:val="0"/>
                <w:color w:val="000000"/>
                <w:sz w:val="24"/>
                <w:szCs w:val="24"/>
                <w:highlight w:val="none"/>
                <w:u w:val="none"/>
                <w:lang w:val="en-US" w:eastAsia="zh-CN"/>
              </w:rPr>
              <w:t>1</w:t>
            </w:r>
          </w:p>
        </w:tc>
        <w:tc>
          <w:tcPr>
            <w:tcW w:w="1981" w:type="dxa"/>
            <w:noWrap w:val="0"/>
            <w:vAlign w:val="center"/>
          </w:tcPr>
          <w:p w14:paraId="2C9B9203">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4"/>
                <w:szCs w:val="24"/>
                <w:highlight w:val="none"/>
                <w:u w:val="none"/>
                <w:lang w:val="en-US" w:eastAsia="zh-CN"/>
              </w:rPr>
            </w:pPr>
            <w:r>
              <w:rPr>
                <w:rFonts w:hint="eastAsia" w:ascii="仿宋" w:hAnsi="仿宋" w:eastAsia="仿宋" w:cs="仿宋"/>
                <w:i w:val="0"/>
                <w:iCs w:val="0"/>
                <w:color w:val="000000"/>
                <w:sz w:val="24"/>
                <w:szCs w:val="24"/>
                <w:highlight w:val="none"/>
                <w:u w:val="none"/>
                <w:lang w:val="en-US" w:eastAsia="zh-CN"/>
              </w:rPr>
              <w:t>35</w:t>
            </w:r>
          </w:p>
        </w:tc>
        <w:tc>
          <w:tcPr>
            <w:tcW w:w="445" w:type="pct"/>
            <w:noWrap w:val="0"/>
            <w:vAlign w:val="center"/>
          </w:tcPr>
          <w:p w14:paraId="195CA540">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4"/>
                <w:szCs w:val="24"/>
                <w:highlight w:val="none"/>
                <w:u w:val="none"/>
                <w:lang w:val="en-US" w:eastAsia="zh-CN"/>
              </w:rPr>
            </w:pPr>
            <w:r>
              <w:rPr>
                <w:rFonts w:hint="eastAsia" w:ascii="仿宋" w:hAnsi="仿宋" w:eastAsia="仿宋" w:cs="仿宋"/>
                <w:i w:val="0"/>
                <w:iCs w:val="0"/>
                <w:color w:val="000000"/>
                <w:sz w:val="24"/>
                <w:szCs w:val="24"/>
                <w:highlight w:val="none"/>
                <w:u w:val="none"/>
                <w:lang w:val="en-US" w:eastAsia="zh-CN"/>
              </w:rPr>
              <w:t>/</w:t>
            </w:r>
          </w:p>
        </w:tc>
      </w:tr>
      <w:tr w14:paraId="7B99F4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447" w:type="pct"/>
            <w:noWrap w:val="0"/>
            <w:vAlign w:val="center"/>
          </w:tcPr>
          <w:p w14:paraId="1C7681B2">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14</w:t>
            </w:r>
          </w:p>
        </w:tc>
        <w:tc>
          <w:tcPr>
            <w:tcW w:w="454" w:type="pct"/>
            <w:vMerge w:val="continue"/>
            <w:noWrap w:val="0"/>
            <w:vAlign w:val="center"/>
          </w:tcPr>
          <w:p w14:paraId="450EDCB6">
            <w:pPr>
              <w:keepNext w:val="0"/>
              <w:keepLines w:val="0"/>
              <w:suppressLineNumbers w:val="0"/>
              <w:spacing w:before="0" w:beforeAutospacing="0" w:after="0" w:afterAutospacing="0"/>
              <w:ind w:left="0" w:right="0"/>
              <w:jc w:val="center"/>
              <w:rPr>
                <w:rFonts w:hint="eastAsia" w:ascii="仿宋" w:hAnsi="仿宋" w:eastAsia="仿宋" w:cs="仿宋"/>
                <w:i w:val="0"/>
                <w:iCs w:val="0"/>
                <w:color w:val="000000"/>
                <w:sz w:val="24"/>
                <w:szCs w:val="24"/>
                <w:highlight w:val="none"/>
                <w:u w:val="none"/>
              </w:rPr>
            </w:pPr>
          </w:p>
        </w:tc>
        <w:tc>
          <w:tcPr>
            <w:tcW w:w="768" w:type="pct"/>
            <w:vMerge w:val="continue"/>
            <w:noWrap w:val="0"/>
            <w:vAlign w:val="center"/>
          </w:tcPr>
          <w:p w14:paraId="54954102">
            <w:pPr>
              <w:keepNext w:val="0"/>
              <w:keepLines w:val="0"/>
              <w:suppressLineNumbers w:val="0"/>
              <w:spacing w:before="0" w:beforeAutospacing="0" w:after="0" w:afterAutospacing="0"/>
              <w:ind w:left="0" w:right="0"/>
              <w:jc w:val="center"/>
              <w:rPr>
                <w:rFonts w:hint="eastAsia" w:ascii="仿宋" w:hAnsi="仿宋" w:eastAsia="仿宋" w:cs="仿宋"/>
                <w:i w:val="0"/>
                <w:iCs w:val="0"/>
                <w:color w:val="000000"/>
                <w:sz w:val="24"/>
                <w:szCs w:val="24"/>
                <w:highlight w:val="none"/>
                <w:u w:val="none"/>
              </w:rPr>
            </w:pPr>
          </w:p>
        </w:tc>
        <w:tc>
          <w:tcPr>
            <w:tcW w:w="5221" w:type="dxa"/>
            <w:noWrap w:val="0"/>
            <w:vAlign w:val="center"/>
          </w:tcPr>
          <w:p w14:paraId="40F6BE69">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4"/>
                <w:szCs w:val="24"/>
                <w:highlight w:val="none"/>
                <w:u w:val="none"/>
                <w:lang w:val="en-US" w:eastAsia="zh-CN"/>
              </w:rPr>
            </w:pPr>
            <w:r>
              <w:rPr>
                <w:rFonts w:hint="eastAsia" w:ascii="仿宋" w:hAnsi="仿宋" w:eastAsia="仿宋" w:cs="仿宋"/>
                <w:i w:val="0"/>
                <w:iCs w:val="0"/>
                <w:color w:val="000000"/>
                <w:sz w:val="24"/>
                <w:szCs w:val="24"/>
                <w:highlight w:val="none"/>
                <w:u w:val="none"/>
                <w:lang w:val="en-US" w:eastAsia="zh-CN"/>
              </w:rPr>
              <w:t>宁国市人民医院</w:t>
            </w:r>
          </w:p>
        </w:tc>
        <w:tc>
          <w:tcPr>
            <w:tcW w:w="445" w:type="pct"/>
            <w:noWrap w:val="0"/>
            <w:vAlign w:val="center"/>
          </w:tcPr>
          <w:p w14:paraId="3CB4D630">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4"/>
                <w:szCs w:val="24"/>
                <w:highlight w:val="none"/>
                <w:u w:val="none"/>
                <w:lang w:val="en-US" w:eastAsia="zh-CN"/>
              </w:rPr>
            </w:pPr>
            <w:r>
              <w:rPr>
                <w:rFonts w:hint="eastAsia" w:ascii="仿宋" w:hAnsi="仿宋" w:eastAsia="仿宋" w:cs="仿宋"/>
                <w:i w:val="0"/>
                <w:iCs w:val="0"/>
                <w:color w:val="000000"/>
                <w:sz w:val="24"/>
                <w:szCs w:val="24"/>
                <w:highlight w:val="none"/>
                <w:u w:val="none"/>
                <w:lang w:val="en-US" w:eastAsia="zh-CN"/>
              </w:rPr>
              <w:t>1</w:t>
            </w:r>
          </w:p>
        </w:tc>
        <w:tc>
          <w:tcPr>
            <w:tcW w:w="1981" w:type="dxa"/>
            <w:noWrap w:val="0"/>
            <w:vAlign w:val="center"/>
          </w:tcPr>
          <w:p w14:paraId="7832280E">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4"/>
                <w:szCs w:val="24"/>
                <w:highlight w:val="none"/>
                <w:u w:val="none"/>
                <w:lang w:val="en-US" w:eastAsia="zh-CN"/>
              </w:rPr>
            </w:pPr>
            <w:r>
              <w:rPr>
                <w:rFonts w:hint="eastAsia" w:ascii="仿宋" w:hAnsi="仿宋" w:eastAsia="仿宋" w:cs="仿宋"/>
                <w:i w:val="0"/>
                <w:iCs w:val="0"/>
                <w:color w:val="000000"/>
                <w:sz w:val="24"/>
                <w:szCs w:val="24"/>
                <w:highlight w:val="none"/>
                <w:u w:val="none"/>
                <w:lang w:val="en-US" w:eastAsia="zh-CN"/>
              </w:rPr>
              <w:t>117</w:t>
            </w:r>
          </w:p>
        </w:tc>
        <w:tc>
          <w:tcPr>
            <w:tcW w:w="445" w:type="pct"/>
            <w:noWrap w:val="0"/>
            <w:vAlign w:val="center"/>
          </w:tcPr>
          <w:p w14:paraId="3F04D8D3">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4"/>
                <w:szCs w:val="24"/>
                <w:highlight w:val="none"/>
                <w:u w:val="none"/>
                <w:lang w:val="en-US" w:eastAsia="zh-CN"/>
              </w:rPr>
            </w:pPr>
            <w:r>
              <w:rPr>
                <w:rFonts w:hint="eastAsia" w:ascii="仿宋" w:hAnsi="仿宋" w:eastAsia="仿宋" w:cs="仿宋"/>
                <w:i w:val="0"/>
                <w:iCs w:val="0"/>
                <w:color w:val="000000"/>
                <w:sz w:val="24"/>
                <w:szCs w:val="24"/>
                <w:highlight w:val="none"/>
                <w:u w:val="none"/>
                <w:lang w:val="en-US" w:eastAsia="zh-CN"/>
              </w:rPr>
              <w:t>/</w:t>
            </w:r>
          </w:p>
        </w:tc>
      </w:tr>
    </w:tbl>
    <w:p w14:paraId="65C95AB7">
      <w:pPr>
        <w:widowControl/>
        <w:spacing w:line="360" w:lineRule="auto"/>
        <w:ind w:firstLine="442" w:firstLineChars="200"/>
        <w:rPr>
          <w:rFonts w:ascii="宋体" w:hAnsi="宋体" w:eastAsia="仿宋"/>
          <w:sz w:val="28"/>
          <w:szCs w:val="28"/>
          <w:highlight w:val="none"/>
        </w:rPr>
        <w:sectPr>
          <w:footnotePr>
            <w:numFmt w:val="decimalEnclosedCircleChinese"/>
            <w:numRestart w:val="eachPage"/>
          </w:footnotePr>
          <w:pgSz w:w="16838" w:h="11906" w:orient="landscape"/>
          <w:pgMar w:top="1134" w:right="1134" w:bottom="1134" w:left="1134" w:header="851" w:footer="851" w:gutter="0"/>
          <w:cols w:space="720" w:num="1"/>
          <w:docGrid w:linePitch="312" w:charSpace="0"/>
        </w:sectPr>
      </w:pPr>
      <w:r>
        <w:rPr>
          <w:rFonts w:hint="eastAsia" w:ascii="宋体" w:hAnsi="宋体" w:eastAsia="仿宋"/>
          <w:b/>
          <w:bCs/>
          <w:sz w:val="22"/>
          <w:szCs w:val="22"/>
          <w:highlight w:val="none"/>
        </w:rPr>
        <w:t>注：（1）上述使用单位为本次招标采购医用设备的最终用户及合同签订单位；（2）排名不分先后； （3）交货地点为以上使用单位所在地点或使用单位指定地点。</w:t>
      </w:r>
    </w:p>
    <w:p w14:paraId="5B5D2D1F">
      <w:pPr>
        <w:pStyle w:val="2"/>
        <w:widowControl/>
        <w:spacing w:before="0" w:after="0" w:line="240" w:lineRule="auto"/>
        <w:jc w:val="center"/>
        <w:rPr>
          <w:rFonts w:ascii="宋体" w:hAnsi="宋体" w:eastAsia="仿宋"/>
          <w:highlight w:val="none"/>
        </w:rPr>
      </w:pPr>
      <w:bookmarkStart w:id="41" w:name="_Toc26870"/>
      <w:bookmarkStart w:id="42" w:name="_Toc241459614"/>
      <w:bookmarkStart w:id="43" w:name="_Toc445554685"/>
      <w:bookmarkStart w:id="44" w:name="_Toc466024497"/>
      <w:bookmarkStart w:id="45" w:name="_Toc333587477"/>
      <w:bookmarkStart w:id="46" w:name="_Toc371415919"/>
      <w:bookmarkStart w:id="47" w:name="_Toc342297617"/>
      <w:bookmarkStart w:id="48" w:name="_Toc342296160"/>
      <w:r>
        <w:rPr>
          <w:rFonts w:hint="eastAsia" w:ascii="宋体" w:hAnsi="宋体" w:eastAsia="仿宋"/>
          <w:highlight w:val="none"/>
        </w:rPr>
        <w:t>第二章</w:t>
      </w:r>
      <w:r>
        <w:rPr>
          <w:rFonts w:ascii="宋体" w:hAnsi="宋体" w:eastAsia="仿宋"/>
          <w:highlight w:val="none"/>
        </w:rPr>
        <w:t xml:space="preserve"> </w:t>
      </w:r>
      <w:r>
        <w:rPr>
          <w:rFonts w:hint="eastAsia" w:ascii="宋体" w:hAnsi="宋体" w:eastAsia="仿宋"/>
          <w:highlight w:val="none"/>
        </w:rPr>
        <w:t xml:space="preserve"> 投标人须知</w:t>
      </w:r>
      <w:bookmarkEnd w:id="41"/>
      <w:bookmarkEnd w:id="42"/>
      <w:bookmarkEnd w:id="43"/>
      <w:bookmarkEnd w:id="44"/>
    </w:p>
    <w:p w14:paraId="43DBB6C8">
      <w:pPr>
        <w:pStyle w:val="3"/>
        <w:widowControl/>
        <w:spacing w:before="120" w:after="120" w:line="240" w:lineRule="auto"/>
        <w:jc w:val="center"/>
        <w:rPr>
          <w:rStyle w:val="107"/>
          <w:rFonts w:hint="eastAsia" w:ascii="仿宋" w:hAnsi="仿宋" w:eastAsia="仿宋" w:cs="仿宋"/>
          <w:b/>
          <w:bCs w:val="0"/>
          <w:sz w:val="28"/>
          <w:szCs w:val="28"/>
          <w:highlight w:val="none"/>
        </w:rPr>
      </w:pPr>
      <w:bookmarkStart w:id="49" w:name="_Toc466024498"/>
      <w:bookmarkStart w:id="50" w:name="_Toc445554686"/>
      <w:r>
        <w:rPr>
          <w:rStyle w:val="107"/>
          <w:rFonts w:hint="eastAsia" w:ascii="仿宋" w:hAnsi="仿宋" w:eastAsia="仿宋" w:cs="仿宋"/>
          <w:b/>
          <w:bCs w:val="0"/>
          <w:sz w:val="28"/>
          <w:szCs w:val="28"/>
          <w:highlight w:val="none"/>
        </w:rPr>
        <w:t>投标人须知前附表</w:t>
      </w:r>
      <w:bookmarkEnd w:id="49"/>
      <w:bookmarkEnd w:id="50"/>
    </w:p>
    <w:p w14:paraId="1BA6E991">
      <w:pPr>
        <w:widowControl/>
        <w:adjustRightInd w:val="0"/>
        <w:snapToGrid w:val="0"/>
        <w:spacing w:before="240" w:beforeLines="100" w:after="120" w:afterLines="50" w:line="360" w:lineRule="auto"/>
        <w:ind w:firstLine="482" w:firstLineChars="200"/>
        <w:rPr>
          <w:rFonts w:hint="eastAsia" w:ascii="宋体" w:hAnsi="宋体" w:eastAsia="仿宋"/>
          <w:b/>
          <w:bCs/>
          <w:sz w:val="24"/>
          <w:highlight w:val="none"/>
        </w:rPr>
      </w:pPr>
      <w:r>
        <w:rPr>
          <w:rFonts w:hint="eastAsia" w:ascii="宋体" w:hAnsi="宋体" w:eastAsia="仿宋"/>
          <w:b/>
          <w:bCs/>
          <w:sz w:val="24"/>
          <w:highlight w:val="none"/>
        </w:rPr>
        <w:t>本《投标人须知前附表》是对本章《投标人须知》的具体补充和修改，如有不一致，以本《投标人须知前附表》为准。</w:t>
      </w:r>
    </w:p>
    <w:tbl>
      <w:tblPr>
        <w:tblStyle w:val="4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857"/>
        <w:gridCol w:w="1581"/>
        <w:gridCol w:w="7229"/>
      </w:tblGrid>
      <w:tr w14:paraId="3BC582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tblHeader/>
        </w:trPr>
        <w:tc>
          <w:tcPr>
            <w:tcW w:w="857" w:type="dxa"/>
            <w:noWrap w:val="0"/>
            <w:vAlign w:val="center"/>
          </w:tcPr>
          <w:p w14:paraId="638FAA7C">
            <w:pPr>
              <w:keepNext w:val="0"/>
              <w:keepLines w:val="0"/>
              <w:widowControl/>
              <w:suppressLineNumbers w:val="0"/>
              <w:adjustRightInd w:val="0"/>
              <w:snapToGrid w:val="0"/>
              <w:spacing w:before="0" w:beforeAutospacing="0" w:after="0" w:afterAutospacing="0" w:line="288" w:lineRule="auto"/>
              <w:ind w:left="0" w:right="0"/>
              <w:jc w:val="center"/>
              <w:rPr>
                <w:rFonts w:hint="default" w:ascii="宋体" w:hAnsi="宋体" w:cs="Calibri"/>
                <w:b/>
                <w:color w:val="auto"/>
                <w:sz w:val="24"/>
                <w:highlight w:val="none"/>
              </w:rPr>
            </w:pPr>
            <w:r>
              <w:rPr>
                <w:rFonts w:hint="eastAsia" w:ascii="宋体" w:hAnsi="宋体" w:eastAsia="仿宋" w:cs="Calibri"/>
                <w:b/>
                <w:color w:val="auto"/>
                <w:sz w:val="24"/>
                <w:highlight w:val="none"/>
              </w:rPr>
              <w:t>条款号</w:t>
            </w:r>
          </w:p>
        </w:tc>
        <w:tc>
          <w:tcPr>
            <w:tcW w:w="1581" w:type="dxa"/>
            <w:noWrap w:val="0"/>
            <w:vAlign w:val="center"/>
          </w:tcPr>
          <w:p w14:paraId="68289A0F">
            <w:pPr>
              <w:keepNext w:val="0"/>
              <w:keepLines w:val="0"/>
              <w:widowControl/>
              <w:suppressLineNumbers w:val="0"/>
              <w:adjustRightInd w:val="0"/>
              <w:snapToGrid w:val="0"/>
              <w:spacing w:before="0" w:beforeAutospacing="0" w:after="0" w:afterAutospacing="0" w:line="288" w:lineRule="auto"/>
              <w:ind w:left="0" w:right="0"/>
              <w:jc w:val="center"/>
              <w:rPr>
                <w:rFonts w:hint="default" w:ascii="宋体" w:hAnsi="宋体" w:cs="Calibri"/>
                <w:b/>
                <w:color w:val="auto"/>
                <w:sz w:val="24"/>
                <w:highlight w:val="none"/>
              </w:rPr>
            </w:pPr>
            <w:r>
              <w:rPr>
                <w:rFonts w:hint="eastAsia" w:ascii="宋体" w:hAnsi="宋体" w:eastAsia="仿宋" w:cs="Calibri"/>
                <w:b/>
                <w:color w:val="auto"/>
                <w:sz w:val="24"/>
                <w:highlight w:val="none"/>
              </w:rPr>
              <w:t>条款名称</w:t>
            </w:r>
          </w:p>
        </w:tc>
        <w:tc>
          <w:tcPr>
            <w:tcW w:w="7229" w:type="dxa"/>
            <w:noWrap w:val="0"/>
            <w:vAlign w:val="center"/>
          </w:tcPr>
          <w:p w14:paraId="316213F6">
            <w:pPr>
              <w:keepNext w:val="0"/>
              <w:keepLines w:val="0"/>
              <w:widowControl/>
              <w:suppressLineNumbers w:val="0"/>
              <w:adjustRightInd w:val="0"/>
              <w:snapToGrid w:val="0"/>
              <w:spacing w:before="0" w:beforeAutospacing="0" w:after="0" w:afterAutospacing="0" w:line="288" w:lineRule="auto"/>
              <w:ind w:left="0" w:right="0"/>
              <w:jc w:val="center"/>
              <w:rPr>
                <w:rFonts w:hint="default" w:ascii="宋体" w:hAnsi="宋体" w:cs="Calibri"/>
                <w:b/>
                <w:color w:val="auto"/>
                <w:sz w:val="24"/>
                <w:highlight w:val="none"/>
              </w:rPr>
            </w:pPr>
            <w:r>
              <w:rPr>
                <w:rFonts w:hint="eastAsia" w:ascii="宋体" w:hAnsi="宋体" w:eastAsia="仿宋" w:cs="Calibri"/>
                <w:b/>
                <w:color w:val="auto"/>
                <w:sz w:val="24"/>
                <w:highlight w:val="none"/>
              </w:rPr>
              <w:t>编</w:t>
            </w:r>
            <w:r>
              <w:rPr>
                <w:rFonts w:hint="default" w:ascii="宋体" w:hAnsi="宋体" w:eastAsia="仿宋" w:cs="Calibri"/>
                <w:b/>
                <w:color w:val="auto"/>
                <w:sz w:val="24"/>
                <w:highlight w:val="none"/>
              </w:rPr>
              <w:t xml:space="preserve">  </w:t>
            </w:r>
            <w:r>
              <w:rPr>
                <w:rFonts w:hint="eastAsia" w:ascii="宋体" w:hAnsi="宋体" w:eastAsia="仿宋" w:cs="Calibri"/>
                <w:b/>
                <w:color w:val="auto"/>
                <w:sz w:val="24"/>
                <w:highlight w:val="none"/>
              </w:rPr>
              <w:t>列</w:t>
            </w:r>
            <w:r>
              <w:rPr>
                <w:rFonts w:hint="default" w:ascii="宋体" w:hAnsi="宋体" w:eastAsia="仿宋" w:cs="Calibri"/>
                <w:b/>
                <w:color w:val="auto"/>
                <w:sz w:val="24"/>
                <w:highlight w:val="none"/>
              </w:rPr>
              <w:t xml:space="preserve">  </w:t>
            </w:r>
            <w:r>
              <w:rPr>
                <w:rFonts w:hint="eastAsia" w:ascii="宋体" w:hAnsi="宋体" w:eastAsia="仿宋" w:cs="Calibri"/>
                <w:b/>
                <w:color w:val="auto"/>
                <w:sz w:val="24"/>
                <w:highlight w:val="none"/>
              </w:rPr>
              <w:t>内</w:t>
            </w:r>
            <w:r>
              <w:rPr>
                <w:rFonts w:hint="default" w:ascii="宋体" w:hAnsi="宋体" w:eastAsia="仿宋" w:cs="Calibri"/>
                <w:b/>
                <w:color w:val="auto"/>
                <w:sz w:val="24"/>
                <w:highlight w:val="none"/>
              </w:rPr>
              <w:t xml:space="preserve">  </w:t>
            </w:r>
            <w:r>
              <w:rPr>
                <w:rFonts w:hint="eastAsia" w:ascii="宋体" w:hAnsi="宋体" w:eastAsia="仿宋" w:cs="Calibri"/>
                <w:b/>
                <w:color w:val="auto"/>
                <w:sz w:val="24"/>
                <w:highlight w:val="none"/>
              </w:rPr>
              <w:t>容</w:t>
            </w:r>
          </w:p>
        </w:tc>
      </w:tr>
      <w:tr w14:paraId="776436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01665819">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color w:val="auto"/>
                <w:sz w:val="24"/>
                <w:highlight w:val="none"/>
              </w:rPr>
            </w:pPr>
            <w:r>
              <w:rPr>
                <w:rFonts w:hint="eastAsia" w:ascii="宋体" w:hAnsi="宋体" w:eastAsia="仿宋" w:cs="Calibri"/>
                <w:color w:val="auto"/>
                <w:sz w:val="24"/>
                <w:highlight w:val="none"/>
              </w:rPr>
              <w:t>1.1.2</w:t>
            </w:r>
          </w:p>
        </w:tc>
        <w:tc>
          <w:tcPr>
            <w:tcW w:w="1581" w:type="dxa"/>
            <w:noWrap w:val="0"/>
            <w:vAlign w:val="center"/>
          </w:tcPr>
          <w:p w14:paraId="6A5FF908">
            <w:pPr>
              <w:keepNext w:val="0"/>
              <w:keepLines w:val="0"/>
              <w:suppressLineNumbers w:val="0"/>
              <w:adjustRightInd w:val="0"/>
              <w:snapToGrid w:val="0"/>
              <w:spacing w:before="0" w:beforeAutospacing="0" w:after="0" w:afterAutospacing="0" w:line="288" w:lineRule="auto"/>
              <w:ind w:left="0" w:right="0"/>
              <w:jc w:val="center"/>
              <w:rPr>
                <w:rFonts w:hint="eastAsia" w:ascii="宋体" w:hAnsi="宋体" w:cs="Times New Roman"/>
                <w:color w:val="auto"/>
                <w:sz w:val="24"/>
                <w:highlight w:val="none"/>
              </w:rPr>
            </w:pPr>
            <w:r>
              <w:rPr>
                <w:rFonts w:hint="eastAsia" w:ascii="宋体" w:hAnsi="宋体" w:eastAsia="仿宋" w:cs="Times New Roman"/>
                <w:color w:val="auto"/>
                <w:sz w:val="24"/>
                <w:highlight w:val="none"/>
              </w:rPr>
              <w:t>采购人</w:t>
            </w:r>
          </w:p>
        </w:tc>
        <w:tc>
          <w:tcPr>
            <w:tcW w:w="7229" w:type="dxa"/>
            <w:noWrap w:val="0"/>
            <w:vAlign w:val="center"/>
          </w:tcPr>
          <w:p w14:paraId="26DF9302">
            <w:pPr>
              <w:keepNext w:val="0"/>
              <w:keepLines w:val="0"/>
              <w:suppressLineNumbers w:val="0"/>
              <w:adjustRightInd w:val="0"/>
              <w:snapToGrid w:val="0"/>
              <w:spacing w:before="0" w:beforeAutospacing="0" w:after="0" w:afterAutospacing="0" w:line="288" w:lineRule="auto"/>
              <w:ind w:left="0" w:right="0"/>
              <w:rPr>
                <w:rFonts w:hint="default" w:ascii="宋体" w:hAnsi="宋体" w:cs="Times New Roman"/>
                <w:color w:val="auto"/>
                <w:sz w:val="24"/>
                <w:highlight w:val="none"/>
              </w:rPr>
            </w:pPr>
            <w:r>
              <w:rPr>
                <w:rFonts w:hint="eastAsia" w:ascii="宋体" w:hAnsi="宋体" w:eastAsia="仿宋" w:cs="Times New Roman"/>
                <w:color w:val="auto"/>
                <w:sz w:val="24"/>
                <w:highlight w:val="none"/>
              </w:rPr>
              <w:t>见招标公告</w:t>
            </w:r>
          </w:p>
        </w:tc>
      </w:tr>
      <w:tr w14:paraId="07E91F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12624C94">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color w:val="auto"/>
                <w:sz w:val="24"/>
                <w:highlight w:val="none"/>
              </w:rPr>
            </w:pPr>
            <w:r>
              <w:rPr>
                <w:rFonts w:hint="eastAsia" w:ascii="宋体" w:hAnsi="宋体" w:eastAsia="仿宋" w:cs="Calibri"/>
                <w:color w:val="auto"/>
                <w:sz w:val="24"/>
                <w:highlight w:val="none"/>
              </w:rPr>
              <w:t>1.1.3</w:t>
            </w:r>
          </w:p>
        </w:tc>
        <w:tc>
          <w:tcPr>
            <w:tcW w:w="1581" w:type="dxa"/>
            <w:noWrap w:val="0"/>
            <w:vAlign w:val="center"/>
          </w:tcPr>
          <w:p w14:paraId="7FB4C8DC">
            <w:pPr>
              <w:keepNext w:val="0"/>
              <w:keepLines w:val="0"/>
              <w:suppressLineNumbers w:val="0"/>
              <w:adjustRightInd w:val="0"/>
              <w:snapToGrid w:val="0"/>
              <w:spacing w:before="0" w:beforeAutospacing="0" w:after="0" w:afterAutospacing="0" w:line="288" w:lineRule="auto"/>
              <w:ind w:left="0" w:right="0"/>
              <w:jc w:val="center"/>
              <w:rPr>
                <w:rFonts w:hint="default" w:ascii="宋体" w:hAnsi="宋体" w:cs="Times New Roman"/>
                <w:color w:val="auto"/>
                <w:sz w:val="24"/>
                <w:highlight w:val="none"/>
              </w:rPr>
            </w:pPr>
            <w:r>
              <w:rPr>
                <w:rFonts w:hint="eastAsia" w:ascii="宋体" w:hAnsi="宋体" w:eastAsia="仿宋" w:cs="Times New Roman"/>
                <w:color w:val="auto"/>
                <w:sz w:val="24"/>
                <w:highlight w:val="none"/>
              </w:rPr>
              <w:t>采购代理机构</w:t>
            </w:r>
          </w:p>
        </w:tc>
        <w:tc>
          <w:tcPr>
            <w:tcW w:w="7229" w:type="dxa"/>
            <w:noWrap w:val="0"/>
            <w:vAlign w:val="center"/>
          </w:tcPr>
          <w:p w14:paraId="17AD2C9B">
            <w:pPr>
              <w:keepNext w:val="0"/>
              <w:keepLines w:val="0"/>
              <w:suppressLineNumbers w:val="0"/>
              <w:adjustRightInd w:val="0"/>
              <w:snapToGrid w:val="0"/>
              <w:spacing w:before="0" w:beforeAutospacing="0" w:after="0" w:afterAutospacing="0" w:line="288" w:lineRule="auto"/>
              <w:ind w:left="0" w:right="0"/>
              <w:rPr>
                <w:rFonts w:hint="eastAsia" w:ascii="宋体" w:hAnsi="宋体" w:cs="Times New Roman"/>
                <w:color w:val="auto"/>
                <w:sz w:val="24"/>
                <w:highlight w:val="none"/>
              </w:rPr>
            </w:pPr>
            <w:r>
              <w:rPr>
                <w:rFonts w:hint="eastAsia" w:ascii="宋体" w:hAnsi="宋体" w:eastAsia="仿宋" w:cs="Times New Roman"/>
                <w:color w:val="auto"/>
                <w:sz w:val="24"/>
                <w:highlight w:val="none"/>
              </w:rPr>
              <w:t>见招标公告</w:t>
            </w:r>
          </w:p>
        </w:tc>
      </w:tr>
      <w:tr w14:paraId="2477A8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28D97360">
            <w:pPr>
              <w:keepNext w:val="0"/>
              <w:keepLines w:val="0"/>
              <w:widowControl/>
              <w:suppressLineNumbers w:val="0"/>
              <w:adjustRightInd w:val="0"/>
              <w:snapToGrid w:val="0"/>
              <w:spacing w:before="0" w:beforeAutospacing="0" w:after="0" w:afterAutospacing="0" w:line="288" w:lineRule="auto"/>
              <w:ind w:left="0" w:right="0"/>
              <w:jc w:val="center"/>
              <w:rPr>
                <w:rFonts w:hint="default" w:ascii="宋体" w:hAnsi="宋体" w:cs="Calibri"/>
                <w:color w:val="auto"/>
                <w:sz w:val="24"/>
                <w:highlight w:val="none"/>
              </w:rPr>
            </w:pPr>
            <w:r>
              <w:rPr>
                <w:rFonts w:hint="eastAsia" w:ascii="宋体" w:hAnsi="宋体" w:eastAsia="仿宋" w:cs="Calibri"/>
                <w:color w:val="auto"/>
                <w:sz w:val="24"/>
                <w:highlight w:val="none"/>
              </w:rPr>
              <w:t>1.1.4</w:t>
            </w:r>
          </w:p>
        </w:tc>
        <w:tc>
          <w:tcPr>
            <w:tcW w:w="1581" w:type="dxa"/>
            <w:noWrap w:val="0"/>
            <w:vAlign w:val="center"/>
          </w:tcPr>
          <w:p w14:paraId="58E4F6BA">
            <w:pPr>
              <w:keepNext w:val="0"/>
              <w:keepLines w:val="0"/>
              <w:widowControl/>
              <w:suppressLineNumbers w:val="0"/>
              <w:adjustRightInd w:val="0"/>
              <w:snapToGrid w:val="0"/>
              <w:spacing w:before="0" w:beforeAutospacing="0" w:after="0" w:afterAutospacing="0" w:line="288" w:lineRule="auto"/>
              <w:ind w:left="0" w:right="0"/>
              <w:jc w:val="center"/>
              <w:rPr>
                <w:rFonts w:hint="default" w:ascii="宋体" w:hAnsi="宋体" w:cs="Calibri"/>
                <w:color w:val="auto"/>
                <w:sz w:val="24"/>
                <w:highlight w:val="none"/>
              </w:rPr>
            </w:pPr>
            <w:r>
              <w:rPr>
                <w:rFonts w:hint="eastAsia" w:ascii="宋体" w:hAnsi="宋体" w:eastAsia="仿宋" w:cs="Calibri"/>
                <w:color w:val="auto"/>
                <w:sz w:val="24"/>
                <w:highlight w:val="none"/>
              </w:rPr>
              <w:t>采购项目名称</w:t>
            </w:r>
          </w:p>
        </w:tc>
        <w:tc>
          <w:tcPr>
            <w:tcW w:w="7229" w:type="dxa"/>
            <w:noWrap w:val="0"/>
            <w:vAlign w:val="center"/>
          </w:tcPr>
          <w:p w14:paraId="03CAFF31">
            <w:pPr>
              <w:keepNext w:val="0"/>
              <w:keepLines w:val="0"/>
              <w:widowControl/>
              <w:suppressLineNumbers w:val="0"/>
              <w:adjustRightInd w:val="0"/>
              <w:snapToGrid w:val="0"/>
              <w:spacing w:before="0" w:beforeAutospacing="0" w:after="0" w:afterAutospacing="0" w:line="288" w:lineRule="auto"/>
              <w:ind w:left="0" w:right="0"/>
              <w:rPr>
                <w:rFonts w:hint="default" w:ascii="宋体" w:hAnsi="宋体" w:cs="Calibri"/>
                <w:color w:val="auto"/>
                <w:sz w:val="24"/>
                <w:highlight w:val="none"/>
              </w:rPr>
            </w:pPr>
            <w:r>
              <w:rPr>
                <w:rFonts w:hint="eastAsia" w:ascii="宋体" w:hAnsi="宋体" w:eastAsia="仿宋" w:cs="Times New Roman"/>
                <w:color w:val="auto"/>
                <w:sz w:val="24"/>
                <w:highlight w:val="none"/>
              </w:rPr>
              <w:t>见招标公告</w:t>
            </w:r>
          </w:p>
        </w:tc>
      </w:tr>
      <w:tr w14:paraId="539960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0852D8D9">
            <w:pPr>
              <w:keepNext w:val="0"/>
              <w:keepLines w:val="0"/>
              <w:widowControl/>
              <w:suppressLineNumbers w:val="0"/>
              <w:adjustRightInd w:val="0"/>
              <w:snapToGrid w:val="0"/>
              <w:spacing w:before="0" w:beforeAutospacing="0" w:after="0" w:afterAutospacing="0" w:line="288" w:lineRule="auto"/>
              <w:ind w:left="0" w:right="0"/>
              <w:jc w:val="center"/>
              <w:rPr>
                <w:rFonts w:hint="default" w:ascii="宋体" w:hAnsi="宋体" w:cs="Calibri"/>
                <w:color w:val="auto"/>
                <w:sz w:val="24"/>
                <w:highlight w:val="none"/>
              </w:rPr>
            </w:pPr>
            <w:r>
              <w:rPr>
                <w:rFonts w:hint="eastAsia" w:ascii="宋体" w:hAnsi="宋体" w:eastAsia="仿宋" w:cs="Calibri"/>
                <w:color w:val="auto"/>
                <w:sz w:val="24"/>
                <w:highlight w:val="none"/>
              </w:rPr>
              <w:t>1.1.5</w:t>
            </w:r>
          </w:p>
        </w:tc>
        <w:tc>
          <w:tcPr>
            <w:tcW w:w="1581" w:type="dxa"/>
            <w:noWrap w:val="0"/>
            <w:vAlign w:val="center"/>
          </w:tcPr>
          <w:p w14:paraId="4D2F0C1E">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color w:val="auto"/>
                <w:sz w:val="24"/>
                <w:highlight w:val="none"/>
              </w:rPr>
            </w:pPr>
            <w:r>
              <w:rPr>
                <w:rFonts w:hint="eastAsia" w:ascii="宋体" w:hAnsi="宋体" w:eastAsia="仿宋" w:cs="Calibri"/>
                <w:color w:val="auto"/>
                <w:sz w:val="24"/>
                <w:highlight w:val="none"/>
              </w:rPr>
              <w:t>采购包划分</w:t>
            </w:r>
          </w:p>
        </w:tc>
        <w:tc>
          <w:tcPr>
            <w:tcW w:w="7229" w:type="dxa"/>
            <w:noWrap w:val="0"/>
            <w:vAlign w:val="center"/>
          </w:tcPr>
          <w:p w14:paraId="62F88625">
            <w:pPr>
              <w:keepNext w:val="0"/>
              <w:keepLines w:val="0"/>
              <w:widowControl/>
              <w:suppressLineNumbers w:val="0"/>
              <w:adjustRightInd w:val="0"/>
              <w:snapToGrid w:val="0"/>
              <w:spacing w:before="0" w:beforeAutospacing="0" w:after="0" w:afterAutospacing="0" w:line="288" w:lineRule="auto"/>
              <w:ind w:left="0" w:right="0"/>
              <w:rPr>
                <w:rFonts w:hint="default" w:ascii="宋体" w:hAnsi="宋体" w:eastAsia="楷体" w:cs="Calibri"/>
                <w:color w:val="auto"/>
                <w:sz w:val="24"/>
                <w:highlight w:val="none"/>
              </w:rPr>
            </w:pPr>
            <w:r>
              <w:rPr>
                <w:rFonts w:hint="eastAsia" w:ascii="宋体" w:hAnsi="宋体" w:eastAsia="仿宋" w:cs="Times New Roman"/>
                <w:color w:val="auto"/>
                <w:sz w:val="24"/>
                <w:highlight w:val="none"/>
              </w:rPr>
              <w:t>见招标公告</w:t>
            </w:r>
          </w:p>
        </w:tc>
      </w:tr>
      <w:tr w14:paraId="1DE46A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670F62AA">
            <w:pPr>
              <w:keepNext w:val="0"/>
              <w:keepLines w:val="0"/>
              <w:widowControl/>
              <w:suppressLineNumbers w:val="0"/>
              <w:adjustRightInd w:val="0"/>
              <w:snapToGrid w:val="0"/>
              <w:spacing w:before="0" w:beforeAutospacing="0" w:after="0" w:afterAutospacing="0" w:line="288" w:lineRule="auto"/>
              <w:ind w:left="0" w:right="0"/>
              <w:jc w:val="center"/>
              <w:rPr>
                <w:rFonts w:hint="default" w:ascii="宋体" w:hAnsi="宋体" w:cs="Calibri"/>
                <w:color w:val="auto"/>
                <w:sz w:val="24"/>
                <w:highlight w:val="none"/>
              </w:rPr>
            </w:pPr>
            <w:r>
              <w:rPr>
                <w:rFonts w:hint="eastAsia" w:ascii="宋体" w:hAnsi="宋体" w:eastAsia="仿宋" w:cs="Calibri"/>
                <w:color w:val="auto"/>
                <w:sz w:val="24"/>
                <w:highlight w:val="none"/>
              </w:rPr>
              <w:t>1.1.6</w:t>
            </w:r>
          </w:p>
        </w:tc>
        <w:tc>
          <w:tcPr>
            <w:tcW w:w="1581" w:type="dxa"/>
            <w:noWrap w:val="0"/>
            <w:vAlign w:val="center"/>
          </w:tcPr>
          <w:p w14:paraId="666E83F5">
            <w:pPr>
              <w:keepNext w:val="0"/>
              <w:keepLines w:val="0"/>
              <w:widowControl/>
              <w:suppressLineNumbers w:val="0"/>
              <w:adjustRightInd w:val="0"/>
              <w:snapToGrid w:val="0"/>
              <w:spacing w:before="0" w:beforeAutospacing="0" w:after="0" w:afterAutospacing="0" w:line="288" w:lineRule="auto"/>
              <w:ind w:left="0" w:right="0"/>
              <w:jc w:val="center"/>
              <w:rPr>
                <w:rFonts w:hint="default" w:ascii="宋体" w:hAnsi="宋体" w:cs="Calibri"/>
                <w:color w:val="auto"/>
                <w:sz w:val="24"/>
                <w:highlight w:val="none"/>
              </w:rPr>
            </w:pPr>
            <w:r>
              <w:rPr>
                <w:rFonts w:hint="eastAsia" w:ascii="宋体" w:hAnsi="宋体" w:eastAsia="仿宋" w:cs="Calibri"/>
                <w:color w:val="auto"/>
                <w:sz w:val="24"/>
                <w:highlight w:val="none"/>
              </w:rPr>
              <w:t>采购预算</w:t>
            </w:r>
          </w:p>
        </w:tc>
        <w:tc>
          <w:tcPr>
            <w:tcW w:w="7229" w:type="dxa"/>
            <w:noWrap w:val="0"/>
            <w:vAlign w:val="center"/>
          </w:tcPr>
          <w:p w14:paraId="6855D7F7">
            <w:pPr>
              <w:keepNext w:val="0"/>
              <w:keepLines w:val="0"/>
              <w:widowControl/>
              <w:suppressLineNumbers w:val="0"/>
              <w:adjustRightInd w:val="0"/>
              <w:snapToGrid w:val="0"/>
              <w:spacing w:before="0" w:beforeAutospacing="0" w:after="0" w:afterAutospacing="0" w:line="288" w:lineRule="auto"/>
              <w:ind w:left="0" w:right="0"/>
              <w:rPr>
                <w:rFonts w:hint="default" w:ascii="宋体" w:hAnsi="宋体" w:cs="Calibri"/>
                <w:color w:val="auto"/>
                <w:sz w:val="24"/>
                <w:highlight w:val="none"/>
              </w:rPr>
            </w:pPr>
            <w:r>
              <w:rPr>
                <w:rFonts w:hint="eastAsia" w:ascii="宋体" w:hAnsi="宋体" w:eastAsia="仿宋" w:cs="Times New Roman"/>
                <w:color w:val="auto"/>
                <w:sz w:val="24"/>
                <w:highlight w:val="none"/>
              </w:rPr>
              <w:t>见招标公告</w:t>
            </w:r>
          </w:p>
        </w:tc>
      </w:tr>
      <w:tr w14:paraId="2729AD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25A9B89C">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color w:val="auto"/>
                <w:sz w:val="24"/>
                <w:highlight w:val="none"/>
              </w:rPr>
            </w:pPr>
            <w:r>
              <w:rPr>
                <w:rFonts w:hint="eastAsia" w:ascii="宋体" w:hAnsi="宋体" w:eastAsia="仿宋" w:cs="Calibri"/>
                <w:color w:val="auto"/>
                <w:sz w:val="24"/>
                <w:highlight w:val="none"/>
              </w:rPr>
              <w:t>1.1.7</w:t>
            </w:r>
          </w:p>
        </w:tc>
        <w:tc>
          <w:tcPr>
            <w:tcW w:w="1581" w:type="dxa"/>
            <w:noWrap w:val="0"/>
            <w:vAlign w:val="center"/>
          </w:tcPr>
          <w:p w14:paraId="68D20233">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color w:val="auto"/>
                <w:sz w:val="24"/>
                <w:highlight w:val="none"/>
              </w:rPr>
            </w:pPr>
            <w:r>
              <w:rPr>
                <w:rFonts w:hint="eastAsia" w:ascii="宋体" w:hAnsi="宋体" w:eastAsia="仿宋" w:cs="Calibri"/>
                <w:color w:val="auto"/>
                <w:sz w:val="24"/>
                <w:highlight w:val="none"/>
              </w:rPr>
              <w:t>专</w:t>
            </w:r>
            <w:bookmarkStart w:id="51" w:name="OLE_LINK15"/>
            <w:r>
              <w:rPr>
                <w:rFonts w:hint="eastAsia" w:ascii="宋体" w:hAnsi="宋体" w:eastAsia="仿宋" w:cs="Calibri"/>
                <w:color w:val="auto"/>
                <w:sz w:val="24"/>
                <w:highlight w:val="none"/>
              </w:rPr>
              <w:t>门面向中小企业采</w:t>
            </w:r>
            <w:bookmarkEnd w:id="51"/>
            <w:r>
              <w:rPr>
                <w:rFonts w:hint="eastAsia" w:ascii="宋体" w:hAnsi="宋体" w:eastAsia="仿宋" w:cs="Calibri"/>
                <w:color w:val="auto"/>
                <w:sz w:val="24"/>
                <w:highlight w:val="none"/>
              </w:rPr>
              <w:t>购</w:t>
            </w:r>
          </w:p>
        </w:tc>
        <w:tc>
          <w:tcPr>
            <w:tcW w:w="7229" w:type="dxa"/>
            <w:noWrap w:val="0"/>
            <w:vAlign w:val="center"/>
          </w:tcPr>
          <w:p w14:paraId="6B54C4A6">
            <w:pPr>
              <w:keepNext w:val="0"/>
              <w:keepLines w:val="0"/>
              <w:widowControl/>
              <w:suppressLineNumbers w:val="0"/>
              <w:adjustRightInd w:val="0"/>
              <w:snapToGrid w:val="0"/>
              <w:spacing w:before="0" w:beforeAutospacing="0" w:after="0" w:afterAutospacing="0" w:line="288" w:lineRule="auto"/>
              <w:ind w:left="0" w:right="0"/>
              <w:rPr>
                <w:rFonts w:hint="default" w:ascii="宋体" w:hAnsi="宋体" w:cs="Calibri"/>
                <w:color w:val="auto"/>
                <w:sz w:val="24"/>
                <w:highlight w:val="none"/>
              </w:rPr>
            </w:pPr>
            <w:r>
              <w:rPr>
                <w:rFonts w:hint="eastAsia" w:ascii="宋体" w:hAnsi="宋体" w:eastAsia="仿宋" w:cs="Times New Roman"/>
                <w:color w:val="auto"/>
                <w:sz w:val="24"/>
                <w:highlight w:val="none"/>
              </w:rPr>
              <w:t>见招标公告</w:t>
            </w:r>
          </w:p>
        </w:tc>
      </w:tr>
      <w:tr w14:paraId="12006A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31E38070">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eastAsia="仿宋" w:cs="Calibri"/>
                <w:color w:val="auto"/>
                <w:sz w:val="24"/>
                <w:highlight w:val="none"/>
              </w:rPr>
            </w:pPr>
            <w:r>
              <w:rPr>
                <w:rFonts w:hint="eastAsia" w:ascii="宋体" w:hAnsi="宋体" w:eastAsia="仿宋" w:cs="宋体"/>
                <w:color w:val="auto"/>
                <w:sz w:val="24"/>
                <w:highlight w:val="none"/>
                <w:lang w:bidi="ar"/>
              </w:rPr>
              <w:t>1.2.1</w:t>
            </w:r>
          </w:p>
        </w:tc>
        <w:tc>
          <w:tcPr>
            <w:tcW w:w="1581" w:type="dxa"/>
            <w:noWrap w:val="0"/>
            <w:vAlign w:val="center"/>
          </w:tcPr>
          <w:p w14:paraId="3C5D9B01">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eastAsia="仿宋" w:cs="Calibri"/>
                <w:color w:val="auto"/>
                <w:sz w:val="24"/>
                <w:highlight w:val="none"/>
              </w:rPr>
            </w:pPr>
            <w:r>
              <w:rPr>
                <w:rFonts w:hint="eastAsia" w:ascii="宋体" w:hAnsi="宋体" w:eastAsia="仿宋" w:cs="仿宋"/>
                <w:color w:val="auto"/>
                <w:sz w:val="24"/>
                <w:highlight w:val="none"/>
                <w:lang w:bidi="ar"/>
              </w:rPr>
              <w:t>资金来源及比例</w:t>
            </w:r>
          </w:p>
        </w:tc>
        <w:tc>
          <w:tcPr>
            <w:tcW w:w="7229" w:type="dxa"/>
            <w:noWrap w:val="0"/>
            <w:vAlign w:val="center"/>
          </w:tcPr>
          <w:p w14:paraId="2B3D0106">
            <w:pPr>
              <w:keepNext w:val="0"/>
              <w:keepLines w:val="0"/>
              <w:widowControl/>
              <w:suppressLineNumbers w:val="0"/>
              <w:adjustRightInd w:val="0"/>
              <w:snapToGrid w:val="0"/>
              <w:spacing w:before="0" w:beforeAutospacing="0" w:after="0" w:afterAutospacing="0" w:line="288" w:lineRule="auto"/>
              <w:ind w:left="0" w:right="0"/>
              <w:rPr>
                <w:rFonts w:hint="default" w:ascii="宋体" w:hAnsi="宋体" w:eastAsia="仿宋" w:cs="Times New Roman"/>
                <w:color w:val="auto"/>
                <w:sz w:val="24"/>
                <w:highlight w:val="none"/>
              </w:rPr>
            </w:pPr>
            <w:r>
              <w:rPr>
                <w:rFonts w:hint="eastAsia" w:ascii="宋体" w:hAnsi="宋体" w:eastAsia="仿宋" w:cs="Calibri"/>
                <w:color w:val="auto"/>
                <w:sz w:val="24"/>
                <w:highlight w:val="none"/>
              </w:rPr>
              <w:t>财政性资金</w:t>
            </w:r>
          </w:p>
        </w:tc>
      </w:tr>
      <w:tr w14:paraId="1A936A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2219DA98">
            <w:pPr>
              <w:keepNext w:val="0"/>
              <w:keepLines w:val="0"/>
              <w:widowControl/>
              <w:suppressLineNumbers w:val="0"/>
              <w:adjustRightInd w:val="0"/>
              <w:snapToGrid w:val="0"/>
              <w:spacing w:before="0" w:beforeAutospacing="0" w:after="0" w:afterAutospacing="0" w:line="288" w:lineRule="auto"/>
              <w:ind w:left="0" w:right="0"/>
              <w:jc w:val="center"/>
              <w:rPr>
                <w:rFonts w:hint="default" w:ascii="宋体" w:hAnsi="宋体" w:cs="Calibri"/>
                <w:color w:val="auto"/>
                <w:sz w:val="24"/>
                <w:highlight w:val="none"/>
              </w:rPr>
            </w:pPr>
            <w:r>
              <w:rPr>
                <w:rFonts w:hint="eastAsia" w:ascii="宋体" w:hAnsi="宋体" w:eastAsia="仿宋" w:cs="Calibri"/>
                <w:color w:val="auto"/>
                <w:sz w:val="24"/>
                <w:highlight w:val="none"/>
              </w:rPr>
              <w:t>1.3.1</w:t>
            </w:r>
          </w:p>
        </w:tc>
        <w:tc>
          <w:tcPr>
            <w:tcW w:w="1581" w:type="dxa"/>
            <w:noWrap w:val="0"/>
            <w:vAlign w:val="center"/>
          </w:tcPr>
          <w:p w14:paraId="5E960CF2">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eastAsia="仿宋" w:cs="Calibri"/>
                <w:color w:val="auto"/>
                <w:sz w:val="24"/>
                <w:highlight w:val="none"/>
              </w:rPr>
            </w:pPr>
            <w:r>
              <w:rPr>
                <w:rFonts w:hint="eastAsia" w:ascii="宋体" w:hAnsi="宋体" w:eastAsia="仿宋" w:cs="Calibri"/>
                <w:color w:val="auto"/>
                <w:sz w:val="24"/>
                <w:highlight w:val="none"/>
              </w:rPr>
              <w:t>资格要求</w:t>
            </w:r>
          </w:p>
        </w:tc>
        <w:tc>
          <w:tcPr>
            <w:tcW w:w="7229" w:type="dxa"/>
            <w:noWrap w:val="0"/>
            <w:vAlign w:val="center"/>
          </w:tcPr>
          <w:p w14:paraId="5B59DCCA">
            <w:pPr>
              <w:keepNext w:val="0"/>
              <w:keepLines w:val="0"/>
              <w:widowControl/>
              <w:suppressLineNumbers w:val="0"/>
              <w:adjustRightInd w:val="0"/>
              <w:snapToGrid w:val="0"/>
              <w:spacing w:before="0" w:beforeAutospacing="0" w:after="0" w:afterAutospacing="0" w:line="288" w:lineRule="auto"/>
              <w:ind w:left="0" w:right="0"/>
              <w:rPr>
                <w:rFonts w:hint="default" w:ascii="宋体" w:hAnsi="宋体" w:eastAsia="楷体_GB2312" w:cs="Calibri"/>
                <w:color w:val="auto"/>
                <w:sz w:val="24"/>
                <w:highlight w:val="none"/>
              </w:rPr>
            </w:pPr>
            <w:r>
              <w:rPr>
                <w:rFonts w:hint="eastAsia" w:ascii="宋体" w:hAnsi="宋体" w:eastAsia="仿宋" w:cs="Calibri"/>
                <w:color w:val="auto"/>
                <w:sz w:val="24"/>
                <w:highlight w:val="none"/>
              </w:rPr>
              <w:t>见招标公告</w:t>
            </w:r>
          </w:p>
        </w:tc>
      </w:tr>
      <w:tr w14:paraId="550507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7BEF4F86">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color w:val="auto"/>
                <w:sz w:val="24"/>
                <w:highlight w:val="none"/>
              </w:rPr>
            </w:pPr>
            <w:r>
              <w:rPr>
                <w:rFonts w:hint="eastAsia" w:ascii="宋体" w:hAnsi="宋体" w:eastAsia="仿宋" w:cs="Calibri"/>
                <w:color w:val="auto"/>
                <w:sz w:val="24"/>
                <w:highlight w:val="none"/>
              </w:rPr>
              <w:t>1.3.2</w:t>
            </w:r>
          </w:p>
        </w:tc>
        <w:tc>
          <w:tcPr>
            <w:tcW w:w="1581" w:type="dxa"/>
            <w:noWrap w:val="0"/>
            <w:vAlign w:val="center"/>
          </w:tcPr>
          <w:p w14:paraId="00355246">
            <w:pPr>
              <w:keepNext w:val="0"/>
              <w:keepLines w:val="0"/>
              <w:widowControl/>
              <w:suppressLineNumbers w:val="0"/>
              <w:adjustRightInd w:val="0"/>
              <w:snapToGrid w:val="0"/>
              <w:spacing w:before="0" w:beforeAutospacing="0" w:after="0" w:afterAutospacing="0" w:line="288" w:lineRule="auto"/>
              <w:ind w:left="0" w:right="0"/>
              <w:jc w:val="center"/>
              <w:rPr>
                <w:rFonts w:hint="default" w:ascii="宋体" w:hAnsi="宋体" w:cs="Calibri"/>
                <w:color w:val="auto"/>
                <w:sz w:val="24"/>
                <w:highlight w:val="none"/>
              </w:rPr>
            </w:pPr>
            <w:r>
              <w:rPr>
                <w:rFonts w:hint="eastAsia" w:ascii="宋体" w:hAnsi="宋体" w:eastAsia="仿宋" w:cs="Calibri"/>
                <w:color w:val="auto"/>
                <w:sz w:val="24"/>
                <w:highlight w:val="none"/>
              </w:rPr>
              <w:t>联合体投标的其他要求</w:t>
            </w:r>
          </w:p>
        </w:tc>
        <w:tc>
          <w:tcPr>
            <w:tcW w:w="7229" w:type="dxa"/>
            <w:noWrap w:val="0"/>
            <w:vAlign w:val="center"/>
          </w:tcPr>
          <w:p w14:paraId="2FA67343">
            <w:pPr>
              <w:keepNext w:val="0"/>
              <w:keepLines w:val="0"/>
              <w:widowControl/>
              <w:suppressLineNumbers w:val="0"/>
              <w:adjustRightInd w:val="0"/>
              <w:snapToGrid w:val="0"/>
              <w:spacing w:before="0" w:beforeAutospacing="0" w:after="0" w:afterAutospacing="0" w:line="288" w:lineRule="auto"/>
              <w:ind w:left="0" w:right="0"/>
              <w:rPr>
                <w:rFonts w:hint="default" w:ascii="宋体" w:hAnsi="宋体" w:cs="Calibri"/>
                <w:color w:val="auto"/>
                <w:sz w:val="24"/>
                <w:highlight w:val="none"/>
                <w:u w:val="single"/>
              </w:rPr>
            </w:pPr>
            <w:r>
              <w:rPr>
                <w:rFonts w:hint="eastAsia" w:ascii="宋体" w:hAnsi="宋体" w:eastAsia="仿宋" w:cs="Calibri"/>
                <w:color w:val="auto"/>
                <w:sz w:val="24"/>
                <w:highlight w:val="none"/>
              </w:rPr>
              <w:t>见招标公告</w:t>
            </w:r>
          </w:p>
        </w:tc>
      </w:tr>
      <w:tr w14:paraId="6E50C0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521A49E0">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color w:val="auto"/>
                <w:sz w:val="24"/>
                <w:highlight w:val="none"/>
              </w:rPr>
            </w:pPr>
            <w:r>
              <w:rPr>
                <w:rFonts w:hint="eastAsia" w:ascii="宋体" w:hAnsi="宋体" w:eastAsia="仿宋" w:cs="Calibri"/>
                <w:color w:val="auto"/>
                <w:sz w:val="24"/>
                <w:highlight w:val="none"/>
              </w:rPr>
              <w:t>1.3.3</w:t>
            </w:r>
          </w:p>
        </w:tc>
        <w:tc>
          <w:tcPr>
            <w:tcW w:w="1581" w:type="dxa"/>
            <w:noWrap w:val="0"/>
            <w:vAlign w:val="center"/>
          </w:tcPr>
          <w:p w14:paraId="10883AE0">
            <w:pPr>
              <w:keepNext w:val="0"/>
              <w:keepLines w:val="0"/>
              <w:widowControl/>
              <w:suppressLineNumbers w:val="0"/>
              <w:adjustRightInd w:val="0"/>
              <w:snapToGrid w:val="0"/>
              <w:spacing w:before="0" w:beforeAutospacing="0" w:after="0" w:afterAutospacing="0" w:line="288" w:lineRule="auto"/>
              <w:ind w:left="0" w:right="0"/>
              <w:rPr>
                <w:rFonts w:hint="eastAsia" w:ascii="宋体" w:hAnsi="宋体" w:cs="宋体"/>
                <w:iCs/>
                <w:color w:val="auto"/>
                <w:sz w:val="24"/>
                <w:highlight w:val="none"/>
              </w:rPr>
            </w:pPr>
            <w:r>
              <w:rPr>
                <w:rFonts w:hint="eastAsia" w:ascii="宋体" w:hAnsi="宋体" w:eastAsia="仿宋" w:cs="Calibri"/>
                <w:color w:val="auto"/>
                <w:sz w:val="24"/>
                <w:highlight w:val="none"/>
              </w:rPr>
              <w:t>投标人不得存在的其他情形</w:t>
            </w:r>
          </w:p>
        </w:tc>
        <w:tc>
          <w:tcPr>
            <w:tcW w:w="7229" w:type="dxa"/>
            <w:noWrap w:val="0"/>
            <w:vAlign w:val="center"/>
          </w:tcPr>
          <w:p w14:paraId="2D3A2590">
            <w:pPr>
              <w:keepNext w:val="0"/>
              <w:keepLines w:val="0"/>
              <w:widowControl/>
              <w:suppressLineNumbers w:val="0"/>
              <w:adjustRightInd w:val="0"/>
              <w:snapToGrid w:val="0"/>
              <w:spacing w:before="0" w:beforeAutospacing="0" w:after="0" w:afterAutospacing="0" w:line="288" w:lineRule="auto"/>
              <w:ind w:left="0" w:right="0"/>
              <w:rPr>
                <w:rFonts w:hint="eastAsia" w:ascii="宋体" w:hAnsi="宋体" w:cs="宋体"/>
                <w:iCs/>
                <w:color w:val="auto"/>
                <w:sz w:val="24"/>
                <w:highlight w:val="none"/>
              </w:rPr>
            </w:pPr>
            <w:r>
              <w:rPr>
                <w:rFonts w:hint="eastAsia" w:ascii="仿宋" w:hAnsi="仿宋" w:eastAsia="仿宋" w:cs="仿宋"/>
                <w:iCs/>
                <w:color w:val="auto"/>
                <w:sz w:val="24"/>
                <w:highlight w:val="none"/>
              </w:rPr>
              <w:t>/</w:t>
            </w:r>
          </w:p>
        </w:tc>
      </w:tr>
      <w:tr w14:paraId="011CA6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45056FD3">
            <w:pPr>
              <w:keepNext w:val="0"/>
              <w:keepLines w:val="0"/>
              <w:widowControl/>
              <w:suppressLineNumbers w:val="0"/>
              <w:adjustRightInd w:val="0"/>
              <w:snapToGrid w:val="0"/>
              <w:spacing w:before="0" w:beforeAutospacing="0" w:after="0" w:afterAutospacing="0" w:line="288" w:lineRule="auto"/>
              <w:ind w:left="0" w:right="0"/>
              <w:jc w:val="center"/>
              <w:rPr>
                <w:rFonts w:hint="default" w:ascii="宋体" w:hAnsi="宋体" w:cs="Calibri"/>
                <w:color w:val="auto"/>
                <w:sz w:val="24"/>
                <w:highlight w:val="none"/>
              </w:rPr>
            </w:pPr>
            <w:r>
              <w:rPr>
                <w:rFonts w:hint="eastAsia" w:ascii="宋体" w:hAnsi="宋体" w:eastAsia="仿宋" w:cs="Calibri"/>
                <w:color w:val="auto"/>
                <w:sz w:val="24"/>
                <w:highlight w:val="none"/>
              </w:rPr>
              <w:t>1.8.1</w:t>
            </w:r>
          </w:p>
        </w:tc>
        <w:tc>
          <w:tcPr>
            <w:tcW w:w="1581" w:type="dxa"/>
            <w:noWrap w:val="0"/>
            <w:vAlign w:val="center"/>
          </w:tcPr>
          <w:p w14:paraId="5B235607">
            <w:pPr>
              <w:keepNext w:val="0"/>
              <w:keepLines w:val="0"/>
              <w:widowControl/>
              <w:suppressLineNumbers w:val="0"/>
              <w:adjustRightInd w:val="0"/>
              <w:snapToGrid w:val="0"/>
              <w:spacing w:before="0" w:beforeAutospacing="0" w:after="0" w:afterAutospacing="0" w:line="288" w:lineRule="auto"/>
              <w:ind w:left="0" w:right="0"/>
              <w:jc w:val="center"/>
              <w:rPr>
                <w:rFonts w:hint="default" w:ascii="宋体" w:hAnsi="宋体" w:cs="Calibri"/>
                <w:color w:val="auto"/>
                <w:sz w:val="24"/>
                <w:highlight w:val="none"/>
              </w:rPr>
            </w:pPr>
            <w:r>
              <w:rPr>
                <w:rFonts w:hint="eastAsia" w:ascii="宋体" w:hAnsi="宋体" w:eastAsia="仿宋" w:cs="Calibri"/>
                <w:color w:val="auto"/>
                <w:sz w:val="24"/>
                <w:highlight w:val="none"/>
              </w:rPr>
              <w:t>是否组织现场考察</w:t>
            </w:r>
          </w:p>
        </w:tc>
        <w:tc>
          <w:tcPr>
            <w:tcW w:w="7229" w:type="dxa"/>
            <w:noWrap w:val="0"/>
            <w:vAlign w:val="center"/>
          </w:tcPr>
          <w:p w14:paraId="773C824F">
            <w:pPr>
              <w:keepNext w:val="0"/>
              <w:keepLines w:val="0"/>
              <w:widowControl/>
              <w:suppressLineNumbers w:val="0"/>
              <w:topLinePunct/>
              <w:adjustRightInd w:val="0"/>
              <w:snapToGrid w:val="0"/>
              <w:spacing w:before="0" w:beforeAutospacing="0" w:after="0" w:afterAutospacing="0" w:line="288" w:lineRule="auto"/>
              <w:ind w:left="187" w:right="0" w:hanging="187" w:hangingChars="78"/>
              <w:rPr>
                <w:rFonts w:hint="default" w:ascii="宋体" w:hAnsi="宋体" w:eastAsia="仿宋" w:cs="Calibri"/>
                <w:color w:val="auto"/>
                <w:sz w:val="24"/>
                <w:highlight w:val="none"/>
              </w:rPr>
            </w:pPr>
            <w:r>
              <w:rPr>
                <w:rFonts w:hint="eastAsia" w:ascii="宋体" w:hAnsi="宋体" w:eastAsia="仿宋" w:cs="Times New Roman"/>
                <w:bCs/>
                <w:color w:val="auto"/>
                <w:sz w:val="24"/>
                <w:highlight w:val="none"/>
              </w:rPr>
              <w:sym w:font="Wingdings" w:char="F0FE"/>
            </w:r>
            <w:r>
              <w:rPr>
                <w:rFonts w:hint="eastAsia" w:ascii="宋体" w:hAnsi="宋体" w:eastAsia="仿宋" w:cs="Calibri"/>
                <w:color w:val="auto"/>
                <w:sz w:val="24"/>
                <w:highlight w:val="none"/>
              </w:rPr>
              <w:t>不组织，</w:t>
            </w:r>
            <w:r>
              <w:rPr>
                <w:rFonts w:hint="eastAsia" w:ascii="宋体" w:hAnsi="宋体" w:eastAsia="仿宋" w:cs="Times New Roman"/>
                <w:color w:val="auto"/>
                <w:sz w:val="24"/>
                <w:highlight w:val="none"/>
              </w:rPr>
              <w:t>由投标人自行考察现场。</w:t>
            </w:r>
          </w:p>
          <w:p w14:paraId="7AD3D412">
            <w:pPr>
              <w:keepNext w:val="0"/>
              <w:keepLines w:val="0"/>
              <w:widowControl/>
              <w:suppressLineNumbers w:val="0"/>
              <w:adjustRightInd w:val="0"/>
              <w:snapToGrid w:val="0"/>
              <w:spacing w:before="0" w:beforeAutospacing="0" w:after="0" w:afterAutospacing="0" w:line="288" w:lineRule="auto"/>
              <w:ind w:left="0" w:right="0"/>
              <w:rPr>
                <w:rFonts w:hint="default" w:ascii="宋体" w:hAnsi="宋体" w:eastAsia="仿宋" w:cs="Calibri"/>
                <w:color w:val="auto"/>
                <w:sz w:val="24"/>
                <w:highlight w:val="none"/>
              </w:rPr>
            </w:pPr>
            <w:r>
              <w:rPr>
                <w:rFonts w:hint="eastAsia" w:ascii="宋体" w:hAnsi="宋体" w:eastAsia="仿宋" w:cs="Calibri"/>
                <w:color w:val="auto"/>
                <w:sz w:val="24"/>
                <w:highlight w:val="none"/>
              </w:rPr>
              <w:t>□组织，时间：</w:t>
            </w:r>
          </w:p>
          <w:p w14:paraId="71B6815A">
            <w:pPr>
              <w:keepNext w:val="0"/>
              <w:keepLines w:val="0"/>
              <w:widowControl/>
              <w:suppressLineNumbers w:val="0"/>
              <w:topLinePunct/>
              <w:adjustRightInd w:val="0"/>
              <w:snapToGrid w:val="0"/>
              <w:spacing w:before="0" w:beforeAutospacing="0" w:after="0" w:afterAutospacing="0" w:line="288" w:lineRule="auto"/>
              <w:ind w:left="0" w:right="0" w:firstLine="840" w:firstLineChars="350"/>
              <w:rPr>
                <w:rFonts w:hint="default" w:ascii="宋体" w:hAnsi="宋体" w:eastAsia="仿宋" w:cs="Calibri"/>
                <w:color w:val="auto"/>
                <w:sz w:val="24"/>
                <w:highlight w:val="none"/>
                <w:u w:val="single"/>
              </w:rPr>
            </w:pPr>
            <w:r>
              <w:rPr>
                <w:rFonts w:hint="eastAsia" w:ascii="宋体" w:hAnsi="宋体" w:eastAsia="仿宋" w:cs="Calibri"/>
                <w:color w:val="auto"/>
                <w:sz w:val="24"/>
                <w:highlight w:val="none"/>
              </w:rPr>
              <w:t xml:space="preserve"> 集中地点：</w:t>
            </w:r>
            <w:r>
              <w:rPr>
                <w:rFonts w:hint="eastAsia" w:ascii="仿宋" w:hAnsi="仿宋" w:eastAsia="仿宋" w:cs="仿宋"/>
                <w:iCs/>
                <w:color w:val="auto"/>
                <w:sz w:val="24"/>
                <w:highlight w:val="none"/>
              </w:rPr>
              <w:t>/</w:t>
            </w:r>
          </w:p>
          <w:p w14:paraId="5C48A970">
            <w:pPr>
              <w:keepNext w:val="0"/>
              <w:keepLines w:val="0"/>
              <w:widowControl/>
              <w:suppressLineNumbers w:val="0"/>
              <w:topLinePunct/>
              <w:adjustRightInd w:val="0"/>
              <w:snapToGrid w:val="0"/>
              <w:spacing w:before="0" w:beforeAutospacing="0" w:after="0" w:afterAutospacing="0" w:line="288" w:lineRule="auto"/>
              <w:ind w:left="0" w:right="0" w:firstLine="840" w:firstLineChars="350"/>
              <w:rPr>
                <w:rFonts w:hint="default" w:ascii="宋体" w:hAnsi="宋体" w:cs="Calibri"/>
                <w:color w:val="auto"/>
                <w:sz w:val="24"/>
                <w:highlight w:val="none"/>
              </w:rPr>
            </w:pPr>
            <w:r>
              <w:rPr>
                <w:rFonts w:hint="eastAsia" w:ascii="宋体" w:hAnsi="宋体" w:eastAsia="仿宋" w:cs="Calibri"/>
                <w:color w:val="auto"/>
                <w:sz w:val="24"/>
                <w:highlight w:val="none"/>
              </w:rPr>
              <w:t xml:space="preserve"> 联系方式：</w:t>
            </w:r>
            <w:r>
              <w:rPr>
                <w:rFonts w:hint="eastAsia" w:ascii="仿宋" w:hAnsi="仿宋" w:eastAsia="仿宋" w:cs="仿宋"/>
                <w:iCs/>
                <w:color w:val="auto"/>
                <w:sz w:val="24"/>
                <w:highlight w:val="none"/>
              </w:rPr>
              <w:t>/</w:t>
            </w:r>
          </w:p>
        </w:tc>
      </w:tr>
      <w:tr w14:paraId="559EEF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390BF442">
            <w:pPr>
              <w:keepNext w:val="0"/>
              <w:keepLines w:val="0"/>
              <w:widowControl/>
              <w:suppressLineNumbers w:val="0"/>
              <w:adjustRightInd w:val="0"/>
              <w:snapToGrid w:val="0"/>
              <w:spacing w:before="0" w:beforeAutospacing="0" w:after="0" w:afterAutospacing="0" w:line="288" w:lineRule="auto"/>
              <w:ind w:left="0" w:right="0"/>
              <w:jc w:val="center"/>
              <w:rPr>
                <w:rFonts w:hint="default" w:ascii="宋体" w:hAnsi="宋体" w:cs="Calibri"/>
                <w:color w:val="auto"/>
                <w:sz w:val="24"/>
                <w:highlight w:val="none"/>
              </w:rPr>
            </w:pPr>
            <w:r>
              <w:rPr>
                <w:rFonts w:hint="eastAsia" w:ascii="宋体" w:hAnsi="宋体" w:eastAsia="仿宋" w:cs="Calibri"/>
                <w:color w:val="auto"/>
                <w:sz w:val="24"/>
                <w:highlight w:val="none"/>
              </w:rPr>
              <w:t>1.9</w:t>
            </w:r>
          </w:p>
        </w:tc>
        <w:tc>
          <w:tcPr>
            <w:tcW w:w="1581" w:type="dxa"/>
            <w:noWrap w:val="0"/>
            <w:vAlign w:val="center"/>
          </w:tcPr>
          <w:p w14:paraId="3D42567D">
            <w:pPr>
              <w:keepNext w:val="0"/>
              <w:keepLines w:val="0"/>
              <w:widowControl/>
              <w:suppressLineNumbers w:val="0"/>
              <w:adjustRightInd w:val="0"/>
              <w:snapToGrid w:val="0"/>
              <w:spacing w:before="0" w:beforeAutospacing="0" w:after="0" w:afterAutospacing="0" w:line="288" w:lineRule="auto"/>
              <w:ind w:left="0" w:right="0"/>
              <w:jc w:val="center"/>
              <w:rPr>
                <w:rFonts w:hint="default" w:ascii="宋体" w:hAnsi="宋体" w:cs="Calibri"/>
                <w:color w:val="auto"/>
                <w:sz w:val="24"/>
                <w:highlight w:val="none"/>
              </w:rPr>
            </w:pPr>
            <w:r>
              <w:rPr>
                <w:rFonts w:hint="eastAsia" w:ascii="宋体" w:hAnsi="宋体" w:eastAsia="仿宋" w:cs="Calibri"/>
                <w:color w:val="auto"/>
                <w:sz w:val="24"/>
                <w:highlight w:val="none"/>
              </w:rPr>
              <w:t>开标前答疑会</w:t>
            </w:r>
          </w:p>
        </w:tc>
        <w:tc>
          <w:tcPr>
            <w:tcW w:w="7229" w:type="dxa"/>
            <w:noWrap w:val="0"/>
            <w:vAlign w:val="center"/>
          </w:tcPr>
          <w:p w14:paraId="7DB77B98">
            <w:pPr>
              <w:keepNext w:val="0"/>
              <w:keepLines w:val="0"/>
              <w:widowControl/>
              <w:suppressLineNumbers w:val="0"/>
              <w:topLinePunct/>
              <w:adjustRightInd w:val="0"/>
              <w:snapToGrid w:val="0"/>
              <w:spacing w:before="0" w:beforeAutospacing="0" w:after="0" w:afterAutospacing="0" w:line="288" w:lineRule="auto"/>
              <w:ind w:left="187" w:right="0" w:hanging="187" w:hangingChars="78"/>
              <w:rPr>
                <w:rFonts w:hint="default" w:ascii="宋体" w:hAnsi="宋体" w:eastAsia="仿宋" w:cs="Calibri"/>
                <w:color w:val="auto"/>
                <w:sz w:val="24"/>
                <w:highlight w:val="none"/>
              </w:rPr>
            </w:pPr>
            <w:r>
              <w:rPr>
                <w:rFonts w:hint="eastAsia" w:ascii="宋体" w:hAnsi="宋体" w:eastAsia="仿宋" w:cs="Times New Roman"/>
                <w:bCs/>
                <w:color w:val="auto"/>
                <w:sz w:val="24"/>
                <w:highlight w:val="none"/>
              </w:rPr>
              <w:sym w:font="Wingdings" w:char="F0FE"/>
            </w:r>
            <w:r>
              <w:rPr>
                <w:rFonts w:hint="eastAsia" w:ascii="宋体" w:hAnsi="宋体" w:eastAsia="仿宋" w:cs="Calibri"/>
                <w:color w:val="auto"/>
                <w:sz w:val="24"/>
                <w:highlight w:val="none"/>
              </w:rPr>
              <w:t>不召开</w:t>
            </w:r>
          </w:p>
          <w:p w14:paraId="2C2BCD27">
            <w:pPr>
              <w:keepNext w:val="0"/>
              <w:keepLines w:val="0"/>
              <w:widowControl/>
              <w:suppressLineNumbers w:val="0"/>
              <w:adjustRightInd w:val="0"/>
              <w:snapToGrid w:val="0"/>
              <w:spacing w:before="0" w:beforeAutospacing="0" w:after="0" w:afterAutospacing="0" w:line="288" w:lineRule="auto"/>
              <w:ind w:left="0" w:right="0"/>
              <w:rPr>
                <w:rFonts w:hint="default" w:ascii="宋体" w:hAnsi="宋体" w:eastAsia="仿宋" w:cs="Calibri"/>
                <w:color w:val="auto"/>
                <w:sz w:val="24"/>
                <w:highlight w:val="none"/>
              </w:rPr>
            </w:pPr>
            <w:r>
              <w:rPr>
                <w:rFonts w:hint="eastAsia" w:ascii="宋体" w:hAnsi="宋体" w:eastAsia="仿宋" w:cs="Calibri"/>
                <w:color w:val="auto"/>
                <w:sz w:val="24"/>
                <w:highlight w:val="none"/>
              </w:rPr>
              <w:t>□召开，召开时间：</w:t>
            </w:r>
            <w:r>
              <w:rPr>
                <w:rFonts w:hint="eastAsia" w:ascii="仿宋" w:hAnsi="仿宋" w:eastAsia="仿宋" w:cs="仿宋"/>
                <w:iCs/>
                <w:color w:val="auto"/>
                <w:sz w:val="24"/>
                <w:highlight w:val="none"/>
              </w:rPr>
              <w:t>/</w:t>
            </w:r>
          </w:p>
          <w:p w14:paraId="65D96CBF">
            <w:pPr>
              <w:keepNext w:val="0"/>
              <w:keepLines w:val="0"/>
              <w:widowControl/>
              <w:suppressLineNumbers w:val="0"/>
              <w:adjustRightInd w:val="0"/>
              <w:snapToGrid w:val="0"/>
              <w:spacing w:before="0" w:beforeAutospacing="0" w:after="0" w:afterAutospacing="0" w:line="288" w:lineRule="auto"/>
              <w:ind w:left="0" w:right="0" w:firstLine="960" w:firstLineChars="400"/>
              <w:rPr>
                <w:rFonts w:hint="default" w:ascii="宋体" w:hAnsi="宋体" w:eastAsia="仿宋" w:cs="Calibri"/>
                <w:color w:val="auto"/>
                <w:sz w:val="24"/>
                <w:highlight w:val="none"/>
                <w:u w:val="single"/>
              </w:rPr>
            </w:pPr>
            <w:r>
              <w:rPr>
                <w:rFonts w:hint="eastAsia" w:ascii="宋体" w:hAnsi="宋体" w:eastAsia="仿宋" w:cs="Calibri"/>
                <w:color w:val="auto"/>
                <w:sz w:val="24"/>
                <w:highlight w:val="none"/>
              </w:rPr>
              <w:t>召开地点：</w:t>
            </w:r>
            <w:r>
              <w:rPr>
                <w:rFonts w:hint="eastAsia" w:ascii="仿宋" w:hAnsi="仿宋" w:eastAsia="仿宋" w:cs="仿宋"/>
                <w:iCs/>
                <w:color w:val="auto"/>
                <w:sz w:val="24"/>
                <w:highlight w:val="none"/>
              </w:rPr>
              <w:t>/</w:t>
            </w:r>
          </w:p>
          <w:p w14:paraId="69F745EA">
            <w:pPr>
              <w:keepNext w:val="0"/>
              <w:keepLines w:val="0"/>
              <w:widowControl/>
              <w:suppressLineNumbers w:val="0"/>
              <w:adjustRightInd w:val="0"/>
              <w:snapToGrid w:val="0"/>
              <w:spacing w:before="0" w:beforeAutospacing="0" w:after="0" w:afterAutospacing="0" w:line="288" w:lineRule="auto"/>
              <w:ind w:left="0" w:right="0" w:firstLine="960" w:firstLineChars="400"/>
              <w:rPr>
                <w:rFonts w:hint="default" w:ascii="宋体" w:hAnsi="宋体" w:cs="Calibri"/>
                <w:color w:val="auto"/>
                <w:sz w:val="24"/>
                <w:highlight w:val="none"/>
              </w:rPr>
            </w:pPr>
            <w:r>
              <w:rPr>
                <w:rFonts w:hint="eastAsia" w:ascii="宋体" w:hAnsi="宋体" w:eastAsia="仿宋" w:cs="Calibri"/>
                <w:color w:val="auto"/>
                <w:sz w:val="24"/>
                <w:highlight w:val="none"/>
              </w:rPr>
              <w:t>联系方式：</w:t>
            </w:r>
            <w:r>
              <w:rPr>
                <w:rFonts w:hint="eastAsia" w:ascii="仿宋" w:hAnsi="仿宋" w:eastAsia="仿宋" w:cs="仿宋"/>
                <w:iCs/>
                <w:color w:val="auto"/>
                <w:sz w:val="24"/>
                <w:highlight w:val="none"/>
              </w:rPr>
              <w:t>/</w:t>
            </w:r>
          </w:p>
        </w:tc>
      </w:tr>
      <w:tr w14:paraId="658DD9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67EC79FA">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color w:val="auto"/>
                <w:sz w:val="24"/>
                <w:highlight w:val="none"/>
              </w:rPr>
            </w:pPr>
            <w:r>
              <w:rPr>
                <w:rFonts w:hint="eastAsia" w:ascii="宋体" w:hAnsi="宋体" w:eastAsia="仿宋" w:cs="Calibri"/>
                <w:color w:val="auto"/>
                <w:sz w:val="24"/>
                <w:highlight w:val="none"/>
              </w:rPr>
              <w:t>1.10.1</w:t>
            </w:r>
          </w:p>
        </w:tc>
        <w:tc>
          <w:tcPr>
            <w:tcW w:w="1581" w:type="dxa"/>
            <w:noWrap w:val="0"/>
            <w:vAlign w:val="center"/>
          </w:tcPr>
          <w:p w14:paraId="4D0FFC48">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color w:val="auto"/>
                <w:sz w:val="24"/>
                <w:highlight w:val="none"/>
              </w:rPr>
            </w:pPr>
            <w:r>
              <w:rPr>
                <w:rFonts w:hint="eastAsia" w:ascii="宋体" w:hAnsi="宋体" w:eastAsia="仿宋" w:cs="Calibri"/>
                <w:color w:val="auto"/>
                <w:sz w:val="24"/>
                <w:highlight w:val="none"/>
              </w:rPr>
              <w:t>分包</w:t>
            </w:r>
          </w:p>
        </w:tc>
        <w:tc>
          <w:tcPr>
            <w:tcW w:w="7229" w:type="dxa"/>
            <w:noWrap w:val="0"/>
            <w:vAlign w:val="center"/>
          </w:tcPr>
          <w:p w14:paraId="50D417B9">
            <w:pPr>
              <w:keepNext w:val="0"/>
              <w:keepLines w:val="0"/>
              <w:widowControl/>
              <w:suppressLineNumbers w:val="0"/>
              <w:topLinePunct/>
              <w:adjustRightInd w:val="0"/>
              <w:snapToGrid w:val="0"/>
              <w:spacing w:before="0" w:beforeAutospacing="0" w:after="0" w:afterAutospacing="0" w:line="288" w:lineRule="auto"/>
              <w:ind w:left="187" w:right="0" w:hanging="187" w:hangingChars="78"/>
              <w:rPr>
                <w:rFonts w:hint="default" w:ascii="宋体" w:hAnsi="宋体" w:eastAsia="仿宋" w:cs="Calibri"/>
                <w:color w:val="auto"/>
                <w:sz w:val="24"/>
                <w:highlight w:val="none"/>
              </w:rPr>
            </w:pPr>
            <w:r>
              <w:rPr>
                <w:rFonts w:hint="eastAsia" w:ascii="宋体" w:hAnsi="宋体" w:eastAsia="仿宋" w:cs="Times New Roman"/>
                <w:bCs/>
                <w:color w:val="auto"/>
                <w:sz w:val="24"/>
                <w:highlight w:val="none"/>
              </w:rPr>
              <w:t>☑</w:t>
            </w:r>
            <w:r>
              <w:rPr>
                <w:rFonts w:hint="eastAsia" w:ascii="宋体" w:hAnsi="宋体" w:eastAsia="仿宋" w:cs="Calibri"/>
                <w:color w:val="auto"/>
                <w:sz w:val="24"/>
                <w:highlight w:val="none"/>
              </w:rPr>
              <w:t>不允许</w:t>
            </w:r>
          </w:p>
          <w:p w14:paraId="6261EAC7">
            <w:pPr>
              <w:keepNext w:val="0"/>
              <w:keepLines w:val="0"/>
              <w:widowControl/>
              <w:suppressLineNumbers w:val="0"/>
              <w:snapToGrid w:val="0"/>
              <w:spacing w:before="0" w:beforeAutospacing="0" w:after="0" w:afterAutospacing="0" w:line="288" w:lineRule="auto"/>
              <w:ind w:left="0" w:right="0"/>
              <w:rPr>
                <w:rFonts w:hint="eastAsia" w:ascii="宋体" w:hAnsi="宋体" w:eastAsia="仿宋" w:cs="Times New Roman"/>
                <w:color w:val="auto"/>
                <w:sz w:val="24"/>
                <w:highlight w:val="none"/>
              </w:rPr>
            </w:pPr>
            <w:r>
              <w:rPr>
                <w:rFonts w:hint="eastAsia" w:ascii="宋体" w:hAnsi="宋体" w:eastAsia="仿宋" w:cs="Calibri"/>
                <w:color w:val="auto"/>
                <w:sz w:val="24"/>
                <w:highlight w:val="none"/>
              </w:rPr>
              <w:t>□允许：</w:t>
            </w:r>
          </w:p>
          <w:p w14:paraId="312B6BD0">
            <w:pPr>
              <w:keepNext w:val="0"/>
              <w:keepLines w:val="0"/>
              <w:widowControl/>
              <w:suppressLineNumbers w:val="0"/>
              <w:snapToGrid w:val="0"/>
              <w:spacing w:before="0" w:beforeAutospacing="0" w:after="0" w:afterAutospacing="0" w:line="288" w:lineRule="auto"/>
              <w:ind w:left="0" w:right="0"/>
              <w:rPr>
                <w:rFonts w:hint="eastAsia" w:ascii="楷体" w:hAnsi="楷体" w:eastAsia="仿宋" w:cs="Times New Roman"/>
                <w:color w:val="auto"/>
                <w:sz w:val="24"/>
                <w:highlight w:val="none"/>
                <w:u w:val="single"/>
              </w:rPr>
            </w:pPr>
            <w:r>
              <w:rPr>
                <w:rFonts w:hint="eastAsia" w:ascii="楷体" w:hAnsi="楷体" w:eastAsia="仿宋" w:cs="Times New Roman"/>
                <w:color w:val="auto"/>
                <w:sz w:val="24"/>
                <w:highlight w:val="none"/>
              </w:rPr>
              <w:t>（1）允许分包的范围和内容：/</w:t>
            </w:r>
          </w:p>
          <w:p w14:paraId="17BC8C61">
            <w:pPr>
              <w:keepNext w:val="0"/>
              <w:keepLines w:val="0"/>
              <w:widowControl/>
              <w:suppressLineNumbers w:val="0"/>
              <w:snapToGrid w:val="0"/>
              <w:spacing w:before="0" w:beforeAutospacing="0" w:after="0" w:afterAutospacing="0" w:line="288" w:lineRule="auto"/>
              <w:ind w:left="0" w:right="0"/>
              <w:rPr>
                <w:rFonts w:hint="eastAsia" w:ascii="楷体" w:hAnsi="楷体" w:eastAsia="仿宋" w:cs="Times New Roman"/>
                <w:color w:val="auto"/>
                <w:sz w:val="24"/>
                <w:highlight w:val="none"/>
              </w:rPr>
            </w:pPr>
            <w:r>
              <w:rPr>
                <w:rFonts w:hint="eastAsia" w:ascii="楷体" w:hAnsi="楷体" w:eastAsia="仿宋" w:cs="Times New Roman"/>
                <w:color w:val="auto"/>
                <w:sz w:val="24"/>
                <w:highlight w:val="none"/>
              </w:rPr>
              <w:t>（2）对分包人资质要求：/</w:t>
            </w:r>
          </w:p>
          <w:p w14:paraId="26EB4222">
            <w:pPr>
              <w:keepNext w:val="0"/>
              <w:keepLines w:val="0"/>
              <w:widowControl/>
              <w:suppressLineNumbers w:val="0"/>
              <w:snapToGrid w:val="0"/>
              <w:spacing w:before="0" w:beforeAutospacing="0" w:after="0" w:afterAutospacing="0" w:line="288" w:lineRule="auto"/>
              <w:ind w:left="0" w:right="0"/>
              <w:rPr>
                <w:rFonts w:hint="eastAsia" w:ascii="宋体" w:hAnsi="宋体" w:cs="Times New Roman"/>
                <w:color w:val="auto"/>
                <w:sz w:val="24"/>
                <w:highlight w:val="none"/>
              </w:rPr>
            </w:pPr>
            <w:r>
              <w:rPr>
                <w:rFonts w:hint="eastAsia" w:ascii="楷体" w:hAnsi="楷体" w:eastAsia="仿宋" w:cs="Times New Roman"/>
                <w:color w:val="auto"/>
                <w:sz w:val="24"/>
                <w:highlight w:val="none"/>
              </w:rPr>
              <w:t>（3）为享受政府采购支持中小企业发展政策，参与政府采购活动的大型企业可向中小微企业分包，中型企业可向小微企业分包。</w:t>
            </w:r>
          </w:p>
        </w:tc>
      </w:tr>
      <w:tr w14:paraId="353782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3E17D65D">
            <w:pPr>
              <w:keepNext w:val="0"/>
              <w:keepLines w:val="0"/>
              <w:widowControl/>
              <w:suppressLineNumbers w:val="0"/>
              <w:adjustRightInd w:val="0"/>
              <w:snapToGrid w:val="0"/>
              <w:spacing w:before="0" w:beforeAutospacing="0" w:after="0" w:afterAutospacing="0" w:line="288" w:lineRule="auto"/>
              <w:ind w:left="0" w:right="0"/>
              <w:jc w:val="center"/>
              <w:rPr>
                <w:rFonts w:hint="default" w:ascii="宋体" w:hAnsi="宋体" w:eastAsia="仿宋" w:cs="Calibri"/>
                <w:color w:val="auto"/>
                <w:sz w:val="24"/>
                <w:highlight w:val="none"/>
              </w:rPr>
            </w:pPr>
            <w:r>
              <w:rPr>
                <w:rFonts w:hint="eastAsia" w:ascii="宋体" w:hAnsi="宋体" w:eastAsia="仿宋" w:cs="Calibri"/>
                <w:color w:val="auto"/>
                <w:sz w:val="24"/>
                <w:highlight w:val="none"/>
              </w:rPr>
              <w:t>2.2.2</w:t>
            </w:r>
          </w:p>
        </w:tc>
        <w:tc>
          <w:tcPr>
            <w:tcW w:w="1581" w:type="dxa"/>
            <w:noWrap w:val="0"/>
            <w:vAlign w:val="center"/>
          </w:tcPr>
          <w:p w14:paraId="2D70B2D3">
            <w:pPr>
              <w:keepNext w:val="0"/>
              <w:keepLines w:val="0"/>
              <w:widowControl/>
              <w:suppressLineNumbers w:val="0"/>
              <w:adjustRightInd w:val="0"/>
              <w:snapToGrid w:val="0"/>
              <w:spacing w:before="0" w:beforeAutospacing="0" w:after="0" w:afterAutospacing="0" w:line="300" w:lineRule="auto"/>
              <w:ind w:left="0" w:right="0"/>
              <w:jc w:val="center"/>
              <w:rPr>
                <w:rFonts w:hint="default" w:ascii="Calibri" w:hAnsi="Calibri" w:eastAsia="仿宋" w:cs="Times New Roman"/>
                <w:color w:val="auto"/>
                <w:sz w:val="24"/>
                <w:highlight w:val="none"/>
              </w:rPr>
            </w:pPr>
            <w:r>
              <w:rPr>
                <w:rFonts w:hint="eastAsia" w:ascii="宋体" w:hAnsi="宋体" w:eastAsia="仿宋" w:cs="Calibri"/>
                <w:color w:val="auto"/>
                <w:sz w:val="24"/>
                <w:highlight w:val="none"/>
              </w:rPr>
              <w:t>招标文件澄清发出的形式</w:t>
            </w:r>
          </w:p>
        </w:tc>
        <w:tc>
          <w:tcPr>
            <w:tcW w:w="7229" w:type="dxa"/>
            <w:noWrap w:val="0"/>
            <w:vAlign w:val="center"/>
          </w:tcPr>
          <w:p w14:paraId="1C115951">
            <w:pPr>
              <w:keepNext w:val="0"/>
              <w:keepLines w:val="0"/>
              <w:widowControl/>
              <w:suppressLineNumbers w:val="0"/>
              <w:adjustRightInd w:val="0"/>
              <w:snapToGrid w:val="0"/>
              <w:spacing w:before="0" w:beforeAutospacing="0" w:after="0" w:afterAutospacing="0" w:line="300" w:lineRule="auto"/>
              <w:ind w:left="0" w:right="0"/>
              <w:rPr>
                <w:rFonts w:hint="eastAsia" w:ascii="宋体" w:hAnsi="宋体" w:eastAsia="仿宋" w:cs="Calibri"/>
                <w:color w:val="auto"/>
                <w:sz w:val="24"/>
                <w:highlight w:val="none"/>
              </w:rPr>
            </w:pPr>
            <w:r>
              <w:rPr>
                <w:rFonts w:hint="eastAsia" w:ascii="宋体" w:hAnsi="宋体" w:eastAsia="仿宋" w:cs="Times New Roman"/>
                <w:color w:val="auto"/>
                <w:sz w:val="24"/>
                <w:highlight w:val="none"/>
              </w:rPr>
              <w:t>发出形式：在“优质采招标采购平台（www.yzczb.com）”或“优质采云采购平台（www.youzhicai.com）”发布，投标人自行查看、下载，无需确认。其他方式发布的，投标人应书面确认。</w:t>
            </w:r>
          </w:p>
        </w:tc>
      </w:tr>
      <w:tr w14:paraId="4FB997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74F5184B">
            <w:pPr>
              <w:keepNext w:val="0"/>
              <w:keepLines w:val="0"/>
              <w:widowControl/>
              <w:suppressLineNumbers w:val="0"/>
              <w:adjustRightInd w:val="0"/>
              <w:snapToGrid w:val="0"/>
              <w:spacing w:before="0" w:beforeAutospacing="0" w:after="0" w:afterAutospacing="0" w:line="288" w:lineRule="auto"/>
              <w:ind w:left="0" w:right="0"/>
              <w:jc w:val="center"/>
              <w:rPr>
                <w:rFonts w:hint="default" w:ascii="宋体" w:hAnsi="宋体" w:cs="Calibri"/>
                <w:color w:val="auto"/>
                <w:sz w:val="24"/>
                <w:highlight w:val="none"/>
              </w:rPr>
            </w:pPr>
            <w:r>
              <w:rPr>
                <w:rFonts w:hint="eastAsia" w:ascii="宋体" w:hAnsi="宋体" w:eastAsia="仿宋" w:cs="Calibri"/>
                <w:color w:val="auto"/>
                <w:sz w:val="24"/>
                <w:highlight w:val="none"/>
              </w:rPr>
              <w:t>3.1.1</w:t>
            </w:r>
          </w:p>
        </w:tc>
        <w:tc>
          <w:tcPr>
            <w:tcW w:w="1581" w:type="dxa"/>
            <w:noWrap w:val="0"/>
            <w:vAlign w:val="center"/>
          </w:tcPr>
          <w:p w14:paraId="3006C138">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color w:val="auto"/>
                <w:sz w:val="24"/>
                <w:highlight w:val="none"/>
              </w:rPr>
            </w:pPr>
            <w:r>
              <w:rPr>
                <w:rFonts w:hint="eastAsia" w:ascii="宋体" w:hAnsi="宋体" w:eastAsia="仿宋" w:cs="Calibri"/>
                <w:color w:val="auto"/>
                <w:sz w:val="24"/>
                <w:highlight w:val="none"/>
              </w:rPr>
              <w:t>构成投标文件的其他资料</w:t>
            </w:r>
          </w:p>
        </w:tc>
        <w:tc>
          <w:tcPr>
            <w:tcW w:w="7229" w:type="dxa"/>
            <w:noWrap w:val="0"/>
            <w:vAlign w:val="center"/>
          </w:tcPr>
          <w:p w14:paraId="204CEDEA">
            <w:pPr>
              <w:keepNext w:val="0"/>
              <w:keepLines w:val="0"/>
              <w:suppressLineNumbers w:val="0"/>
              <w:adjustRightInd w:val="0"/>
              <w:snapToGrid w:val="0"/>
              <w:spacing w:before="0" w:beforeAutospacing="0" w:after="0" w:afterAutospacing="0" w:line="288" w:lineRule="auto"/>
              <w:ind w:left="0" w:right="0"/>
              <w:rPr>
                <w:rFonts w:hint="eastAsia" w:ascii="Calibri" w:hAnsi="Calibri" w:eastAsia="楷体" w:cs="Times New Roman"/>
                <w:color w:val="auto"/>
                <w:sz w:val="24"/>
                <w:highlight w:val="none"/>
              </w:rPr>
            </w:pPr>
            <w:r>
              <w:rPr>
                <w:rFonts w:hint="eastAsia" w:ascii="楷体" w:hAnsi="楷体" w:eastAsia="仿宋" w:cs="Times New Roman"/>
                <w:color w:val="auto"/>
                <w:sz w:val="24"/>
                <w:highlight w:val="none"/>
              </w:rPr>
              <w:t>/</w:t>
            </w:r>
          </w:p>
        </w:tc>
      </w:tr>
      <w:tr w14:paraId="0094BB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86" w:hRule="atLeast"/>
        </w:trPr>
        <w:tc>
          <w:tcPr>
            <w:tcW w:w="857" w:type="dxa"/>
            <w:noWrap w:val="0"/>
            <w:vAlign w:val="center"/>
          </w:tcPr>
          <w:p w14:paraId="301A925F">
            <w:pPr>
              <w:keepNext w:val="0"/>
              <w:keepLines w:val="0"/>
              <w:widowControl/>
              <w:suppressLineNumbers w:val="0"/>
              <w:adjustRightInd w:val="0"/>
              <w:snapToGrid w:val="0"/>
              <w:spacing w:before="0" w:beforeAutospacing="0" w:after="0" w:afterAutospacing="0" w:line="288" w:lineRule="auto"/>
              <w:ind w:left="0" w:right="0"/>
              <w:jc w:val="center"/>
              <w:rPr>
                <w:rFonts w:hint="default" w:ascii="宋体" w:hAnsi="宋体" w:cs="Calibri"/>
                <w:color w:val="auto"/>
                <w:sz w:val="24"/>
                <w:highlight w:val="none"/>
              </w:rPr>
            </w:pPr>
            <w:r>
              <w:rPr>
                <w:rFonts w:hint="eastAsia" w:ascii="宋体" w:hAnsi="宋体" w:eastAsia="仿宋" w:cs="Calibri"/>
                <w:color w:val="auto"/>
                <w:sz w:val="24"/>
                <w:highlight w:val="none"/>
              </w:rPr>
              <w:t>3.1.4</w:t>
            </w:r>
          </w:p>
        </w:tc>
        <w:tc>
          <w:tcPr>
            <w:tcW w:w="1581" w:type="dxa"/>
            <w:noWrap w:val="0"/>
            <w:vAlign w:val="center"/>
          </w:tcPr>
          <w:p w14:paraId="5BFCD706">
            <w:pPr>
              <w:keepNext w:val="0"/>
              <w:keepLines w:val="0"/>
              <w:widowControl/>
              <w:suppressLineNumbers w:val="0"/>
              <w:adjustRightInd w:val="0"/>
              <w:snapToGrid w:val="0"/>
              <w:spacing w:before="0" w:beforeAutospacing="0" w:after="0" w:afterAutospacing="0" w:line="288" w:lineRule="auto"/>
              <w:ind w:left="0" w:right="0"/>
              <w:jc w:val="center"/>
              <w:rPr>
                <w:rFonts w:hint="default" w:ascii="宋体" w:hAnsi="宋体" w:cs="Calibri"/>
                <w:color w:val="auto"/>
                <w:sz w:val="24"/>
                <w:highlight w:val="none"/>
              </w:rPr>
            </w:pPr>
            <w:r>
              <w:rPr>
                <w:rFonts w:hint="eastAsia" w:ascii="宋体" w:hAnsi="宋体" w:eastAsia="仿宋" w:cs="Calibri"/>
                <w:color w:val="auto"/>
                <w:sz w:val="24"/>
                <w:highlight w:val="none"/>
              </w:rPr>
              <w:t>样品</w:t>
            </w:r>
          </w:p>
        </w:tc>
        <w:tc>
          <w:tcPr>
            <w:tcW w:w="7229" w:type="dxa"/>
            <w:noWrap w:val="0"/>
            <w:vAlign w:val="center"/>
          </w:tcPr>
          <w:p w14:paraId="2F201D0D">
            <w:pPr>
              <w:keepNext w:val="0"/>
              <w:keepLines w:val="0"/>
              <w:widowControl/>
              <w:suppressLineNumbers w:val="0"/>
              <w:adjustRightInd w:val="0"/>
              <w:snapToGrid w:val="0"/>
              <w:spacing w:before="0" w:beforeAutospacing="0" w:after="0" w:afterAutospacing="0" w:line="288" w:lineRule="auto"/>
              <w:ind w:left="0" w:right="0"/>
              <w:rPr>
                <w:rFonts w:hint="eastAsia" w:ascii="宋体" w:hAnsi="宋体" w:eastAsia="仿宋" w:cs="Times New Roman"/>
                <w:b/>
                <w:bCs/>
                <w:color w:val="auto"/>
                <w:sz w:val="24"/>
                <w:highlight w:val="none"/>
              </w:rPr>
            </w:pPr>
            <w:r>
              <w:rPr>
                <w:rFonts w:hint="eastAsia" w:ascii="宋体" w:hAnsi="宋体" w:eastAsia="仿宋" w:cs="Times New Roman"/>
                <w:b/>
                <w:bCs/>
                <w:color w:val="auto"/>
                <w:sz w:val="24"/>
                <w:highlight w:val="none"/>
              </w:rPr>
              <w:t>是否要求投标人提交样品：</w:t>
            </w:r>
          </w:p>
          <w:p w14:paraId="0F9BA3BD">
            <w:pPr>
              <w:keepNext w:val="0"/>
              <w:keepLines w:val="0"/>
              <w:widowControl/>
              <w:suppressLineNumbers w:val="0"/>
              <w:adjustRightInd w:val="0"/>
              <w:snapToGrid w:val="0"/>
              <w:spacing w:before="0" w:beforeAutospacing="0" w:after="0" w:afterAutospacing="0" w:line="288" w:lineRule="auto"/>
              <w:ind w:left="0" w:right="0"/>
              <w:rPr>
                <w:rFonts w:hint="default" w:ascii="宋体" w:hAnsi="宋体" w:eastAsia="仿宋" w:cs="Calibri"/>
                <w:color w:val="auto"/>
                <w:sz w:val="24"/>
                <w:highlight w:val="none"/>
              </w:rPr>
            </w:pPr>
            <w:r>
              <w:rPr>
                <w:rFonts w:hint="eastAsia" w:ascii="宋体" w:hAnsi="宋体" w:eastAsia="仿宋" w:cs="Calibri"/>
                <w:color w:val="auto"/>
                <w:sz w:val="24"/>
                <w:highlight w:val="none"/>
              </w:rPr>
              <w:t>☑否</w:t>
            </w:r>
          </w:p>
          <w:p w14:paraId="5B37FD79">
            <w:pPr>
              <w:keepNext w:val="0"/>
              <w:keepLines w:val="0"/>
              <w:suppressLineNumbers w:val="0"/>
              <w:adjustRightInd w:val="0"/>
              <w:spacing w:before="0" w:beforeAutospacing="0" w:after="0" w:afterAutospacing="0" w:line="288" w:lineRule="auto"/>
              <w:ind w:left="0" w:right="0"/>
              <w:rPr>
                <w:rFonts w:hint="eastAsia" w:ascii="仿宋" w:hAnsi="仿宋" w:eastAsia="仿宋" w:cs="仿宋"/>
                <w:color w:val="auto"/>
                <w:sz w:val="24"/>
                <w:highlight w:val="none"/>
                <w:lang w:bidi="ar"/>
              </w:rPr>
            </w:pPr>
            <w:r>
              <w:rPr>
                <w:rFonts w:hint="eastAsia" w:ascii="宋体" w:hAnsi="宋体" w:eastAsia="仿宋" w:cs="Calibri"/>
                <w:color w:val="auto"/>
                <w:sz w:val="24"/>
                <w:highlight w:val="none"/>
              </w:rPr>
              <w:t>□是，提交样品的具体要求：</w:t>
            </w:r>
            <w:r>
              <w:rPr>
                <w:rFonts w:hint="eastAsia" w:ascii="楷体" w:hAnsi="楷体" w:eastAsia="仿宋" w:cs="Calibri"/>
                <w:color w:val="auto"/>
                <w:sz w:val="24"/>
                <w:highlight w:val="none"/>
              </w:rPr>
              <w:t>/</w:t>
            </w:r>
          </w:p>
        </w:tc>
      </w:tr>
      <w:tr w14:paraId="2F7D1C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59CB47AB">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color w:val="auto"/>
                <w:sz w:val="24"/>
                <w:highlight w:val="none"/>
              </w:rPr>
            </w:pPr>
            <w:r>
              <w:rPr>
                <w:rFonts w:hint="eastAsia" w:ascii="宋体" w:hAnsi="宋体" w:eastAsia="仿宋" w:cs="Calibri"/>
                <w:color w:val="auto"/>
                <w:sz w:val="24"/>
                <w:highlight w:val="none"/>
              </w:rPr>
              <w:t>3.2.1</w:t>
            </w:r>
          </w:p>
        </w:tc>
        <w:tc>
          <w:tcPr>
            <w:tcW w:w="1581" w:type="dxa"/>
            <w:noWrap w:val="0"/>
            <w:vAlign w:val="center"/>
          </w:tcPr>
          <w:p w14:paraId="13BACEB2">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color w:val="auto"/>
                <w:sz w:val="24"/>
                <w:highlight w:val="none"/>
              </w:rPr>
            </w:pPr>
            <w:r>
              <w:rPr>
                <w:rFonts w:hint="eastAsia" w:ascii="宋体" w:hAnsi="宋体" w:eastAsia="仿宋" w:cs="Calibri"/>
                <w:color w:val="auto"/>
                <w:sz w:val="24"/>
                <w:highlight w:val="none"/>
              </w:rPr>
              <w:t>投标报价包括的内容</w:t>
            </w:r>
          </w:p>
        </w:tc>
        <w:tc>
          <w:tcPr>
            <w:tcW w:w="7229" w:type="dxa"/>
            <w:noWrap w:val="0"/>
            <w:vAlign w:val="center"/>
          </w:tcPr>
          <w:p w14:paraId="2325C583">
            <w:pPr>
              <w:keepNext w:val="0"/>
              <w:keepLines w:val="0"/>
              <w:widowControl/>
              <w:suppressLineNumbers w:val="0"/>
              <w:adjustRightInd w:val="0"/>
              <w:snapToGrid w:val="0"/>
              <w:spacing w:before="0" w:beforeAutospacing="0" w:after="0" w:afterAutospacing="0" w:line="288" w:lineRule="auto"/>
              <w:ind w:left="0" w:right="0"/>
              <w:rPr>
                <w:rFonts w:hint="eastAsia" w:ascii="楷体" w:hAnsi="楷体" w:eastAsia="楷体" w:cs="Times New Roman"/>
                <w:bCs/>
                <w:color w:val="auto"/>
                <w:sz w:val="24"/>
                <w:highlight w:val="none"/>
              </w:rPr>
            </w:pPr>
            <w:r>
              <w:rPr>
                <w:rFonts w:hint="eastAsia" w:ascii="楷体" w:hAnsi="楷体" w:eastAsia="仿宋" w:cs="Calibri"/>
                <w:color w:val="auto"/>
                <w:sz w:val="24"/>
                <w:highlight w:val="none"/>
              </w:rPr>
              <w:t>投标报价</w:t>
            </w:r>
            <w:r>
              <w:rPr>
                <w:rFonts w:hint="default" w:ascii="楷体" w:hAnsi="楷体" w:eastAsia="仿宋" w:cs="Times New Roman"/>
                <w:color w:val="auto"/>
                <w:sz w:val="24"/>
                <w:highlight w:val="none"/>
              </w:rPr>
              <w:t>包括货物从设计、采购、制造、交货（包括运输至采购人</w:t>
            </w:r>
            <w:r>
              <w:rPr>
                <w:rFonts w:hint="eastAsia" w:ascii="楷体" w:hAnsi="楷体" w:eastAsia="仿宋" w:cs="Times New Roman"/>
                <w:color w:val="auto"/>
                <w:sz w:val="24"/>
                <w:highlight w:val="none"/>
              </w:rPr>
              <w:t>、使用单位</w:t>
            </w:r>
            <w:r>
              <w:rPr>
                <w:rFonts w:hint="default" w:ascii="楷体" w:hAnsi="楷体" w:eastAsia="仿宋" w:cs="Times New Roman"/>
                <w:color w:val="auto"/>
                <w:sz w:val="24"/>
                <w:highlight w:val="none"/>
              </w:rPr>
              <w:t>指定地点卸车就位）</w:t>
            </w:r>
            <w:r>
              <w:rPr>
                <w:rFonts w:hint="eastAsia" w:ascii="楷体" w:hAnsi="楷体" w:eastAsia="仿宋" w:cs="Times New Roman"/>
                <w:color w:val="auto"/>
                <w:sz w:val="24"/>
                <w:highlight w:val="none"/>
              </w:rPr>
              <w:t>、安装、调试</w:t>
            </w:r>
            <w:r>
              <w:rPr>
                <w:rFonts w:hint="default" w:ascii="楷体" w:hAnsi="楷体" w:eastAsia="仿宋" w:cs="Times New Roman"/>
                <w:color w:val="auto"/>
                <w:sz w:val="24"/>
                <w:highlight w:val="none"/>
              </w:rPr>
              <w:t>至验收和售后服务的一切费用（如设计费、采购费、制造费、试验检测费、包装费、运输费、运输保险费、装卸费</w:t>
            </w:r>
            <w:r>
              <w:rPr>
                <w:rFonts w:hint="eastAsia" w:ascii="楷体" w:hAnsi="楷体" w:eastAsia="仿宋" w:cs="Times New Roman"/>
                <w:color w:val="auto"/>
                <w:sz w:val="24"/>
                <w:highlight w:val="none"/>
              </w:rPr>
              <w:t>、安装费、调试费、</w:t>
            </w:r>
            <w:r>
              <w:rPr>
                <w:rFonts w:hint="default" w:ascii="楷体" w:hAnsi="楷体" w:eastAsia="仿宋" w:cs="Times New Roman"/>
                <w:color w:val="auto"/>
                <w:sz w:val="24"/>
                <w:highlight w:val="none"/>
              </w:rPr>
              <w:t>其他技术服务及质保期服务费等）、管理费、利润和税金，以及</w:t>
            </w:r>
            <w:r>
              <w:rPr>
                <w:rFonts w:hint="eastAsia" w:ascii="楷体" w:hAnsi="楷体" w:eastAsia="仿宋" w:cs="Times New Roman"/>
                <w:color w:val="auto"/>
                <w:sz w:val="24"/>
                <w:highlight w:val="none"/>
              </w:rPr>
              <w:t>采购需求、采购</w:t>
            </w:r>
            <w:r>
              <w:rPr>
                <w:rFonts w:hint="default" w:ascii="楷体" w:hAnsi="楷体" w:eastAsia="仿宋" w:cs="Times New Roman"/>
                <w:color w:val="auto"/>
                <w:sz w:val="24"/>
                <w:highlight w:val="none"/>
              </w:rPr>
              <w:t>合同中明示或暗示的所有责任、义务和风险。</w:t>
            </w:r>
          </w:p>
        </w:tc>
      </w:tr>
      <w:tr w14:paraId="1C71D5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26AE824F">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eastAsia="仿宋" w:cs="Calibri"/>
                <w:color w:val="auto"/>
                <w:sz w:val="24"/>
                <w:highlight w:val="none"/>
              </w:rPr>
            </w:pPr>
            <w:r>
              <w:rPr>
                <w:rFonts w:hint="eastAsia" w:ascii="宋体" w:hAnsi="宋体" w:eastAsia="仿宋" w:cs="Calibri"/>
                <w:color w:val="auto"/>
                <w:sz w:val="24"/>
                <w:highlight w:val="none"/>
              </w:rPr>
              <w:t>3.2.4</w:t>
            </w:r>
          </w:p>
        </w:tc>
        <w:tc>
          <w:tcPr>
            <w:tcW w:w="1581" w:type="dxa"/>
            <w:noWrap w:val="0"/>
            <w:vAlign w:val="center"/>
          </w:tcPr>
          <w:p w14:paraId="051B742E">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color w:val="auto"/>
                <w:sz w:val="24"/>
                <w:highlight w:val="none"/>
              </w:rPr>
            </w:pPr>
            <w:r>
              <w:rPr>
                <w:rFonts w:hint="eastAsia" w:ascii="宋体" w:hAnsi="宋体" w:eastAsia="仿宋" w:cs="Calibri"/>
                <w:color w:val="auto"/>
                <w:sz w:val="24"/>
                <w:highlight w:val="none"/>
              </w:rPr>
              <w:t>投标报价的其他要求</w:t>
            </w:r>
          </w:p>
        </w:tc>
        <w:tc>
          <w:tcPr>
            <w:tcW w:w="7229" w:type="dxa"/>
            <w:noWrap w:val="0"/>
            <w:vAlign w:val="center"/>
          </w:tcPr>
          <w:p w14:paraId="4A5EEBE3">
            <w:pPr>
              <w:pStyle w:val="178"/>
              <w:keepNext w:val="0"/>
              <w:keepLines w:val="0"/>
              <w:suppressLineNumbers w:val="0"/>
              <w:snapToGrid w:val="0"/>
              <w:spacing w:before="0" w:beforeAutospacing="0" w:after="0" w:afterAutospacing="0" w:line="240" w:lineRule="auto"/>
              <w:ind w:left="0" w:right="0"/>
              <w:rPr>
                <w:rFonts w:hint="eastAsia" w:ascii="楷体" w:hAnsi="楷体" w:eastAsia="仿宋" w:cs="Times New Roman"/>
                <w:b w:val="0"/>
                <w:color w:val="auto"/>
                <w:sz w:val="24"/>
                <w:szCs w:val="24"/>
                <w:highlight w:val="none"/>
              </w:rPr>
            </w:pPr>
            <w:r>
              <w:rPr>
                <w:rFonts w:hint="eastAsia" w:ascii="楷体" w:hAnsi="楷体" w:eastAsia="仿宋" w:cs="Times New Roman"/>
                <w:b w:val="0"/>
                <w:color w:val="auto"/>
                <w:sz w:val="24"/>
                <w:szCs w:val="24"/>
                <w:highlight w:val="none"/>
              </w:rPr>
              <w:t>□除招标文件另有规定外，投标人所报的价格在合同执行过程中固定不变,不得以任何理由予以变更。</w:t>
            </w:r>
          </w:p>
          <w:p w14:paraId="75AE5621">
            <w:pPr>
              <w:pStyle w:val="178"/>
              <w:keepNext w:val="0"/>
              <w:keepLines w:val="0"/>
              <w:suppressLineNumbers w:val="0"/>
              <w:tabs>
                <w:tab w:val="left" w:pos="2149"/>
              </w:tabs>
              <w:snapToGrid w:val="0"/>
              <w:spacing w:before="0" w:beforeAutospacing="0" w:after="0" w:afterAutospacing="0" w:line="240" w:lineRule="auto"/>
              <w:ind w:left="0" w:right="0"/>
              <w:rPr>
                <w:rFonts w:hint="default" w:ascii="楷体" w:hAnsi="楷体" w:eastAsia="仿宋" w:cs="Times New Roman"/>
                <w:b w:val="0"/>
                <w:color w:val="auto"/>
                <w:sz w:val="24"/>
                <w:szCs w:val="24"/>
                <w:highlight w:val="none"/>
              </w:rPr>
            </w:pPr>
            <w:r>
              <w:rPr>
                <w:rFonts w:hint="eastAsia" w:ascii="楷体" w:hAnsi="楷体" w:eastAsia="仿宋" w:cs="Times New Roman"/>
                <w:b w:val="0"/>
                <w:color w:val="auto"/>
                <w:sz w:val="24"/>
                <w:szCs w:val="24"/>
                <w:highlight w:val="none"/>
              </w:rPr>
              <w:t>☑1、采购</w:t>
            </w:r>
            <w:r>
              <w:rPr>
                <w:rFonts w:hint="default" w:ascii="楷体" w:hAnsi="楷体" w:eastAsia="仿宋" w:cs="Times New Roman"/>
                <w:b w:val="0"/>
                <w:color w:val="auto"/>
                <w:sz w:val="24"/>
                <w:szCs w:val="24"/>
                <w:highlight w:val="none"/>
              </w:rPr>
              <w:t>人在“</w:t>
            </w:r>
            <w:r>
              <w:rPr>
                <w:rFonts w:hint="eastAsia" w:ascii="楷体" w:hAnsi="楷体" w:eastAsia="仿宋" w:cs="Times New Roman"/>
                <w:b w:val="0"/>
                <w:color w:val="auto"/>
                <w:sz w:val="24"/>
                <w:szCs w:val="24"/>
                <w:highlight w:val="none"/>
              </w:rPr>
              <w:t>采购需求</w:t>
            </w:r>
            <w:r>
              <w:rPr>
                <w:rFonts w:hint="default" w:ascii="楷体" w:hAnsi="楷体" w:eastAsia="仿宋" w:cs="Times New Roman"/>
                <w:b w:val="0"/>
                <w:color w:val="auto"/>
                <w:sz w:val="24"/>
                <w:szCs w:val="24"/>
                <w:highlight w:val="none"/>
              </w:rPr>
              <w:t>”中</w:t>
            </w:r>
            <w:r>
              <w:rPr>
                <w:rFonts w:hint="eastAsia" w:ascii="楷体" w:hAnsi="楷体" w:eastAsia="仿宋" w:cs="Times New Roman"/>
                <w:b w:val="0"/>
                <w:color w:val="auto"/>
                <w:sz w:val="24"/>
                <w:szCs w:val="24"/>
                <w:highlight w:val="none"/>
              </w:rPr>
              <w:t>要求提供</w:t>
            </w:r>
            <w:r>
              <w:rPr>
                <w:rFonts w:hint="default" w:ascii="楷体" w:hAnsi="楷体" w:eastAsia="仿宋" w:cs="Times New Roman"/>
                <w:b w:val="0"/>
                <w:color w:val="auto"/>
                <w:sz w:val="24"/>
                <w:szCs w:val="24"/>
                <w:highlight w:val="none"/>
              </w:rPr>
              <w:t>的各种货物</w:t>
            </w:r>
            <w:r>
              <w:rPr>
                <w:rFonts w:hint="eastAsia" w:ascii="楷体" w:hAnsi="楷体" w:eastAsia="仿宋" w:cs="Times New Roman"/>
                <w:b w:val="0"/>
                <w:color w:val="auto"/>
                <w:sz w:val="24"/>
                <w:szCs w:val="24"/>
                <w:highlight w:val="none"/>
              </w:rPr>
              <w:t>及配件（或附件）</w:t>
            </w:r>
            <w:r>
              <w:rPr>
                <w:rFonts w:hint="default" w:ascii="楷体" w:hAnsi="楷体" w:eastAsia="仿宋" w:cs="Times New Roman"/>
                <w:b w:val="0"/>
                <w:color w:val="auto"/>
                <w:sz w:val="24"/>
                <w:szCs w:val="24"/>
                <w:highlight w:val="none"/>
              </w:rPr>
              <w:t>的数量是计划采购数量，仅作为投标报价的依据，不作为最终结算与支付的依据。</w:t>
            </w:r>
          </w:p>
          <w:p w14:paraId="0B240D31">
            <w:pPr>
              <w:pStyle w:val="178"/>
              <w:keepNext w:val="0"/>
              <w:keepLines w:val="0"/>
              <w:suppressLineNumbers w:val="0"/>
              <w:tabs>
                <w:tab w:val="left" w:pos="2149"/>
              </w:tabs>
              <w:snapToGrid w:val="0"/>
              <w:spacing w:before="0" w:beforeAutospacing="0" w:after="0" w:afterAutospacing="0" w:line="240" w:lineRule="auto"/>
              <w:ind w:left="0" w:right="0"/>
              <w:rPr>
                <w:rFonts w:hint="default" w:ascii="楷体" w:hAnsi="楷体" w:eastAsia="仿宋" w:cs="Times New Roman"/>
                <w:b w:val="0"/>
                <w:color w:val="auto"/>
                <w:sz w:val="24"/>
                <w:szCs w:val="24"/>
                <w:highlight w:val="none"/>
              </w:rPr>
            </w:pPr>
            <w:r>
              <w:rPr>
                <w:rFonts w:hint="eastAsia" w:ascii="楷体" w:hAnsi="楷体" w:eastAsia="仿宋" w:cs="Times New Roman"/>
                <w:b w:val="0"/>
                <w:color w:val="auto"/>
                <w:sz w:val="24"/>
                <w:szCs w:val="24"/>
                <w:highlight w:val="none"/>
              </w:rPr>
              <w:t>2、在签订分合同时，</w:t>
            </w:r>
            <w:bookmarkStart w:id="52" w:name="OLE_LINK7"/>
            <w:r>
              <w:rPr>
                <w:rFonts w:hint="eastAsia" w:ascii="楷体" w:hAnsi="楷体" w:eastAsia="仿宋" w:cs="Times New Roman"/>
                <w:b w:val="0"/>
                <w:color w:val="auto"/>
                <w:sz w:val="24"/>
                <w:szCs w:val="24"/>
                <w:highlight w:val="none"/>
              </w:rPr>
              <w:t>各使用单位可根据临床使用需求决定选择性采购招标文件中列明须</w:t>
            </w:r>
            <w:r>
              <w:rPr>
                <w:rFonts w:hint="eastAsia" w:ascii="楷体" w:hAnsi="楷体" w:eastAsia="仿宋" w:cs="Times New Roman"/>
                <w:bCs/>
                <w:color w:val="auto"/>
                <w:sz w:val="24"/>
                <w:szCs w:val="24"/>
                <w:highlight w:val="none"/>
              </w:rPr>
              <w:t>单独报价的配件（或附件），</w:t>
            </w:r>
            <w:r>
              <w:rPr>
                <w:rFonts w:hint="eastAsia" w:ascii="楷体" w:hAnsi="楷体" w:eastAsia="仿宋" w:cs="Times New Roman"/>
                <w:b w:val="0"/>
                <w:color w:val="auto"/>
                <w:sz w:val="24"/>
                <w:szCs w:val="24"/>
                <w:highlight w:val="none"/>
              </w:rPr>
              <w:t>实际合同价格为相应标准配置设备中标价格与未选择采购（减少）配件</w:t>
            </w:r>
            <w:r>
              <w:rPr>
                <w:rFonts w:hint="eastAsia" w:ascii="楷体" w:hAnsi="楷体" w:eastAsia="仿宋" w:cs="Times New Roman"/>
                <w:bCs/>
                <w:color w:val="auto"/>
                <w:sz w:val="24"/>
                <w:szCs w:val="24"/>
                <w:highlight w:val="none"/>
              </w:rPr>
              <w:t>（或附件）</w:t>
            </w:r>
            <w:r>
              <w:rPr>
                <w:rFonts w:hint="eastAsia" w:ascii="楷体" w:hAnsi="楷体" w:eastAsia="仿宋" w:cs="Times New Roman"/>
                <w:b w:val="0"/>
                <w:color w:val="auto"/>
                <w:sz w:val="24"/>
                <w:szCs w:val="24"/>
                <w:highlight w:val="none"/>
              </w:rPr>
              <w:t>价格的相应价格之差。</w:t>
            </w:r>
            <w:bookmarkEnd w:id="52"/>
          </w:p>
          <w:p w14:paraId="03B0F3FC">
            <w:pPr>
              <w:pStyle w:val="178"/>
              <w:keepNext w:val="0"/>
              <w:keepLines w:val="0"/>
              <w:suppressLineNumbers w:val="0"/>
              <w:tabs>
                <w:tab w:val="left" w:pos="2149"/>
              </w:tabs>
              <w:snapToGrid w:val="0"/>
              <w:spacing w:before="0" w:beforeAutospacing="0" w:after="0" w:afterAutospacing="0" w:line="240" w:lineRule="auto"/>
              <w:ind w:left="0" w:right="0"/>
              <w:rPr>
                <w:rFonts w:hint="eastAsia" w:ascii="楷体" w:hAnsi="楷体" w:eastAsia="仿宋" w:cs="Times New Roman"/>
                <w:b w:val="0"/>
                <w:color w:val="auto"/>
                <w:sz w:val="24"/>
                <w:szCs w:val="24"/>
                <w:highlight w:val="none"/>
              </w:rPr>
            </w:pPr>
            <w:r>
              <w:rPr>
                <w:rFonts w:hint="eastAsia" w:ascii="楷体" w:hAnsi="楷体" w:eastAsia="仿宋" w:cs="Times New Roman"/>
                <w:b w:val="0"/>
                <w:color w:val="auto"/>
                <w:sz w:val="24"/>
                <w:szCs w:val="24"/>
                <w:highlight w:val="none"/>
              </w:rPr>
              <w:t>3、投标人不得以货物的实际供货数量有变化为理由要求对各种货物的单价进行变更或拒签合同。</w:t>
            </w:r>
          </w:p>
        </w:tc>
      </w:tr>
      <w:tr w14:paraId="2F30EE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1" w:hRule="atLeast"/>
        </w:trPr>
        <w:tc>
          <w:tcPr>
            <w:tcW w:w="857" w:type="dxa"/>
            <w:noWrap w:val="0"/>
            <w:vAlign w:val="center"/>
          </w:tcPr>
          <w:p w14:paraId="2B8AFE22">
            <w:pPr>
              <w:keepNext w:val="0"/>
              <w:keepLines w:val="0"/>
              <w:widowControl/>
              <w:suppressLineNumbers w:val="0"/>
              <w:adjustRightInd w:val="0"/>
              <w:snapToGrid w:val="0"/>
              <w:spacing w:before="0" w:beforeAutospacing="0" w:after="0" w:afterAutospacing="0" w:line="288" w:lineRule="auto"/>
              <w:ind w:left="0" w:right="0"/>
              <w:jc w:val="center"/>
              <w:rPr>
                <w:rFonts w:hint="default" w:ascii="宋体" w:hAnsi="宋体" w:cs="Calibri"/>
                <w:color w:val="auto"/>
                <w:sz w:val="24"/>
                <w:highlight w:val="none"/>
              </w:rPr>
            </w:pPr>
            <w:r>
              <w:rPr>
                <w:rFonts w:hint="eastAsia" w:ascii="宋体" w:hAnsi="宋体" w:eastAsia="仿宋" w:cs="Calibri"/>
                <w:color w:val="auto"/>
                <w:sz w:val="24"/>
                <w:highlight w:val="none"/>
              </w:rPr>
              <w:t>3.3.1</w:t>
            </w:r>
          </w:p>
        </w:tc>
        <w:tc>
          <w:tcPr>
            <w:tcW w:w="1581" w:type="dxa"/>
            <w:noWrap w:val="0"/>
            <w:vAlign w:val="center"/>
          </w:tcPr>
          <w:p w14:paraId="3618A9E8">
            <w:pPr>
              <w:keepNext w:val="0"/>
              <w:keepLines w:val="0"/>
              <w:widowControl/>
              <w:suppressLineNumbers w:val="0"/>
              <w:adjustRightInd w:val="0"/>
              <w:snapToGrid w:val="0"/>
              <w:spacing w:before="0" w:beforeAutospacing="0" w:after="0" w:afterAutospacing="0" w:line="288" w:lineRule="auto"/>
              <w:ind w:left="0" w:right="0"/>
              <w:jc w:val="center"/>
              <w:rPr>
                <w:rFonts w:hint="default" w:ascii="宋体" w:hAnsi="宋体" w:cs="Calibri"/>
                <w:color w:val="auto"/>
                <w:sz w:val="24"/>
                <w:highlight w:val="none"/>
              </w:rPr>
            </w:pPr>
            <w:r>
              <w:rPr>
                <w:rFonts w:hint="eastAsia" w:ascii="宋体" w:hAnsi="宋体" w:eastAsia="仿宋" w:cs="Calibri"/>
                <w:color w:val="auto"/>
                <w:sz w:val="24"/>
                <w:highlight w:val="none"/>
              </w:rPr>
              <w:t>投标有效期</w:t>
            </w:r>
          </w:p>
        </w:tc>
        <w:tc>
          <w:tcPr>
            <w:tcW w:w="7229" w:type="dxa"/>
            <w:noWrap w:val="0"/>
            <w:vAlign w:val="center"/>
          </w:tcPr>
          <w:p w14:paraId="59415234">
            <w:pPr>
              <w:keepNext w:val="0"/>
              <w:keepLines w:val="0"/>
              <w:widowControl/>
              <w:suppressLineNumbers w:val="0"/>
              <w:adjustRightInd w:val="0"/>
              <w:snapToGrid w:val="0"/>
              <w:spacing w:before="0" w:beforeAutospacing="0" w:after="0" w:afterAutospacing="0" w:line="288" w:lineRule="auto"/>
              <w:ind w:left="0" w:right="0"/>
              <w:rPr>
                <w:rFonts w:hint="default" w:ascii="宋体" w:hAnsi="宋体" w:cs="Calibri"/>
                <w:color w:val="auto"/>
                <w:sz w:val="24"/>
                <w:highlight w:val="none"/>
              </w:rPr>
            </w:pPr>
            <w:r>
              <w:rPr>
                <w:rFonts w:hint="eastAsia" w:ascii="宋体" w:hAnsi="宋体" w:eastAsia="仿宋" w:cs="Calibri"/>
                <w:color w:val="auto"/>
                <w:sz w:val="24"/>
                <w:highlight w:val="none"/>
              </w:rPr>
              <w:t>90日历天</w:t>
            </w:r>
            <w:r>
              <w:rPr>
                <w:rFonts w:hint="eastAsia" w:ascii="宋体" w:hAnsi="宋体" w:eastAsia="仿宋" w:cs="Times New Roman"/>
                <w:color w:val="auto"/>
                <w:sz w:val="24"/>
                <w:highlight w:val="none"/>
              </w:rPr>
              <w:t>（从投标截止之日算起）</w:t>
            </w:r>
          </w:p>
        </w:tc>
      </w:tr>
      <w:tr w14:paraId="752177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78" w:hRule="atLeast"/>
        </w:trPr>
        <w:tc>
          <w:tcPr>
            <w:tcW w:w="857" w:type="dxa"/>
            <w:noWrap w:val="0"/>
            <w:vAlign w:val="center"/>
          </w:tcPr>
          <w:p w14:paraId="5879CF98">
            <w:pPr>
              <w:keepNext w:val="0"/>
              <w:keepLines w:val="0"/>
              <w:widowControl/>
              <w:suppressLineNumbers w:val="0"/>
              <w:adjustRightInd w:val="0"/>
              <w:snapToGrid w:val="0"/>
              <w:spacing w:before="0" w:beforeAutospacing="0" w:after="0" w:afterAutospacing="0" w:line="288" w:lineRule="auto"/>
              <w:ind w:left="0" w:right="0"/>
              <w:jc w:val="center"/>
              <w:rPr>
                <w:rFonts w:hint="default" w:ascii="宋体" w:hAnsi="宋体" w:cs="Calibri"/>
                <w:color w:val="auto"/>
                <w:sz w:val="24"/>
                <w:highlight w:val="none"/>
              </w:rPr>
            </w:pPr>
            <w:r>
              <w:rPr>
                <w:rFonts w:hint="eastAsia" w:ascii="宋体" w:hAnsi="宋体" w:eastAsia="仿宋" w:cs="Calibri"/>
                <w:color w:val="auto"/>
                <w:sz w:val="24"/>
                <w:highlight w:val="none"/>
              </w:rPr>
              <w:t>3.4</w:t>
            </w:r>
          </w:p>
        </w:tc>
        <w:tc>
          <w:tcPr>
            <w:tcW w:w="1581" w:type="dxa"/>
            <w:noWrap w:val="0"/>
            <w:vAlign w:val="center"/>
          </w:tcPr>
          <w:p w14:paraId="69DB93E5">
            <w:pPr>
              <w:keepNext w:val="0"/>
              <w:keepLines w:val="0"/>
              <w:widowControl/>
              <w:suppressLineNumbers w:val="0"/>
              <w:adjustRightInd w:val="0"/>
              <w:snapToGrid w:val="0"/>
              <w:spacing w:before="0" w:beforeAutospacing="0" w:after="0" w:afterAutospacing="0" w:line="288" w:lineRule="auto"/>
              <w:ind w:left="0" w:right="0"/>
              <w:jc w:val="center"/>
              <w:rPr>
                <w:rFonts w:hint="default" w:ascii="宋体" w:hAnsi="宋体" w:cs="Calibri"/>
                <w:color w:val="auto"/>
                <w:sz w:val="24"/>
                <w:highlight w:val="none"/>
              </w:rPr>
            </w:pPr>
            <w:r>
              <w:rPr>
                <w:rFonts w:hint="eastAsia" w:ascii="宋体" w:hAnsi="宋体" w:eastAsia="仿宋" w:cs="Calibri"/>
                <w:color w:val="auto"/>
                <w:sz w:val="24"/>
                <w:highlight w:val="none"/>
              </w:rPr>
              <w:t>投标保证金</w:t>
            </w:r>
          </w:p>
        </w:tc>
        <w:tc>
          <w:tcPr>
            <w:tcW w:w="7229" w:type="dxa"/>
            <w:noWrap w:val="0"/>
            <w:vAlign w:val="center"/>
          </w:tcPr>
          <w:p w14:paraId="13D47B97">
            <w:pPr>
              <w:keepNext w:val="0"/>
              <w:keepLines w:val="0"/>
              <w:widowControl/>
              <w:suppressLineNumbers w:val="0"/>
              <w:adjustRightInd w:val="0"/>
              <w:snapToGrid w:val="0"/>
              <w:spacing w:before="0" w:beforeAutospacing="0" w:after="0" w:afterAutospacing="0" w:line="288" w:lineRule="auto"/>
              <w:ind w:left="0" w:right="0"/>
              <w:rPr>
                <w:rFonts w:hint="default" w:ascii="宋体" w:hAnsi="宋体" w:eastAsia="楷体_GB2312" w:cs="Times New Roman"/>
                <w:i/>
                <w:color w:val="auto"/>
                <w:sz w:val="24"/>
                <w:highlight w:val="none"/>
              </w:rPr>
            </w:pPr>
            <w:r>
              <w:rPr>
                <w:rFonts w:hint="eastAsia" w:ascii="Calibri" w:hAnsi="Calibri" w:eastAsia="仿宋" w:cs="Times New Roman"/>
                <w:color w:val="auto"/>
                <w:sz w:val="24"/>
                <w:highlight w:val="none"/>
              </w:rPr>
              <w:t>不要求提交。</w:t>
            </w:r>
          </w:p>
        </w:tc>
      </w:tr>
      <w:tr w14:paraId="500E7F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54C93B05">
            <w:pPr>
              <w:keepNext w:val="0"/>
              <w:keepLines w:val="0"/>
              <w:widowControl/>
              <w:suppressLineNumbers w:val="0"/>
              <w:adjustRightInd w:val="0"/>
              <w:snapToGrid w:val="0"/>
              <w:spacing w:before="0" w:beforeAutospacing="0" w:after="0" w:afterAutospacing="0" w:line="288" w:lineRule="auto"/>
              <w:ind w:left="0" w:right="0"/>
              <w:jc w:val="center"/>
              <w:rPr>
                <w:rFonts w:hint="default" w:ascii="宋体" w:hAnsi="宋体" w:cs="Calibri"/>
                <w:color w:val="auto"/>
                <w:sz w:val="24"/>
                <w:highlight w:val="none"/>
              </w:rPr>
            </w:pPr>
            <w:r>
              <w:rPr>
                <w:rFonts w:hint="eastAsia" w:ascii="宋体" w:hAnsi="宋体" w:eastAsia="仿宋" w:cs="Calibri"/>
                <w:color w:val="auto"/>
                <w:sz w:val="24"/>
                <w:highlight w:val="none"/>
              </w:rPr>
              <w:t>3.6.1</w:t>
            </w:r>
          </w:p>
        </w:tc>
        <w:tc>
          <w:tcPr>
            <w:tcW w:w="1581" w:type="dxa"/>
            <w:noWrap w:val="0"/>
            <w:vAlign w:val="center"/>
          </w:tcPr>
          <w:p w14:paraId="30819DD2">
            <w:pPr>
              <w:keepNext w:val="0"/>
              <w:keepLines w:val="0"/>
              <w:widowControl/>
              <w:suppressLineNumbers w:val="0"/>
              <w:adjustRightInd w:val="0"/>
              <w:snapToGrid w:val="0"/>
              <w:spacing w:before="0" w:beforeAutospacing="0" w:after="0" w:afterAutospacing="0" w:line="288" w:lineRule="auto"/>
              <w:ind w:left="0" w:right="0"/>
              <w:jc w:val="center"/>
              <w:rPr>
                <w:rFonts w:hint="default" w:ascii="宋体" w:hAnsi="宋体" w:cs="Calibri"/>
                <w:color w:val="auto"/>
                <w:sz w:val="24"/>
                <w:highlight w:val="none"/>
              </w:rPr>
            </w:pPr>
            <w:r>
              <w:rPr>
                <w:rFonts w:hint="eastAsia" w:ascii="宋体" w:hAnsi="宋体" w:eastAsia="仿宋" w:cs="Calibri"/>
                <w:color w:val="auto"/>
                <w:sz w:val="24"/>
                <w:highlight w:val="none"/>
              </w:rPr>
              <w:t>是否允许递交备选投标方案</w:t>
            </w:r>
          </w:p>
        </w:tc>
        <w:tc>
          <w:tcPr>
            <w:tcW w:w="7229" w:type="dxa"/>
            <w:noWrap w:val="0"/>
            <w:vAlign w:val="center"/>
          </w:tcPr>
          <w:p w14:paraId="3FDDA341">
            <w:pPr>
              <w:keepNext w:val="0"/>
              <w:keepLines w:val="0"/>
              <w:widowControl/>
              <w:suppressLineNumbers w:val="0"/>
              <w:topLinePunct/>
              <w:adjustRightInd w:val="0"/>
              <w:snapToGrid w:val="0"/>
              <w:spacing w:before="0" w:beforeAutospacing="0" w:after="0" w:afterAutospacing="0" w:line="288" w:lineRule="auto"/>
              <w:ind w:left="0" w:right="0"/>
              <w:rPr>
                <w:rFonts w:hint="default" w:ascii="宋体" w:hAnsi="宋体" w:eastAsia="仿宋" w:cs="Calibri"/>
                <w:color w:val="auto"/>
                <w:sz w:val="24"/>
                <w:highlight w:val="none"/>
              </w:rPr>
            </w:pPr>
            <w:r>
              <w:rPr>
                <w:rFonts w:hint="eastAsia" w:ascii="宋体" w:hAnsi="宋体" w:eastAsia="仿宋" w:cs="Calibri"/>
                <w:color w:val="auto"/>
                <w:sz w:val="24"/>
                <w:highlight w:val="none"/>
              </w:rPr>
              <w:t>☑不允许</w:t>
            </w:r>
          </w:p>
          <w:p w14:paraId="135B4A5B">
            <w:pPr>
              <w:keepNext w:val="0"/>
              <w:keepLines w:val="0"/>
              <w:widowControl/>
              <w:suppressLineNumbers w:val="0"/>
              <w:adjustRightInd w:val="0"/>
              <w:snapToGrid w:val="0"/>
              <w:spacing w:before="0" w:beforeAutospacing="0" w:after="0" w:afterAutospacing="0" w:line="288" w:lineRule="auto"/>
              <w:ind w:left="0" w:right="0"/>
              <w:rPr>
                <w:rFonts w:hint="default" w:ascii="宋体" w:hAnsi="宋体" w:cs="Calibri"/>
                <w:color w:val="auto"/>
                <w:sz w:val="24"/>
                <w:highlight w:val="none"/>
                <w:u w:val="single"/>
              </w:rPr>
            </w:pPr>
            <w:r>
              <w:rPr>
                <w:rFonts w:hint="eastAsia" w:ascii="宋体" w:hAnsi="宋体" w:eastAsia="仿宋" w:cs="Calibri"/>
                <w:color w:val="auto"/>
                <w:sz w:val="24"/>
                <w:highlight w:val="none"/>
              </w:rPr>
              <w:t>□允许，并满足以下条件：</w:t>
            </w:r>
          </w:p>
        </w:tc>
      </w:tr>
      <w:tr w14:paraId="065D30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415F1241">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color w:val="auto"/>
                <w:sz w:val="24"/>
                <w:highlight w:val="none"/>
              </w:rPr>
            </w:pPr>
            <w:r>
              <w:rPr>
                <w:rFonts w:hint="eastAsia" w:ascii="宋体" w:hAnsi="宋体" w:eastAsia="仿宋" w:cs="Calibri"/>
                <w:color w:val="auto"/>
                <w:sz w:val="24"/>
                <w:highlight w:val="none"/>
              </w:rPr>
              <w:t>3.7.4（1）</w:t>
            </w:r>
          </w:p>
        </w:tc>
        <w:tc>
          <w:tcPr>
            <w:tcW w:w="1581" w:type="dxa"/>
            <w:noWrap w:val="0"/>
            <w:vAlign w:val="center"/>
          </w:tcPr>
          <w:p w14:paraId="3376CBA2">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eastAsia="仿宋" w:cs="Calibri"/>
                <w:color w:val="auto"/>
                <w:sz w:val="24"/>
                <w:highlight w:val="none"/>
              </w:rPr>
            </w:pPr>
            <w:r>
              <w:rPr>
                <w:rFonts w:hint="eastAsia" w:ascii="宋体" w:hAnsi="宋体" w:eastAsia="仿宋" w:cs="Calibri"/>
                <w:color w:val="auto"/>
                <w:sz w:val="24"/>
                <w:highlight w:val="none"/>
              </w:rPr>
              <w:t>投标文件制作</w:t>
            </w:r>
          </w:p>
        </w:tc>
        <w:tc>
          <w:tcPr>
            <w:tcW w:w="7229" w:type="dxa"/>
            <w:noWrap w:val="0"/>
            <w:vAlign w:val="center"/>
          </w:tcPr>
          <w:p w14:paraId="30B9B93B">
            <w:pPr>
              <w:keepNext w:val="0"/>
              <w:keepLines w:val="0"/>
              <w:widowControl/>
              <w:suppressLineNumbers w:val="0"/>
              <w:topLinePunct/>
              <w:adjustRightInd w:val="0"/>
              <w:snapToGrid w:val="0"/>
              <w:spacing w:before="0" w:beforeAutospacing="0" w:after="0" w:afterAutospacing="0" w:line="288" w:lineRule="auto"/>
              <w:ind w:left="0" w:right="0"/>
              <w:rPr>
                <w:rFonts w:hint="eastAsia" w:ascii="宋体" w:hAnsi="宋体" w:cs="Calibri"/>
                <w:color w:val="auto"/>
                <w:sz w:val="24"/>
                <w:highlight w:val="none"/>
              </w:rPr>
            </w:pPr>
            <w:r>
              <w:rPr>
                <w:rFonts w:hint="eastAsia" w:ascii="楷体" w:hAnsi="楷体" w:eastAsia="仿宋" w:cs="Calibri"/>
                <w:color w:val="auto"/>
                <w:sz w:val="24"/>
                <w:highlight w:val="none"/>
              </w:rPr>
              <w:t>见本章附件一《全流程电子招标采购具体要求》</w:t>
            </w:r>
          </w:p>
        </w:tc>
      </w:tr>
      <w:tr w14:paraId="4E7448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2842822D">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color w:val="auto"/>
                <w:sz w:val="24"/>
                <w:highlight w:val="none"/>
              </w:rPr>
            </w:pPr>
            <w:r>
              <w:rPr>
                <w:rFonts w:hint="eastAsia" w:ascii="宋体" w:hAnsi="宋体" w:eastAsia="仿宋" w:cs="Calibri"/>
                <w:color w:val="auto"/>
                <w:sz w:val="24"/>
                <w:highlight w:val="none"/>
              </w:rPr>
              <w:t>3.7.4（3）</w:t>
            </w:r>
          </w:p>
        </w:tc>
        <w:tc>
          <w:tcPr>
            <w:tcW w:w="1581" w:type="dxa"/>
            <w:noWrap w:val="0"/>
            <w:vAlign w:val="center"/>
          </w:tcPr>
          <w:p w14:paraId="0FBEAC8B">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color w:val="auto"/>
                <w:sz w:val="24"/>
                <w:highlight w:val="none"/>
              </w:rPr>
            </w:pPr>
            <w:r>
              <w:rPr>
                <w:rFonts w:hint="eastAsia" w:ascii="宋体" w:hAnsi="宋体" w:eastAsia="仿宋" w:cs="Calibri"/>
                <w:color w:val="auto"/>
                <w:sz w:val="24"/>
                <w:highlight w:val="none"/>
              </w:rPr>
              <w:t>投标文件所附证书证件要求</w:t>
            </w:r>
          </w:p>
        </w:tc>
        <w:tc>
          <w:tcPr>
            <w:tcW w:w="7229" w:type="dxa"/>
            <w:noWrap w:val="0"/>
            <w:vAlign w:val="center"/>
          </w:tcPr>
          <w:p w14:paraId="746834BD">
            <w:pPr>
              <w:keepNext w:val="0"/>
              <w:keepLines w:val="0"/>
              <w:widowControl/>
              <w:suppressLineNumbers w:val="0"/>
              <w:topLinePunct/>
              <w:adjustRightInd w:val="0"/>
              <w:snapToGrid w:val="0"/>
              <w:spacing w:before="0" w:beforeAutospacing="0" w:after="0" w:afterAutospacing="0" w:line="288" w:lineRule="auto"/>
              <w:ind w:left="0" w:right="0"/>
              <w:rPr>
                <w:rFonts w:hint="default" w:ascii="楷体" w:hAnsi="楷体" w:eastAsia="仿宋" w:cs="Times New Roman"/>
                <w:bCs/>
                <w:color w:val="auto"/>
                <w:sz w:val="24"/>
                <w:highlight w:val="none"/>
              </w:rPr>
            </w:pPr>
            <w:r>
              <w:rPr>
                <w:rFonts w:hint="eastAsia" w:ascii="楷体" w:hAnsi="楷体" w:eastAsia="仿宋" w:cs="Calibri"/>
                <w:color w:val="auto"/>
                <w:sz w:val="24"/>
                <w:highlight w:val="none"/>
              </w:rPr>
              <w:t>电子投标文件所附证书证件均应为投标人证书证件的扫描件或电子证照。</w:t>
            </w:r>
          </w:p>
        </w:tc>
      </w:tr>
      <w:tr w14:paraId="286131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26E965AA">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color w:val="auto"/>
                <w:sz w:val="24"/>
                <w:highlight w:val="none"/>
              </w:rPr>
            </w:pPr>
            <w:r>
              <w:rPr>
                <w:rFonts w:hint="eastAsia" w:ascii="宋体" w:hAnsi="宋体" w:eastAsia="仿宋" w:cs="Calibri"/>
                <w:color w:val="auto"/>
                <w:sz w:val="24"/>
                <w:highlight w:val="none"/>
              </w:rPr>
              <w:t>3.7.4（5）</w:t>
            </w:r>
          </w:p>
        </w:tc>
        <w:tc>
          <w:tcPr>
            <w:tcW w:w="1581" w:type="dxa"/>
            <w:noWrap w:val="0"/>
            <w:vAlign w:val="center"/>
          </w:tcPr>
          <w:p w14:paraId="450B9D08">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color w:val="auto"/>
                <w:sz w:val="24"/>
                <w:highlight w:val="none"/>
              </w:rPr>
            </w:pPr>
            <w:r>
              <w:rPr>
                <w:rFonts w:hint="eastAsia" w:ascii="宋体" w:hAnsi="宋体" w:eastAsia="仿宋" w:cs="Calibri"/>
                <w:color w:val="auto"/>
                <w:sz w:val="24"/>
                <w:highlight w:val="none"/>
              </w:rPr>
              <w:t>投标文件份数及其他要求</w:t>
            </w:r>
          </w:p>
        </w:tc>
        <w:tc>
          <w:tcPr>
            <w:tcW w:w="7229" w:type="dxa"/>
            <w:noWrap w:val="0"/>
            <w:vAlign w:val="center"/>
          </w:tcPr>
          <w:p w14:paraId="2A47E1A9">
            <w:pPr>
              <w:keepNext w:val="0"/>
              <w:keepLines w:val="0"/>
              <w:widowControl/>
              <w:suppressLineNumbers w:val="0"/>
              <w:topLinePunct/>
              <w:adjustRightInd w:val="0"/>
              <w:snapToGrid w:val="0"/>
              <w:spacing w:before="0" w:beforeAutospacing="0" w:after="0" w:afterAutospacing="0" w:line="288" w:lineRule="auto"/>
              <w:ind w:left="0" w:right="0"/>
              <w:rPr>
                <w:rFonts w:hint="eastAsia" w:ascii="楷体" w:hAnsi="楷体" w:eastAsia="楷体" w:cs="Calibri"/>
                <w:color w:val="auto"/>
                <w:sz w:val="24"/>
                <w:highlight w:val="none"/>
              </w:rPr>
            </w:pPr>
            <w:r>
              <w:rPr>
                <w:rFonts w:hint="eastAsia" w:ascii="宋体" w:hAnsi="宋体" w:eastAsia="仿宋" w:cs="Calibri"/>
                <w:color w:val="auto"/>
                <w:sz w:val="24"/>
                <w:highlight w:val="none"/>
              </w:rPr>
              <w:t>投标人应提交</w:t>
            </w:r>
            <w:r>
              <w:rPr>
                <w:rFonts w:hint="eastAsia" w:ascii="楷体" w:hAnsi="楷体" w:eastAsia="仿宋" w:cs="Calibri"/>
                <w:color w:val="auto"/>
                <w:sz w:val="24"/>
                <w:highlight w:val="none"/>
              </w:rPr>
              <w:t>加密的电子投标文件：使用优质采云采购平台电子标书制作工具制作生成的加密投标文件，应在投标截止时间前通过</w:t>
            </w:r>
            <w:r>
              <w:rPr>
                <w:rFonts w:hint="eastAsia" w:ascii="楷体" w:hAnsi="楷体" w:eastAsia="仿宋" w:cs="Microsoft JhengHei"/>
                <w:color w:val="auto"/>
                <w:kern w:val="0"/>
                <w:sz w:val="24"/>
                <w:highlight w:val="none"/>
              </w:rPr>
              <w:t>“优质采招标采购平台(www.yzczb.com)”或“优质采云采购平台(www.youzhicai.com)”</w:t>
            </w:r>
            <w:r>
              <w:rPr>
                <w:rFonts w:hint="eastAsia" w:ascii="楷体" w:hAnsi="楷体" w:eastAsia="仿宋" w:cs="Calibri"/>
                <w:color w:val="auto"/>
                <w:sz w:val="24"/>
                <w:highlight w:val="none"/>
              </w:rPr>
              <w:t>上传；</w:t>
            </w:r>
          </w:p>
        </w:tc>
      </w:tr>
      <w:tr w14:paraId="13ECBE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6" w:hRule="atLeast"/>
        </w:trPr>
        <w:tc>
          <w:tcPr>
            <w:tcW w:w="857" w:type="dxa"/>
            <w:noWrap w:val="0"/>
            <w:vAlign w:val="center"/>
          </w:tcPr>
          <w:p w14:paraId="7EB20362">
            <w:pPr>
              <w:keepNext w:val="0"/>
              <w:keepLines w:val="0"/>
              <w:widowControl/>
              <w:suppressLineNumbers w:val="0"/>
              <w:adjustRightInd w:val="0"/>
              <w:snapToGrid w:val="0"/>
              <w:spacing w:before="0" w:beforeAutospacing="0" w:after="0" w:afterAutospacing="0" w:line="288" w:lineRule="auto"/>
              <w:ind w:left="0" w:right="0"/>
              <w:jc w:val="center"/>
              <w:rPr>
                <w:rFonts w:hint="default" w:ascii="宋体" w:hAnsi="宋体" w:cs="Calibri"/>
                <w:color w:val="auto"/>
                <w:sz w:val="24"/>
                <w:highlight w:val="none"/>
              </w:rPr>
            </w:pPr>
            <w:r>
              <w:rPr>
                <w:rFonts w:hint="eastAsia" w:ascii="宋体" w:hAnsi="宋体" w:eastAsia="仿宋" w:cs="Calibri"/>
                <w:color w:val="auto"/>
                <w:sz w:val="24"/>
                <w:highlight w:val="none"/>
              </w:rPr>
              <w:t>4.1.1</w:t>
            </w:r>
          </w:p>
        </w:tc>
        <w:tc>
          <w:tcPr>
            <w:tcW w:w="1581" w:type="dxa"/>
            <w:noWrap w:val="0"/>
            <w:vAlign w:val="center"/>
          </w:tcPr>
          <w:p w14:paraId="78240848">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color w:val="auto"/>
                <w:sz w:val="24"/>
                <w:highlight w:val="none"/>
              </w:rPr>
            </w:pPr>
            <w:r>
              <w:rPr>
                <w:rFonts w:hint="eastAsia" w:ascii="宋体" w:hAnsi="宋体" w:eastAsia="仿宋" w:cs="Calibri"/>
                <w:color w:val="auto"/>
                <w:sz w:val="24"/>
                <w:highlight w:val="none"/>
              </w:rPr>
              <w:t>投标文件加密要求</w:t>
            </w:r>
          </w:p>
        </w:tc>
        <w:tc>
          <w:tcPr>
            <w:tcW w:w="7229" w:type="dxa"/>
            <w:noWrap w:val="0"/>
            <w:vAlign w:val="center"/>
          </w:tcPr>
          <w:p w14:paraId="4B23B4AF">
            <w:pPr>
              <w:keepNext w:val="0"/>
              <w:keepLines w:val="0"/>
              <w:widowControl/>
              <w:suppressLineNumbers w:val="0"/>
              <w:wordWrap w:val="0"/>
              <w:adjustRightInd w:val="0"/>
              <w:snapToGrid w:val="0"/>
              <w:spacing w:before="0" w:beforeAutospacing="0" w:after="0" w:afterAutospacing="0" w:line="288" w:lineRule="auto"/>
              <w:ind w:left="0" w:right="0"/>
              <w:rPr>
                <w:rFonts w:hint="eastAsia" w:ascii="楷体" w:hAnsi="楷体" w:eastAsia="楷体" w:cs="Calibri"/>
                <w:color w:val="auto"/>
                <w:sz w:val="24"/>
                <w:highlight w:val="none"/>
              </w:rPr>
            </w:pPr>
            <w:r>
              <w:rPr>
                <w:rFonts w:hint="eastAsia" w:ascii="楷体" w:hAnsi="楷体" w:eastAsia="仿宋" w:cs="Calibri"/>
                <w:color w:val="auto"/>
                <w:sz w:val="24"/>
                <w:highlight w:val="none"/>
              </w:rPr>
              <w:t>见本章附件一《全流程电子招标采购具体要求》</w:t>
            </w:r>
          </w:p>
        </w:tc>
      </w:tr>
      <w:tr w14:paraId="12F7CE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76C05B13">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color w:val="auto"/>
                <w:sz w:val="24"/>
                <w:highlight w:val="none"/>
              </w:rPr>
            </w:pPr>
            <w:r>
              <w:rPr>
                <w:rFonts w:hint="eastAsia" w:ascii="宋体" w:hAnsi="宋体" w:eastAsia="仿宋" w:cs="Calibri"/>
                <w:color w:val="auto"/>
                <w:sz w:val="24"/>
                <w:highlight w:val="none"/>
              </w:rPr>
              <w:t>4.2.2</w:t>
            </w:r>
          </w:p>
        </w:tc>
        <w:tc>
          <w:tcPr>
            <w:tcW w:w="1581" w:type="dxa"/>
            <w:noWrap w:val="0"/>
            <w:vAlign w:val="center"/>
          </w:tcPr>
          <w:p w14:paraId="73FD29CF">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color w:val="auto"/>
                <w:sz w:val="24"/>
                <w:highlight w:val="none"/>
              </w:rPr>
            </w:pPr>
            <w:r>
              <w:rPr>
                <w:rFonts w:hint="eastAsia" w:ascii="宋体" w:hAnsi="宋体" w:eastAsia="仿宋" w:cs="Calibri"/>
                <w:color w:val="auto"/>
                <w:sz w:val="24"/>
                <w:highlight w:val="none"/>
              </w:rPr>
              <w:t>递交投标文件的电子交易平台</w:t>
            </w:r>
          </w:p>
        </w:tc>
        <w:tc>
          <w:tcPr>
            <w:tcW w:w="7229" w:type="dxa"/>
            <w:noWrap w:val="0"/>
            <w:vAlign w:val="center"/>
          </w:tcPr>
          <w:p w14:paraId="02676303">
            <w:pPr>
              <w:keepNext w:val="0"/>
              <w:keepLines w:val="0"/>
              <w:widowControl/>
              <w:suppressLineNumbers w:val="0"/>
              <w:adjustRightInd w:val="0"/>
              <w:snapToGrid w:val="0"/>
              <w:spacing w:before="0" w:beforeAutospacing="0" w:after="0" w:afterAutospacing="0" w:line="288" w:lineRule="auto"/>
              <w:ind w:left="0" w:right="0"/>
              <w:rPr>
                <w:rFonts w:hint="eastAsia" w:ascii="楷体" w:hAnsi="楷体" w:eastAsia="仿宋" w:cs="Microsoft JhengHei"/>
                <w:color w:val="auto"/>
                <w:kern w:val="0"/>
                <w:sz w:val="24"/>
                <w:highlight w:val="none"/>
              </w:rPr>
            </w:pPr>
            <w:r>
              <w:rPr>
                <w:rFonts w:hint="eastAsia" w:ascii="楷体" w:hAnsi="楷体" w:eastAsia="仿宋" w:cs="Microsoft JhengHei"/>
                <w:color w:val="auto"/>
                <w:kern w:val="0"/>
                <w:sz w:val="24"/>
                <w:highlight w:val="none"/>
              </w:rPr>
              <w:t>“优质采招标采购平台(www.yzczb.com)”或“优质采云采购平台(www.youzhicai.com)”</w:t>
            </w:r>
          </w:p>
          <w:p w14:paraId="0F8C29E5">
            <w:pPr>
              <w:keepNext w:val="0"/>
              <w:keepLines w:val="0"/>
              <w:widowControl/>
              <w:suppressLineNumbers w:val="0"/>
              <w:adjustRightInd w:val="0"/>
              <w:snapToGrid w:val="0"/>
              <w:spacing w:before="0" w:beforeAutospacing="0" w:after="0" w:afterAutospacing="0" w:line="288" w:lineRule="auto"/>
              <w:ind w:left="0" w:right="0"/>
              <w:rPr>
                <w:rFonts w:hint="eastAsia" w:ascii="宋体" w:hAnsi="宋体" w:cs="Calibri"/>
                <w:iCs/>
                <w:color w:val="auto"/>
                <w:sz w:val="24"/>
                <w:highlight w:val="none"/>
              </w:rPr>
            </w:pPr>
            <w:r>
              <w:rPr>
                <w:rFonts w:hint="eastAsia" w:ascii="楷体" w:hAnsi="楷体" w:eastAsia="仿宋" w:cs="Times New Roman"/>
                <w:color w:val="auto"/>
                <w:sz w:val="24"/>
                <w:highlight w:val="none"/>
              </w:rPr>
              <w:t>如未在招标文件规定的投标时间截止前网上上传加密的电子投标文件，投标无效。</w:t>
            </w:r>
          </w:p>
        </w:tc>
      </w:tr>
      <w:tr w14:paraId="48AB6D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5D9570D7">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color w:val="auto"/>
                <w:sz w:val="24"/>
                <w:highlight w:val="none"/>
              </w:rPr>
            </w:pPr>
            <w:r>
              <w:rPr>
                <w:rFonts w:hint="eastAsia" w:ascii="宋体" w:hAnsi="宋体" w:eastAsia="仿宋" w:cs="Calibri"/>
                <w:color w:val="auto"/>
                <w:sz w:val="24"/>
                <w:highlight w:val="none"/>
              </w:rPr>
              <w:t>4.2.3</w:t>
            </w:r>
          </w:p>
        </w:tc>
        <w:tc>
          <w:tcPr>
            <w:tcW w:w="1581" w:type="dxa"/>
            <w:noWrap w:val="0"/>
            <w:vAlign w:val="center"/>
          </w:tcPr>
          <w:p w14:paraId="7FA1FDB3">
            <w:pPr>
              <w:keepNext w:val="0"/>
              <w:keepLines w:val="0"/>
              <w:widowControl/>
              <w:suppressLineNumbers w:val="0"/>
              <w:adjustRightInd w:val="0"/>
              <w:snapToGrid w:val="0"/>
              <w:spacing w:before="0" w:beforeAutospacing="0" w:after="0" w:afterAutospacing="0" w:line="288" w:lineRule="auto"/>
              <w:ind w:left="0" w:right="0"/>
              <w:jc w:val="center"/>
              <w:rPr>
                <w:rFonts w:hint="default" w:ascii="宋体" w:hAnsi="宋体" w:cs="Calibri"/>
                <w:color w:val="auto"/>
                <w:sz w:val="24"/>
                <w:highlight w:val="none"/>
              </w:rPr>
            </w:pPr>
            <w:r>
              <w:rPr>
                <w:rFonts w:hint="eastAsia" w:ascii="宋体" w:hAnsi="宋体" w:eastAsia="仿宋" w:cs="Calibri"/>
                <w:color w:val="auto"/>
                <w:sz w:val="24"/>
                <w:highlight w:val="none"/>
              </w:rPr>
              <w:t>是否退还投标文件</w:t>
            </w:r>
          </w:p>
        </w:tc>
        <w:tc>
          <w:tcPr>
            <w:tcW w:w="7229" w:type="dxa"/>
            <w:noWrap w:val="0"/>
            <w:vAlign w:val="center"/>
          </w:tcPr>
          <w:p w14:paraId="44FC3AE0">
            <w:pPr>
              <w:keepNext w:val="0"/>
              <w:keepLines w:val="0"/>
              <w:widowControl/>
              <w:suppressLineNumbers w:val="0"/>
              <w:adjustRightInd w:val="0"/>
              <w:snapToGrid w:val="0"/>
              <w:spacing w:before="0" w:beforeAutospacing="0" w:after="0" w:afterAutospacing="0" w:line="288" w:lineRule="auto"/>
              <w:ind w:left="0" w:right="0"/>
              <w:rPr>
                <w:rFonts w:hint="default" w:ascii="宋体" w:hAnsi="宋体" w:eastAsia="仿宋" w:cs="Calibri"/>
                <w:color w:val="auto"/>
                <w:sz w:val="24"/>
                <w:highlight w:val="none"/>
              </w:rPr>
            </w:pPr>
            <w:r>
              <w:rPr>
                <w:rFonts w:hint="eastAsia" w:ascii="宋体" w:hAnsi="宋体" w:eastAsia="仿宋" w:cs="Times New Roman"/>
                <w:b/>
                <w:bCs/>
                <w:color w:val="auto"/>
                <w:sz w:val="24"/>
                <w:highlight w:val="none"/>
              </w:rPr>
              <w:sym w:font="Wingdings" w:char="F0FE"/>
            </w:r>
            <w:r>
              <w:rPr>
                <w:rFonts w:hint="eastAsia" w:ascii="宋体" w:hAnsi="宋体" w:eastAsia="仿宋" w:cs="Calibri"/>
                <w:color w:val="auto"/>
                <w:sz w:val="24"/>
                <w:highlight w:val="none"/>
              </w:rPr>
              <w:t>否，其中样品的退还规定见本章第3.1.4项</w:t>
            </w:r>
          </w:p>
          <w:p w14:paraId="11AB6F34">
            <w:pPr>
              <w:keepNext w:val="0"/>
              <w:keepLines w:val="0"/>
              <w:widowControl/>
              <w:suppressLineNumbers w:val="0"/>
              <w:adjustRightInd w:val="0"/>
              <w:snapToGrid w:val="0"/>
              <w:spacing w:before="0" w:beforeAutospacing="0" w:after="0" w:afterAutospacing="0" w:line="288" w:lineRule="auto"/>
              <w:ind w:left="0" w:right="0"/>
              <w:rPr>
                <w:rFonts w:hint="default" w:ascii="宋体" w:hAnsi="宋体" w:cs="Calibri"/>
                <w:color w:val="auto"/>
                <w:sz w:val="24"/>
                <w:highlight w:val="none"/>
              </w:rPr>
            </w:pPr>
            <w:r>
              <w:rPr>
                <w:rFonts w:hint="eastAsia" w:ascii="宋体" w:hAnsi="宋体" w:eastAsia="仿宋" w:cs="Calibri"/>
                <w:color w:val="auto"/>
                <w:sz w:val="24"/>
                <w:highlight w:val="none"/>
              </w:rPr>
              <w:t>□是，退还安排：</w:t>
            </w:r>
            <w:r>
              <w:rPr>
                <w:rFonts w:hint="default" w:ascii="宋体" w:hAnsi="宋体" w:eastAsia="仿宋" w:cs="Calibri"/>
                <w:color w:val="auto"/>
                <w:sz w:val="24"/>
                <w:highlight w:val="none"/>
                <w:u w:val="single"/>
              </w:rPr>
              <w:t xml:space="preserve"> </w:t>
            </w:r>
            <w:r>
              <w:rPr>
                <w:rFonts w:hint="eastAsia" w:ascii="宋体" w:hAnsi="宋体" w:eastAsia="仿宋" w:cs="Calibri"/>
                <w:color w:val="auto"/>
                <w:sz w:val="24"/>
                <w:highlight w:val="none"/>
                <w:u w:val="single"/>
              </w:rPr>
              <w:t>/</w:t>
            </w:r>
            <w:r>
              <w:rPr>
                <w:rFonts w:hint="default" w:ascii="宋体" w:hAnsi="宋体" w:eastAsia="仿宋" w:cs="Calibri"/>
                <w:color w:val="auto"/>
                <w:sz w:val="24"/>
                <w:highlight w:val="none"/>
                <w:u w:val="single"/>
              </w:rPr>
              <w:t xml:space="preserve"> </w:t>
            </w:r>
          </w:p>
        </w:tc>
      </w:tr>
      <w:tr w14:paraId="60F57A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08E72C2F">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color w:val="auto"/>
                <w:sz w:val="24"/>
                <w:highlight w:val="none"/>
              </w:rPr>
            </w:pPr>
            <w:r>
              <w:rPr>
                <w:rFonts w:hint="eastAsia" w:ascii="宋体" w:hAnsi="宋体" w:eastAsia="仿宋" w:cs="Calibri"/>
                <w:color w:val="auto"/>
                <w:sz w:val="24"/>
                <w:highlight w:val="none"/>
              </w:rPr>
              <w:t>5.2（3）</w:t>
            </w:r>
          </w:p>
        </w:tc>
        <w:tc>
          <w:tcPr>
            <w:tcW w:w="1581" w:type="dxa"/>
            <w:noWrap w:val="0"/>
            <w:vAlign w:val="center"/>
          </w:tcPr>
          <w:p w14:paraId="478B4346">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color w:val="auto"/>
                <w:sz w:val="24"/>
                <w:highlight w:val="none"/>
              </w:rPr>
            </w:pPr>
            <w:r>
              <w:rPr>
                <w:rFonts w:hint="eastAsia" w:ascii="宋体" w:hAnsi="宋体" w:eastAsia="仿宋" w:cs="Calibri"/>
                <w:color w:val="auto"/>
                <w:sz w:val="24"/>
                <w:highlight w:val="none"/>
              </w:rPr>
              <w:t>开标程序</w:t>
            </w:r>
          </w:p>
        </w:tc>
        <w:tc>
          <w:tcPr>
            <w:tcW w:w="7229" w:type="dxa"/>
            <w:noWrap w:val="0"/>
            <w:vAlign w:val="center"/>
          </w:tcPr>
          <w:p w14:paraId="7BF95D28">
            <w:pPr>
              <w:keepNext w:val="0"/>
              <w:keepLines w:val="0"/>
              <w:widowControl/>
              <w:suppressLineNumbers w:val="0"/>
              <w:adjustRightInd w:val="0"/>
              <w:snapToGrid w:val="0"/>
              <w:spacing w:before="0" w:beforeAutospacing="0" w:after="0" w:afterAutospacing="0" w:line="288" w:lineRule="auto"/>
              <w:ind w:left="0" w:right="0"/>
              <w:rPr>
                <w:rFonts w:hint="eastAsia" w:ascii="楷体" w:hAnsi="楷体" w:eastAsia="仿宋" w:cs="Calibri"/>
                <w:color w:val="auto"/>
                <w:sz w:val="24"/>
                <w:highlight w:val="none"/>
              </w:rPr>
            </w:pPr>
            <w:r>
              <w:rPr>
                <w:rFonts w:hint="eastAsia" w:ascii="宋体" w:hAnsi="宋体" w:eastAsia="仿宋" w:cs="Calibri"/>
                <w:color w:val="auto"/>
                <w:sz w:val="24"/>
                <w:highlight w:val="none"/>
              </w:rPr>
              <w:t>解密时间要求：</w:t>
            </w:r>
            <w:r>
              <w:rPr>
                <w:rFonts w:hint="eastAsia" w:ascii="楷体" w:hAnsi="楷体" w:eastAsia="仿宋" w:cs="Calibri"/>
                <w:color w:val="auto"/>
                <w:sz w:val="24"/>
                <w:highlight w:val="none"/>
              </w:rPr>
              <w:t>30分钟以内，以电子交易平台时间为准</w:t>
            </w:r>
          </w:p>
          <w:p w14:paraId="296BCB2D">
            <w:pPr>
              <w:keepNext w:val="0"/>
              <w:keepLines w:val="0"/>
              <w:widowControl/>
              <w:suppressLineNumbers w:val="0"/>
              <w:adjustRightInd w:val="0"/>
              <w:snapToGrid w:val="0"/>
              <w:spacing w:before="0" w:beforeAutospacing="0" w:after="0" w:afterAutospacing="0" w:line="288" w:lineRule="auto"/>
              <w:ind w:left="0" w:right="0"/>
              <w:rPr>
                <w:rFonts w:hint="eastAsia" w:ascii="宋体" w:hAnsi="宋体" w:cs="Calibri"/>
                <w:color w:val="auto"/>
                <w:sz w:val="24"/>
                <w:highlight w:val="none"/>
              </w:rPr>
            </w:pPr>
            <w:r>
              <w:rPr>
                <w:rFonts w:hint="eastAsia" w:ascii="宋体" w:hAnsi="宋体" w:eastAsia="仿宋" w:cs="Calibri"/>
                <w:color w:val="auto"/>
                <w:sz w:val="24"/>
                <w:highlight w:val="none"/>
              </w:rPr>
              <w:t>其他要求：</w:t>
            </w:r>
            <w:r>
              <w:rPr>
                <w:rFonts w:hint="eastAsia" w:ascii="楷体" w:hAnsi="楷体" w:eastAsia="仿宋" w:cs="Calibri"/>
                <w:color w:val="auto"/>
                <w:sz w:val="24"/>
                <w:highlight w:val="none"/>
              </w:rPr>
              <w:t>投标文件解密可以采用网上远程方式，无需到开标现场进行解密。解密的CA锁必须与投标文件加密的CA锁一致，否则造成的后果由投标人自行承担</w:t>
            </w:r>
          </w:p>
        </w:tc>
      </w:tr>
      <w:tr w14:paraId="68C9F1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6FB055AC">
            <w:pPr>
              <w:keepNext w:val="0"/>
              <w:keepLines w:val="0"/>
              <w:widowControl/>
              <w:suppressLineNumbers w:val="0"/>
              <w:adjustRightInd w:val="0"/>
              <w:snapToGrid w:val="0"/>
              <w:spacing w:before="0" w:beforeAutospacing="0" w:after="0" w:afterAutospacing="0" w:line="288" w:lineRule="auto"/>
              <w:ind w:left="0" w:right="0"/>
              <w:jc w:val="center"/>
              <w:rPr>
                <w:rFonts w:hint="default" w:ascii="宋体" w:hAnsi="宋体" w:cs="Calibri"/>
                <w:color w:val="auto"/>
                <w:sz w:val="24"/>
                <w:highlight w:val="none"/>
              </w:rPr>
            </w:pPr>
            <w:r>
              <w:rPr>
                <w:rFonts w:hint="eastAsia" w:ascii="宋体" w:hAnsi="宋体" w:eastAsia="仿宋" w:cs="Calibri"/>
                <w:color w:val="auto"/>
                <w:sz w:val="24"/>
                <w:highlight w:val="none"/>
              </w:rPr>
              <w:t>6.3.2</w:t>
            </w:r>
          </w:p>
        </w:tc>
        <w:tc>
          <w:tcPr>
            <w:tcW w:w="1581" w:type="dxa"/>
            <w:noWrap w:val="0"/>
            <w:vAlign w:val="center"/>
          </w:tcPr>
          <w:p w14:paraId="76860DD1">
            <w:pPr>
              <w:keepNext w:val="0"/>
              <w:keepLines w:val="0"/>
              <w:widowControl/>
              <w:suppressLineNumbers w:val="0"/>
              <w:adjustRightInd w:val="0"/>
              <w:snapToGrid w:val="0"/>
              <w:spacing w:before="0" w:beforeAutospacing="0" w:after="0" w:afterAutospacing="0" w:line="288" w:lineRule="auto"/>
              <w:ind w:left="0" w:right="0"/>
              <w:jc w:val="center"/>
              <w:rPr>
                <w:rFonts w:hint="default" w:ascii="宋体" w:hAnsi="宋体" w:cs="Calibri"/>
                <w:color w:val="auto"/>
                <w:sz w:val="24"/>
                <w:highlight w:val="none"/>
              </w:rPr>
            </w:pPr>
            <w:r>
              <w:rPr>
                <w:rFonts w:hint="eastAsia" w:ascii="宋体" w:hAnsi="宋体" w:eastAsia="仿宋" w:cs="Calibri"/>
                <w:color w:val="auto"/>
                <w:sz w:val="24"/>
                <w:highlight w:val="none"/>
              </w:rPr>
              <w:t>评标委员会推荐中标候选人的人数</w:t>
            </w:r>
          </w:p>
        </w:tc>
        <w:tc>
          <w:tcPr>
            <w:tcW w:w="7229" w:type="dxa"/>
            <w:noWrap w:val="0"/>
            <w:vAlign w:val="center"/>
          </w:tcPr>
          <w:p w14:paraId="32A78E42">
            <w:pPr>
              <w:keepNext w:val="0"/>
              <w:keepLines w:val="0"/>
              <w:widowControl/>
              <w:suppressLineNumbers w:val="0"/>
              <w:adjustRightInd w:val="0"/>
              <w:snapToGrid w:val="0"/>
              <w:spacing w:before="0" w:beforeAutospacing="0" w:after="0" w:afterAutospacing="0" w:line="288" w:lineRule="auto"/>
              <w:ind w:left="0" w:right="0"/>
              <w:rPr>
                <w:rFonts w:hint="default" w:ascii="宋体" w:hAnsi="宋体" w:cs="Calibri"/>
                <w:color w:val="auto"/>
                <w:sz w:val="24"/>
                <w:highlight w:val="none"/>
                <w:u w:val="single"/>
              </w:rPr>
            </w:pPr>
            <w:r>
              <w:rPr>
                <w:rFonts w:hint="eastAsia" w:ascii="宋体" w:hAnsi="宋体" w:eastAsia="仿宋" w:cs="Calibri"/>
                <w:color w:val="auto"/>
                <w:sz w:val="24"/>
                <w:highlight w:val="none"/>
              </w:rPr>
              <w:t>评标委员会推荐的中标候选人数量：1-3名</w:t>
            </w:r>
          </w:p>
        </w:tc>
      </w:tr>
      <w:tr w14:paraId="49F1A5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7FA7843D">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color w:val="auto"/>
                <w:sz w:val="24"/>
                <w:highlight w:val="none"/>
              </w:rPr>
            </w:pPr>
            <w:r>
              <w:rPr>
                <w:rFonts w:hint="eastAsia" w:ascii="宋体" w:hAnsi="宋体" w:eastAsia="仿宋" w:cs="Calibri"/>
                <w:color w:val="auto"/>
                <w:sz w:val="24"/>
                <w:highlight w:val="none"/>
              </w:rPr>
              <w:t>7.1.1</w:t>
            </w:r>
          </w:p>
        </w:tc>
        <w:tc>
          <w:tcPr>
            <w:tcW w:w="1581" w:type="dxa"/>
            <w:noWrap w:val="0"/>
            <w:vAlign w:val="center"/>
          </w:tcPr>
          <w:p w14:paraId="0BFCEC00">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color w:val="auto"/>
                <w:sz w:val="24"/>
                <w:highlight w:val="none"/>
              </w:rPr>
            </w:pPr>
            <w:r>
              <w:rPr>
                <w:rFonts w:hint="eastAsia" w:ascii="宋体" w:hAnsi="宋体" w:eastAsia="仿宋" w:cs="Calibri"/>
                <w:color w:val="auto"/>
                <w:sz w:val="24"/>
                <w:highlight w:val="none"/>
              </w:rPr>
              <w:t>是否授权评标委员会确定中标人</w:t>
            </w:r>
          </w:p>
        </w:tc>
        <w:tc>
          <w:tcPr>
            <w:tcW w:w="7229" w:type="dxa"/>
            <w:noWrap w:val="0"/>
            <w:vAlign w:val="center"/>
          </w:tcPr>
          <w:p w14:paraId="3C65F498">
            <w:pPr>
              <w:keepNext w:val="0"/>
              <w:keepLines w:val="0"/>
              <w:widowControl/>
              <w:suppressLineNumbers w:val="0"/>
              <w:adjustRightInd w:val="0"/>
              <w:snapToGrid w:val="0"/>
              <w:spacing w:before="0" w:beforeAutospacing="0" w:after="0" w:afterAutospacing="0" w:line="288" w:lineRule="auto"/>
              <w:ind w:left="0" w:right="0"/>
              <w:rPr>
                <w:rFonts w:hint="eastAsia" w:ascii="宋体" w:hAnsi="宋体" w:eastAsia="仿宋" w:cs="Calibri"/>
                <w:color w:val="auto"/>
                <w:sz w:val="24"/>
                <w:highlight w:val="none"/>
              </w:rPr>
            </w:pPr>
            <w:r>
              <w:rPr>
                <w:rFonts w:hint="eastAsia" w:ascii="宋体" w:hAnsi="宋体" w:eastAsia="仿宋" w:cs="Calibri"/>
                <w:color w:val="auto"/>
                <w:sz w:val="24"/>
                <w:highlight w:val="none"/>
              </w:rPr>
              <w:t>☑否</w:t>
            </w:r>
          </w:p>
          <w:p w14:paraId="6F5D0002">
            <w:pPr>
              <w:keepNext w:val="0"/>
              <w:keepLines w:val="0"/>
              <w:widowControl/>
              <w:suppressLineNumbers w:val="0"/>
              <w:adjustRightInd w:val="0"/>
              <w:snapToGrid w:val="0"/>
              <w:spacing w:before="0" w:beforeAutospacing="0" w:after="0" w:afterAutospacing="0" w:line="288" w:lineRule="auto"/>
              <w:ind w:left="0" w:right="0"/>
              <w:rPr>
                <w:rFonts w:hint="default" w:ascii="宋体" w:hAnsi="宋体" w:eastAsia="仿宋" w:cs="Calibri"/>
                <w:color w:val="auto"/>
                <w:sz w:val="24"/>
                <w:highlight w:val="none"/>
              </w:rPr>
            </w:pPr>
            <w:r>
              <w:rPr>
                <w:rFonts w:hint="eastAsia" w:ascii="宋体" w:hAnsi="宋体" w:eastAsia="仿宋" w:cs="Calibri"/>
                <w:color w:val="auto"/>
                <w:sz w:val="24"/>
                <w:highlight w:val="none"/>
              </w:rPr>
              <w:t>□是</w:t>
            </w:r>
          </w:p>
        </w:tc>
      </w:tr>
      <w:tr w14:paraId="6D1265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49F0E033">
            <w:pPr>
              <w:keepNext w:val="0"/>
              <w:keepLines w:val="0"/>
              <w:widowControl/>
              <w:suppressLineNumbers w:val="0"/>
              <w:adjustRightInd w:val="0"/>
              <w:snapToGrid w:val="0"/>
              <w:spacing w:before="0" w:beforeAutospacing="0" w:after="0" w:afterAutospacing="0" w:line="288" w:lineRule="auto"/>
              <w:ind w:left="0" w:right="0"/>
              <w:jc w:val="center"/>
              <w:rPr>
                <w:rFonts w:hint="default" w:ascii="宋体" w:hAnsi="宋体" w:cs="Calibri"/>
                <w:color w:val="auto"/>
                <w:sz w:val="24"/>
                <w:highlight w:val="none"/>
              </w:rPr>
            </w:pPr>
            <w:r>
              <w:rPr>
                <w:rFonts w:hint="eastAsia" w:ascii="宋体" w:hAnsi="宋体" w:eastAsia="仿宋" w:cs="Calibri"/>
                <w:color w:val="auto"/>
                <w:sz w:val="24"/>
                <w:highlight w:val="none"/>
              </w:rPr>
              <w:t>7.1.2</w:t>
            </w:r>
          </w:p>
        </w:tc>
        <w:tc>
          <w:tcPr>
            <w:tcW w:w="1581" w:type="dxa"/>
            <w:noWrap w:val="0"/>
            <w:vAlign w:val="center"/>
          </w:tcPr>
          <w:p w14:paraId="27221B1A">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color w:val="auto"/>
                <w:sz w:val="24"/>
                <w:highlight w:val="none"/>
              </w:rPr>
            </w:pPr>
            <w:r>
              <w:rPr>
                <w:rFonts w:hint="eastAsia" w:ascii="宋体" w:hAnsi="宋体" w:eastAsia="仿宋" w:cs="Calibri"/>
                <w:color w:val="auto"/>
                <w:sz w:val="24"/>
                <w:highlight w:val="none"/>
              </w:rPr>
              <w:t>中标结果公告</w:t>
            </w:r>
          </w:p>
        </w:tc>
        <w:tc>
          <w:tcPr>
            <w:tcW w:w="7229" w:type="dxa"/>
            <w:noWrap w:val="0"/>
            <w:vAlign w:val="center"/>
          </w:tcPr>
          <w:p w14:paraId="4BBAA39A">
            <w:pPr>
              <w:keepNext w:val="0"/>
              <w:keepLines w:val="0"/>
              <w:widowControl/>
              <w:suppressLineNumbers w:val="0"/>
              <w:adjustRightInd w:val="0"/>
              <w:snapToGrid w:val="0"/>
              <w:spacing w:before="0" w:beforeAutospacing="0" w:after="0" w:afterAutospacing="0" w:line="288" w:lineRule="auto"/>
              <w:ind w:left="0" w:right="0"/>
              <w:rPr>
                <w:rFonts w:hint="eastAsia" w:ascii="宋体" w:hAnsi="宋体" w:eastAsia="仿宋" w:cs="Times New Roman"/>
                <w:color w:val="auto"/>
                <w:sz w:val="24"/>
                <w:highlight w:val="none"/>
              </w:rPr>
            </w:pPr>
            <w:r>
              <w:rPr>
                <w:rFonts w:hint="eastAsia" w:ascii="宋体" w:hAnsi="宋体" w:eastAsia="仿宋" w:cs="Times New Roman"/>
                <w:color w:val="auto"/>
                <w:sz w:val="24"/>
                <w:highlight w:val="none"/>
              </w:rPr>
              <w:t>公告方式：在发布招标公告的媒介上发布本项目中标结果公告</w:t>
            </w:r>
          </w:p>
          <w:p w14:paraId="3B4D9FE9">
            <w:pPr>
              <w:keepNext w:val="0"/>
              <w:keepLines w:val="0"/>
              <w:widowControl/>
              <w:suppressLineNumbers w:val="0"/>
              <w:adjustRightInd w:val="0"/>
              <w:snapToGrid w:val="0"/>
              <w:spacing w:before="0" w:beforeAutospacing="0" w:after="0" w:afterAutospacing="0" w:line="288" w:lineRule="auto"/>
              <w:ind w:left="0" w:right="0"/>
              <w:rPr>
                <w:rFonts w:hint="eastAsia" w:ascii="宋体" w:hAnsi="宋体" w:cs="Times New Roman"/>
                <w:color w:val="auto"/>
                <w:sz w:val="24"/>
                <w:highlight w:val="none"/>
                <w:u w:val="single"/>
              </w:rPr>
            </w:pPr>
            <w:r>
              <w:rPr>
                <w:rFonts w:hint="eastAsia" w:ascii="宋体" w:hAnsi="宋体" w:eastAsia="仿宋" w:cs="Times New Roman"/>
                <w:color w:val="auto"/>
                <w:sz w:val="24"/>
                <w:highlight w:val="none"/>
              </w:rPr>
              <w:t>公告内容：按照财政部《政府采购公告和公示信息格式规范（2020年版）》中的“中标（成交）结果公告”格式及内容编制</w:t>
            </w:r>
          </w:p>
        </w:tc>
      </w:tr>
      <w:tr w14:paraId="25A5B6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66A6663B">
            <w:pPr>
              <w:keepNext w:val="0"/>
              <w:keepLines w:val="0"/>
              <w:widowControl/>
              <w:suppressLineNumbers w:val="0"/>
              <w:adjustRightInd w:val="0"/>
              <w:snapToGrid w:val="0"/>
              <w:spacing w:before="0" w:beforeAutospacing="0" w:after="0" w:afterAutospacing="0" w:line="288" w:lineRule="auto"/>
              <w:ind w:left="0" w:right="0"/>
              <w:jc w:val="center"/>
              <w:rPr>
                <w:rFonts w:hint="default" w:ascii="宋体" w:hAnsi="宋体" w:cs="Calibri"/>
                <w:color w:val="auto"/>
                <w:sz w:val="24"/>
                <w:highlight w:val="none"/>
              </w:rPr>
            </w:pPr>
            <w:r>
              <w:rPr>
                <w:rFonts w:hint="eastAsia" w:ascii="宋体" w:hAnsi="宋体" w:eastAsia="仿宋" w:cs="Calibri"/>
                <w:color w:val="auto"/>
                <w:sz w:val="24"/>
                <w:highlight w:val="none"/>
              </w:rPr>
              <w:t>7.2.2</w:t>
            </w:r>
          </w:p>
        </w:tc>
        <w:tc>
          <w:tcPr>
            <w:tcW w:w="1581" w:type="dxa"/>
            <w:noWrap w:val="0"/>
            <w:vAlign w:val="center"/>
          </w:tcPr>
          <w:p w14:paraId="0FABF7F9">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color w:val="auto"/>
                <w:sz w:val="24"/>
                <w:highlight w:val="none"/>
              </w:rPr>
            </w:pPr>
            <w:r>
              <w:rPr>
                <w:rFonts w:hint="eastAsia" w:ascii="宋体" w:hAnsi="宋体" w:eastAsia="仿宋" w:cs="Calibri"/>
                <w:color w:val="auto"/>
                <w:sz w:val="24"/>
                <w:highlight w:val="none"/>
              </w:rPr>
              <w:t>招标代理服务费</w:t>
            </w:r>
          </w:p>
        </w:tc>
        <w:tc>
          <w:tcPr>
            <w:tcW w:w="7229" w:type="dxa"/>
            <w:noWrap w:val="0"/>
            <w:vAlign w:val="center"/>
          </w:tcPr>
          <w:p w14:paraId="11F6814B">
            <w:pPr>
              <w:keepNext w:val="0"/>
              <w:keepLines w:val="0"/>
              <w:widowControl/>
              <w:suppressLineNumbers w:val="0"/>
              <w:spacing w:before="0" w:beforeAutospacing="0" w:after="0" w:afterAutospacing="0" w:line="288" w:lineRule="auto"/>
              <w:ind w:left="0" w:right="0"/>
              <w:rPr>
                <w:rFonts w:hint="default" w:ascii="宋体" w:hAnsi="宋体" w:eastAsia="仿宋" w:cs="Times New Roman"/>
                <w:color w:val="000000"/>
                <w:sz w:val="24"/>
                <w:highlight w:val="none"/>
              </w:rPr>
            </w:pPr>
            <w:r>
              <w:rPr>
                <w:rFonts w:hint="eastAsia" w:ascii="宋体" w:hAnsi="宋体" w:eastAsia="仿宋" w:cs="Times New Roman"/>
                <w:color w:val="000000"/>
                <w:sz w:val="24"/>
                <w:highlight w:val="none"/>
                <w:lang w:val="en-US" w:eastAsia="zh-CN"/>
              </w:rPr>
              <w:t>中标人</w:t>
            </w:r>
            <w:r>
              <w:rPr>
                <w:rFonts w:hint="eastAsia" w:ascii="宋体" w:hAnsi="宋体" w:eastAsia="仿宋" w:cs="Times New Roman"/>
                <w:color w:val="000000"/>
                <w:sz w:val="24"/>
                <w:highlight w:val="none"/>
              </w:rPr>
              <w:t>须向</w:t>
            </w:r>
            <w:r>
              <w:rPr>
                <w:rFonts w:hint="eastAsia" w:ascii="宋体" w:hAnsi="宋体" w:eastAsia="仿宋" w:cs="Times New Roman"/>
                <w:color w:val="000000"/>
                <w:sz w:val="24"/>
                <w:highlight w:val="none"/>
                <w:lang w:val="en-US" w:eastAsia="zh-CN"/>
              </w:rPr>
              <w:t>招标</w:t>
            </w:r>
            <w:r>
              <w:rPr>
                <w:rFonts w:hint="eastAsia" w:ascii="宋体" w:hAnsi="宋体" w:eastAsia="仿宋" w:cs="Times New Roman"/>
                <w:color w:val="000000"/>
                <w:sz w:val="24"/>
                <w:highlight w:val="none"/>
              </w:rPr>
              <w:t>代理机构按如下标准和规定交纳</w:t>
            </w:r>
            <w:r>
              <w:rPr>
                <w:rFonts w:hint="eastAsia" w:ascii="宋体" w:hAnsi="宋体" w:eastAsia="仿宋" w:cs="Times New Roman"/>
                <w:color w:val="000000"/>
                <w:sz w:val="24"/>
                <w:highlight w:val="none"/>
                <w:lang w:val="en-US" w:eastAsia="zh-CN"/>
              </w:rPr>
              <w:t>招标</w:t>
            </w:r>
            <w:r>
              <w:rPr>
                <w:rFonts w:hint="eastAsia" w:ascii="宋体" w:hAnsi="宋体" w:eastAsia="仿宋" w:cs="Times New Roman"/>
                <w:color w:val="000000"/>
                <w:sz w:val="24"/>
                <w:highlight w:val="none"/>
              </w:rPr>
              <w:t>代理服务费：</w:t>
            </w:r>
          </w:p>
          <w:p w14:paraId="0BBD852D">
            <w:pPr>
              <w:keepNext w:val="0"/>
              <w:keepLines w:val="0"/>
              <w:widowControl/>
              <w:suppressLineNumbers w:val="0"/>
              <w:spacing w:before="0" w:beforeAutospacing="0" w:after="0" w:afterAutospacing="0" w:line="288" w:lineRule="auto"/>
              <w:ind w:left="0" w:right="0"/>
              <w:rPr>
                <w:rFonts w:hint="default" w:ascii="宋体" w:hAnsi="宋体" w:eastAsia="仿宋" w:cs="Times New Roman"/>
                <w:color w:val="000000"/>
                <w:sz w:val="24"/>
                <w:highlight w:val="none"/>
              </w:rPr>
            </w:pPr>
            <w:r>
              <w:rPr>
                <w:rFonts w:hint="eastAsia" w:ascii="宋体" w:hAnsi="宋体" w:eastAsia="仿宋" w:cs="Times New Roman"/>
                <w:color w:val="000000"/>
                <w:sz w:val="24"/>
                <w:highlight w:val="none"/>
              </w:rPr>
              <w:t>（1）</w:t>
            </w:r>
            <w:r>
              <w:rPr>
                <w:rFonts w:hint="eastAsia" w:ascii="宋体" w:hAnsi="宋体" w:eastAsia="仿宋" w:cs="Times New Roman"/>
                <w:color w:val="000000"/>
                <w:sz w:val="24"/>
                <w:highlight w:val="none"/>
                <w:lang w:val="en-US" w:eastAsia="zh-CN"/>
              </w:rPr>
              <w:t>招标</w:t>
            </w:r>
            <w:r>
              <w:rPr>
                <w:rFonts w:hint="eastAsia" w:ascii="宋体" w:hAnsi="宋体" w:eastAsia="仿宋" w:cs="Times New Roman"/>
                <w:color w:val="000000"/>
                <w:sz w:val="24"/>
                <w:highlight w:val="none"/>
              </w:rPr>
              <w:t>代理服务费收费以</w:t>
            </w:r>
            <w:r>
              <w:rPr>
                <w:rFonts w:hint="eastAsia" w:ascii="宋体" w:hAnsi="宋体" w:eastAsia="仿宋" w:cs="Times New Roman"/>
                <w:color w:val="000000"/>
                <w:sz w:val="24"/>
                <w:highlight w:val="none"/>
                <w:lang w:val="en-US" w:eastAsia="zh-CN"/>
              </w:rPr>
              <w:t>中标</w:t>
            </w:r>
            <w:r>
              <w:rPr>
                <w:rFonts w:hint="eastAsia" w:ascii="宋体" w:hAnsi="宋体" w:eastAsia="仿宋" w:cs="Times New Roman"/>
                <w:color w:val="000000"/>
                <w:sz w:val="24"/>
                <w:highlight w:val="none"/>
              </w:rPr>
              <w:t>金额为计算基数，</w:t>
            </w:r>
            <w:r>
              <w:rPr>
                <w:rFonts w:hint="eastAsia" w:ascii="宋体" w:hAnsi="宋体" w:eastAsia="仿宋" w:cs="Times New Roman"/>
                <w:color w:val="000000"/>
                <w:sz w:val="24"/>
                <w:highlight w:val="none"/>
                <w:lang w:val="en-US" w:eastAsia="zh-CN"/>
              </w:rPr>
              <w:t>中标</w:t>
            </w:r>
            <w:r>
              <w:rPr>
                <w:rFonts w:hint="eastAsia" w:ascii="宋体" w:hAnsi="宋体" w:eastAsia="仿宋" w:cs="Times New Roman"/>
                <w:color w:val="000000"/>
                <w:sz w:val="24"/>
                <w:highlight w:val="none"/>
              </w:rPr>
              <w:t>金额以中标通知书列明的金额为准。</w:t>
            </w:r>
          </w:p>
          <w:p w14:paraId="66053FF7">
            <w:pPr>
              <w:keepNext w:val="0"/>
              <w:keepLines w:val="0"/>
              <w:widowControl/>
              <w:suppressLineNumbers w:val="0"/>
              <w:spacing w:before="0" w:beforeAutospacing="0" w:after="0" w:afterAutospacing="0" w:line="288" w:lineRule="auto"/>
              <w:ind w:left="0" w:right="0"/>
              <w:rPr>
                <w:rFonts w:hint="default" w:ascii="宋体" w:hAnsi="宋体" w:eastAsia="仿宋" w:cs="Times New Roman"/>
                <w:color w:val="000000"/>
                <w:sz w:val="24"/>
                <w:highlight w:val="none"/>
              </w:rPr>
            </w:pPr>
            <w:r>
              <w:rPr>
                <w:rFonts w:hint="eastAsia" w:ascii="宋体" w:hAnsi="宋体" w:eastAsia="仿宋" w:cs="Times New Roman"/>
                <w:color w:val="000000"/>
                <w:sz w:val="24"/>
                <w:highlight w:val="none"/>
              </w:rPr>
              <w:t>（2）</w:t>
            </w:r>
            <w:r>
              <w:rPr>
                <w:rFonts w:hint="eastAsia" w:ascii="宋体" w:hAnsi="宋体" w:eastAsia="仿宋" w:cs="Times New Roman"/>
                <w:color w:val="000000"/>
                <w:sz w:val="24"/>
                <w:highlight w:val="none"/>
                <w:lang w:val="en-US" w:eastAsia="zh-CN"/>
              </w:rPr>
              <w:t>招标</w:t>
            </w:r>
            <w:r>
              <w:rPr>
                <w:rFonts w:hint="eastAsia" w:ascii="宋体" w:hAnsi="宋体" w:eastAsia="仿宋" w:cs="Times New Roman"/>
                <w:color w:val="000000"/>
                <w:sz w:val="24"/>
                <w:highlight w:val="none"/>
              </w:rPr>
              <w:t>代理服务费收费根据中标标的性质类型，按如下标准，差额定率累进法计算：</w:t>
            </w:r>
          </w:p>
          <w:tbl>
            <w:tblPr>
              <w:tblStyle w:val="48"/>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442"/>
              <w:gridCol w:w="1259"/>
              <w:gridCol w:w="1218"/>
              <w:gridCol w:w="1349"/>
            </w:tblGrid>
            <w:tr w14:paraId="6440FE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0" w:hRule="atLeast"/>
                <w:jc w:val="center"/>
              </w:trPr>
              <w:tc>
                <w:tcPr>
                  <w:tcW w:w="1442" w:type="dxa"/>
                  <w:vMerge w:val="restart"/>
                  <w:noWrap/>
                  <w:vAlign w:val="center"/>
                </w:tcPr>
                <w:p w14:paraId="2FD09885">
                  <w:pPr>
                    <w:keepNext w:val="0"/>
                    <w:keepLines w:val="0"/>
                    <w:suppressLineNumbers w:val="0"/>
                    <w:tabs>
                      <w:tab w:val="left" w:pos="6255"/>
                    </w:tabs>
                    <w:spacing w:before="0" w:beforeAutospacing="0" w:after="0" w:afterAutospacing="0" w:line="480" w:lineRule="exact"/>
                    <w:ind w:left="0" w:right="0"/>
                    <w:jc w:val="left"/>
                    <w:rPr>
                      <w:rFonts w:hint="default" w:ascii="Calibri" w:hAnsi="Calibri" w:eastAsia="仿宋" w:cs="Times New Roman"/>
                      <w:sz w:val="24"/>
                      <w:highlight w:val="none"/>
                    </w:rPr>
                  </w:pPr>
                  <w:r>
                    <w:rPr>
                      <w:rFonts w:hint="eastAsia" w:ascii="Calibri" w:hAnsi="Calibri" w:eastAsia="仿宋" w:cs="Times New Roman"/>
                      <w:sz w:val="24"/>
                      <w:highlight w:val="none"/>
                    </w:rPr>
                    <w:t>中标金额</w:t>
                  </w:r>
                </w:p>
                <w:p w14:paraId="1DCCA200">
                  <w:pPr>
                    <w:keepNext w:val="0"/>
                    <w:keepLines w:val="0"/>
                    <w:suppressLineNumbers w:val="0"/>
                    <w:tabs>
                      <w:tab w:val="left" w:pos="6255"/>
                    </w:tabs>
                    <w:spacing w:before="0" w:beforeAutospacing="0" w:after="0" w:afterAutospacing="0" w:line="480" w:lineRule="exact"/>
                    <w:ind w:left="0" w:right="0"/>
                    <w:jc w:val="left"/>
                    <w:rPr>
                      <w:rFonts w:hint="default" w:ascii="Calibri" w:hAnsi="Calibri" w:eastAsia="仿宋" w:cs="Times New Roman"/>
                      <w:sz w:val="24"/>
                      <w:highlight w:val="none"/>
                    </w:rPr>
                  </w:pPr>
                  <w:r>
                    <w:rPr>
                      <w:rFonts w:hint="eastAsia" w:ascii="Calibri" w:hAnsi="Calibri" w:eastAsia="仿宋" w:cs="Times New Roman"/>
                      <w:sz w:val="24"/>
                      <w:highlight w:val="none"/>
                    </w:rPr>
                    <w:t>（万元）</w:t>
                  </w:r>
                </w:p>
              </w:tc>
              <w:tc>
                <w:tcPr>
                  <w:tcW w:w="3826" w:type="dxa"/>
                  <w:gridSpan w:val="3"/>
                  <w:noWrap/>
                  <w:vAlign w:val="center"/>
                </w:tcPr>
                <w:p w14:paraId="57DE1A94">
                  <w:pPr>
                    <w:keepNext w:val="0"/>
                    <w:keepLines w:val="0"/>
                    <w:suppressLineNumbers w:val="0"/>
                    <w:tabs>
                      <w:tab w:val="left" w:pos="6255"/>
                    </w:tabs>
                    <w:spacing w:before="0" w:beforeAutospacing="0" w:after="0" w:afterAutospacing="0" w:line="480" w:lineRule="exact"/>
                    <w:ind w:left="0" w:right="0"/>
                    <w:jc w:val="center"/>
                    <w:rPr>
                      <w:rFonts w:hint="default" w:ascii="Calibri" w:hAnsi="Calibri" w:eastAsia="仿宋" w:cs="Times New Roman"/>
                      <w:sz w:val="24"/>
                      <w:highlight w:val="none"/>
                    </w:rPr>
                  </w:pPr>
                  <w:r>
                    <w:rPr>
                      <w:rFonts w:hint="eastAsia" w:ascii="Calibri" w:hAnsi="Calibri" w:eastAsia="仿宋" w:cs="Times New Roman"/>
                      <w:sz w:val="24"/>
                      <w:highlight w:val="none"/>
                    </w:rPr>
                    <w:t>类型</w:t>
                  </w:r>
                </w:p>
              </w:tc>
            </w:tr>
            <w:tr w14:paraId="76ADA0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0" w:hRule="atLeast"/>
                <w:jc w:val="center"/>
              </w:trPr>
              <w:tc>
                <w:tcPr>
                  <w:tcW w:w="1442" w:type="dxa"/>
                  <w:vMerge w:val="continue"/>
                  <w:noWrap/>
                  <w:vAlign w:val="center"/>
                </w:tcPr>
                <w:p w14:paraId="018797AF">
                  <w:pPr>
                    <w:keepNext w:val="0"/>
                    <w:keepLines w:val="0"/>
                    <w:suppressLineNumbers w:val="0"/>
                    <w:spacing w:before="0" w:beforeAutospacing="0" w:after="0" w:afterAutospacing="0"/>
                    <w:ind w:left="0" w:right="0"/>
                    <w:rPr>
                      <w:rFonts w:hint="default" w:ascii="Calibri" w:hAnsi="Calibri" w:cs="Times New Roman"/>
                      <w:highlight w:val="none"/>
                    </w:rPr>
                  </w:pPr>
                </w:p>
              </w:tc>
              <w:tc>
                <w:tcPr>
                  <w:tcW w:w="1259" w:type="dxa"/>
                  <w:noWrap/>
                  <w:vAlign w:val="center"/>
                </w:tcPr>
                <w:p w14:paraId="55DBCD82">
                  <w:pPr>
                    <w:keepNext w:val="0"/>
                    <w:keepLines w:val="0"/>
                    <w:suppressLineNumbers w:val="0"/>
                    <w:tabs>
                      <w:tab w:val="left" w:pos="6255"/>
                    </w:tabs>
                    <w:spacing w:before="0" w:beforeAutospacing="0" w:after="0" w:afterAutospacing="0" w:line="480" w:lineRule="exact"/>
                    <w:ind w:left="0" w:right="0"/>
                    <w:jc w:val="left"/>
                    <w:rPr>
                      <w:rFonts w:hint="default" w:ascii="Calibri" w:hAnsi="Calibri" w:eastAsia="仿宋" w:cs="Times New Roman"/>
                      <w:sz w:val="24"/>
                      <w:highlight w:val="none"/>
                    </w:rPr>
                  </w:pPr>
                  <w:r>
                    <w:rPr>
                      <w:rFonts w:hint="eastAsia" w:ascii="Calibri" w:hAnsi="Calibri" w:eastAsia="仿宋" w:cs="Times New Roman"/>
                      <w:sz w:val="24"/>
                      <w:highlight w:val="none"/>
                    </w:rPr>
                    <w:t>货物类</w:t>
                  </w:r>
                </w:p>
              </w:tc>
              <w:tc>
                <w:tcPr>
                  <w:tcW w:w="1218" w:type="dxa"/>
                  <w:noWrap/>
                  <w:vAlign w:val="center"/>
                </w:tcPr>
                <w:p w14:paraId="0BD9EC16">
                  <w:pPr>
                    <w:keepNext w:val="0"/>
                    <w:keepLines w:val="0"/>
                    <w:suppressLineNumbers w:val="0"/>
                    <w:tabs>
                      <w:tab w:val="left" w:pos="6255"/>
                    </w:tabs>
                    <w:spacing w:before="0" w:beforeAutospacing="0" w:after="0" w:afterAutospacing="0" w:line="480" w:lineRule="exact"/>
                    <w:ind w:left="0" w:right="0"/>
                    <w:jc w:val="left"/>
                    <w:rPr>
                      <w:rFonts w:hint="default" w:ascii="Calibri" w:hAnsi="Calibri" w:eastAsia="仿宋" w:cs="Times New Roman"/>
                      <w:sz w:val="24"/>
                      <w:highlight w:val="none"/>
                    </w:rPr>
                  </w:pPr>
                  <w:r>
                    <w:rPr>
                      <w:rFonts w:hint="eastAsia" w:ascii="Calibri" w:hAnsi="Calibri" w:eastAsia="仿宋" w:cs="Times New Roman"/>
                      <w:sz w:val="24"/>
                      <w:highlight w:val="none"/>
                    </w:rPr>
                    <w:t>服务类</w:t>
                  </w:r>
                </w:p>
              </w:tc>
              <w:tc>
                <w:tcPr>
                  <w:tcW w:w="1349" w:type="dxa"/>
                  <w:noWrap/>
                  <w:vAlign w:val="center"/>
                </w:tcPr>
                <w:p w14:paraId="561D4B8E">
                  <w:pPr>
                    <w:keepNext w:val="0"/>
                    <w:keepLines w:val="0"/>
                    <w:suppressLineNumbers w:val="0"/>
                    <w:tabs>
                      <w:tab w:val="left" w:pos="6255"/>
                    </w:tabs>
                    <w:spacing w:before="0" w:beforeAutospacing="0" w:after="0" w:afterAutospacing="0" w:line="480" w:lineRule="exact"/>
                    <w:ind w:left="0" w:right="0"/>
                    <w:jc w:val="left"/>
                    <w:rPr>
                      <w:rFonts w:hint="default" w:ascii="Calibri" w:hAnsi="Calibri" w:eastAsia="仿宋" w:cs="Times New Roman"/>
                      <w:sz w:val="24"/>
                      <w:highlight w:val="none"/>
                    </w:rPr>
                  </w:pPr>
                  <w:r>
                    <w:rPr>
                      <w:rFonts w:hint="eastAsia" w:ascii="Calibri" w:hAnsi="Calibri" w:eastAsia="仿宋" w:cs="Times New Roman"/>
                      <w:sz w:val="24"/>
                      <w:highlight w:val="none"/>
                    </w:rPr>
                    <w:t>工程类</w:t>
                  </w:r>
                </w:p>
              </w:tc>
            </w:tr>
            <w:tr w14:paraId="389C3C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0" w:hRule="atLeast"/>
                <w:jc w:val="center"/>
              </w:trPr>
              <w:tc>
                <w:tcPr>
                  <w:tcW w:w="1442" w:type="dxa"/>
                  <w:noWrap/>
                  <w:vAlign w:val="center"/>
                </w:tcPr>
                <w:p w14:paraId="2F4FFF59">
                  <w:pPr>
                    <w:keepNext w:val="0"/>
                    <w:keepLines w:val="0"/>
                    <w:suppressLineNumbers w:val="0"/>
                    <w:tabs>
                      <w:tab w:val="left" w:pos="6255"/>
                    </w:tabs>
                    <w:spacing w:before="0" w:beforeAutospacing="0" w:after="0" w:afterAutospacing="0" w:line="480" w:lineRule="exact"/>
                    <w:ind w:left="0" w:right="0"/>
                    <w:jc w:val="center"/>
                    <w:rPr>
                      <w:rFonts w:hint="default" w:ascii="Calibri" w:hAnsi="Calibri" w:eastAsia="仿宋" w:cs="Times New Roman"/>
                      <w:sz w:val="24"/>
                      <w:highlight w:val="none"/>
                    </w:rPr>
                  </w:pPr>
                  <w:r>
                    <w:rPr>
                      <w:rFonts w:hint="eastAsia" w:ascii="Calibri" w:hAnsi="Calibri" w:eastAsia="仿宋" w:cs="Times New Roman"/>
                      <w:sz w:val="24"/>
                      <w:highlight w:val="none"/>
                    </w:rPr>
                    <w:t>100以下</w:t>
                  </w:r>
                </w:p>
              </w:tc>
              <w:tc>
                <w:tcPr>
                  <w:tcW w:w="1259" w:type="dxa"/>
                  <w:noWrap/>
                  <w:vAlign w:val="center"/>
                </w:tcPr>
                <w:p w14:paraId="16DEF2CC">
                  <w:pPr>
                    <w:keepNext w:val="0"/>
                    <w:keepLines w:val="0"/>
                    <w:suppressLineNumbers w:val="0"/>
                    <w:tabs>
                      <w:tab w:val="left" w:pos="6255"/>
                    </w:tabs>
                    <w:spacing w:before="0" w:beforeAutospacing="0" w:after="0" w:afterAutospacing="0" w:line="480" w:lineRule="exact"/>
                    <w:ind w:left="0" w:right="0"/>
                    <w:jc w:val="center"/>
                    <w:rPr>
                      <w:rFonts w:hint="default" w:ascii="Calibri" w:hAnsi="Calibri" w:eastAsia="仿宋" w:cs="Times New Roman"/>
                      <w:sz w:val="24"/>
                      <w:highlight w:val="none"/>
                    </w:rPr>
                  </w:pPr>
                  <w:r>
                    <w:rPr>
                      <w:rFonts w:hint="eastAsia" w:ascii="Calibri" w:hAnsi="Calibri" w:eastAsia="仿宋" w:cs="Times New Roman"/>
                      <w:sz w:val="24"/>
                      <w:highlight w:val="none"/>
                    </w:rPr>
                    <w:t>1.5%</w:t>
                  </w:r>
                </w:p>
              </w:tc>
              <w:tc>
                <w:tcPr>
                  <w:tcW w:w="1218" w:type="dxa"/>
                  <w:noWrap/>
                  <w:vAlign w:val="center"/>
                </w:tcPr>
                <w:p w14:paraId="3A271EB7">
                  <w:pPr>
                    <w:keepNext w:val="0"/>
                    <w:keepLines w:val="0"/>
                    <w:suppressLineNumbers w:val="0"/>
                    <w:tabs>
                      <w:tab w:val="left" w:pos="6255"/>
                    </w:tabs>
                    <w:spacing w:before="0" w:beforeAutospacing="0" w:after="0" w:afterAutospacing="0" w:line="480" w:lineRule="exact"/>
                    <w:ind w:left="0" w:right="0"/>
                    <w:jc w:val="center"/>
                    <w:rPr>
                      <w:rFonts w:hint="default" w:ascii="Calibri" w:hAnsi="Calibri" w:eastAsia="仿宋" w:cs="Times New Roman"/>
                      <w:sz w:val="24"/>
                      <w:highlight w:val="none"/>
                    </w:rPr>
                  </w:pPr>
                  <w:r>
                    <w:rPr>
                      <w:rFonts w:hint="eastAsia" w:ascii="Calibri" w:hAnsi="Calibri" w:eastAsia="仿宋" w:cs="Times New Roman"/>
                      <w:sz w:val="24"/>
                      <w:highlight w:val="none"/>
                    </w:rPr>
                    <w:t>1.50%</w:t>
                  </w:r>
                </w:p>
              </w:tc>
              <w:tc>
                <w:tcPr>
                  <w:tcW w:w="1349" w:type="dxa"/>
                  <w:noWrap/>
                  <w:vAlign w:val="center"/>
                </w:tcPr>
                <w:p w14:paraId="78FF7558">
                  <w:pPr>
                    <w:keepNext w:val="0"/>
                    <w:keepLines w:val="0"/>
                    <w:suppressLineNumbers w:val="0"/>
                    <w:tabs>
                      <w:tab w:val="left" w:pos="6255"/>
                    </w:tabs>
                    <w:spacing w:before="0" w:beforeAutospacing="0" w:after="0" w:afterAutospacing="0" w:line="480" w:lineRule="exact"/>
                    <w:ind w:left="0" w:right="0"/>
                    <w:jc w:val="center"/>
                    <w:rPr>
                      <w:rFonts w:hint="default" w:ascii="Calibri" w:hAnsi="Calibri" w:eastAsia="仿宋" w:cs="Times New Roman"/>
                      <w:sz w:val="24"/>
                      <w:highlight w:val="none"/>
                    </w:rPr>
                  </w:pPr>
                  <w:r>
                    <w:rPr>
                      <w:rFonts w:hint="eastAsia" w:ascii="Calibri" w:hAnsi="Calibri" w:eastAsia="仿宋" w:cs="Times New Roman"/>
                      <w:sz w:val="24"/>
                      <w:highlight w:val="none"/>
                    </w:rPr>
                    <w:t>1.00%</w:t>
                  </w:r>
                </w:p>
              </w:tc>
            </w:tr>
            <w:tr w14:paraId="603B91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0" w:hRule="atLeast"/>
                <w:jc w:val="center"/>
              </w:trPr>
              <w:tc>
                <w:tcPr>
                  <w:tcW w:w="1442" w:type="dxa"/>
                  <w:noWrap/>
                  <w:vAlign w:val="center"/>
                </w:tcPr>
                <w:p w14:paraId="0A07112D">
                  <w:pPr>
                    <w:keepNext w:val="0"/>
                    <w:keepLines w:val="0"/>
                    <w:suppressLineNumbers w:val="0"/>
                    <w:tabs>
                      <w:tab w:val="left" w:pos="6255"/>
                    </w:tabs>
                    <w:spacing w:before="0" w:beforeAutospacing="0" w:after="0" w:afterAutospacing="0" w:line="480" w:lineRule="exact"/>
                    <w:ind w:left="0" w:right="0"/>
                    <w:jc w:val="center"/>
                    <w:rPr>
                      <w:rFonts w:hint="default" w:ascii="Calibri" w:hAnsi="Calibri" w:eastAsia="仿宋" w:cs="Times New Roman"/>
                      <w:sz w:val="24"/>
                      <w:highlight w:val="none"/>
                    </w:rPr>
                  </w:pPr>
                  <w:r>
                    <w:rPr>
                      <w:rFonts w:hint="eastAsia" w:ascii="Calibri" w:hAnsi="Calibri" w:eastAsia="仿宋" w:cs="Times New Roman"/>
                      <w:sz w:val="24"/>
                      <w:highlight w:val="none"/>
                    </w:rPr>
                    <w:t>100-500</w:t>
                  </w:r>
                </w:p>
              </w:tc>
              <w:tc>
                <w:tcPr>
                  <w:tcW w:w="1259" w:type="dxa"/>
                  <w:noWrap/>
                  <w:vAlign w:val="center"/>
                </w:tcPr>
                <w:p w14:paraId="6476624B">
                  <w:pPr>
                    <w:keepNext w:val="0"/>
                    <w:keepLines w:val="0"/>
                    <w:suppressLineNumbers w:val="0"/>
                    <w:tabs>
                      <w:tab w:val="left" w:pos="6255"/>
                    </w:tabs>
                    <w:spacing w:before="0" w:beforeAutospacing="0" w:after="0" w:afterAutospacing="0" w:line="480" w:lineRule="exact"/>
                    <w:ind w:left="0" w:right="0"/>
                    <w:jc w:val="center"/>
                    <w:rPr>
                      <w:rFonts w:hint="default" w:ascii="Calibri" w:hAnsi="Calibri" w:eastAsia="仿宋" w:cs="Times New Roman"/>
                      <w:sz w:val="24"/>
                      <w:highlight w:val="none"/>
                    </w:rPr>
                  </w:pPr>
                  <w:r>
                    <w:rPr>
                      <w:rFonts w:hint="eastAsia" w:ascii="Calibri" w:hAnsi="Calibri" w:eastAsia="仿宋" w:cs="Times New Roman"/>
                      <w:sz w:val="24"/>
                      <w:highlight w:val="none"/>
                    </w:rPr>
                    <w:t>1.1%</w:t>
                  </w:r>
                </w:p>
              </w:tc>
              <w:tc>
                <w:tcPr>
                  <w:tcW w:w="1218" w:type="dxa"/>
                  <w:noWrap/>
                  <w:vAlign w:val="center"/>
                </w:tcPr>
                <w:p w14:paraId="337AB57C">
                  <w:pPr>
                    <w:keepNext w:val="0"/>
                    <w:keepLines w:val="0"/>
                    <w:suppressLineNumbers w:val="0"/>
                    <w:tabs>
                      <w:tab w:val="left" w:pos="6255"/>
                    </w:tabs>
                    <w:spacing w:before="0" w:beforeAutospacing="0" w:after="0" w:afterAutospacing="0" w:line="480" w:lineRule="exact"/>
                    <w:ind w:left="0" w:right="0"/>
                    <w:jc w:val="center"/>
                    <w:rPr>
                      <w:rFonts w:hint="default" w:ascii="Calibri" w:hAnsi="Calibri" w:eastAsia="仿宋" w:cs="Times New Roman"/>
                      <w:sz w:val="24"/>
                      <w:highlight w:val="none"/>
                    </w:rPr>
                  </w:pPr>
                  <w:r>
                    <w:rPr>
                      <w:rFonts w:hint="eastAsia" w:ascii="Calibri" w:hAnsi="Calibri" w:eastAsia="仿宋" w:cs="Times New Roman"/>
                      <w:sz w:val="24"/>
                      <w:highlight w:val="none"/>
                    </w:rPr>
                    <w:t>0.80%</w:t>
                  </w:r>
                </w:p>
              </w:tc>
              <w:tc>
                <w:tcPr>
                  <w:tcW w:w="1349" w:type="dxa"/>
                  <w:noWrap/>
                  <w:vAlign w:val="center"/>
                </w:tcPr>
                <w:p w14:paraId="699F8157">
                  <w:pPr>
                    <w:keepNext w:val="0"/>
                    <w:keepLines w:val="0"/>
                    <w:suppressLineNumbers w:val="0"/>
                    <w:tabs>
                      <w:tab w:val="left" w:pos="6255"/>
                    </w:tabs>
                    <w:spacing w:before="0" w:beforeAutospacing="0" w:after="0" w:afterAutospacing="0" w:line="480" w:lineRule="exact"/>
                    <w:ind w:left="0" w:right="0"/>
                    <w:jc w:val="center"/>
                    <w:rPr>
                      <w:rFonts w:hint="default" w:ascii="Calibri" w:hAnsi="Calibri" w:eastAsia="仿宋" w:cs="Times New Roman"/>
                      <w:sz w:val="24"/>
                      <w:highlight w:val="none"/>
                    </w:rPr>
                  </w:pPr>
                  <w:r>
                    <w:rPr>
                      <w:rFonts w:hint="eastAsia" w:ascii="Calibri" w:hAnsi="Calibri" w:eastAsia="仿宋" w:cs="Times New Roman"/>
                      <w:sz w:val="24"/>
                      <w:highlight w:val="none"/>
                    </w:rPr>
                    <w:t>0.70%</w:t>
                  </w:r>
                </w:p>
              </w:tc>
            </w:tr>
            <w:tr w14:paraId="21C771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87" w:hRule="atLeast"/>
                <w:jc w:val="center"/>
              </w:trPr>
              <w:tc>
                <w:tcPr>
                  <w:tcW w:w="1442" w:type="dxa"/>
                  <w:noWrap/>
                  <w:vAlign w:val="center"/>
                </w:tcPr>
                <w:p w14:paraId="318F0CEA">
                  <w:pPr>
                    <w:keepNext w:val="0"/>
                    <w:keepLines w:val="0"/>
                    <w:suppressLineNumbers w:val="0"/>
                    <w:tabs>
                      <w:tab w:val="left" w:pos="6255"/>
                    </w:tabs>
                    <w:spacing w:before="0" w:beforeAutospacing="0" w:after="0" w:afterAutospacing="0" w:line="480" w:lineRule="exact"/>
                    <w:ind w:left="0" w:right="0"/>
                    <w:jc w:val="center"/>
                    <w:rPr>
                      <w:rFonts w:hint="default" w:ascii="Calibri" w:hAnsi="Calibri" w:eastAsia="仿宋" w:cs="Times New Roman"/>
                      <w:sz w:val="24"/>
                      <w:highlight w:val="none"/>
                    </w:rPr>
                  </w:pPr>
                  <w:r>
                    <w:rPr>
                      <w:rFonts w:hint="eastAsia" w:ascii="Calibri" w:hAnsi="Calibri" w:eastAsia="仿宋" w:cs="Times New Roman"/>
                      <w:sz w:val="24"/>
                      <w:highlight w:val="none"/>
                    </w:rPr>
                    <w:t>500-1000</w:t>
                  </w:r>
                </w:p>
              </w:tc>
              <w:tc>
                <w:tcPr>
                  <w:tcW w:w="1259" w:type="dxa"/>
                  <w:noWrap/>
                  <w:vAlign w:val="center"/>
                </w:tcPr>
                <w:p w14:paraId="64596758">
                  <w:pPr>
                    <w:keepNext w:val="0"/>
                    <w:keepLines w:val="0"/>
                    <w:suppressLineNumbers w:val="0"/>
                    <w:tabs>
                      <w:tab w:val="left" w:pos="6255"/>
                    </w:tabs>
                    <w:spacing w:before="0" w:beforeAutospacing="0" w:after="0" w:afterAutospacing="0" w:line="480" w:lineRule="exact"/>
                    <w:ind w:left="0" w:right="0"/>
                    <w:jc w:val="center"/>
                    <w:rPr>
                      <w:rFonts w:hint="default" w:ascii="Calibri" w:hAnsi="Calibri" w:eastAsia="仿宋" w:cs="Times New Roman"/>
                      <w:sz w:val="24"/>
                      <w:highlight w:val="none"/>
                    </w:rPr>
                  </w:pPr>
                  <w:r>
                    <w:rPr>
                      <w:rFonts w:hint="eastAsia" w:ascii="Calibri" w:hAnsi="Calibri" w:eastAsia="仿宋" w:cs="Times New Roman"/>
                      <w:sz w:val="24"/>
                      <w:highlight w:val="none"/>
                    </w:rPr>
                    <w:t>0.8%</w:t>
                  </w:r>
                </w:p>
              </w:tc>
              <w:tc>
                <w:tcPr>
                  <w:tcW w:w="1218" w:type="dxa"/>
                  <w:noWrap/>
                  <w:vAlign w:val="center"/>
                </w:tcPr>
                <w:p w14:paraId="6BF363A3">
                  <w:pPr>
                    <w:keepNext w:val="0"/>
                    <w:keepLines w:val="0"/>
                    <w:suppressLineNumbers w:val="0"/>
                    <w:tabs>
                      <w:tab w:val="left" w:pos="6255"/>
                    </w:tabs>
                    <w:spacing w:before="0" w:beforeAutospacing="0" w:after="0" w:afterAutospacing="0" w:line="480" w:lineRule="exact"/>
                    <w:ind w:left="0" w:right="0"/>
                    <w:jc w:val="center"/>
                    <w:rPr>
                      <w:rFonts w:hint="default" w:ascii="Calibri" w:hAnsi="Calibri" w:eastAsia="仿宋" w:cs="Times New Roman"/>
                      <w:sz w:val="24"/>
                      <w:highlight w:val="none"/>
                    </w:rPr>
                  </w:pPr>
                  <w:r>
                    <w:rPr>
                      <w:rFonts w:hint="eastAsia" w:ascii="Calibri" w:hAnsi="Calibri" w:eastAsia="仿宋" w:cs="Times New Roman"/>
                      <w:sz w:val="24"/>
                      <w:highlight w:val="none"/>
                    </w:rPr>
                    <w:t>0.45%</w:t>
                  </w:r>
                </w:p>
              </w:tc>
              <w:tc>
                <w:tcPr>
                  <w:tcW w:w="1349" w:type="dxa"/>
                  <w:noWrap/>
                  <w:vAlign w:val="center"/>
                </w:tcPr>
                <w:p w14:paraId="5549C3A7">
                  <w:pPr>
                    <w:keepNext w:val="0"/>
                    <w:keepLines w:val="0"/>
                    <w:suppressLineNumbers w:val="0"/>
                    <w:tabs>
                      <w:tab w:val="left" w:pos="6255"/>
                    </w:tabs>
                    <w:spacing w:before="0" w:beforeAutospacing="0" w:after="0" w:afterAutospacing="0" w:line="480" w:lineRule="exact"/>
                    <w:ind w:left="0" w:right="0"/>
                    <w:jc w:val="center"/>
                    <w:rPr>
                      <w:rFonts w:hint="default" w:ascii="Calibri" w:hAnsi="Calibri" w:eastAsia="仿宋" w:cs="Times New Roman"/>
                      <w:sz w:val="24"/>
                      <w:highlight w:val="none"/>
                    </w:rPr>
                  </w:pPr>
                  <w:r>
                    <w:rPr>
                      <w:rFonts w:hint="eastAsia" w:ascii="Calibri" w:hAnsi="Calibri" w:eastAsia="仿宋" w:cs="Times New Roman"/>
                      <w:sz w:val="24"/>
                      <w:highlight w:val="none"/>
                    </w:rPr>
                    <w:t>0.55%</w:t>
                  </w:r>
                </w:p>
              </w:tc>
            </w:tr>
            <w:tr w14:paraId="74B420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4" w:hRule="atLeast"/>
                <w:jc w:val="center"/>
              </w:trPr>
              <w:tc>
                <w:tcPr>
                  <w:tcW w:w="1442" w:type="dxa"/>
                  <w:noWrap/>
                  <w:vAlign w:val="center"/>
                </w:tcPr>
                <w:p w14:paraId="3FA0AC9D">
                  <w:pPr>
                    <w:keepNext w:val="0"/>
                    <w:keepLines w:val="0"/>
                    <w:suppressLineNumbers w:val="0"/>
                    <w:tabs>
                      <w:tab w:val="left" w:pos="6255"/>
                    </w:tabs>
                    <w:spacing w:before="0" w:beforeAutospacing="0" w:after="0" w:afterAutospacing="0" w:line="480" w:lineRule="exact"/>
                    <w:ind w:left="0" w:right="0"/>
                    <w:jc w:val="center"/>
                    <w:rPr>
                      <w:rFonts w:hint="default" w:ascii="Calibri" w:hAnsi="Calibri" w:eastAsia="仿宋" w:cs="Times New Roman"/>
                      <w:sz w:val="24"/>
                      <w:highlight w:val="none"/>
                    </w:rPr>
                  </w:pPr>
                  <w:r>
                    <w:rPr>
                      <w:rFonts w:hint="eastAsia" w:ascii="Calibri" w:hAnsi="Calibri" w:eastAsia="仿宋" w:cs="Times New Roman"/>
                      <w:sz w:val="24"/>
                      <w:highlight w:val="none"/>
                    </w:rPr>
                    <w:t>1000-5000</w:t>
                  </w:r>
                </w:p>
              </w:tc>
              <w:tc>
                <w:tcPr>
                  <w:tcW w:w="1259" w:type="dxa"/>
                  <w:noWrap/>
                  <w:vAlign w:val="center"/>
                </w:tcPr>
                <w:p w14:paraId="62824EE0">
                  <w:pPr>
                    <w:keepNext w:val="0"/>
                    <w:keepLines w:val="0"/>
                    <w:suppressLineNumbers w:val="0"/>
                    <w:tabs>
                      <w:tab w:val="left" w:pos="6255"/>
                    </w:tabs>
                    <w:spacing w:before="0" w:beforeAutospacing="0" w:after="0" w:afterAutospacing="0" w:line="480" w:lineRule="exact"/>
                    <w:ind w:left="0" w:right="0"/>
                    <w:jc w:val="center"/>
                    <w:rPr>
                      <w:rFonts w:hint="default" w:ascii="Calibri" w:hAnsi="Calibri" w:eastAsia="仿宋" w:cs="Times New Roman"/>
                      <w:sz w:val="24"/>
                      <w:highlight w:val="none"/>
                    </w:rPr>
                  </w:pPr>
                  <w:r>
                    <w:rPr>
                      <w:rFonts w:hint="eastAsia" w:ascii="Calibri" w:hAnsi="Calibri" w:eastAsia="仿宋" w:cs="Times New Roman"/>
                      <w:sz w:val="24"/>
                      <w:highlight w:val="none"/>
                    </w:rPr>
                    <w:t>0.5%</w:t>
                  </w:r>
                </w:p>
              </w:tc>
              <w:tc>
                <w:tcPr>
                  <w:tcW w:w="1218" w:type="dxa"/>
                  <w:noWrap/>
                  <w:vAlign w:val="center"/>
                </w:tcPr>
                <w:p w14:paraId="630F2961">
                  <w:pPr>
                    <w:keepNext w:val="0"/>
                    <w:keepLines w:val="0"/>
                    <w:suppressLineNumbers w:val="0"/>
                    <w:tabs>
                      <w:tab w:val="left" w:pos="6255"/>
                    </w:tabs>
                    <w:spacing w:before="0" w:beforeAutospacing="0" w:after="0" w:afterAutospacing="0" w:line="480" w:lineRule="exact"/>
                    <w:ind w:left="0" w:right="0"/>
                    <w:jc w:val="center"/>
                    <w:rPr>
                      <w:rFonts w:hint="default" w:ascii="Calibri" w:hAnsi="Calibri" w:eastAsia="仿宋" w:cs="Times New Roman"/>
                      <w:sz w:val="24"/>
                      <w:highlight w:val="none"/>
                    </w:rPr>
                  </w:pPr>
                  <w:r>
                    <w:rPr>
                      <w:rFonts w:hint="eastAsia" w:ascii="Calibri" w:hAnsi="Calibri" w:eastAsia="仿宋" w:cs="Times New Roman"/>
                      <w:sz w:val="24"/>
                      <w:highlight w:val="none"/>
                    </w:rPr>
                    <w:t>0.25%</w:t>
                  </w:r>
                </w:p>
              </w:tc>
              <w:tc>
                <w:tcPr>
                  <w:tcW w:w="1349" w:type="dxa"/>
                  <w:noWrap/>
                  <w:vAlign w:val="center"/>
                </w:tcPr>
                <w:p w14:paraId="7803D619">
                  <w:pPr>
                    <w:keepNext w:val="0"/>
                    <w:keepLines w:val="0"/>
                    <w:suppressLineNumbers w:val="0"/>
                    <w:tabs>
                      <w:tab w:val="left" w:pos="6255"/>
                    </w:tabs>
                    <w:spacing w:before="0" w:beforeAutospacing="0" w:after="0" w:afterAutospacing="0" w:line="480" w:lineRule="exact"/>
                    <w:ind w:left="0" w:right="0"/>
                    <w:jc w:val="center"/>
                    <w:rPr>
                      <w:rFonts w:hint="default" w:ascii="Calibri" w:hAnsi="Calibri" w:eastAsia="仿宋" w:cs="Times New Roman"/>
                      <w:sz w:val="24"/>
                      <w:highlight w:val="none"/>
                    </w:rPr>
                  </w:pPr>
                  <w:r>
                    <w:rPr>
                      <w:rFonts w:hint="eastAsia" w:ascii="Calibri" w:hAnsi="Calibri" w:eastAsia="仿宋" w:cs="Times New Roman"/>
                      <w:sz w:val="24"/>
                      <w:highlight w:val="none"/>
                    </w:rPr>
                    <w:t>0.35%</w:t>
                  </w:r>
                </w:p>
              </w:tc>
            </w:tr>
            <w:tr w14:paraId="0AC14E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2" w:hRule="atLeast"/>
                <w:jc w:val="center"/>
              </w:trPr>
              <w:tc>
                <w:tcPr>
                  <w:tcW w:w="1442" w:type="dxa"/>
                  <w:noWrap/>
                  <w:vAlign w:val="center"/>
                </w:tcPr>
                <w:p w14:paraId="06938ADC">
                  <w:pPr>
                    <w:keepNext w:val="0"/>
                    <w:keepLines w:val="0"/>
                    <w:suppressLineNumbers w:val="0"/>
                    <w:tabs>
                      <w:tab w:val="left" w:pos="6255"/>
                    </w:tabs>
                    <w:spacing w:before="0" w:beforeAutospacing="0" w:after="0" w:afterAutospacing="0" w:line="480" w:lineRule="exact"/>
                    <w:ind w:left="0" w:right="0"/>
                    <w:jc w:val="center"/>
                    <w:rPr>
                      <w:rFonts w:hint="default" w:ascii="Calibri" w:hAnsi="Calibri" w:eastAsia="仿宋" w:cs="Times New Roman"/>
                      <w:sz w:val="24"/>
                      <w:highlight w:val="none"/>
                    </w:rPr>
                  </w:pPr>
                  <w:r>
                    <w:rPr>
                      <w:rFonts w:hint="eastAsia" w:ascii="Calibri" w:hAnsi="Calibri" w:eastAsia="仿宋" w:cs="Times New Roman"/>
                      <w:sz w:val="24"/>
                      <w:highlight w:val="none"/>
                    </w:rPr>
                    <w:t>5000-10000</w:t>
                  </w:r>
                </w:p>
              </w:tc>
              <w:tc>
                <w:tcPr>
                  <w:tcW w:w="1259" w:type="dxa"/>
                  <w:noWrap/>
                  <w:vAlign w:val="center"/>
                </w:tcPr>
                <w:p w14:paraId="7E577A2A">
                  <w:pPr>
                    <w:keepNext w:val="0"/>
                    <w:keepLines w:val="0"/>
                    <w:suppressLineNumbers w:val="0"/>
                    <w:tabs>
                      <w:tab w:val="left" w:pos="6255"/>
                    </w:tabs>
                    <w:spacing w:before="0" w:beforeAutospacing="0" w:after="0" w:afterAutospacing="0" w:line="480" w:lineRule="exact"/>
                    <w:ind w:left="0" w:right="0"/>
                    <w:jc w:val="center"/>
                    <w:rPr>
                      <w:rFonts w:hint="default" w:ascii="Calibri" w:hAnsi="Calibri" w:eastAsia="仿宋" w:cs="Times New Roman"/>
                      <w:sz w:val="24"/>
                      <w:highlight w:val="none"/>
                    </w:rPr>
                  </w:pPr>
                  <w:r>
                    <w:rPr>
                      <w:rFonts w:hint="eastAsia" w:ascii="Calibri" w:hAnsi="Calibri" w:eastAsia="仿宋" w:cs="Times New Roman"/>
                      <w:sz w:val="24"/>
                      <w:highlight w:val="none"/>
                    </w:rPr>
                    <w:t>0.25%</w:t>
                  </w:r>
                </w:p>
              </w:tc>
              <w:tc>
                <w:tcPr>
                  <w:tcW w:w="1218" w:type="dxa"/>
                  <w:noWrap/>
                  <w:vAlign w:val="center"/>
                </w:tcPr>
                <w:p w14:paraId="7CEEE9FD">
                  <w:pPr>
                    <w:keepNext w:val="0"/>
                    <w:keepLines w:val="0"/>
                    <w:suppressLineNumbers w:val="0"/>
                    <w:tabs>
                      <w:tab w:val="left" w:pos="6255"/>
                    </w:tabs>
                    <w:spacing w:before="0" w:beforeAutospacing="0" w:after="0" w:afterAutospacing="0" w:line="480" w:lineRule="exact"/>
                    <w:ind w:left="0" w:right="0"/>
                    <w:jc w:val="center"/>
                    <w:rPr>
                      <w:rFonts w:hint="default" w:ascii="Calibri" w:hAnsi="Calibri" w:eastAsia="仿宋" w:cs="Times New Roman"/>
                      <w:sz w:val="24"/>
                      <w:highlight w:val="none"/>
                    </w:rPr>
                  </w:pPr>
                  <w:r>
                    <w:rPr>
                      <w:rFonts w:hint="eastAsia" w:ascii="Calibri" w:hAnsi="Calibri" w:eastAsia="仿宋" w:cs="Times New Roman"/>
                      <w:sz w:val="24"/>
                      <w:highlight w:val="none"/>
                    </w:rPr>
                    <w:t>0.10%</w:t>
                  </w:r>
                </w:p>
              </w:tc>
              <w:tc>
                <w:tcPr>
                  <w:tcW w:w="1349" w:type="dxa"/>
                  <w:noWrap/>
                  <w:vAlign w:val="center"/>
                </w:tcPr>
                <w:p w14:paraId="5CBA5D1F">
                  <w:pPr>
                    <w:keepNext w:val="0"/>
                    <w:keepLines w:val="0"/>
                    <w:suppressLineNumbers w:val="0"/>
                    <w:tabs>
                      <w:tab w:val="left" w:pos="6255"/>
                    </w:tabs>
                    <w:spacing w:before="0" w:beforeAutospacing="0" w:after="0" w:afterAutospacing="0" w:line="480" w:lineRule="exact"/>
                    <w:ind w:left="0" w:right="0"/>
                    <w:jc w:val="center"/>
                    <w:rPr>
                      <w:rFonts w:hint="default" w:ascii="Calibri" w:hAnsi="Calibri" w:eastAsia="仿宋" w:cs="Times New Roman"/>
                      <w:sz w:val="24"/>
                      <w:highlight w:val="none"/>
                    </w:rPr>
                  </w:pPr>
                  <w:r>
                    <w:rPr>
                      <w:rFonts w:hint="eastAsia" w:ascii="Calibri" w:hAnsi="Calibri" w:eastAsia="仿宋" w:cs="Times New Roman"/>
                      <w:sz w:val="24"/>
                      <w:highlight w:val="none"/>
                    </w:rPr>
                    <w:t>0.20%</w:t>
                  </w:r>
                </w:p>
              </w:tc>
            </w:tr>
            <w:tr w14:paraId="1A5890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2" w:hRule="atLeast"/>
                <w:jc w:val="center"/>
              </w:trPr>
              <w:tc>
                <w:tcPr>
                  <w:tcW w:w="5268" w:type="dxa"/>
                  <w:gridSpan w:val="4"/>
                  <w:noWrap/>
                  <w:vAlign w:val="center"/>
                </w:tcPr>
                <w:p w14:paraId="34173528">
                  <w:pPr>
                    <w:keepNext w:val="0"/>
                    <w:keepLines w:val="0"/>
                    <w:widowControl/>
                    <w:suppressLineNumbers w:val="0"/>
                    <w:spacing w:before="0" w:beforeAutospacing="0" w:after="0" w:afterAutospacing="0" w:line="288" w:lineRule="auto"/>
                    <w:ind w:left="0" w:right="0"/>
                    <w:rPr>
                      <w:rFonts w:hint="default" w:ascii="Calibri" w:hAnsi="Calibri" w:eastAsia="仿宋" w:cs="Times New Roman"/>
                      <w:sz w:val="24"/>
                      <w:highlight w:val="none"/>
                    </w:rPr>
                  </w:pPr>
                  <w:r>
                    <w:rPr>
                      <w:rFonts w:hint="eastAsia" w:ascii="宋体" w:hAnsi="宋体" w:eastAsia="仿宋" w:cs="Times New Roman"/>
                      <w:color w:val="000000"/>
                      <w:sz w:val="24"/>
                      <w:highlight w:val="none"/>
                    </w:rPr>
                    <w:t>备注：</w:t>
                  </w:r>
                  <w:r>
                    <w:rPr>
                      <w:rFonts w:hint="eastAsia" w:ascii="宋体" w:hAnsi="宋体" w:eastAsia="仿宋" w:cs="Times New Roman"/>
                      <w:color w:val="000000"/>
                      <w:sz w:val="24"/>
                      <w:highlight w:val="none"/>
                      <w:lang w:val="en-US" w:eastAsia="zh-CN"/>
                    </w:rPr>
                    <w:t>中标人</w:t>
                  </w:r>
                  <w:r>
                    <w:rPr>
                      <w:rFonts w:hint="eastAsia" w:ascii="宋体" w:hAnsi="宋体" w:eastAsia="仿宋" w:cs="Times New Roman"/>
                      <w:color w:val="000000"/>
                      <w:sz w:val="24"/>
                      <w:highlight w:val="none"/>
                    </w:rPr>
                    <w:t>应参照以上规定的</w:t>
                  </w:r>
                  <w:r>
                    <w:rPr>
                      <w:rFonts w:hint="eastAsia" w:ascii="宋体" w:hAnsi="宋体" w:eastAsia="仿宋" w:cs="Times New Roman"/>
                      <w:color w:val="000000"/>
                      <w:sz w:val="24"/>
                      <w:highlight w:val="none"/>
                      <w:lang w:val="en-US" w:eastAsia="zh-CN"/>
                    </w:rPr>
                    <w:t>货物类</w:t>
                  </w:r>
                  <w:r>
                    <w:rPr>
                      <w:rFonts w:hint="eastAsia" w:ascii="宋体" w:hAnsi="宋体" w:eastAsia="仿宋" w:cs="Times New Roman"/>
                      <w:color w:val="000000"/>
                      <w:sz w:val="24"/>
                      <w:highlight w:val="none"/>
                    </w:rPr>
                    <w:t>标准</w:t>
                  </w:r>
                  <w:r>
                    <w:rPr>
                      <w:rFonts w:hint="eastAsia" w:ascii="宋体" w:hAnsi="宋体" w:eastAsia="仿宋" w:cs="Times New Roman"/>
                      <w:color w:val="000000"/>
                      <w:sz w:val="24"/>
                      <w:highlight w:val="none"/>
                      <w:lang w:val="en-US" w:eastAsia="zh-CN"/>
                    </w:rPr>
                    <w:t>*80%</w:t>
                  </w:r>
                  <w:r>
                    <w:rPr>
                      <w:rFonts w:hint="eastAsia" w:ascii="宋体" w:hAnsi="宋体" w:eastAsia="仿宋" w:cs="Times New Roman"/>
                      <w:color w:val="000000"/>
                      <w:sz w:val="24"/>
                      <w:highlight w:val="none"/>
                    </w:rPr>
                    <w:t>，向</w:t>
                  </w:r>
                  <w:r>
                    <w:rPr>
                      <w:rFonts w:hint="eastAsia" w:ascii="宋体" w:hAnsi="宋体" w:eastAsia="仿宋" w:cs="Times New Roman"/>
                      <w:color w:val="000000"/>
                      <w:sz w:val="24"/>
                      <w:highlight w:val="none"/>
                      <w:lang w:val="en-US" w:eastAsia="zh-CN"/>
                    </w:rPr>
                    <w:t>招标</w:t>
                  </w:r>
                  <w:r>
                    <w:rPr>
                      <w:rFonts w:hint="eastAsia" w:ascii="宋体" w:hAnsi="宋体" w:eastAsia="仿宋" w:cs="Times New Roman"/>
                      <w:color w:val="000000"/>
                      <w:sz w:val="24"/>
                      <w:highlight w:val="none"/>
                    </w:rPr>
                    <w:t>代理机构交纳采购代理服务费(不含税)。</w:t>
                  </w:r>
                </w:p>
              </w:tc>
            </w:tr>
          </w:tbl>
          <w:p w14:paraId="1DBF86F5">
            <w:pPr>
              <w:keepNext w:val="0"/>
              <w:keepLines w:val="0"/>
              <w:widowControl/>
              <w:suppressLineNumbers w:val="0"/>
              <w:adjustRightInd w:val="0"/>
              <w:snapToGrid w:val="0"/>
              <w:spacing w:before="0" w:beforeAutospacing="0" w:after="0" w:afterAutospacing="0" w:line="288" w:lineRule="auto"/>
              <w:ind w:left="0" w:right="0"/>
              <w:rPr>
                <w:rFonts w:hint="eastAsia" w:ascii="楷体" w:hAnsi="楷体" w:eastAsia="仿宋" w:cs="Calibri"/>
                <w:color w:val="auto"/>
                <w:sz w:val="24"/>
                <w:highlight w:val="none"/>
              </w:rPr>
            </w:pPr>
          </w:p>
        </w:tc>
      </w:tr>
      <w:tr w14:paraId="14C98B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56114B91">
            <w:pPr>
              <w:keepNext w:val="0"/>
              <w:keepLines w:val="0"/>
              <w:widowControl/>
              <w:suppressLineNumbers w:val="0"/>
              <w:adjustRightInd w:val="0"/>
              <w:snapToGrid w:val="0"/>
              <w:spacing w:before="0" w:beforeAutospacing="0" w:after="0" w:afterAutospacing="0" w:line="288" w:lineRule="auto"/>
              <w:ind w:left="0" w:right="0"/>
              <w:jc w:val="center"/>
              <w:rPr>
                <w:rFonts w:hint="default" w:ascii="宋体" w:hAnsi="宋体" w:cs="Calibri"/>
                <w:color w:val="auto"/>
                <w:sz w:val="24"/>
                <w:highlight w:val="none"/>
              </w:rPr>
            </w:pPr>
            <w:r>
              <w:rPr>
                <w:rFonts w:hint="eastAsia" w:ascii="宋体" w:hAnsi="宋体" w:eastAsia="仿宋" w:cs="Calibri"/>
                <w:color w:val="auto"/>
                <w:sz w:val="24"/>
                <w:highlight w:val="none"/>
              </w:rPr>
              <w:t>7.3.1</w:t>
            </w:r>
          </w:p>
        </w:tc>
        <w:tc>
          <w:tcPr>
            <w:tcW w:w="1581" w:type="dxa"/>
            <w:noWrap w:val="0"/>
            <w:vAlign w:val="center"/>
          </w:tcPr>
          <w:p w14:paraId="1FBC42E2">
            <w:pPr>
              <w:keepNext w:val="0"/>
              <w:keepLines w:val="0"/>
              <w:widowControl/>
              <w:suppressLineNumbers w:val="0"/>
              <w:adjustRightInd w:val="0"/>
              <w:snapToGrid w:val="0"/>
              <w:spacing w:before="0" w:beforeAutospacing="0" w:after="0" w:afterAutospacing="0" w:line="288" w:lineRule="auto"/>
              <w:ind w:left="0" w:right="0"/>
              <w:jc w:val="center"/>
              <w:rPr>
                <w:rFonts w:hint="default" w:ascii="宋体" w:hAnsi="宋体" w:cs="Calibri"/>
                <w:color w:val="auto"/>
                <w:sz w:val="24"/>
                <w:highlight w:val="none"/>
              </w:rPr>
            </w:pPr>
            <w:r>
              <w:rPr>
                <w:rFonts w:hint="eastAsia" w:ascii="宋体" w:hAnsi="宋体" w:eastAsia="仿宋" w:cs="Calibri"/>
                <w:color w:val="auto"/>
                <w:sz w:val="24"/>
                <w:highlight w:val="none"/>
              </w:rPr>
              <w:t>履约保证金</w:t>
            </w:r>
          </w:p>
        </w:tc>
        <w:tc>
          <w:tcPr>
            <w:tcW w:w="7229" w:type="dxa"/>
            <w:noWrap w:val="0"/>
            <w:vAlign w:val="top"/>
          </w:tcPr>
          <w:p w14:paraId="6E8AA6C0">
            <w:pPr>
              <w:keepNext w:val="0"/>
              <w:keepLines w:val="0"/>
              <w:suppressLineNumbers w:val="0"/>
              <w:kinsoku w:val="0"/>
              <w:overflowPunct w:val="0"/>
              <w:autoSpaceDE w:val="0"/>
              <w:autoSpaceDN w:val="0"/>
              <w:adjustRightInd w:val="0"/>
              <w:snapToGrid w:val="0"/>
              <w:spacing w:before="0" w:beforeAutospacing="0" w:after="0" w:afterAutospacing="0" w:line="288" w:lineRule="auto"/>
              <w:ind w:left="0" w:right="0"/>
              <w:rPr>
                <w:rFonts w:hint="eastAsia" w:ascii="Calibri" w:hAnsi="Calibri" w:eastAsia="仿宋" w:cs="Times New Roman"/>
                <w:color w:val="auto"/>
                <w:sz w:val="24"/>
                <w:highlight w:val="none"/>
              </w:rPr>
            </w:pPr>
            <w:r>
              <w:rPr>
                <w:rFonts w:hint="eastAsia" w:ascii="Calibri" w:hAnsi="Calibri" w:eastAsia="仿宋" w:cs="Times New Roman"/>
                <w:color w:val="auto"/>
                <w:sz w:val="24"/>
                <w:highlight w:val="none"/>
              </w:rPr>
              <w:t>是否要求投标人提交履约保证金：</w:t>
            </w:r>
          </w:p>
          <w:p w14:paraId="1477E183">
            <w:pPr>
              <w:keepNext w:val="0"/>
              <w:keepLines w:val="0"/>
              <w:suppressLineNumbers w:val="0"/>
              <w:kinsoku w:val="0"/>
              <w:overflowPunct w:val="0"/>
              <w:autoSpaceDE w:val="0"/>
              <w:autoSpaceDN w:val="0"/>
              <w:adjustRightInd w:val="0"/>
              <w:snapToGrid w:val="0"/>
              <w:spacing w:before="0" w:beforeAutospacing="0" w:after="0" w:afterAutospacing="0" w:line="288" w:lineRule="auto"/>
              <w:ind w:left="0" w:right="0"/>
              <w:rPr>
                <w:rFonts w:hint="eastAsia" w:ascii="宋体" w:hAnsi="宋体" w:eastAsia="仿宋" w:cs="Times New Roman"/>
                <w:color w:val="auto"/>
                <w:sz w:val="24"/>
                <w:highlight w:val="none"/>
              </w:rPr>
            </w:pPr>
            <w:r>
              <w:rPr>
                <w:rFonts w:hint="eastAsia" w:ascii="宋体" w:hAnsi="宋体" w:eastAsia="仿宋" w:cs="Times New Roman"/>
                <w:color w:val="auto"/>
                <w:sz w:val="24"/>
                <w:highlight w:val="none"/>
              </w:rPr>
              <w:sym w:font="Wingdings 2" w:char="00A3"/>
            </w:r>
            <w:r>
              <w:rPr>
                <w:rFonts w:hint="eastAsia" w:ascii="Calibri" w:hAnsi="Calibri" w:eastAsia="仿宋" w:cs="Times New Roman"/>
                <w:color w:val="auto"/>
                <w:sz w:val="24"/>
                <w:highlight w:val="none"/>
              </w:rPr>
              <w:t>不要求。</w:t>
            </w:r>
          </w:p>
          <w:p w14:paraId="049E8B94">
            <w:pPr>
              <w:keepNext w:val="0"/>
              <w:keepLines w:val="0"/>
              <w:widowControl/>
              <w:suppressLineNumbers w:val="0"/>
              <w:adjustRightInd w:val="0"/>
              <w:snapToGrid w:val="0"/>
              <w:spacing w:before="0" w:beforeAutospacing="0" w:after="0" w:afterAutospacing="0" w:line="288" w:lineRule="auto"/>
              <w:ind w:left="0" w:right="0"/>
              <w:rPr>
                <w:rFonts w:hint="eastAsia" w:ascii="宋体" w:hAnsi="宋体" w:eastAsia="仿宋" w:cs="Times New Roman"/>
                <w:color w:val="auto"/>
                <w:sz w:val="24"/>
                <w:highlight w:val="none"/>
              </w:rPr>
            </w:pPr>
            <w:r>
              <w:rPr>
                <w:rFonts w:hint="default" w:ascii="Segoe UI Symbol" w:hAnsi="Segoe UI Symbol" w:eastAsia="仿宋" w:cs="Segoe UI Symbol"/>
                <w:color w:val="auto"/>
                <w:sz w:val="24"/>
                <w:highlight w:val="none"/>
              </w:rPr>
              <w:t>☑</w:t>
            </w:r>
            <w:r>
              <w:rPr>
                <w:rFonts w:hint="eastAsia" w:ascii="Calibri" w:hAnsi="Calibri" w:eastAsia="仿宋" w:cs="Times New Roman"/>
                <w:color w:val="auto"/>
                <w:sz w:val="24"/>
                <w:highlight w:val="none"/>
              </w:rPr>
              <w:t>要求，</w:t>
            </w:r>
            <w:r>
              <w:rPr>
                <w:rFonts w:hint="default" w:ascii="宋体" w:hAnsi="宋体" w:eastAsia="仿宋" w:cs="Times New Roman"/>
                <w:color w:val="auto"/>
                <w:sz w:val="24"/>
                <w:highlight w:val="none"/>
              </w:rPr>
              <w:t>履约保证金的形式：</w:t>
            </w:r>
            <w:r>
              <w:rPr>
                <w:rFonts w:hint="eastAsia" w:ascii="楷体" w:hAnsi="楷体" w:eastAsia="仿宋" w:cs="Times New Roman"/>
                <w:color w:val="auto"/>
                <w:sz w:val="24"/>
                <w:highlight w:val="none"/>
                <w:shd w:val="clear" w:color="auto" w:fill="auto"/>
              </w:rPr>
              <w:t>保函（格式：见招标文件第五章附件）</w:t>
            </w:r>
            <w:r>
              <w:rPr>
                <w:rFonts w:hint="default" w:ascii="宋体" w:hAnsi="宋体" w:eastAsia="仿宋" w:cs="Times New Roman"/>
                <w:color w:val="auto"/>
                <w:sz w:val="24"/>
                <w:highlight w:val="none"/>
              </w:rPr>
              <w:t>履约保证金的金额：</w:t>
            </w:r>
            <w:r>
              <w:rPr>
                <w:rFonts w:hint="eastAsia" w:ascii="楷体" w:hAnsi="楷体" w:eastAsia="仿宋" w:cs="Times New Roman"/>
                <w:color w:val="auto"/>
                <w:sz w:val="24"/>
                <w:highlight w:val="none"/>
              </w:rPr>
              <w:t>合同金额的2.5%</w:t>
            </w:r>
          </w:p>
          <w:p w14:paraId="68CA6EF9">
            <w:pPr>
              <w:pStyle w:val="25"/>
              <w:keepNext w:val="0"/>
              <w:keepLines w:val="0"/>
              <w:widowControl/>
              <w:suppressLineNumbers w:val="0"/>
              <w:adjustRightInd w:val="0"/>
              <w:snapToGrid w:val="0"/>
              <w:spacing w:before="0" w:beforeAutospacing="0" w:after="0" w:afterAutospacing="0" w:line="288" w:lineRule="auto"/>
              <w:ind w:left="0" w:right="0"/>
              <w:rPr>
                <w:rFonts w:hint="eastAsia" w:ascii="楷体" w:hAnsi="楷体" w:eastAsia="仿宋" w:cs="Times New Roman"/>
                <w:color w:val="auto"/>
                <w:sz w:val="24"/>
                <w:szCs w:val="24"/>
                <w:highlight w:val="none"/>
              </w:rPr>
            </w:pPr>
            <w:r>
              <w:rPr>
                <w:rFonts w:hint="eastAsia" w:hAnsi="宋体" w:eastAsia="仿宋" w:cs="Times New Roman"/>
                <w:color w:val="auto"/>
                <w:sz w:val="24"/>
                <w:szCs w:val="24"/>
                <w:highlight w:val="none"/>
              </w:rPr>
              <w:t>履约保证金提交时间：采购</w:t>
            </w:r>
            <w:r>
              <w:rPr>
                <w:rFonts w:hint="eastAsia" w:ascii="楷体" w:hAnsi="楷体" w:eastAsia="仿宋" w:cs="Times New Roman"/>
                <w:color w:val="auto"/>
                <w:sz w:val="24"/>
                <w:szCs w:val="24"/>
                <w:highlight w:val="none"/>
              </w:rPr>
              <w:t>合同签订前，由中标人签订合同前递交给各使用单位</w:t>
            </w:r>
          </w:p>
          <w:p w14:paraId="4ECA644A">
            <w:pPr>
              <w:pStyle w:val="25"/>
              <w:keepNext w:val="0"/>
              <w:keepLines w:val="0"/>
              <w:widowControl/>
              <w:suppressLineNumbers w:val="0"/>
              <w:adjustRightInd w:val="0"/>
              <w:snapToGrid w:val="0"/>
              <w:spacing w:before="0" w:beforeAutospacing="0" w:after="0" w:afterAutospacing="0" w:line="288" w:lineRule="auto"/>
              <w:ind w:left="0" w:right="0"/>
              <w:rPr>
                <w:rFonts w:hint="eastAsia" w:ascii="楷体" w:hAnsi="楷体" w:eastAsia="仿宋" w:cs="Times New Roman"/>
                <w:color w:val="auto"/>
                <w:sz w:val="24"/>
                <w:szCs w:val="24"/>
                <w:highlight w:val="none"/>
              </w:rPr>
            </w:pPr>
            <w:r>
              <w:rPr>
                <w:rFonts w:hint="eastAsia" w:hAnsi="宋体" w:eastAsia="仿宋" w:cs="Times New Roman"/>
                <w:color w:val="auto"/>
                <w:sz w:val="24"/>
                <w:szCs w:val="24"/>
                <w:highlight w:val="none"/>
              </w:rPr>
              <w:t>履约保证金退还时间：</w:t>
            </w:r>
            <w:r>
              <w:rPr>
                <w:rFonts w:hint="eastAsia" w:ascii="楷体" w:hAnsi="楷体" w:eastAsia="仿宋" w:cs="Times New Roman"/>
                <w:color w:val="auto"/>
                <w:sz w:val="24"/>
                <w:szCs w:val="24"/>
                <w:highlight w:val="none"/>
              </w:rPr>
              <w:t>验收合格后退还</w:t>
            </w:r>
          </w:p>
          <w:p w14:paraId="0691B02F">
            <w:pPr>
              <w:pStyle w:val="25"/>
              <w:keepNext w:val="0"/>
              <w:keepLines w:val="0"/>
              <w:widowControl/>
              <w:suppressLineNumbers w:val="0"/>
              <w:adjustRightInd w:val="0"/>
              <w:snapToGrid w:val="0"/>
              <w:spacing w:before="0" w:beforeAutospacing="0" w:after="0" w:afterAutospacing="0" w:line="288" w:lineRule="auto"/>
              <w:ind w:left="0" w:right="0"/>
              <w:rPr>
                <w:rFonts w:hint="eastAsia" w:hAnsi="宋体" w:eastAsia="仿宋" w:cs="Times New Roman"/>
                <w:color w:val="auto"/>
                <w:sz w:val="24"/>
                <w:szCs w:val="24"/>
                <w:highlight w:val="none"/>
              </w:rPr>
            </w:pPr>
            <w:r>
              <w:rPr>
                <w:rFonts w:hint="eastAsia" w:hAnsi="宋体" w:eastAsia="仿宋" w:cs="Times New Roman"/>
                <w:color w:val="auto"/>
                <w:sz w:val="24"/>
                <w:szCs w:val="24"/>
                <w:highlight w:val="none"/>
              </w:rPr>
              <w:t>未按规定提交履约保证金，视为中标人拒绝与采购人</w:t>
            </w:r>
            <w:r>
              <w:rPr>
                <w:rFonts w:hint="eastAsia" w:hAnsi="宋体" w:eastAsia="仿宋" w:cs="Calibri"/>
                <w:color w:val="auto"/>
                <w:sz w:val="24"/>
                <w:highlight w:val="none"/>
              </w:rPr>
              <w:t>或使用单位</w:t>
            </w:r>
            <w:r>
              <w:rPr>
                <w:rFonts w:hint="eastAsia" w:hAnsi="宋体" w:eastAsia="仿宋" w:cs="Times New Roman"/>
                <w:color w:val="auto"/>
                <w:sz w:val="24"/>
                <w:szCs w:val="24"/>
                <w:highlight w:val="none"/>
              </w:rPr>
              <w:t>签订合同。采购人可按评标委员会推荐的中标候选人名单排序确定下一候选人为中标人，或者重新开展采购活动。</w:t>
            </w:r>
          </w:p>
          <w:p w14:paraId="698831EB">
            <w:pPr>
              <w:keepNext w:val="0"/>
              <w:keepLines w:val="0"/>
              <w:widowControl/>
              <w:suppressLineNumbers w:val="0"/>
              <w:adjustRightInd w:val="0"/>
              <w:snapToGrid w:val="0"/>
              <w:spacing w:before="0" w:beforeAutospacing="0" w:after="0" w:afterAutospacing="0" w:line="288" w:lineRule="auto"/>
              <w:ind w:left="0" w:right="0"/>
              <w:rPr>
                <w:rFonts w:hint="eastAsia" w:ascii="宋体" w:hAnsi="宋体" w:eastAsia="仿宋" w:cs="Calibri"/>
                <w:color w:val="auto"/>
                <w:sz w:val="24"/>
                <w:highlight w:val="none"/>
              </w:rPr>
            </w:pPr>
            <w:r>
              <w:rPr>
                <w:rFonts w:hint="eastAsia" w:ascii="宋体" w:hAnsi="宋体" w:eastAsia="仿宋" w:cs="Calibri"/>
                <w:color w:val="auto"/>
                <w:sz w:val="24"/>
                <w:highlight w:val="none"/>
              </w:rPr>
              <w:t>保函要求：</w:t>
            </w:r>
          </w:p>
          <w:p w14:paraId="35963CF0">
            <w:pPr>
              <w:keepNext w:val="0"/>
              <w:keepLines w:val="0"/>
              <w:widowControl/>
              <w:suppressLineNumbers w:val="0"/>
              <w:adjustRightInd w:val="0"/>
              <w:snapToGrid w:val="0"/>
              <w:spacing w:before="0" w:beforeAutospacing="0" w:after="0" w:afterAutospacing="0" w:line="288" w:lineRule="auto"/>
              <w:ind w:left="0" w:right="0"/>
              <w:rPr>
                <w:rFonts w:hint="default" w:ascii="宋体" w:hAnsi="宋体" w:eastAsia="仿宋" w:cs="Calibri"/>
                <w:color w:val="auto"/>
                <w:sz w:val="24"/>
                <w:highlight w:val="none"/>
              </w:rPr>
            </w:pPr>
            <w:r>
              <w:rPr>
                <w:rFonts w:hint="eastAsia" w:ascii="宋体" w:hAnsi="宋体" w:eastAsia="仿宋" w:cs="Calibri"/>
                <w:color w:val="auto"/>
                <w:sz w:val="24"/>
                <w:highlight w:val="none"/>
              </w:rPr>
              <w:t>（1）中标人提供保函的受益人和收取单位须为</w:t>
            </w:r>
            <w:r>
              <w:rPr>
                <w:rFonts w:hint="eastAsia" w:ascii="楷体" w:hAnsi="楷体" w:eastAsia="仿宋" w:cs="Times New Roman"/>
                <w:color w:val="auto"/>
                <w:sz w:val="24"/>
                <w:highlight w:val="none"/>
              </w:rPr>
              <w:t>使用单位</w:t>
            </w:r>
            <w:r>
              <w:rPr>
                <w:rFonts w:hint="eastAsia" w:ascii="宋体" w:hAnsi="宋体" w:eastAsia="仿宋" w:cs="Calibri"/>
                <w:color w:val="auto"/>
                <w:sz w:val="24"/>
                <w:highlight w:val="none"/>
              </w:rPr>
              <w:t>，担保期限不少于合同履约期限。</w:t>
            </w:r>
          </w:p>
          <w:p w14:paraId="7EEB4958">
            <w:pPr>
              <w:keepNext w:val="0"/>
              <w:keepLines w:val="0"/>
              <w:widowControl/>
              <w:suppressLineNumbers w:val="0"/>
              <w:adjustRightInd w:val="0"/>
              <w:snapToGrid w:val="0"/>
              <w:spacing w:before="0" w:beforeAutospacing="0" w:after="0" w:afterAutospacing="0" w:line="288" w:lineRule="auto"/>
              <w:ind w:left="0" w:right="0"/>
              <w:rPr>
                <w:rFonts w:hint="default" w:ascii="宋体" w:hAnsi="宋体" w:cs="Calibri"/>
                <w:color w:val="auto"/>
                <w:sz w:val="24"/>
                <w:highlight w:val="none"/>
              </w:rPr>
            </w:pPr>
            <w:r>
              <w:rPr>
                <w:rFonts w:hint="eastAsia" w:ascii="宋体" w:hAnsi="宋体" w:eastAsia="仿宋" w:cs="Calibri"/>
                <w:color w:val="auto"/>
                <w:sz w:val="24"/>
                <w:highlight w:val="none"/>
              </w:rPr>
              <w:t>（2）保函形式：☑银行保函☑担保机构担保</w:t>
            </w:r>
            <w:r>
              <w:rPr>
                <w:rFonts w:hint="eastAsia" w:ascii="MS Mincho" w:hAnsi="MS Mincho" w:eastAsia="MS Mincho" w:cs="MS Mincho"/>
                <w:color w:val="auto"/>
                <w:sz w:val="24"/>
                <w:highlight w:val="none"/>
              </w:rPr>
              <w:t>☑</w:t>
            </w:r>
            <w:r>
              <w:rPr>
                <w:rFonts w:hint="eastAsia" w:ascii="宋体" w:hAnsi="宋体" w:eastAsia="仿宋" w:cs="Calibri"/>
                <w:color w:val="auto"/>
                <w:sz w:val="24"/>
                <w:highlight w:val="none"/>
              </w:rPr>
              <w:t>保证保险</w:t>
            </w:r>
            <w:r>
              <w:rPr>
                <w:rFonts w:hint="eastAsia" w:ascii="MS Mincho" w:hAnsi="MS Mincho" w:eastAsia="MS Mincho" w:cs="MS Mincho"/>
                <w:color w:val="auto"/>
                <w:sz w:val="24"/>
                <w:highlight w:val="none"/>
              </w:rPr>
              <w:t>☑</w:t>
            </w:r>
            <w:r>
              <w:rPr>
                <w:rFonts w:hint="eastAsia" w:ascii="宋体" w:hAnsi="宋体" w:eastAsia="仿宋" w:cs="Calibri"/>
                <w:color w:val="auto"/>
                <w:sz w:val="24"/>
                <w:highlight w:val="none"/>
              </w:rPr>
              <w:t>电子保函</w:t>
            </w:r>
          </w:p>
          <w:p w14:paraId="1F4B527F">
            <w:pPr>
              <w:keepNext w:val="0"/>
              <w:keepLines w:val="0"/>
              <w:widowControl/>
              <w:suppressLineNumbers w:val="0"/>
              <w:adjustRightInd w:val="0"/>
              <w:snapToGrid w:val="0"/>
              <w:spacing w:before="0" w:beforeAutospacing="0" w:after="0" w:afterAutospacing="0" w:line="288" w:lineRule="auto"/>
              <w:ind w:left="0" w:right="0"/>
              <w:rPr>
                <w:rFonts w:hint="eastAsia" w:ascii="宋体" w:hAnsi="宋体" w:eastAsia="仿宋" w:cs="Calibri"/>
                <w:color w:val="auto"/>
                <w:sz w:val="24"/>
                <w:highlight w:val="none"/>
              </w:rPr>
            </w:pPr>
            <w:r>
              <w:rPr>
                <w:rFonts w:hint="eastAsia" w:ascii="宋体" w:hAnsi="宋体" w:eastAsia="仿宋" w:cs="Calibri"/>
                <w:color w:val="auto"/>
                <w:sz w:val="24"/>
                <w:highlight w:val="none"/>
              </w:rPr>
              <w:t>（3）保函递交要求：</w:t>
            </w:r>
          </w:p>
          <w:p w14:paraId="64C040ED">
            <w:pPr>
              <w:keepNext w:val="0"/>
              <w:keepLines w:val="0"/>
              <w:widowControl/>
              <w:suppressLineNumbers w:val="0"/>
              <w:adjustRightInd w:val="0"/>
              <w:snapToGrid w:val="0"/>
              <w:spacing w:before="0" w:beforeAutospacing="0" w:after="0" w:afterAutospacing="0" w:line="288" w:lineRule="auto"/>
              <w:ind w:left="0" w:right="0"/>
              <w:rPr>
                <w:rFonts w:hint="eastAsia" w:ascii="宋体" w:hAnsi="宋体" w:eastAsia="仿宋" w:cs="Calibri"/>
                <w:color w:val="auto"/>
                <w:sz w:val="24"/>
                <w:highlight w:val="none"/>
              </w:rPr>
            </w:pPr>
            <w:r>
              <w:rPr>
                <w:rFonts w:hint="eastAsia" w:ascii="宋体" w:hAnsi="宋体" w:eastAsia="仿宋" w:cs="Calibri"/>
                <w:color w:val="auto"/>
                <w:sz w:val="24"/>
                <w:highlight w:val="none"/>
              </w:rPr>
              <w:t>①如采用银行保函，银行保函应为见索即付无条件独立保函，且应将原件交至</w:t>
            </w:r>
            <w:r>
              <w:rPr>
                <w:rFonts w:hint="eastAsia" w:ascii="楷体" w:hAnsi="楷体" w:eastAsia="仿宋" w:cs="Times New Roman"/>
                <w:color w:val="auto"/>
                <w:sz w:val="24"/>
                <w:highlight w:val="none"/>
              </w:rPr>
              <w:t>使用单位</w:t>
            </w:r>
            <w:r>
              <w:rPr>
                <w:rFonts w:hint="eastAsia" w:ascii="宋体" w:hAnsi="宋体" w:eastAsia="仿宋" w:cs="Calibri"/>
                <w:color w:val="auto"/>
                <w:sz w:val="24"/>
                <w:highlight w:val="none"/>
              </w:rPr>
              <w:t>保管。</w:t>
            </w:r>
          </w:p>
          <w:p w14:paraId="175EF114">
            <w:pPr>
              <w:keepNext w:val="0"/>
              <w:keepLines w:val="0"/>
              <w:widowControl/>
              <w:suppressLineNumbers w:val="0"/>
              <w:adjustRightInd w:val="0"/>
              <w:snapToGrid w:val="0"/>
              <w:spacing w:before="0" w:beforeAutospacing="0" w:after="0" w:afterAutospacing="0" w:line="288" w:lineRule="auto"/>
              <w:ind w:left="0" w:right="0"/>
              <w:rPr>
                <w:rFonts w:hint="eastAsia" w:ascii="宋体" w:hAnsi="宋体" w:eastAsia="仿宋" w:cs="Calibri"/>
                <w:color w:val="auto"/>
                <w:sz w:val="24"/>
                <w:highlight w:val="none"/>
              </w:rPr>
            </w:pPr>
            <w:r>
              <w:rPr>
                <w:rFonts w:hint="eastAsia" w:ascii="宋体" w:hAnsi="宋体" w:eastAsia="仿宋" w:cs="Calibri"/>
                <w:color w:val="auto"/>
                <w:sz w:val="24"/>
                <w:highlight w:val="none"/>
              </w:rPr>
              <w:t>②采用担保机构担保的，应为依法取得融资担保业务经营许可证的融资担保机构出具的不可撤销、不可转让的见索即付独立保函。</w:t>
            </w:r>
          </w:p>
          <w:p w14:paraId="6341CD41">
            <w:pPr>
              <w:keepNext w:val="0"/>
              <w:keepLines w:val="0"/>
              <w:widowControl/>
              <w:suppressLineNumbers w:val="0"/>
              <w:adjustRightInd w:val="0"/>
              <w:snapToGrid w:val="0"/>
              <w:spacing w:before="0" w:beforeAutospacing="0" w:after="0" w:afterAutospacing="0" w:line="288" w:lineRule="auto"/>
              <w:ind w:left="0" w:right="0"/>
              <w:rPr>
                <w:rFonts w:hint="eastAsia" w:ascii="宋体" w:hAnsi="宋体" w:eastAsia="仿宋" w:cs="Calibri"/>
                <w:color w:val="auto"/>
                <w:sz w:val="24"/>
                <w:highlight w:val="none"/>
              </w:rPr>
            </w:pPr>
            <w:r>
              <w:rPr>
                <w:rFonts w:hint="eastAsia" w:ascii="宋体" w:hAnsi="宋体" w:eastAsia="仿宋" w:cs="Calibri"/>
                <w:color w:val="auto"/>
                <w:sz w:val="24"/>
                <w:highlight w:val="none"/>
              </w:rPr>
              <w:t>③采用保证保险的，应为保险公司出具的不可撤销、不可转让的见索即付保证保险。</w:t>
            </w:r>
          </w:p>
          <w:p w14:paraId="10981E86">
            <w:pPr>
              <w:keepNext w:val="0"/>
              <w:keepLines w:val="0"/>
              <w:widowControl/>
              <w:suppressLineNumbers w:val="0"/>
              <w:adjustRightInd w:val="0"/>
              <w:snapToGrid w:val="0"/>
              <w:spacing w:before="0" w:beforeAutospacing="0" w:after="0" w:afterAutospacing="0" w:line="288" w:lineRule="auto"/>
              <w:ind w:left="0" w:right="0"/>
              <w:rPr>
                <w:rFonts w:hint="eastAsia" w:ascii="宋体" w:hAnsi="宋体" w:eastAsia="仿宋" w:cs="Calibri"/>
                <w:color w:val="auto"/>
                <w:sz w:val="24"/>
                <w:highlight w:val="none"/>
              </w:rPr>
            </w:pPr>
            <w:r>
              <w:rPr>
                <w:rFonts w:hint="eastAsia" w:ascii="仿宋" w:hAnsi="仿宋" w:eastAsia="仿宋" w:cs="仿宋"/>
                <w:color w:val="auto"/>
                <w:sz w:val="24"/>
                <w:highlight w:val="none"/>
                <w:lang w:bidi="ar"/>
              </w:rPr>
              <w:t>④</w:t>
            </w:r>
            <w:r>
              <w:rPr>
                <w:rFonts w:hint="eastAsia" w:ascii="宋体" w:hAnsi="宋体" w:eastAsia="仿宋" w:cs="Calibri"/>
                <w:color w:val="auto"/>
                <w:sz w:val="24"/>
                <w:highlight w:val="none"/>
                <w:lang w:bidi="ar"/>
              </w:rPr>
              <w:t>采用电子保函的，</w:t>
            </w:r>
            <w:r>
              <w:rPr>
                <w:rFonts w:hint="eastAsia" w:ascii="宋体" w:hAnsi="宋体" w:eastAsia="仿宋" w:cs="Times New Roman"/>
                <w:color w:val="auto"/>
                <w:sz w:val="24"/>
                <w:highlight w:val="none"/>
              </w:rPr>
              <w:t>可访问安徽省政府采购网“融资/保函”栏目进行申请。</w:t>
            </w:r>
          </w:p>
        </w:tc>
      </w:tr>
      <w:tr w14:paraId="1F853E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1D12F473">
            <w:pPr>
              <w:keepNext w:val="0"/>
              <w:keepLines w:val="0"/>
              <w:widowControl/>
              <w:suppressLineNumbers w:val="0"/>
              <w:adjustRightInd w:val="0"/>
              <w:snapToGrid w:val="0"/>
              <w:spacing w:before="0" w:beforeAutospacing="0" w:after="0" w:afterAutospacing="0" w:line="288" w:lineRule="auto"/>
              <w:ind w:left="0" w:right="0"/>
              <w:jc w:val="center"/>
              <w:rPr>
                <w:rFonts w:hint="default" w:ascii="宋体" w:hAnsi="宋体" w:cs="Calibri"/>
                <w:color w:val="000000"/>
                <w:sz w:val="24"/>
                <w:highlight w:val="none"/>
              </w:rPr>
            </w:pPr>
            <w:r>
              <w:rPr>
                <w:rFonts w:hint="eastAsia" w:ascii="宋体" w:hAnsi="宋体" w:eastAsia="仿宋" w:cs="Calibri"/>
                <w:color w:val="000000"/>
                <w:sz w:val="24"/>
                <w:highlight w:val="none"/>
              </w:rPr>
              <w:t>7.4.1</w:t>
            </w:r>
          </w:p>
        </w:tc>
        <w:tc>
          <w:tcPr>
            <w:tcW w:w="1581" w:type="dxa"/>
            <w:noWrap w:val="0"/>
            <w:vAlign w:val="center"/>
          </w:tcPr>
          <w:p w14:paraId="2BB1D77E">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color w:val="000000"/>
                <w:sz w:val="24"/>
                <w:highlight w:val="none"/>
              </w:rPr>
            </w:pPr>
            <w:r>
              <w:rPr>
                <w:rFonts w:hint="eastAsia" w:ascii="宋体" w:hAnsi="宋体" w:eastAsia="仿宋" w:cs="Calibri"/>
                <w:color w:val="000000"/>
                <w:sz w:val="24"/>
                <w:highlight w:val="none"/>
              </w:rPr>
              <w:t>合同签订时间</w:t>
            </w:r>
          </w:p>
        </w:tc>
        <w:tc>
          <w:tcPr>
            <w:tcW w:w="7229" w:type="dxa"/>
            <w:noWrap w:val="0"/>
            <w:vAlign w:val="center"/>
          </w:tcPr>
          <w:p w14:paraId="29024B35">
            <w:pPr>
              <w:pStyle w:val="25"/>
              <w:keepNext w:val="0"/>
              <w:keepLines w:val="0"/>
              <w:widowControl/>
              <w:suppressLineNumbers w:val="0"/>
              <w:adjustRightInd w:val="0"/>
              <w:snapToGrid w:val="0"/>
              <w:spacing w:before="0" w:beforeAutospacing="0" w:after="0" w:afterAutospacing="0" w:line="288" w:lineRule="auto"/>
              <w:ind w:left="0" w:right="0"/>
              <w:rPr>
                <w:rFonts w:hint="eastAsia" w:hAnsi="宋体" w:cs="Times New Roman"/>
                <w:color w:val="000000"/>
                <w:sz w:val="24"/>
                <w:szCs w:val="24"/>
                <w:highlight w:val="none"/>
              </w:rPr>
            </w:pPr>
            <w:r>
              <w:rPr>
                <w:rFonts w:hint="eastAsia" w:ascii="楷体" w:hAnsi="楷体" w:eastAsia="仿宋" w:cs="楷体"/>
                <w:color w:val="000000"/>
                <w:sz w:val="24"/>
                <w:szCs w:val="24"/>
                <w:highlight w:val="none"/>
              </w:rPr>
              <w:t>中标结果公告发布（中标通知书发出）之日起7个工作日内</w:t>
            </w:r>
          </w:p>
        </w:tc>
      </w:tr>
      <w:tr w14:paraId="0251E0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683C3973">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color w:val="000000"/>
                <w:sz w:val="24"/>
                <w:highlight w:val="none"/>
              </w:rPr>
            </w:pPr>
            <w:r>
              <w:rPr>
                <w:rFonts w:hint="eastAsia" w:ascii="宋体" w:hAnsi="宋体" w:eastAsia="仿宋" w:cs="Calibri"/>
                <w:color w:val="000000"/>
                <w:sz w:val="24"/>
                <w:highlight w:val="none"/>
              </w:rPr>
              <w:t>9.1.1</w:t>
            </w:r>
          </w:p>
        </w:tc>
        <w:tc>
          <w:tcPr>
            <w:tcW w:w="1581" w:type="dxa"/>
            <w:noWrap w:val="0"/>
            <w:vAlign w:val="center"/>
          </w:tcPr>
          <w:p w14:paraId="042AA677">
            <w:pPr>
              <w:keepNext w:val="0"/>
              <w:keepLines w:val="0"/>
              <w:widowControl/>
              <w:suppressLineNumbers w:val="0"/>
              <w:adjustRightInd w:val="0"/>
              <w:snapToGrid w:val="0"/>
              <w:spacing w:before="0" w:beforeAutospacing="0" w:after="0" w:afterAutospacing="0" w:line="288" w:lineRule="auto"/>
              <w:ind w:left="0" w:right="0"/>
              <w:jc w:val="center"/>
              <w:rPr>
                <w:rFonts w:hint="default" w:ascii="宋体" w:hAnsi="宋体" w:eastAsia="仿宋" w:cs="Calibri"/>
                <w:color w:val="000000"/>
                <w:sz w:val="24"/>
                <w:highlight w:val="none"/>
              </w:rPr>
            </w:pPr>
            <w:r>
              <w:rPr>
                <w:rFonts w:hint="default" w:ascii="Calibri" w:hAnsi="Calibri" w:eastAsia="仿宋" w:cs="Times New Roman"/>
                <w:color w:val="000000"/>
                <w:sz w:val="24"/>
                <w:highlight w:val="none"/>
              </w:rPr>
              <w:t>投标人</w:t>
            </w:r>
            <w:r>
              <w:rPr>
                <w:rFonts w:hint="eastAsia" w:ascii="Calibri" w:hAnsi="Calibri" w:eastAsia="仿宋" w:cs="Times New Roman"/>
                <w:color w:val="000000"/>
                <w:sz w:val="24"/>
                <w:highlight w:val="none"/>
              </w:rPr>
              <w:t>提出询问</w:t>
            </w:r>
            <w:r>
              <w:rPr>
                <w:rFonts w:hint="eastAsia" w:ascii="宋体" w:hAnsi="宋体" w:eastAsia="仿宋" w:cs="Calibri"/>
                <w:color w:val="000000"/>
                <w:sz w:val="24"/>
                <w:highlight w:val="none"/>
              </w:rPr>
              <w:t>的时间</w:t>
            </w:r>
          </w:p>
        </w:tc>
        <w:tc>
          <w:tcPr>
            <w:tcW w:w="7229" w:type="dxa"/>
            <w:noWrap w:val="0"/>
            <w:vAlign w:val="center"/>
          </w:tcPr>
          <w:p w14:paraId="305C6E38">
            <w:pPr>
              <w:keepNext w:val="0"/>
              <w:keepLines w:val="0"/>
              <w:widowControl/>
              <w:suppressLineNumbers w:val="0"/>
              <w:adjustRightInd w:val="0"/>
              <w:snapToGrid w:val="0"/>
              <w:spacing w:before="0" w:beforeAutospacing="0" w:after="0" w:afterAutospacing="0" w:line="288" w:lineRule="auto"/>
              <w:ind w:left="0" w:right="0"/>
              <w:rPr>
                <w:rFonts w:hint="eastAsia" w:ascii="宋体" w:hAnsi="宋体" w:eastAsia="仿宋" w:cs="Calibri"/>
                <w:color w:val="000000"/>
                <w:sz w:val="24"/>
                <w:highlight w:val="none"/>
              </w:rPr>
            </w:pPr>
            <w:r>
              <w:rPr>
                <w:rFonts w:hint="eastAsia" w:ascii="Calibri" w:hAnsi="Calibri" w:eastAsia="仿宋" w:cs="Times New Roman"/>
                <w:color w:val="000000"/>
                <w:sz w:val="24"/>
                <w:highlight w:val="none"/>
              </w:rPr>
              <w:t>提出</w:t>
            </w:r>
            <w:r>
              <w:rPr>
                <w:rFonts w:hint="eastAsia" w:ascii="宋体" w:hAnsi="宋体" w:eastAsia="仿宋" w:cs="Calibri"/>
                <w:color w:val="000000"/>
                <w:sz w:val="24"/>
                <w:highlight w:val="none"/>
              </w:rPr>
              <w:t>时间：</w:t>
            </w:r>
            <w:r>
              <w:rPr>
                <w:rFonts w:hint="default" w:ascii="楷体" w:hAnsi="楷体" w:eastAsia="仿宋" w:cs="Times New Roman"/>
                <w:color w:val="000000"/>
                <w:sz w:val="24"/>
                <w:highlight w:val="none"/>
              </w:rPr>
              <w:t>在</w:t>
            </w:r>
            <w:r>
              <w:rPr>
                <w:rFonts w:hint="eastAsia" w:ascii="楷体" w:hAnsi="楷体" w:eastAsia="仿宋" w:cs="Times New Roman"/>
                <w:color w:val="000000"/>
                <w:sz w:val="24"/>
                <w:highlight w:val="none"/>
              </w:rPr>
              <w:t>投标截止时</w:t>
            </w:r>
            <w:r>
              <w:rPr>
                <w:rFonts w:hint="eastAsia" w:ascii="楷体" w:hAnsi="楷体" w:eastAsia="仿宋" w:cs="Times New Roman"/>
                <w:color w:val="auto"/>
                <w:sz w:val="24"/>
                <w:highlight w:val="none"/>
              </w:rPr>
              <w:t>间16日</w:t>
            </w:r>
            <w:r>
              <w:rPr>
                <w:rFonts w:hint="default" w:ascii="楷体" w:hAnsi="楷体" w:eastAsia="仿宋" w:cs="Times New Roman"/>
                <w:color w:val="auto"/>
                <w:sz w:val="24"/>
                <w:highlight w:val="none"/>
              </w:rPr>
              <w:t>前（</w:t>
            </w:r>
            <w:r>
              <w:rPr>
                <w:rFonts w:hint="default" w:ascii="楷体" w:hAnsi="楷体" w:eastAsia="仿宋" w:cs="Times New Roman"/>
                <w:color w:val="000000"/>
                <w:sz w:val="24"/>
                <w:highlight w:val="none"/>
              </w:rPr>
              <w:t>以收到日期为准）</w:t>
            </w:r>
          </w:p>
          <w:p w14:paraId="456B2F10">
            <w:pPr>
              <w:keepNext w:val="0"/>
              <w:keepLines w:val="0"/>
              <w:widowControl/>
              <w:suppressLineNumbers w:val="0"/>
              <w:adjustRightInd w:val="0"/>
              <w:snapToGrid w:val="0"/>
              <w:spacing w:before="0" w:beforeAutospacing="0" w:after="0" w:afterAutospacing="0" w:line="288" w:lineRule="auto"/>
              <w:ind w:left="0" w:right="0"/>
              <w:rPr>
                <w:rFonts w:hint="eastAsia" w:ascii="楷体" w:hAnsi="楷体" w:eastAsia="仿宋" w:cs="Times New Roman"/>
                <w:color w:val="000000"/>
                <w:sz w:val="24"/>
                <w:highlight w:val="none"/>
                <w:u w:val="single"/>
              </w:rPr>
            </w:pPr>
            <w:r>
              <w:rPr>
                <w:rFonts w:hint="eastAsia" w:ascii="宋体" w:hAnsi="宋体" w:eastAsia="仿宋" w:cs="Times New Roman"/>
                <w:color w:val="000000"/>
                <w:sz w:val="24"/>
                <w:highlight w:val="none"/>
              </w:rPr>
              <w:t>询问函格式：见本章附件二</w:t>
            </w:r>
          </w:p>
        </w:tc>
      </w:tr>
      <w:tr w14:paraId="26DB0E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712197E1">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color w:val="000000"/>
                <w:sz w:val="24"/>
                <w:highlight w:val="none"/>
              </w:rPr>
            </w:pPr>
            <w:r>
              <w:rPr>
                <w:rFonts w:hint="eastAsia" w:ascii="宋体" w:hAnsi="宋体" w:eastAsia="仿宋" w:cs="Calibri"/>
                <w:color w:val="000000"/>
                <w:sz w:val="24"/>
                <w:highlight w:val="none"/>
              </w:rPr>
              <w:t>9.2.1</w:t>
            </w:r>
          </w:p>
        </w:tc>
        <w:tc>
          <w:tcPr>
            <w:tcW w:w="1581" w:type="dxa"/>
            <w:noWrap w:val="0"/>
            <w:vAlign w:val="center"/>
          </w:tcPr>
          <w:p w14:paraId="41F1B03F">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color w:val="000000"/>
                <w:sz w:val="24"/>
                <w:highlight w:val="none"/>
              </w:rPr>
            </w:pPr>
            <w:r>
              <w:rPr>
                <w:rFonts w:hint="eastAsia" w:ascii="宋体" w:hAnsi="宋体" w:eastAsia="仿宋" w:cs="Calibri"/>
                <w:color w:val="000000"/>
                <w:sz w:val="24"/>
                <w:highlight w:val="none"/>
              </w:rPr>
              <w:t>投标人提出质疑的时间</w:t>
            </w:r>
          </w:p>
        </w:tc>
        <w:tc>
          <w:tcPr>
            <w:tcW w:w="7229" w:type="dxa"/>
            <w:noWrap w:val="0"/>
            <w:vAlign w:val="center"/>
          </w:tcPr>
          <w:p w14:paraId="216E369E">
            <w:pPr>
              <w:keepNext w:val="0"/>
              <w:keepLines w:val="0"/>
              <w:widowControl/>
              <w:suppressLineNumbers w:val="0"/>
              <w:adjustRightInd w:val="0"/>
              <w:snapToGrid w:val="0"/>
              <w:spacing w:before="0" w:beforeAutospacing="0" w:after="0" w:afterAutospacing="0" w:line="288" w:lineRule="auto"/>
              <w:ind w:left="0" w:right="0"/>
              <w:rPr>
                <w:rFonts w:hint="eastAsia" w:ascii="宋体" w:hAnsi="宋体" w:eastAsia="仿宋" w:cs="Calibri"/>
                <w:color w:val="000000"/>
                <w:sz w:val="24"/>
                <w:highlight w:val="none"/>
                <w:u w:val="single"/>
              </w:rPr>
            </w:pPr>
            <w:r>
              <w:rPr>
                <w:rFonts w:hint="eastAsia" w:ascii="Calibri" w:hAnsi="Calibri" w:eastAsia="仿宋" w:cs="Times New Roman"/>
                <w:color w:val="000000"/>
                <w:sz w:val="24"/>
                <w:highlight w:val="none"/>
              </w:rPr>
              <w:t>提出</w:t>
            </w:r>
            <w:r>
              <w:rPr>
                <w:rFonts w:hint="eastAsia" w:ascii="宋体" w:hAnsi="宋体" w:eastAsia="仿宋" w:cs="Calibri"/>
                <w:color w:val="000000"/>
                <w:sz w:val="24"/>
                <w:highlight w:val="none"/>
              </w:rPr>
              <w:t>时间：</w:t>
            </w:r>
            <w:r>
              <w:rPr>
                <w:rFonts w:hint="eastAsia" w:ascii="楷体" w:hAnsi="楷体" w:eastAsia="仿宋" w:cs="Calibri"/>
                <w:color w:val="000000"/>
                <w:sz w:val="24"/>
                <w:highlight w:val="none"/>
              </w:rPr>
              <w:t>知道或者应知其权益受到损害之日起7个工作日内</w:t>
            </w:r>
          </w:p>
          <w:p w14:paraId="4D203C48">
            <w:pPr>
              <w:keepNext w:val="0"/>
              <w:keepLines w:val="0"/>
              <w:widowControl/>
              <w:suppressLineNumbers w:val="0"/>
              <w:adjustRightInd w:val="0"/>
              <w:snapToGrid w:val="0"/>
              <w:spacing w:before="0" w:beforeAutospacing="0" w:after="0" w:afterAutospacing="0" w:line="288" w:lineRule="auto"/>
              <w:ind w:left="0" w:right="0"/>
              <w:rPr>
                <w:rFonts w:hint="default" w:ascii="宋体" w:hAnsi="宋体" w:eastAsia="仿宋" w:cs="Times New Roman"/>
                <w:color w:val="000000"/>
                <w:sz w:val="24"/>
                <w:highlight w:val="none"/>
              </w:rPr>
            </w:pPr>
            <w:r>
              <w:rPr>
                <w:rFonts w:hint="eastAsia" w:ascii="宋体" w:hAnsi="宋体" w:eastAsia="仿宋" w:cs="Times New Roman"/>
                <w:color w:val="000000"/>
                <w:sz w:val="24"/>
                <w:highlight w:val="none"/>
              </w:rPr>
              <w:t>质疑函格式：见本章附件二</w:t>
            </w:r>
          </w:p>
        </w:tc>
      </w:tr>
      <w:tr w14:paraId="76DCFA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3DCE1836">
            <w:pPr>
              <w:keepNext w:val="0"/>
              <w:keepLines w:val="0"/>
              <w:widowControl/>
              <w:suppressLineNumbers w:val="0"/>
              <w:adjustRightInd w:val="0"/>
              <w:snapToGrid w:val="0"/>
              <w:spacing w:before="0" w:beforeAutospacing="0" w:after="0" w:afterAutospacing="0" w:line="288" w:lineRule="auto"/>
              <w:ind w:left="0" w:right="0"/>
              <w:jc w:val="center"/>
              <w:rPr>
                <w:rFonts w:hint="default" w:ascii="宋体" w:hAnsi="宋体" w:eastAsia="仿宋" w:cs="Calibri"/>
                <w:color w:val="000000"/>
                <w:sz w:val="24"/>
                <w:highlight w:val="none"/>
              </w:rPr>
            </w:pPr>
            <w:r>
              <w:rPr>
                <w:rFonts w:hint="eastAsia" w:ascii="宋体" w:hAnsi="宋体" w:eastAsia="仿宋" w:cs="Calibri"/>
                <w:color w:val="000000"/>
                <w:sz w:val="24"/>
                <w:highlight w:val="none"/>
              </w:rPr>
              <w:t>9.2.2</w:t>
            </w:r>
          </w:p>
        </w:tc>
        <w:tc>
          <w:tcPr>
            <w:tcW w:w="1581" w:type="dxa"/>
            <w:noWrap w:val="0"/>
            <w:vAlign w:val="center"/>
          </w:tcPr>
          <w:p w14:paraId="0DD98E5D">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color w:val="000000"/>
                <w:sz w:val="24"/>
                <w:highlight w:val="none"/>
              </w:rPr>
            </w:pPr>
            <w:r>
              <w:rPr>
                <w:rFonts w:hint="eastAsia" w:ascii="宋体" w:hAnsi="宋体" w:eastAsia="仿宋" w:cs="Times New Roman"/>
                <w:color w:val="000000"/>
                <w:sz w:val="24"/>
                <w:highlight w:val="none"/>
              </w:rPr>
              <w:t>接收质疑的联系方式</w:t>
            </w:r>
          </w:p>
        </w:tc>
        <w:tc>
          <w:tcPr>
            <w:tcW w:w="7229" w:type="dxa"/>
            <w:noWrap w:val="0"/>
            <w:vAlign w:val="center"/>
          </w:tcPr>
          <w:p w14:paraId="58B852BD">
            <w:pPr>
              <w:keepNext w:val="0"/>
              <w:keepLines w:val="0"/>
              <w:widowControl/>
              <w:suppressLineNumbers w:val="0"/>
              <w:adjustRightInd w:val="0"/>
              <w:snapToGrid w:val="0"/>
              <w:spacing w:before="0" w:beforeAutospacing="0" w:after="0" w:afterAutospacing="0" w:line="288" w:lineRule="auto"/>
              <w:ind w:left="0" w:right="0"/>
              <w:rPr>
                <w:rFonts w:hint="eastAsia" w:ascii="宋体" w:hAnsi="宋体" w:eastAsia="仿宋" w:cs="Calibri"/>
                <w:color w:val="000000"/>
                <w:sz w:val="24"/>
                <w:highlight w:val="none"/>
              </w:rPr>
            </w:pPr>
            <w:r>
              <w:rPr>
                <w:rFonts w:hint="eastAsia" w:ascii="宋体" w:hAnsi="宋体" w:eastAsia="仿宋" w:cs="Calibri"/>
                <w:color w:val="000000"/>
                <w:sz w:val="24"/>
                <w:highlight w:val="none"/>
              </w:rPr>
              <w:t>异议（质疑）材料递交地址：安徽省合肥市包河区紫云路888号安徽省招标集团总部基地407室。</w:t>
            </w:r>
          </w:p>
          <w:p w14:paraId="4A77BD24">
            <w:pPr>
              <w:keepNext w:val="0"/>
              <w:keepLines w:val="0"/>
              <w:widowControl/>
              <w:suppressLineNumbers w:val="0"/>
              <w:adjustRightInd w:val="0"/>
              <w:snapToGrid w:val="0"/>
              <w:spacing w:before="0" w:beforeAutospacing="0" w:after="0" w:afterAutospacing="0" w:line="288" w:lineRule="auto"/>
              <w:ind w:left="0" w:right="0"/>
              <w:rPr>
                <w:rFonts w:hint="eastAsia" w:ascii="宋体" w:hAnsi="宋体" w:eastAsia="仿宋" w:cs="Calibri"/>
                <w:color w:val="000000"/>
                <w:sz w:val="24"/>
                <w:highlight w:val="none"/>
              </w:rPr>
            </w:pPr>
            <w:r>
              <w:rPr>
                <w:rFonts w:hint="eastAsia" w:ascii="宋体" w:hAnsi="宋体" w:eastAsia="仿宋" w:cs="Calibri"/>
                <w:color w:val="000000"/>
                <w:sz w:val="24"/>
                <w:highlight w:val="none"/>
              </w:rPr>
              <w:t>接收部门：安徽省招标集团法务与质管中心</w:t>
            </w:r>
          </w:p>
          <w:p w14:paraId="00011080">
            <w:pPr>
              <w:keepNext w:val="0"/>
              <w:keepLines w:val="0"/>
              <w:widowControl/>
              <w:suppressLineNumbers w:val="0"/>
              <w:adjustRightInd w:val="0"/>
              <w:snapToGrid w:val="0"/>
              <w:spacing w:before="0" w:beforeAutospacing="0" w:after="0" w:afterAutospacing="0" w:line="288" w:lineRule="auto"/>
              <w:ind w:left="0" w:right="0"/>
              <w:rPr>
                <w:rFonts w:hint="eastAsia" w:ascii="宋体" w:hAnsi="宋体" w:cs="Calibri"/>
                <w:color w:val="000000"/>
                <w:sz w:val="24"/>
                <w:highlight w:val="none"/>
              </w:rPr>
            </w:pPr>
            <w:r>
              <w:rPr>
                <w:rFonts w:hint="eastAsia" w:ascii="宋体" w:hAnsi="宋体" w:eastAsia="仿宋" w:cs="Calibri"/>
                <w:color w:val="000000"/>
                <w:sz w:val="24"/>
                <w:highlight w:val="none"/>
              </w:rPr>
              <w:t>联系电话：0551-62220155</w:t>
            </w:r>
          </w:p>
        </w:tc>
      </w:tr>
      <w:tr w14:paraId="45E5CD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48A9BCF2">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color w:val="000000"/>
                <w:sz w:val="24"/>
                <w:highlight w:val="none"/>
              </w:rPr>
            </w:pPr>
            <w:r>
              <w:rPr>
                <w:rFonts w:hint="eastAsia" w:ascii="宋体" w:hAnsi="宋体" w:eastAsia="仿宋" w:cs="Calibri"/>
                <w:color w:val="000000"/>
                <w:sz w:val="24"/>
                <w:highlight w:val="none"/>
              </w:rPr>
              <w:t>11.1.1</w:t>
            </w:r>
          </w:p>
        </w:tc>
        <w:tc>
          <w:tcPr>
            <w:tcW w:w="1581" w:type="dxa"/>
            <w:noWrap w:val="0"/>
            <w:vAlign w:val="center"/>
          </w:tcPr>
          <w:p w14:paraId="0412622B">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color w:val="000000"/>
                <w:sz w:val="24"/>
                <w:highlight w:val="none"/>
              </w:rPr>
            </w:pPr>
            <w:r>
              <w:rPr>
                <w:rFonts w:hint="eastAsia" w:ascii="宋体" w:hAnsi="宋体" w:eastAsia="仿宋" w:cs="Times New Roman"/>
                <w:color w:val="000000"/>
                <w:sz w:val="24"/>
                <w:highlight w:val="none"/>
              </w:rPr>
              <w:t>是否有强制采购的节能产品</w:t>
            </w:r>
          </w:p>
        </w:tc>
        <w:tc>
          <w:tcPr>
            <w:tcW w:w="7229" w:type="dxa"/>
            <w:noWrap w:val="0"/>
            <w:vAlign w:val="top"/>
          </w:tcPr>
          <w:p w14:paraId="21D00D9F">
            <w:pPr>
              <w:keepNext w:val="0"/>
              <w:keepLines w:val="0"/>
              <w:widowControl/>
              <w:suppressLineNumbers w:val="0"/>
              <w:snapToGrid w:val="0"/>
              <w:spacing w:before="0" w:beforeAutospacing="0" w:after="0" w:afterAutospacing="0" w:line="288" w:lineRule="auto"/>
              <w:ind w:left="0" w:right="0"/>
              <w:jc w:val="left"/>
              <w:rPr>
                <w:rFonts w:hint="eastAsia" w:ascii="宋体" w:hAnsi="宋体" w:eastAsia="仿宋" w:cs="Times New Roman"/>
                <w:color w:val="000000"/>
                <w:sz w:val="24"/>
                <w:highlight w:val="none"/>
              </w:rPr>
            </w:pPr>
            <w:r>
              <w:rPr>
                <w:rFonts w:hint="eastAsia" w:ascii="宋体" w:hAnsi="宋体" w:eastAsia="仿宋" w:cs="Times New Roman"/>
                <w:color w:val="000000"/>
                <w:sz w:val="24"/>
                <w:highlight w:val="none"/>
              </w:rPr>
              <w:t>☑没有</w:t>
            </w:r>
          </w:p>
          <w:p w14:paraId="3C3DFAD1">
            <w:pPr>
              <w:keepNext w:val="0"/>
              <w:keepLines w:val="0"/>
              <w:widowControl/>
              <w:suppressLineNumbers w:val="0"/>
              <w:snapToGrid w:val="0"/>
              <w:spacing w:before="0" w:beforeAutospacing="0" w:after="0" w:afterAutospacing="0" w:line="288" w:lineRule="auto"/>
              <w:ind w:left="0" w:right="0"/>
              <w:jc w:val="left"/>
              <w:rPr>
                <w:rFonts w:hint="eastAsia" w:ascii="宋体" w:hAnsi="宋体" w:eastAsia="仿宋" w:cs="Times New Roman"/>
                <w:color w:val="000000"/>
                <w:sz w:val="24"/>
                <w:highlight w:val="none"/>
                <w:u w:val="single"/>
              </w:rPr>
            </w:pPr>
            <w:r>
              <w:rPr>
                <w:rFonts w:hint="eastAsia" w:ascii="宋体" w:hAnsi="宋体" w:eastAsia="仿宋" w:cs="Times New Roman"/>
                <w:color w:val="000000"/>
                <w:sz w:val="24"/>
                <w:highlight w:val="none"/>
              </w:rPr>
              <w:t>□有，详见第三章“采购需求”。</w:t>
            </w:r>
          </w:p>
          <w:p w14:paraId="51391507">
            <w:pPr>
              <w:keepNext w:val="0"/>
              <w:keepLines w:val="0"/>
              <w:widowControl/>
              <w:suppressLineNumbers w:val="0"/>
              <w:snapToGrid w:val="0"/>
              <w:spacing w:before="0" w:beforeAutospacing="0" w:after="0" w:afterAutospacing="0" w:line="288" w:lineRule="auto"/>
              <w:ind w:left="0" w:right="0"/>
              <w:jc w:val="left"/>
              <w:rPr>
                <w:rFonts w:hint="eastAsia" w:ascii="宋体" w:hAnsi="宋体" w:cs="Times New Roman"/>
                <w:color w:val="000000"/>
                <w:sz w:val="24"/>
                <w:highlight w:val="none"/>
              </w:rPr>
            </w:pPr>
            <w:r>
              <w:rPr>
                <w:rFonts w:hint="default" w:ascii="宋体" w:hAnsi="宋体" w:eastAsia="仿宋" w:cs="Times New Roman"/>
                <w:color w:val="000000"/>
                <w:sz w:val="24"/>
                <w:highlight w:val="none"/>
              </w:rPr>
              <w:t>根据</w:t>
            </w:r>
            <w:r>
              <w:rPr>
                <w:rFonts w:hint="eastAsia" w:ascii="宋体" w:hAnsi="宋体" w:eastAsia="仿宋" w:cs="Times New Roman"/>
                <w:color w:val="000000"/>
                <w:sz w:val="24"/>
                <w:highlight w:val="none"/>
              </w:rPr>
              <w:t>《关于印发节能产品政府采购品目清单的通知》（财库〔2019〕19号）、</w:t>
            </w:r>
            <w:r>
              <w:rPr>
                <w:rFonts w:hint="default" w:ascii="宋体" w:hAnsi="宋体" w:eastAsia="仿宋" w:cs="Times New Roman"/>
                <w:color w:val="000000"/>
                <w:sz w:val="24"/>
                <w:highlight w:val="none"/>
              </w:rPr>
              <w:t>《</w:t>
            </w:r>
            <w:r>
              <w:rPr>
                <w:rFonts w:hint="eastAsia" w:ascii="宋体" w:hAnsi="宋体" w:eastAsia="仿宋" w:cs="Times New Roman"/>
                <w:color w:val="000000"/>
                <w:sz w:val="24"/>
                <w:highlight w:val="none"/>
              </w:rPr>
              <w:t>关于发布参与实施政府采购节能产品、环境标志产品认证机构名录的公告</w:t>
            </w:r>
            <w:r>
              <w:rPr>
                <w:rFonts w:hint="default" w:ascii="宋体" w:hAnsi="宋体" w:eastAsia="仿宋" w:cs="Times New Roman"/>
                <w:color w:val="000000"/>
                <w:sz w:val="24"/>
                <w:highlight w:val="none"/>
              </w:rPr>
              <w:t>》</w:t>
            </w:r>
            <w:r>
              <w:rPr>
                <w:rFonts w:hint="eastAsia" w:ascii="宋体" w:hAnsi="宋体" w:eastAsia="仿宋" w:cs="Times New Roman"/>
                <w:color w:val="000000"/>
                <w:sz w:val="24"/>
                <w:highlight w:val="none"/>
              </w:rPr>
              <w:t>（</w:t>
            </w:r>
            <w:r>
              <w:rPr>
                <w:rFonts w:hint="default" w:ascii="宋体" w:hAnsi="宋体" w:eastAsia="仿宋" w:cs="Times New Roman"/>
                <w:color w:val="000000"/>
                <w:sz w:val="24"/>
                <w:highlight w:val="none"/>
              </w:rPr>
              <w:t>市场监管总局2019年第16号</w:t>
            </w:r>
            <w:r>
              <w:rPr>
                <w:rFonts w:hint="eastAsia" w:ascii="宋体" w:hAnsi="宋体" w:eastAsia="仿宋" w:cs="Times New Roman"/>
                <w:color w:val="000000"/>
                <w:sz w:val="24"/>
                <w:highlight w:val="none"/>
              </w:rPr>
              <w:t>）</w:t>
            </w:r>
            <w:r>
              <w:rPr>
                <w:rFonts w:hint="default" w:ascii="宋体" w:hAnsi="宋体" w:eastAsia="仿宋" w:cs="Times New Roman"/>
                <w:color w:val="000000"/>
                <w:sz w:val="24"/>
                <w:highlight w:val="none"/>
              </w:rPr>
              <w:t>，投标人提供拟投产品在规定认证机构范围内的节字标志认证证书，方予以认定其所投产品为节能产品。</w:t>
            </w:r>
          </w:p>
        </w:tc>
      </w:tr>
      <w:tr w14:paraId="58BDDD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01064AC0">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color w:val="000000"/>
                <w:sz w:val="24"/>
                <w:highlight w:val="none"/>
              </w:rPr>
            </w:pPr>
            <w:r>
              <w:rPr>
                <w:rFonts w:hint="eastAsia" w:ascii="宋体" w:hAnsi="宋体" w:eastAsia="仿宋" w:cs="Calibri"/>
                <w:color w:val="000000"/>
                <w:sz w:val="24"/>
                <w:highlight w:val="none"/>
              </w:rPr>
              <w:t>11.1.2</w:t>
            </w:r>
          </w:p>
        </w:tc>
        <w:tc>
          <w:tcPr>
            <w:tcW w:w="1581" w:type="dxa"/>
            <w:noWrap w:val="0"/>
            <w:vAlign w:val="center"/>
          </w:tcPr>
          <w:p w14:paraId="77697F62">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Times New Roman"/>
                <w:color w:val="000000"/>
                <w:sz w:val="24"/>
                <w:highlight w:val="none"/>
              </w:rPr>
            </w:pPr>
            <w:r>
              <w:rPr>
                <w:rFonts w:hint="eastAsia" w:ascii="Calibri" w:hAnsi="Calibri" w:eastAsia="仿宋" w:cs="Times New Roman"/>
                <w:color w:val="000000"/>
                <w:sz w:val="24"/>
                <w:highlight w:val="none"/>
                <w:lang w:bidi="en-US"/>
              </w:rPr>
              <w:t>环境标志产品政府采购清单</w:t>
            </w:r>
          </w:p>
        </w:tc>
        <w:tc>
          <w:tcPr>
            <w:tcW w:w="7229" w:type="dxa"/>
            <w:noWrap w:val="0"/>
            <w:vAlign w:val="top"/>
          </w:tcPr>
          <w:p w14:paraId="5C04CA2E">
            <w:pPr>
              <w:keepNext w:val="0"/>
              <w:keepLines w:val="0"/>
              <w:widowControl/>
              <w:suppressLineNumbers w:val="0"/>
              <w:snapToGrid w:val="0"/>
              <w:spacing w:before="0" w:beforeAutospacing="0" w:after="0" w:afterAutospacing="0" w:line="288" w:lineRule="auto"/>
              <w:ind w:left="0" w:right="0"/>
              <w:jc w:val="left"/>
              <w:rPr>
                <w:rFonts w:hint="eastAsia" w:ascii="宋体" w:hAnsi="宋体" w:cs="Times New Roman"/>
                <w:color w:val="000000"/>
                <w:sz w:val="24"/>
                <w:highlight w:val="none"/>
              </w:rPr>
            </w:pPr>
            <w:r>
              <w:rPr>
                <w:rFonts w:hint="default" w:ascii="宋体" w:hAnsi="宋体" w:eastAsia="仿宋" w:cs="Times New Roman"/>
                <w:color w:val="000000"/>
                <w:sz w:val="24"/>
                <w:highlight w:val="none"/>
              </w:rPr>
              <w:t>根据</w:t>
            </w:r>
            <w:r>
              <w:rPr>
                <w:rFonts w:hint="eastAsia" w:ascii="宋体" w:hAnsi="宋体" w:eastAsia="仿宋" w:cs="Times New Roman"/>
                <w:color w:val="000000"/>
                <w:sz w:val="24"/>
                <w:highlight w:val="none"/>
              </w:rPr>
              <w:t>《关于印发环境标志产品政府采购品目清单的通知》（财库〔2019〕18号）、</w:t>
            </w:r>
            <w:r>
              <w:rPr>
                <w:rFonts w:hint="default" w:ascii="宋体" w:hAnsi="宋体" w:eastAsia="仿宋" w:cs="Times New Roman"/>
                <w:color w:val="000000"/>
                <w:sz w:val="24"/>
                <w:highlight w:val="none"/>
              </w:rPr>
              <w:t>《</w:t>
            </w:r>
            <w:r>
              <w:rPr>
                <w:rFonts w:hint="eastAsia" w:ascii="宋体" w:hAnsi="宋体" w:eastAsia="仿宋" w:cs="Times New Roman"/>
                <w:color w:val="000000"/>
                <w:sz w:val="24"/>
                <w:highlight w:val="none"/>
              </w:rPr>
              <w:t>关于发布参与实施政府采购节能产品、环境标志产品认证机构名录的公告</w:t>
            </w:r>
            <w:r>
              <w:rPr>
                <w:rFonts w:hint="default" w:ascii="宋体" w:hAnsi="宋体" w:eastAsia="仿宋" w:cs="Times New Roman"/>
                <w:color w:val="000000"/>
                <w:sz w:val="24"/>
                <w:highlight w:val="none"/>
              </w:rPr>
              <w:t>》</w:t>
            </w:r>
            <w:r>
              <w:rPr>
                <w:rFonts w:hint="eastAsia" w:ascii="宋体" w:hAnsi="宋体" w:eastAsia="仿宋" w:cs="Times New Roman"/>
                <w:color w:val="000000"/>
                <w:sz w:val="24"/>
                <w:highlight w:val="none"/>
              </w:rPr>
              <w:t>（市场监管总局</w:t>
            </w:r>
            <w:r>
              <w:rPr>
                <w:rFonts w:hint="default" w:ascii="宋体" w:hAnsi="宋体" w:eastAsia="仿宋" w:cs="Times New Roman"/>
                <w:color w:val="000000"/>
                <w:sz w:val="24"/>
                <w:highlight w:val="none"/>
              </w:rPr>
              <w:t>2019年第16号</w:t>
            </w:r>
            <w:r>
              <w:rPr>
                <w:rFonts w:hint="eastAsia" w:ascii="宋体" w:hAnsi="宋体" w:eastAsia="仿宋" w:cs="Times New Roman"/>
                <w:color w:val="000000"/>
                <w:sz w:val="24"/>
                <w:highlight w:val="none"/>
              </w:rPr>
              <w:t>），在规定的认证机构范围内，投标人提供拟投产品环境标志认证证书的，方予以认定其所投产品为环境标志产品。</w:t>
            </w:r>
          </w:p>
        </w:tc>
      </w:tr>
      <w:tr w14:paraId="49579F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6E6DB7A7">
            <w:pPr>
              <w:keepNext w:val="0"/>
              <w:keepLines w:val="0"/>
              <w:widowControl/>
              <w:suppressLineNumbers w:val="0"/>
              <w:adjustRightInd w:val="0"/>
              <w:snapToGrid w:val="0"/>
              <w:spacing w:before="0" w:beforeAutospacing="0" w:after="0" w:afterAutospacing="0" w:line="288" w:lineRule="auto"/>
              <w:ind w:left="0" w:right="0"/>
              <w:jc w:val="center"/>
              <w:rPr>
                <w:rFonts w:hint="default" w:ascii="宋体" w:hAnsi="宋体" w:eastAsia="仿宋" w:cs="Calibri"/>
                <w:color w:val="000000"/>
                <w:sz w:val="24"/>
                <w:highlight w:val="none"/>
              </w:rPr>
            </w:pPr>
            <w:r>
              <w:rPr>
                <w:rFonts w:hint="eastAsia" w:ascii="宋体" w:hAnsi="宋体" w:eastAsia="仿宋" w:cs="Calibri"/>
                <w:color w:val="000000"/>
                <w:sz w:val="24"/>
                <w:highlight w:val="none"/>
              </w:rPr>
              <w:t>11.2.1</w:t>
            </w:r>
          </w:p>
        </w:tc>
        <w:tc>
          <w:tcPr>
            <w:tcW w:w="1581" w:type="dxa"/>
            <w:noWrap w:val="0"/>
            <w:vAlign w:val="center"/>
          </w:tcPr>
          <w:p w14:paraId="03CA92F2">
            <w:pPr>
              <w:keepNext w:val="0"/>
              <w:keepLines w:val="0"/>
              <w:widowControl/>
              <w:suppressLineNumbers w:val="0"/>
              <w:adjustRightInd w:val="0"/>
              <w:snapToGrid w:val="0"/>
              <w:spacing w:before="0" w:beforeAutospacing="0" w:after="0" w:afterAutospacing="0" w:line="288" w:lineRule="auto"/>
              <w:ind w:left="0" w:right="0"/>
              <w:jc w:val="center"/>
              <w:rPr>
                <w:rFonts w:hint="eastAsia" w:ascii="Calibri" w:hAnsi="Calibri" w:eastAsia="仿宋" w:cs="Times New Roman"/>
                <w:color w:val="000000"/>
                <w:sz w:val="24"/>
                <w:highlight w:val="none"/>
                <w:lang w:bidi="en-US"/>
              </w:rPr>
            </w:pPr>
            <w:r>
              <w:rPr>
                <w:rFonts w:hint="eastAsia" w:ascii="Calibri" w:hAnsi="Calibri" w:eastAsia="仿宋" w:cs="Times New Roman"/>
                <w:color w:val="000000"/>
                <w:sz w:val="24"/>
                <w:highlight w:val="none"/>
                <w:lang w:bidi="en-US"/>
              </w:rPr>
              <w:t>中小企业认定标准</w:t>
            </w:r>
          </w:p>
        </w:tc>
        <w:tc>
          <w:tcPr>
            <w:tcW w:w="7229" w:type="dxa"/>
            <w:noWrap w:val="0"/>
            <w:vAlign w:val="top"/>
          </w:tcPr>
          <w:p w14:paraId="1708E397">
            <w:pPr>
              <w:keepNext w:val="0"/>
              <w:keepLines w:val="0"/>
              <w:widowControl/>
              <w:suppressLineNumbers w:val="0"/>
              <w:snapToGrid w:val="0"/>
              <w:spacing w:before="0" w:beforeAutospacing="0" w:after="0" w:afterAutospacing="0" w:line="288" w:lineRule="auto"/>
              <w:ind w:left="0" w:right="0"/>
              <w:jc w:val="left"/>
              <w:rPr>
                <w:rFonts w:hint="default" w:ascii="宋体" w:hAnsi="宋体" w:eastAsia="仿宋" w:cs="Times New Roman"/>
                <w:color w:val="000000"/>
                <w:sz w:val="24"/>
                <w:highlight w:val="none"/>
              </w:rPr>
            </w:pPr>
            <w:r>
              <w:rPr>
                <w:rFonts w:hint="eastAsia" w:ascii="宋体" w:hAnsi="宋体" w:eastAsia="仿宋" w:cs="Times New Roman"/>
                <w:color w:val="000000"/>
                <w:sz w:val="24"/>
                <w:highlight w:val="none"/>
              </w:rPr>
              <w:t>根据工业和信息化部、国家统计局、国家发展和改革委员会、财政部《关于印发中小企业划型标准规定的通知》（工信部联企业〔2011〕300号），采购标的对应的中小企业划分标准所属行业见第三章采购需求。</w:t>
            </w:r>
          </w:p>
        </w:tc>
      </w:tr>
      <w:tr w14:paraId="76D253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048336D8">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color w:val="000000"/>
                <w:sz w:val="24"/>
                <w:highlight w:val="none"/>
              </w:rPr>
            </w:pPr>
            <w:r>
              <w:rPr>
                <w:rFonts w:hint="eastAsia" w:ascii="宋体" w:hAnsi="宋体" w:eastAsia="仿宋" w:cs="Calibri"/>
                <w:color w:val="000000"/>
                <w:sz w:val="24"/>
                <w:highlight w:val="none"/>
              </w:rPr>
              <w:t>11.2.3</w:t>
            </w:r>
          </w:p>
        </w:tc>
        <w:tc>
          <w:tcPr>
            <w:tcW w:w="1581" w:type="dxa"/>
            <w:noWrap w:val="0"/>
            <w:vAlign w:val="center"/>
          </w:tcPr>
          <w:p w14:paraId="54452533">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color w:val="000000"/>
                <w:sz w:val="24"/>
                <w:highlight w:val="none"/>
              </w:rPr>
            </w:pPr>
            <w:r>
              <w:rPr>
                <w:rFonts w:hint="eastAsia" w:ascii="宋体" w:hAnsi="宋体" w:eastAsia="仿宋" w:cs="Calibri"/>
                <w:color w:val="000000"/>
                <w:sz w:val="24"/>
                <w:highlight w:val="none"/>
              </w:rPr>
              <w:t>价格扣除标准</w:t>
            </w:r>
          </w:p>
        </w:tc>
        <w:tc>
          <w:tcPr>
            <w:tcW w:w="7229" w:type="dxa"/>
            <w:noWrap w:val="0"/>
            <w:vAlign w:val="center"/>
          </w:tcPr>
          <w:p w14:paraId="3020E735">
            <w:pPr>
              <w:keepNext w:val="0"/>
              <w:keepLines w:val="0"/>
              <w:widowControl/>
              <w:suppressLineNumbers w:val="0"/>
              <w:snapToGrid w:val="0"/>
              <w:spacing w:before="0" w:beforeAutospacing="0" w:after="0" w:afterAutospacing="0" w:line="288" w:lineRule="auto"/>
              <w:ind w:left="0" w:right="0"/>
              <w:jc w:val="left"/>
              <w:rPr>
                <w:rFonts w:hint="eastAsia" w:ascii="宋体" w:hAnsi="宋体" w:eastAsia="仿宋" w:cs="Times New Roman"/>
                <w:color w:val="000000"/>
                <w:sz w:val="24"/>
                <w:highlight w:val="none"/>
              </w:rPr>
            </w:pPr>
            <w:r>
              <w:rPr>
                <w:rFonts w:hint="eastAsia" w:ascii="宋体" w:hAnsi="宋体" w:eastAsia="仿宋" w:cs="Times New Roman"/>
                <w:color w:val="000000"/>
                <w:sz w:val="24"/>
                <w:highlight w:val="none"/>
              </w:rPr>
              <w:t>未预留份额专门面向中小企业采购的采购项目，以及预留份额项目中的非预留部分采购包采购时，小微企业报价扣除比例：</w:t>
            </w:r>
          </w:p>
          <w:p w14:paraId="43A2B778">
            <w:pPr>
              <w:keepNext w:val="0"/>
              <w:keepLines w:val="0"/>
              <w:widowControl/>
              <w:suppressLineNumbers w:val="0"/>
              <w:snapToGrid w:val="0"/>
              <w:spacing w:before="0" w:beforeAutospacing="0" w:after="0" w:afterAutospacing="0" w:line="288" w:lineRule="auto"/>
              <w:ind w:left="0" w:right="0"/>
              <w:jc w:val="left"/>
              <w:rPr>
                <w:rFonts w:hint="default" w:ascii="Calibri" w:hAnsi="Calibri" w:eastAsia="仿宋" w:cs="Times New Roman"/>
                <w:color w:val="000000"/>
                <w:sz w:val="24"/>
                <w:highlight w:val="none"/>
                <w:lang w:bidi="en-US"/>
              </w:rPr>
            </w:pPr>
            <w:r>
              <w:rPr>
                <w:rFonts w:hint="eastAsia" w:ascii="Calibri" w:hAnsi="Calibri" w:eastAsia="仿宋" w:cs="Times New Roman"/>
                <w:color w:val="000000"/>
                <w:sz w:val="24"/>
                <w:highlight w:val="none"/>
                <w:lang w:bidi="en-US"/>
              </w:rPr>
              <w:t>（1）小型和微型企业：</w:t>
            </w:r>
            <w:r>
              <w:rPr>
                <w:rFonts w:hint="eastAsia" w:ascii="楷体" w:hAnsi="楷体" w:eastAsia="仿宋" w:cs="Calibri"/>
                <w:color w:val="000000"/>
                <w:sz w:val="24"/>
                <w:highlight w:val="none"/>
              </w:rPr>
              <w:t>10%；</w:t>
            </w:r>
          </w:p>
          <w:p w14:paraId="0D5888E5">
            <w:pPr>
              <w:keepNext w:val="0"/>
              <w:keepLines w:val="0"/>
              <w:widowControl/>
              <w:suppressLineNumbers w:val="0"/>
              <w:snapToGrid w:val="0"/>
              <w:spacing w:before="0" w:beforeAutospacing="0" w:after="0" w:afterAutospacing="0" w:line="288" w:lineRule="auto"/>
              <w:ind w:left="0" w:right="0"/>
              <w:jc w:val="left"/>
              <w:rPr>
                <w:rFonts w:hint="default" w:ascii="宋体" w:hAnsi="宋体" w:eastAsia="仿宋" w:cs="Times New Roman"/>
                <w:color w:val="000000"/>
                <w:sz w:val="24"/>
                <w:highlight w:val="none"/>
              </w:rPr>
            </w:pPr>
            <w:r>
              <w:rPr>
                <w:rFonts w:hint="eastAsia" w:ascii="Calibri" w:hAnsi="Calibri" w:eastAsia="仿宋" w:cs="Times New Roman"/>
                <w:color w:val="000000"/>
                <w:sz w:val="24"/>
                <w:highlight w:val="none"/>
                <w:lang w:bidi="en-US"/>
              </w:rPr>
              <w:t>（2）</w:t>
            </w:r>
            <w:r>
              <w:rPr>
                <w:rFonts w:hint="eastAsia" w:ascii="宋体" w:hAnsi="宋体" w:eastAsia="仿宋" w:cs="Times New Roman"/>
                <w:color w:val="000000"/>
                <w:sz w:val="24"/>
                <w:highlight w:val="none"/>
              </w:rPr>
              <w:t>对于联合协议或者分包意向协议约定小微企业的合同份额占到合同总金额30%时，对联合体或者大中型企业的报价的扣除比例:</w:t>
            </w:r>
            <w:r>
              <w:rPr>
                <w:rFonts w:hint="eastAsia" w:ascii="楷体" w:hAnsi="楷体" w:eastAsia="仿宋" w:cs="Calibri"/>
                <w:color w:val="000000"/>
                <w:sz w:val="24"/>
                <w:highlight w:val="none"/>
              </w:rPr>
              <w:t>/%。</w:t>
            </w:r>
          </w:p>
          <w:p w14:paraId="445A7139">
            <w:pPr>
              <w:keepNext w:val="0"/>
              <w:keepLines w:val="0"/>
              <w:widowControl/>
              <w:suppressLineNumbers w:val="0"/>
              <w:snapToGrid w:val="0"/>
              <w:spacing w:before="0" w:beforeAutospacing="0" w:after="0" w:afterAutospacing="0" w:line="288" w:lineRule="auto"/>
              <w:ind w:left="0" w:right="0"/>
              <w:jc w:val="left"/>
              <w:rPr>
                <w:rFonts w:hint="eastAsia" w:ascii="宋体" w:hAnsi="宋体" w:eastAsia="仿宋" w:cs="Times New Roman"/>
                <w:color w:val="000000"/>
                <w:sz w:val="24"/>
                <w:highlight w:val="none"/>
              </w:rPr>
            </w:pPr>
            <w:r>
              <w:rPr>
                <w:rFonts w:hint="eastAsia" w:ascii="宋体" w:hAnsi="宋体" w:eastAsia="仿宋" w:cs="Times New Roman"/>
                <w:color w:val="000000"/>
                <w:sz w:val="24"/>
                <w:highlight w:val="none"/>
              </w:rPr>
              <w:t>注：1.价格扣除举例说明：</w:t>
            </w:r>
            <w:r>
              <w:rPr>
                <w:rFonts w:hint="default" w:ascii="宋体" w:hAnsi="宋体" w:eastAsia="仿宋" w:cs="Times New Roman"/>
                <w:color w:val="000000"/>
                <w:sz w:val="24"/>
                <w:highlight w:val="none"/>
              </w:rPr>
              <w:t>某</w:t>
            </w:r>
            <w:r>
              <w:rPr>
                <w:rFonts w:hint="eastAsia" w:ascii="宋体" w:hAnsi="宋体" w:eastAsia="仿宋" w:cs="Times New Roman"/>
                <w:color w:val="000000"/>
                <w:sz w:val="24"/>
                <w:highlight w:val="none"/>
              </w:rPr>
              <w:t>残疾人福利单位符合财库〔2017〕141号规定的政策支持单位，属于小微企业，其投标报价为</w:t>
            </w:r>
            <w:r>
              <w:rPr>
                <w:rFonts w:hint="default" w:ascii="宋体" w:hAnsi="宋体" w:eastAsia="仿宋" w:cs="Times New Roman"/>
                <w:color w:val="000000"/>
                <w:sz w:val="24"/>
                <w:highlight w:val="none"/>
              </w:rPr>
              <w:t>100万元，“扣除后的价格”为：100万元-100万元×</w:t>
            </w:r>
            <w:r>
              <w:rPr>
                <w:rFonts w:hint="eastAsia" w:ascii="宋体" w:hAnsi="宋体" w:eastAsia="仿宋" w:cs="Times New Roman"/>
                <w:color w:val="000000"/>
                <w:sz w:val="24"/>
                <w:highlight w:val="none"/>
              </w:rPr>
              <w:t>扣除比例，用扣除后的价格参与评审。</w:t>
            </w:r>
          </w:p>
          <w:p w14:paraId="07FB5B81">
            <w:pPr>
              <w:keepNext w:val="0"/>
              <w:keepLines w:val="0"/>
              <w:widowControl/>
              <w:suppressLineNumbers w:val="0"/>
              <w:snapToGrid w:val="0"/>
              <w:spacing w:before="0" w:beforeAutospacing="0" w:after="0" w:afterAutospacing="0" w:line="288" w:lineRule="auto"/>
              <w:ind w:left="0" w:right="0"/>
              <w:jc w:val="left"/>
              <w:rPr>
                <w:rFonts w:hint="eastAsia" w:ascii="Calibri" w:hAnsi="Calibri" w:cs="Times New Roman"/>
                <w:color w:val="000000"/>
                <w:sz w:val="24"/>
                <w:highlight w:val="none"/>
                <w:lang w:bidi="en-US"/>
              </w:rPr>
            </w:pPr>
            <w:r>
              <w:rPr>
                <w:rFonts w:hint="eastAsia" w:ascii="宋体" w:hAnsi="宋体" w:eastAsia="仿宋" w:cs="Times New Roman"/>
                <w:b/>
                <w:color w:val="000000"/>
                <w:sz w:val="24"/>
                <w:highlight w:val="none"/>
              </w:rPr>
              <w:t>2.本项目将对中标人提供的《中小企业声明函》，随中标结果一并公布。如提供虚假材料，将取消中标资格并报相关部门按有关规定处理，并计入不良记录。</w:t>
            </w:r>
          </w:p>
        </w:tc>
      </w:tr>
      <w:tr w14:paraId="27A142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6F49786C">
            <w:pPr>
              <w:keepNext w:val="0"/>
              <w:keepLines w:val="0"/>
              <w:widowControl/>
              <w:suppressLineNumbers w:val="0"/>
              <w:adjustRightInd w:val="0"/>
              <w:snapToGrid w:val="0"/>
              <w:spacing w:before="0" w:beforeAutospacing="0" w:after="0" w:afterAutospacing="0" w:line="288" w:lineRule="auto"/>
              <w:ind w:left="0" w:right="0"/>
              <w:jc w:val="center"/>
              <w:rPr>
                <w:rFonts w:hint="default" w:ascii="宋体" w:hAnsi="宋体" w:cs="Calibri"/>
                <w:color w:val="000000"/>
                <w:sz w:val="24"/>
                <w:highlight w:val="none"/>
              </w:rPr>
            </w:pPr>
            <w:r>
              <w:rPr>
                <w:rFonts w:hint="eastAsia" w:ascii="宋体" w:hAnsi="宋体" w:eastAsia="仿宋" w:cs="Calibri"/>
                <w:color w:val="000000"/>
                <w:sz w:val="24"/>
                <w:highlight w:val="none"/>
              </w:rPr>
              <w:t>11.3.2</w:t>
            </w:r>
          </w:p>
        </w:tc>
        <w:tc>
          <w:tcPr>
            <w:tcW w:w="1581" w:type="dxa"/>
            <w:noWrap w:val="0"/>
            <w:vAlign w:val="center"/>
          </w:tcPr>
          <w:p w14:paraId="66FC415C">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color w:val="000000"/>
                <w:sz w:val="24"/>
                <w:highlight w:val="none"/>
              </w:rPr>
            </w:pPr>
            <w:r>
              <w:rPr>
                <w:rFonts w:hint="eastAsia" w:ascii="宋体" w:hAnsi="宋体" w:eastAsia="仿宋" w:cs="Calibri"/>
                <w:color w:val="000000"/>
                <w:sz w:val="24"/>
                <w:highlight w:val="none"/>
              </w:rPr>
              <w:t>进口产品采购</w:t>
            </w:r>
          </w:p>
        </w:tc>
        <w:tc>
          <w:tcPr>
            <w:tcW w:w="7229" w:type="dxa"/>
            <w:noWrap w:val="0"/>
            <w:vAlign w:val="center"/>
          </w:tcPr>
          <w:p w14:paraId="5A1932AC">
            <w:pPr>
              <w:keepNext w:val="0"/>
              <w:keepLines w:val="0"/>
              <w:widowControl/>
              <w:suppressLineNumbers w:val="0"/>
              <w:spacing w:before="0" w:beforeAutospacing="0" w:after="0" w:afterAutospacing="0"/>
              <w:ind w:left="0" w:right="0"/>
              <w:rPr>
                <w:rFonts w:hint="eastAsia" w:ascii="楷体" w:hAnsi="楷体" w:eastAsia="仿宋" w:cs="Calibri"/>
                <w:color w:val="000000"/>
                <w:sz w:val="24"/>
                <w:highlight w:val="none"/>
              </w:rPr>
            </w:pPr>
            <w:r>
              <w:rPr>
                <w:rFonts w:hint="eastAsia" w:ascii="楷体" w:hAnsi="楷体" w:eastAsia="仿宋" w:cs="Calibri"/>
                <w:color w:val="000000"/>
                <w:sz w:val="24"/>
                <w:highlight w:val="none"/>
              </w:rPr>
              <w:t>☑</w:t>
            </w:r>
            <w:r>
              <w:rPr>
                <w:rFonts w:hint="eastAsia" w:ascii="楷体" w:hAnsi="楷体" w:eastAsia="仿宋" w:cs="Times New Roman"/>
                <w:bCs/>
                <w:color w:val="000000"/>
                <w:sz w:val="24"/>
                <w:highlight w:val="none"/>
              </w:rPr>
              <w:t>本项目</w:t>
            </w:r>
            <w:r>
              <w:rPr>
                <w:rFonts w:hint="eastAsia" w:ascii="楷体" w:hAnsi="楷体" w:eastAsia="仿宋" w:cs="Calibri"/>
                <w:color w:val="000000"/>
                <w:sz w:val="24"/>
                <w:highlight w:val="none"/>
              </w:rPr>
              <w:t>拒绝进口产品参加投标</w:t>
            </w:r>
          </w:p>
          <w:p w14:paraId="6B05333C">
            <w:pPr>
              <w:keepNext w:val="0"/>
              <w:keepLines w:val="0"/>
              <w:widowControl/>
              <w:suppressLineNumbers w:val="0"/>
              <w:spacing w:before="0" w:beforeAutospacing="0" w:after="0" w:afterAutospacing="0"/>
              <w:ind w:left="0" w:right="0"/>
              <w:rPr>
                <w:rFonts w:hint="eastAsia" w:ascii="宋体" w:hAnsi="宋体" w:cs="Calibri"/>
                <w:color w:val="000000"/>
                <w:sz w:val="24"/>
                <w:highlight w:val="none"/>
              </w:rPr>
            </w:pPr>
            <w:r>
              <w:rPr>
                <w:rFonts w:hint="eastAsia" w:ascii="楷体" w:hAnsi="楷体" w:eastAsia="仿宋" w:cs="Calibri"/>
                <w:color w:val="000000"/>
                <w:sz w:val="24"/>
                <w:highlight w:val="none"/>
              </w:rPr>
              <w:t>□本项目包含接受进口产品投标的品目，具体要求</w:t>
            </w:r>
            <w:r>
              <w:rPr>
                <w:rFonts w:hint="eastAsia" w:ascii="宋体" w:hAnsi="宋体" w:eastAsia="仿宋" w:cs="Calibri"/>
                <w:color w:val="000000"/>
                <w:sz w:val="24"/>
                <w:highlight w:val="none"/>
              </w:rPr>
              <w:t>详见第三章采购需求。</w:t>
            </w:r>
          </w:p>
        </w:tc>
      </w:tr>
      <w:tr w14:paraId="050BA5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32961807">
            <w:pPr>
              <w:keepNext w:val="0"/>
              <w:keepLines w:val="0"/>
              <w:widowControl/>
              <w:suppressLineNumbers w:val="0"/>
              <w:adjustRightInd w:val="0"/>
              <w:snapToGrid w:val="0"/>
              <w:spacing w:before="0" w:beforeAutospacing="0" w:after="0" w:afterAutospacing="0" w:line="288" w:lineRule="auto"/>
              <w:ind w:left="0" w:right="0"/>
              <w:jc w:val="center"/>
              <w:rPr>
                <w:rFonts w:hint="default" w:ascii="宋体" w:hAnsi="宋体" w:eastAsia="仿宋" w:cs="Calibri"/>
                <w:b/>
                <w:color w:val="000000"/>
                <w:sz w:val="24"/>
                <w:highlight w:val="none"/>
              </w:rPr>
            </w:pPr>
            <w:r>
              <w:rPr>
                <w:rFonts w:hint="eastAsia" w:ascii="宋体" w:hAnsi="宋体" w:eastAsia="仿宋" w:cs="Calibri"/>
                <w:bCs/>
                <w:color w:val="000000"/>
                <w:sz w:val="24"/>
                <w:highlight w:val="none"/>
              </w:rPr>
              <w:t>11.4</w:t>
            </w:r>
          </w:p>
        </w:tc>
        <w:tc>
          <w:tcPr>
            <w:tcW w:w="1581" w:type="dxa"/>
            <w:noWrap w:val="0"/>
            <w:vAlign w:val="center"/>
          </w:tcPr>
          <w:p w14:paraId="16F14E2C">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b/>
                <w:color w:val="000000"/>
                <w:sz w:val="24"/>
                <w:highlight w:val="none"/>
              </w:rPr>
            </w:pPr>
            <w:r>
              <w:rPr>
                <w:rFonts w:hint="eastAsia" w:ascii="宋体" w:hAnsi="宋体" w:eastAsia="仿宋" w:cs="Times New Roman"/>
                <w:color w:val="000000"/>
                <w:sz w:val="24"/>
                <w:highlight w:val="none"/>
                <w:lang w:bidi="en-US"/>
              </w:rPr>
              <w:t>其他政府采购政策</w:t>
            </w:r>
          </w:p>
        </w:tc>
        <w:tc>
          <w:tcPr>
            <w:tcW w:w="7229" w:type="dxa"/>
            <w:noWrap w:val="0"/>
            <w:vAlign w:val="center"/>
          </w:tcPr>
          <w:p w14:paraId="38C91CE5">
            <w:pPr>
              <w:keepNext w:val="0"/>
              <w:keepLines w:val="0"/>
              <w:widowControl/>
              <w:suppressLineNumbers w:val="0"/>
              <w:adjustRightInd w:val="0"/>
              <w:snapToGrid w:val="0"/>
              <w:spacing w:before="0" w:beforeAutospacing="0" w:after="0" w:afterAutospacing="0" w:line="288" w:lineRule="auto"/>
              <w:ind w:left="0" w:right="0"/>
              <w:jc w:val="left"/>
              <w:rPr>
                <w:rFonts w:hint="eastAsia" w:ascii="宋体" w:hAnsi="宋体" w:eastAsia="仿宋" w:cs="Calibri"/>
                <w:b/>
                <w:color w:val="000000"/>
                <w:sz w:val="24"/>
                <w:highlight w:val="none"/>
              </w:rPr>
            </w:pPr>
            <w:r>
              <w:rPr>
                <w:rFonts w:hint="eastAsia" w:ascii="楷体" w:hAnsi="楷体" w:eastAsia="仿宋" w:cs="Calibri"/>
                <w:color w:val="000000"/>
                <w:sz w:val="24"/>
                <w:highlight w:val="none"/>
              </w:rPr>
              <w:t>无</w:t>
            </w:r>
          </w:p>
        </w:tc>
      </w:tr>
      <w:tr w14:paraId="7B0F5E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6A861089">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b/>
                <w:color w:val="000000"/>
                <w:sz w:val="24"/>
                <w:highlight w:val="none"/>
              </w:rPr>
            </w:pPr>
            <w:r>
              <w:rPr>
                <w:rFonts w:hint="eastAsia" w:ascii="宋体" w:hAnsi="宋体" w:eastAsia="仿宋" w:cs="Calibri"/>
                <w:b/>
                <w:color w:val="000000"/>
                <w:sz w:val="24"/>
                <w:highlight w:val="none"/>
              </w:rPr>
              <w:t>12</w:t>
            </w:r>
          </w:p>
        </w:tc>
        <w:tc>
          <w:tcPr>
            <w:tcW w:w="1581" w:type="dxa"/>
            <w:noWrap w:val="0"/>
            <w:vAlign w:val="center"/>
          </w:tcPr>
          <w:p w14:paraId="2EF0836B">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b/>
                <w:color w:val="000000"/>
                <w:sz w:val="24"/>
                <w:highlight w:val="none"/>
              </w:rPr>
            </w:pPr>
          </w:p>
        </w:tc>
        <w:tc>
          <w:tcPr>
            <w:tcW w:w="7229" w:type="dxa"/>
            <w:noWrap w:val="0"/>
            <w:vAlign w:val="center"/>
          </w:tcPr>
          <w:p w14:paraId="160697D2">
            <w:pPr>
              <w:keepNext w:val="0"/>
              <w:keepLines w:val="0"/>
              <w:widowControl/>
              <w:suppressLineNumbers w:val="0"/>
              <w:adjustRightInd w:val="0"/>
              <w:snapToGrid w:val="0"/>
              <w:spacing w:before="0" w:beforeAutospacing="0" w:after="0" w:afterAutospacing="0" w:line="288" w:lineRule="auto"/>
              <w:ind w:left="0" w:right="0"/>
              <w:jc w:val="center"/>
              <w:rPr>
                <w:rFonts w:hint="default" w:ascii="宋体" w:hAnsi="宋体" w:cs="Times New Roman"/>
                <w:b/>
                <w:color w:val="000000"/>
                <w:sz w:val="24"/>
                <w:highlight w:val="none"/>
              </w:rPr>
            </w:pPr>
            <w:r>
              <w:rPr>
                <w:rFonts w:hint="eastAsia" w:ascii="宋体" w:hAnsi="宋体" w:eastAsia="仿宋" w:cs="Calibri"/>
                <w:b/>
                <w:color w:val="000000"/>
                <w:sz w:val="24"/>
                <w:highlight w:val="none"/>
              </w:rPr>
              <w:t>需要补充的其他内容</w:t>
            </w:r>
          </w:p>
        </w:tc>
      </w:tr>
      <w:tr w14:paraId="40457F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7ECAC55F">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color w:val="000000"/>
                <w:sz w:val="24"/>
                <w:highlight w:val="none"/>
              </w:rPr>
            </w:pPr>
            <w:r>
              <w:rPr>
                <w:rFonts w:hint="eastAsia" w:ascii="宋体" w:hAnsi="宋体" w:eastAsia="仿宋" w:cs="Calibri"/>
                <w:color w:val="000000"/>
                <w:sz w:val="24"/>
                <w:highlight w:val="none"/>
              </w:rPr>
              <w:t>12.1</w:t>
            </w:r>
          </w:p>
        </w:tc>
        <w:tc>
          <w:tcPr>
            <w:tcW w:w="1581" w:type="dxa"/>
            <w:noWrap w:val="0"/>
            <w:vAlign w:val="center"/>
          </w:tcPr>
          <w:p w14:paraId="32F60AFB">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color w:val="000000"/>
                <w:sz w:val="24"/>
                <w:highlight w:val="none"/>
              </w:rPr>
            </w:pPr>
            <w:r>
              <w:rPr>
                <w:rFonts w:hint="eastAsia" w:ascii="宋体" w:hAnsi="宋体" w:eastAsia="仿宋" w:cs="Calibri"/>
                <w:color w:val="000000"/>
                <w:sz w:val="24"/>
                <w:highlight w:val="none"/>
              </w:rPr>
              <w:t>电子招标投标</w:t>
            </w:r>
          </w:p>
        </w:tc>
        <w:tc>
          <w:tcPr>
            <w:tcW w:w="7229" w:type="dxa"/>
            <w:noWrap w:val="0"/>
            <w:vAlign w:val="top"/>
          </w:tcPr>
          <w:p w14:paraId="1C4C75CD">
            <w:pPr>
              <w:keepNext w:val="0"/>
              <w:keepLines w:val="0"/>
              <w:widowControl/>
              <w:suppressLineNumbers w:val="0"/>
              <w:snapToGrid w:val="0"/>
              <w:spacing w:before="0" w:beforeAutospacing="0" w:after="0" w:afterAutospacing="0" w:line="288" w:lineRule="auto"/>
              <w:ind w:left="0" w:right="0"/>
              <w:jc w:val="left"/>
              <w:rPr>
                <w:rFonts w:hint="eastAsia" w:ascii="宋体" w:hAnsi="宋体" w:cs="Calibri"/>
                <w:b/>
                <w:color w:val="000000"/>
                <w:sz w:val="24"/>
                <w:highlight w:val="none"/>
              </w:rPr>
            </w:pPr>
            <w:r>
              <w:rPr>
                <w:rFonts w:hint="eastAsia" w:ascii="宋体" w:hAnsi="宋体" w:eastAsia="仿宋" w:cs="Times New Roman"/>
                <w:color w:val="000000"/>
                <w:sz w:val="24"/>
                <w:highlight w:val="none"/>
              </w:rPr>
              <w:t>采用电子招标投标，</w:t>
            </w:r>
            <w:r>
              <w:rPr>
                <w:rFonts w:hint="default" w:ascii="Calibri" w:hAnsi="Calibri" w:eastAsia="仿宋" w:cs="Times New Roman"/>
                <w:bCs/>
                <w:snapToGrid w:val="0"/>
                <w:color w:val="000000"/>
                <w:kern w:val="0"/>
                <w:sz w:val="24"/>
                <w:highlight w:val="none"/>
              </w:rPr>
              <w:t>除招标文件另有规定外，电子招标投标操作要求详见本章附件《</w:t>
            </w:r>
            <w:r>
              <w:rPr>
                <w:rFonts w:hint="eastAsia" w:ascii="Calibri" w:hAnsi="Calibri" w:eastAsia="仿宋" w:cs="Times New Roman"/>
                <w:bCs/>
                <w:snapToGrid w:val="0"/>
                <w:color w:val="000000"/>
                <w:kern w:val="0"/>
                <w:sz w:val="24"/>
                <w:highlight w:val="none"/>
              </w:rPr>
              <w:t>全流程电子招标采购具体要求</w:t>
            </w:r>
            <w:r>
              <w:rPr>
                <w:rFonts w:hint="default" w:ascii="Calibri" w:hAnsi="Calibri" w:eastAsia="仿宋" w:cs="Times New Roman"/>
                <w:bCs/>
                <w:snapToGrid w:val="0"/>
                <w:color w:val="000000"/>
                <w:kern w:val="0"/>
                <w:sz w:val="24"/>
                <w:highlight w:val="none"/>
              </w:rPr>
              <w:t>》</w:t>
            </w:r>
            <w:r>
              <w:rPr>
                <w:rFonts w:hint="eastAsia" w:ascii="Calibri" w:hAnsi="Calibri" w:eastAsia="仿宋" w:cs="Times New Roman"/>
                <w:bCs/>
                <w:snapToGrid w:val="0"/>
                <w:color w:val="000000"/>
                <w:kern w:val="0"/>
                <w:sz w:val="24"/>
                <w:highlight w:val="none"/>
              </w:rPr>
              <w:t>。</w:t>
            </w:r>
          </w:p>
        </w:tc>
      </w:tr>
      <w:tr w14:paraId="552092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1DC12087">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color w:val="000000"/>
                <w:sz w:val="24"/>
                <w:highlight w:val="none"/>
              </w:rPr>
            </w:pPr>
            <w:r>
              <w:rPr>
                <w:rFonts w:hint="eastAsia" w:ascii="宋体" w:hAnsi="宋体" w:eastAsia="仿宋" w:cs="Calibri"/>
                <w:color w:val="000000"/>
                <w:sz w:val="24"/>
                <w:highlight w:val="none"/>
              </w:rPr>
              <w:t>12.2</w:t>
            </w:r>
          </w:p>
        </w:tc>
        <w:tc>
          <w:tcPr>
            <w:tcW w:w="1581" w:type="dxa"/>
            <w:noWrap w:val="0"/>
            <w:vAlign w:val="center"/>
          </w:tcPr>
          <w:p w14:paraId="68362398">
            <w:pPr>
              <w:keepNext w:val="0"/>
              <w:keepLines w:val="0"/>
              <w:suppressLineNumbers w:val="0"/>
              <w:adjustRightInd w:val="0"/>
              <w:snapToGrid w:val="0"/>
              <w:spacing w:before="0" w:beforeAutospacing="0" w:after="0" w:afterAutospacing="0" w:line="288" w:lineRule="auto"/>
              <w:ind w:left="0" w:right="0"/>
              <w:jc w:val="center"/>
              <w:rPr>
                <w:rFonts w:hint="default" w:ascii="宋体" w:hAnsi="宋体" w:cs="Times New Roman"/>
                <w:color w:val="000000"/>
                <w:sz w:val="24"/>
                <w:highlight w:val="none"/>
              </w:rPr>
            </w:pPr>
            <w:r>
              <w:rPr>
                <w:rFonts w:hint="eastAsia" w:ascii="宋体" w:hAnsi="宋体" w:eastAsia="仿宋" w:cs="Times New Roman"/>
                <w:color w:val="000000"/>
                <w:sz w:val="24"/>
                <w:highlight w:val="none"/>
              </w:rPr>
              <w:t>原则规定与定义</w:t>
            </w:r>
          </w:p>
        </w:tc>
        <w:tc>
          <w:tcPr>
            <w:tcW w:w="7229" w:type="dxa"/>
            <w:noWrap w:val="0"/>
            <w:vAlign w:val="center"/>
          </w:tcPr>
          <w:p w14:paraId="16EF5436">
            <w:pPr>
              <w:keepNext w:val="0"/>
              <w:keepLines w:val="0"/>
              <w:suppressLineNumbers w:val="0"/>
              <w:adjustRightInd w:val="0"/>
              <w:snapToGrid w:val="0"/>
              <w:spacing w:before="0" w:beforeAutospacing="0" w:after="0" w:afterAutospacing="0" w:line="288" w:lineRule="auto"/>
              <w:ind w:left="0" w:right="0"/>
              <w:jc w:val="left"/>
              <w:rPr>
                <w:rFonts w:hint="eastAsia" w:ascii="宋体" w:hAnsi="宋体" w:eastAsia="仿宋" w:cs="Times New Roman"/>
                <w:color w:val="000000"/>
                <w:sz w:val="24"/>
                <w:highlight w:val="none"/>
              </w:rPr>
            </w:pPr>
            <w:r>
              <w:rPr>
                <w:rFonts w:hint="eastAsia" w:ascii="宋体" w:hAnsi="宋体" w:eastAsia="仿宋" w:cs="Times New Roman"/>
                <w:color w:val="000000"/>
                <w:sz w:val="24"/>
                <w:highlight w:val="none"/>
              </w:rPr>
              <w:t>（1）投标人</w:t>
            </w:r>
            <w:r>
              <w:rPr>
                <w:rFonts w:hint="default" w:ascii="宋体" w:hAnsi="宋体" w:eastAsia="仿宋" w:cs="Times New Roman"/>
                <w:color w:val="000000"/>
                <w:sz w:val="24"/>
                <w:highlight w:val="none"/>
              </w:rPr>
              <w:t>须知前附表是对</w:t>
            </w:r>
            <w:r>
              <w:rPr>
                <w:rFonts w:hint="eastAsia" w:ascii="宋体" w:hAnsi="宋体" w:eastAsia="仿宋" w:cs="Times New Roman"/>
                <w:color w:val="000000"/>
                <w:sz w:val="24"/>
                <w:highlight w:val="none"/>
              </w:rPr>
              <w:t>投标人</w:t>
            </w:r>
            <w:r>
              <w:rPr>
                <w:rFonts w:hint="default" w:ascii="宋体" w:hAnsi="宋体" w:eastAsia="仿宋" w:cs="Times New Roman"/>
                <w:color w:val="000000"/>
                <w:sz w:val="24"/>
                <w:highlight w:val="none"/>
              </w:rPr>
              <w:t>须知正文部分对应条款的补充、细化，</w:t>
            </w:r>
            <w:r>
              <w:rPr>
                <w:rFonts w:hint="eastAsia" w:ascii="宋体" w:hAnsi="宋体" w:eastAsia="仿宋" w:cs="Times New Roman"/>
                <w:color w:val="000000"/>
                <w:sz w:val="24"/>
                <w:highlight w:val="none"/>
              </w:rPr>
              <w:t>投标人</w:t>
            </w:r>
            <w:r>
              <w:rPr>
                <w:rFonts w:hint="default" w:ascii="宋体" w:hAnsi="宋体" w:eastAsia="仿宋" w:cs="Times New Roman"/>
                <w:color w:val="000000"/>
                <w:sz w:val="24"/>
                <w:highlight w:val="none"/>
              </w:rPr>
              <w:t>阅读时应与正文部分一并阅读，</w:t>
            </w:r>
            <w:r>
              <w:rPr>
                <w:rFonts w:hint="eastAsia" w:ascii="宋体" w:hAnsi="宋体" w:eastAsia="仿宋" w:cs="Times New Roman"/>
                <w:color w:val="000000"/>
                <w:sz w:val="24"/>
                <w:highlight w:val="none"/>
              </w:rPr>
              <w:t>投标人</w:t>
            </w:r>
            <w:r>
              <w:rPr>
                <w:rFonts w:hint="default" w:ascii="宋体" w:hAnsi="宋体" w:eastAsia="仿宋" w:cs="Times New Roman"/>
                <w:color w:val="000000"/>
                <w:sz w:val="24"/>
                <w:highlight w:val="none"/>
              </w:rPr>
              <w:t>须知前附表与正文部分不一致处，应以</w:t>
            </w:r>
            <w:r>
              <w:rPr>
                <w:rFonts w:hint="eastAsia" w:ascii="宋体" w:hAnsi="宋体" w:eastAsia="仿宋" w:cs="Times New Roman"/>
                <w:color w:val="000000"/>
                <w:sz w:val="24"/>
                <w:highlight w:val="none"/>
              </w:rPr>
              <w:t>投标人</w:t>
            </w:r>
            <w:r>
              <w:rPr>
                <w:rFonts w:hint="default" w:ascii="宋体" w:hAnsi="宋体" w:eastAsia="仿宋" w:cs="Times New Roman"/>
                <w:color w:val="000000"/>
                <w:sz w:val="24"/>
                <w:highlight w:val="none"/>
              </w:rPr>
              <w:t>须知前附表为准。</w:t>
            </w:r>
          </w:p>
          <w:p w14:paraId="412BCD00">
            <w:pPr>
              <w:keepNext w:val="0"/>
              <w:keepLines w:val="0"/>
              <w:suppressLineNumbers w:val="0"/>
              <w:adjustRightInd w:val="0"/>
              <w:snapToGrid w:val="0"/>
              <w:spacing w:before="0" w:beforeAutospacing="0" w:after="0" w:afterAutospacing="0" w:line="288" w:lineRule="auto"/>
              <w:ind w:left="0" w:right="0"/>
              <w:jc w:val="left"/>
              <w:rPr>
                <w:rFonts w:hint="eastAsia" w:ascii="宋体" w:hAnsi="宋体" w:eastAsia="仿宋" w:cs="Times New Roman"/>
                <w:color w:val="000000"/>
                <w:sz w:val="24"/>
                <w:highlight w:val="none"/>
              </w:rPr>
            </w:pPr>
            <w:r>
              <w:rPr>
                <w:rFonts w:hint="eastAsia" w:ascii="宋体" w:hAnsi="宋体" w:eastAsia="仿宋" w:cs="Times New Roman"/>
                <w:color w:val="000000"/>
                <w:sz w:val="24"/>
                <w:highlight w:val="none"/>
              </w:rPr>
              <w:t>（2）</w:t>
            </w:r>
            <w:r>
              <w:rPr>
                <w:rFonts w:hint="default" w:ascii="宋体" w:hAnsi="宋体" w:eastAsia="仿宋" w:cs="Times New Roman"/>
                <w:color w:val="000000"/>
                <w:sz w:val="24"/>
                <w:highlight w:val="none"/>
              </w:rPr>
              <w:t>“</w:t>
            </w:r>
            <w:r>
              <w:rPr>
                <w:rFonts w:hint="default" w:ascii="宋体" w:hAnsi="宋体" w:eastAsia="仿宋" w:cs="Times New Roman"/>
                <w:color w:val="000000"/>
                <w:sz w:val="24"/>
                <w:highlight w:val="none"/>
              </w:rPr>
              <w:sym w:font="Wingdings" w:char="F0FE"/>
            </w:r>
            <w:r>
              <w:rPr>
                <w:rFonts w:hint="default" w:ascii="宋体" w:hAnsi="宋体" w:eastAsia="仿宋" w:cs="Times New Roman"/>
                <w:color w:val="000000"/>
                <w:sz w:val="24"/>
                <w:highlight w:val="none"/>
              </w:rPr>
              <w:t>”符号表示本招标文件选定的内容；“</w:t>
            </w:r>
            <w:r>
              <w:rPr>
                <w:rFonts w:hint="eastAsia" w:ascii="宋体" w:hAnsi="宋体" w:eastAsia="仿宋" w:cs="Times New Roman"/>
                <w:color w:val="000000"/>
                <w:sz w:val="24"/>
                <w:highlight w:val="none"/>
              </w:rPr>
              <w:t>□</w:t>
            </w:r>
            <w:r>
              <w:rPr>
                <w:rFonts w:hint="default" w:ascii="宋体" w:hAnsi="宋体" w:eastAsia="仿宋" w:cs="Times New Roman"/>
                <w:color w:val="000000"/>
                <w:sz w:val="24"/>
                <w:highlight w:val="none"/>
              </w:rPr>
              <w:t>”符号表示本招标文件未选定的内容；空格中的“/”表示没有具体内容。投标人投标时请按“</w:t>
            </w:r>
            <w:r>
              <w:rPr>
                <w:rFonts w:hint="default" w:ascii="宋体" w:hAnsi="宋体" w:eastAsia="仿宋" w:cs="Times New Roman"/>
                <w:color w:val="000000"/>
                <w:sz w:val="24"/>
                <w:highlight w:val="none"/>
              </w:rPr>
              <w:sym w:font="Wingdings" w:char="F0FE"/>
            </w:r>
            <w:r>
              <w:rPr>
                <w:rFonts w:hint="default" w:ascii="宋体" w:hAnsi="宋体" w:eastAsia="仿宋" w:cs="Times New Roman"/>
                <w:color w:val="000000"/>
                <w:sz w:val="24"/>
                <w:highlight w:val="none"/>
              </w:rPr>
              <w:t>符号”选定的内容和要求参加投标。</w:t>
            </w:r>
          </w:p>
          <w:p w14:paraId="72E9FBE0">
            <w:pPr>
              <w:keepNext w:val="0"/>
              <w:keepLines w:val="0"/>
              <w:suppressLineNumbers w:val="0"/>
              <w:adjustRightInd w:val="0"/>
              <w:snapToGrid w:val="0"/>
              <w:spacing w:before="0" w:beforeAutospacing="0" w:after="0" w:afterAutospacing="0" w:line="288" w:lineRule="auto"/>
              <w:ind w:left="0" w:right="0"/>
              <w:jc w:val="left"/>
              <w:rPr>
                <w:rFonts w:hint="eastAsia" w:ascii="宋体" w:hAnsi="宋体" w:cs="Times New Roman"/>
                <w:color w:val="000000"/>
                <w:sz w:val="24"/>
                <w:highlight w:val="none"/>
              </w:rPr>
            </w:pPr>
            <w:r>
              <w:rPr>
                <w:rFonts w:hint="eastAsia" w:ascii="宋体" w:hAnsi="宋体" w:eastAsia="仿宋" w:cs="Times New Roman"/>
                <w:color w:val="000000"/>
                <w:sz w:val="24"/>
                <w:highlight w:val="none"/>
              </w:rPr>
              <w:t>（3）与合同履行有关条款中注明的“甲方”、“买方”，在招标投标阶段按“采购人”、“使用单位”理解；注明的“乙方”、“卖方”，按“投标人”理解。</w:t>
            </w:r>
          </w:p>
        </w:tc>
      </w:tr>
      <w:tr w14:paraId="5F67DF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30188354">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color w:val="000000"/>
                <w:sz w:val="24"/>
                <w:highlight w:val="none"/>
              </w:rPr>
            </w:pPr>
            <w:r>
              <w:rPr>
                <w:rFonts w:hint="eastAsia" w:ascii="宋体" w:hAnsi="宋体" w:eastAsia="仿宋" w:cs="Calibri"/>
                <w:color w:val="000000"/>
                <w:sz w:val="24"/>
                <w:highlight w:val="none"/>
              </w:rPr>
              <w:t>12.3</w:t>
            </w:r>
          </w:p>
        </w:tc>
        <w:tc>
          <w:tcPr>
            <w:tcW w:w="1581" w:type="dxa"/>
            <w:noWrap w:val="0"/>
            <w:vAlign w:val="center"/>
          </w:tcPr>
          <w:p w14:paraId="1DEAF39E">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color w:val="000000"/>
                <w:sz w:val="24"/>
                <w:highlight w:val="none"/>
              </w:rPr>
            </w:pPr>
            <w:r>
              <w:rPr>
                <w:rFonts w:hint="eastAsia" w:ascii="宋体" w:hAnsi="宋体" w:eastAsia="仿宋" w:cs="Calibri"/>
                <w:color w:val="000000"/>
                <w:sz w:val="24"/>
                <w:highlight w:val="none"/>
              </w:rPr>
              <w:t>知识产权</w:t>
            </w:r>
          </w:p>
        </w:tc>
        <w:tc>
          <w:tcPr>
            <w:tcW w:w="7229" w:type="dxa"/>
            <w:noWrap w:val="0"/>
            <w:vAlign w:val="top"/>
          </w:tcPr>
          <w:p w14:paraId="1F483FC0">
            <w:pPr>
              <w:keepNext w:val="0"/>
              <w:keepLines w:val="0"/>
              <w:suppressLineNumbers w:val="0"/>
              <w:adjustRightInd w:val="0"/>
              <w:snapToGrid w:val="0"/>
              <w:spacing w:before="0" w:beforeAutospacing="0" w:after="0" w:afterAutospacing="0" w:line="288" w:lineRule="auto"/>
              <w:ind w:left="0" w:right="0"/>
              <w:jc w:val="left"/>
              <w:rPr>
                <w:rFonts w:hint="eastAsia" w:ascii="宋体" w:hAnsi="宋体" w:eastAsia="仿宋" w:cs="Times New Roman"/>
                <w:color w:val="000000"/>
                <w:sz w:val="24"/>
                <w:highlight w:val="none"/>
              </w:rPr>
            </w:pPr>
            <w:r>
              <w:rPr>
                <w:rFonts w:hint="eastAsia" w:ascii="宋体" w:hAnsi="宋体" w:eastAsia="仿宋" w:cs="Times New Roman"/>
                <w:color w:val="000000"/>
                <w:sz w:val="24"/>
                <w:highlight w:val="none"/>
              </w:rPr>
              <w:t>（1）构成本招标文件各个组成部分的文件，未经采购人书面同意，投标人不得擅自复印和用于非本招标项目所需的其他目的。</w:t>
            </w:r>
            <w:r>
              <w:rPr>
                <w:rFonts w:hint="default" w:ascii="宋体" w:hAnsi="宋体" w:eastAsia="仿宋" w:cs="Times New Roman"/>
                <w:color w:val="000000"/>
                <w:sz w:val="24"/>
                <w:highlight w:val="none"/>
              </w:rPr>
              <w:t>如因此导致</w:t>
            </w:r>
            <w:r>
              <w:rPr>
                <w:rFonts w:hint="eastAsia" w:ascii="宋体" w:hAnsi="宋体" w:eastAsia="仿宋" w:cs="Times New Roman"/>
                <w:color w:val="000000"/>
                <w:sz w:val="24"/>
                <w:highlight w:val="none"/>
              </w:rPr>
              <w:t>采购人</w:t>
            </w:r>
            <w:r>
              <w:rPr>
                <w:rFonts w:hint="default" w:ascii="宋体" w:hAnsi="宋体" w:eastAsia="仿宋" w:cs="Times New Roman"/>
                <w:color w:val="000000"/>
                <w:sz w:val="24"/>
                <w:highlight w:val="none"/>
              </w:rPr>
              <w:t>损失的，投标人须承担全部赔偿责任。</w:t>
            </w:r>
          </w:p>
          <w:p w14:paraId="1C93F15E">
            <w:pPr>
              <w:keepNext w:val="0"/>
              <w:keepLines w:val="0"/>
              <w:suppressLineNumbers w:val="0"/>
              <w:adjustRightInd w:val="0"/>
              <w:snapToGrid w:val="0"/>
              <w:spacing w:before="0" w:beforeAutospacing="0" w:after="0" w:afterAutospacing="0" w:line="288" w:lineRule="auto"/>
              <w:ind w:left="0" w:right="0"/>
              <w:jc w:val="left"/>
              <w:rPr>
                <w:rFonts w:hint="default" w:ascii="宋体" w:hAnsi="宋体" w:cs="Times New Roman"/>
                <w:color w:val="000000"/>
                <w:sz w:val="24"/>
                <w:highlight w:val="none"/>
              </w:rPr>
            </w:pPr>
            <w:r>
              <w:rPr>
                <w:rFonts w:hint="eastAsia" w:ascii="宋体" w:hAnsi="宋体" w:eastAsia="仿宋" w:cs="Times New Roman"/>
                <w:color w:val="000000"/>
                <w:sz w:val="24"/>
                <w:highlight w:val="none"/>
              </w:rPr>
              <w:t>（2）采购人</w:t>
            </w:r>
            <w:r>
              <w:rPr>
                <w:rFonts w:hint="default" w:ascii="宋体" w:hAnsi="宋体" w:eastAsia="仿宋" w:cs="Times New Roman"/>
                <w:color w:val="000000"/>
                <w:sz w:val="24"/>
                <w:highlight w:val="none"/>
              </w:rPr>
              <w:t>在中华人民共和国境内使用</w:t>
            </w:r>
            <w:r>
              <w:rPr>
                <w:rFonts w:hint="eastAsia" w:ascii="宋体" w:hAnsi="宋体" w:eastAsia="仿宋" w:cs="Times New Roman"/>
                <w:color w:val="000000"/>
                <w:sz w:val="24"/>
                <w:highlight w:val="none"/>
              </w:rPr>
              <w:t>中</w:t>
            </w:r>
            <w:r>
              <w:rPr>
                <w:rFonts w:hint="default" w:ascii="宋体" w:hAnsi="宋体" w:eastAsia="仿宋" w:cs="Times New Roman"/>
                <w:color w:val="000000"/>
                <w:sz w:val="24"/>
                <w:highlight w:val="none"/>
              </w:rPr>
              <w:t>标货物</w:t>
            </w:r>
            <w:r>
              <w:rPr>
                <w:rFonts w:hint="eastAsia" w:ascii="宋体" w:hAnsi="宋体" w:eastAsia="仿宋" w:cs="Times New Roman"/>
                <w:color w:val="000000"/>
                <w:sz w:val="24"/>
                <w:highlight w:val="none"/>
              </w:rPr>
              <w:t>（服务）</w:t>
            </w:r>
            <w:r>
              <w:rPr>
                <w:rFonts w:hint="default" w:ascii="宋体" w:hAnsi="宋体" w:eastAsia="仿宋" w:cs="Times New Roman"/>
                <w:color w:val="000000"/>
                <w:sz w:val="24"/>
                <w:highlight w:val="none"/>
              </w:rPr>
              <w:t>、资料、技术、服务或其任何一部分时</w:t>
            </w:r>
            <w:r>
              <w:rPr>
                <w:rFonts w:hint="eastAsia" w:ascii="宋体" w:hAnsi="宋体" w:eastAsia="仿宋" w:cs="Times New Roman"/>
                <w:color w:val="000000"/>
                <w:sz w:val="24"/>
                <w:highlight w:val="none"/>
              </w:rPr>
              <w:t>，履行合同义务后</w:t>
            </w:r>
            <w:r>
              <w:rPr>
                <w:rFonts w:hint="default" w:ascii="宋体" w:hAnsi="宋体" w:eastAsia="仿宋" w:cs="Times New Roman"/>
                <w:color w:val="000000"/>
                <w:sz w:val="24"/>
                <w:highlight w:val="none"/>
              </w:rPr>
              <w:t>，享有不受限制的无偿使用权，不会产生因第三方提出侵犯其专利权、商标权或其它知识产权而引起的法律或经济纠纷。如投标人不拥有相应的知识产权，则在投标报价中必须包括合法获取该知识产权的一切相关费用。如因此导致</w:t>
            </w:r>
            <w:r>
              <w:rPr>
                <w:rFonts w:hint="eastAsia" w:ascii="宋体" w:hAnsi="宋体" w:eastAsia="仿宋" w:cs="Times New Roman"/>
                <w:color w:val="000000"/>
                <w:sz w:val="24"/>
                <w:highlight w:val="none"/>
              </w:rPr>
              <w:t>采购人</w:t>
            </w:r>
            <w:r>
              <w:rPr>
                <w:rFonts w:hint="default" w:ascii="宋体" w:hAnsi="宋体" w:eastAsia="仿宋" w:cs="Times New Roman"/>
                <w:color w:val="000000"/>
                <w:sz w:val="24"/>
                <w:highlight w:val="none"/>
              </w:rPr>
              <w:t>损失的，投标人须承担全部赔偿责任。</w:t>
            </w:r>
          </w:p>
        </w:tc>
      </w:tr>
      <w:tr w14:paraId="19A404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6C35FE2E">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color w:val="000000"/>
                <w:sz w:val="24"/>
                <w:highlight w:val="none"/>
              </w:rPr>
            </w:pPr>
            <w:r>
              <w:rPr>
                <w:rFonts w:hint="eastAsia" w:ascii="宋体" w:hAnsi="宋体" w:eastAsia="仿宋" w:cs="Calibri"/>
                <w:color w:val="000000"/>
                <w:sz w:val="24"/>
                <w:highlight w:val="none"/>
              </w:rPr>
              <w:t>12.4</w:t>
            </w:r>
          </w:p>
        </w:tc>
        <w:tc>
          <w:tcPr>
            <w:tcW w:w="1581" w:type="dxa"/>
            <w:noWrap w:val="0"/>
            <w:vAlign w:val="center"/>
          </w:tcPr>
          <w:p w14:paraId="10A89C5F">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color w:val="000000"/>
                <w:sz w:val="24"/>
                <w:highlight w:val="none"/>
              </w:rPr>
            </w:pPr>
            <w:r>
              <w:rPr>
                <w:rFonts w:hint="eastAsia" w:ascii="宋体" w:hAnsi="宋体" w:eastAsia="仿宋" w:cs="Times New Roman"/>
                <w:color w:val="000000"/>
                <w:sz w:val="24"/>
                <w:highlight w:val="none"/>
              </w:rPr>
              <w:t>投标专用章、业务专用章等效力规定</w:t>
            </w:r>
          </w:p>
        </w:tc>
        <w:tc>
          <w:tcPr>
            <w:tcW w:w="7229" w:type="dxa"/>
            <w:noWrap w:val="0"/>
            <w:vAlign w:val="center"/>
          </w:tcPr>
          <w:p w14:paraId="6747C6DB">
            <w:pPr>
              <w:keepNext w:val="0"/>
              <w:keepLines w:val="0"/>
              <w:widowControl/>
              <w:suppressLineNumbers w:val="0"/>
              <w:snapToGrid w:val="0"/>
              <w:spacing w:before="0" w:beforeAutospacing="0" w:after="0" w:afterAutospacing="0" w:line="288" w:lineRule="auto"/>
              <w:ind w:left="0" w:right="0"/>
              <w:jc w:val="left"/>
              <w:rPr>
                <w:rFonts w:hint="eastAsia" w:ascii="宋体" w:hAnsi="宋体" w:cs="Times New Roman"/>
                <w:color w:val="000000"/>
                <w:sz w:val="24"/>
                <w:highlight w:val="none"/>
              </w:rPr>
            </w:pPr>
            <w:r>
              <w:rPr>
                <w:rFonts w:hint="eastAsia" w:ascii="宋体" w:hAnsi="宋体" w:eastAsia="仿宋" w:cs="Times New Roman"/>
                <w:color w:val="000000"/>
                <w:sz w:val="24"/>
                <w:highlight w:val="none"/>
              </w:rPr>
              <w:t>招标文件中明确要求加盖公章的，投标人必须加盖投标人公章。在有授权文件(原件)表明投标专用章、业务专用章等法律效力等同于投标人公章的情况下，可以加盖投标专用章或业务专用章，否则将导致投标无效。</w:t>
            </w:r>
          </w:p>
        </w:tc>
      </w:tr>
      <w:tr w14:paraId="6E741F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52FCC5ED">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color w:val="000000"/>
                <w:sz w:val="24"/>
                <w:highlight w:val="none"/>
              </w:rPr>
            </w:pPr>
            <w:r>
              <w:rPr>
                <w:rFonts w:hint="eastAsia" w:ascii="宋体" w:hAnsi="宋体" w:eastAsia="仿宋" w:cs="Calibri"/>
                <w:color w:val="000000"/>
                <w:sz w:val="24"/>
                <w:highlight w:val="none"/>
              </w:rPr>
              <w:t>12.5</w:t>
            </w:r>
          </w:p>
        </w:tc>
        <w:tc>
          <w:tcPr>
            <w:tcW w:w="1581" w:type="dxa"/>
            <w:noWrap w:val="0"/>
            <w:vAlign w:val="center"/>
          </w:tcPr>
          <w:p w14:paraId="189A8D49">
            <w:pPr>
              <w:keepNext w:val="0"/>
              <w:keepLines w:val="0"/>
              <w:widowControl/>
              <w:suppressLineNumbers w:val="0"/>
              <w:snapToGrid w:val="0"/>
              <w:spacing w:before="0" w:beforeAutospacing="0" w:after="0" w:afterAutospacing="0" w:line="288" w:lineRule="auto"/>
              <w:ind w:left="0" w:right="0"/>
              <w:jc w:val="center"/>
              <w:rPr>
                <w:rFonts w:hint="eastAsia" w:ascii="宋体" w:hAnsi="宋体" w:cs="Calibri"/>
                <w:b/>
                <w:color w:val="000000"/>
                <w:sz w:val="24"/>
                <w:highlight w:val="none"/>
              </w:rPr>
            </w:pPr>
            <w:r>
              <w:rPr>
                <w:rFonts w:hint="eastAsia" w:ascii="宋体" w:hAnsi="宋体" w:eastAsia="仿宋" w:cs="Times New Roman"/>
                <w:color w:val="000000"/>
                <w:sz w:val="24"/>
                <w:highlight w:val="none"/>
              </w:rPr>
              <w:t>多包投标、多包中标的规定</w:t>
            </w:r>
          </w:p>
        </w:tc>
        <w:tc>
          <w:tcPr>
            <w:tcW w:w="7229" w:type="dxa"/>
            <w:noWrap w:val="0"/>
            <w:vAlign w:val="center"/>
          </w:tcPr>
          <w:p w14:paraId="0CC17E69">
            <w:pPr>
              <w:keepNext w:val="0"/>
              <w:keepLines w:val="0"/>
              <w:widowControl/>
              <w:suppressLineNumbers w:val="0"/>
              <w:snapToGrid w:val="0"/>
              <w:spacing w:before="0" w:beforeAutospacing="0" w:after="0" w:afterAutospacing="0" w:line="288" w:lineRule="auto"/>
              <w:ind w:left="0" w:right="0"/>
              <w:jc w:val="left"/>
              <w:rPr>
                <w:rFonts w:hint="default" w:ascii="仿宋" w:hAnsi="仿宋" w:eastAsia="仿宋" w:cs="Calibri"/>
                <w:color w:val="000000"/>
                <w:sz w:val="24"/>
                <w:highlight w:val="none"/>
              </w:rPr>
            </w:pPr>
            <w:r>
              <w:rPr>
                <w:rFonts w:hint="eastAsia" w:ascii="仿宋" w:hAnsi="仿宋" w:eastAsia="仿宋" w:cs="Calibri"/>
                <w:color w:val="000000"/>
                <w:sz w:val="24"/>
                <w:highlight w:val="none"/>
                <w:lang w:eastAsia="zh-CN"/>
              </w:rPr>
              <w:t>☑</w:t>
            </w:r>
            <w:r>
              <w:rPr>
                <w:rFonts w:hint="eastAsia" w:ascii="仿宋" w:hAnsi="仿宋" w:eastAsia="仿宋" w:cs="仿宋"/>
                <w:color w:val="000000"/>
                <w:kern w:val="0"/>
                <w:sz w:val="24"/>
                <w:highlight w:val="none"/>
                <w:lang w:bidi="ar"/>
              </w:rPr>
              <w:t>本项目不适用</w:t>
            </w:r>
          </w:p>
          <w:p w14:paraId="4DF97F59">
            <w:pPr>
              <w:keepNext w:val="0"/>
              <w:keepLines w:val="0"/>
              <w:widowControl/>
              <w:suppressLineNumbers w:val="0"/>
              <w:snapToGrid w:val="0"/>
              <w:spacing w:before="0" w:beforeAutospacing="0" w:after="0" w:afterAutospacing="0" w:line="288" w:lineRule="auto"/>
              <w:ind w:left="0" w:right="0"/>
              <w:jc w:val="left"/>
              <w:rPr>
                <w:rFonts w:hint="default" w:ascii="仿宋" w:hAnsi="仿宋" w:eastAsia="仿宋" w:cs="Times New Roman"/>
                <w:color w:val="000000"/>
                <w:sz w:val="24"/>
                <w:highlight w:val="none"/>
              </w:rPr>
            </w:pPr>
            <w:r>
              <w:rPr>
                <w:rFonts w:hint="eastAsia" w:ascii="仿宋" w:hAnsi="仿宋" w:eastAsia="仿宋" w:cs="Calibri"/>
                <w:color w:val="000000"/>
                <w:sz w:val="24"/>
                <w:highlight w:val="none"/>
                <w:lang w:eastAsia="zh-CN"/>
              </w:rPr>
              <w:t>□</w:t>
            </w:r>
            <w:r>
              <w:rPr>
                <w:rFonts w:hint="eastAsia" w:ascii="仿宋" w:hAnsi="仿宋" w:eastAsia="仿宋" w:cs="Calibri"/>
                <w:color w:val="000000"/>
                <w:sz w:val="24"/>
                <w:highlight w:val="none"/>
              </w:rPr>
              <w:t>投标人可对本项目一个或多个包进行投标，也可中多个包。</w:t>
            </w:r>
          </w:p>
        </w:tc>
      </w:tr>
      <w:tr w14:paraId="2B1212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7C9E25BD">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color w:val="000000"/>
                <w:sz w:val="24"/>
                <w:highlight w:val="none"/>
              </w:rPr>
            </w:pPr>
            <w:r>
              <w:rPr>
                <w:rFonts w:hint="eastAsia" w:ascii="宋体" w:hAnsi="宋体" w:eastAsia="仿宋" w:cs="Calibri"/>
                <w:color w:val="000000"/>
                <w:sz w:val="24"/>
                <w:highlight w:val="none"/>
              </w:rPr>
              <w:t>12.6</w:t>
            </w:r>
          </w:p>
        </w:tc>
        <w:tc>
          <w:tcPr>
            <w:tcW w:w="1581" w:type="dxa"/>
            <w:noWrap w:val="0"/>
            <w:vAlign w:val="center"/>
          </w:tcPr>
          <w:p w14:paraId="2C77B8B0">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color w:val="000000"/>
                <w:sz w:val="24"/>
                <w:highlight w:val="none"/>
              </w:rPr>
            </w:pPr>
            <w:r>
              <w:rPr>
                <w:rFonts w:hint="eastAsia" w:ascii="宋体" w:hAnsi="宋体" w:eastAsia="仿宋" w:cs="Calibri"/>
                <w:color w:val="000000"/>
                <w:sz w:val="24"/>
                <w:highlight w:val="none"/>
              </w:rPr>
              <w:t>相关提示</w:t>
            </w:r>
          </w:p>
        </w:tc>
        <w:tc>
          <w:tcPr>
            <w:tcW w:w="7229" w:type="dxa"/>
            <w:noWrap w:val="0"/>
            <w:vAlign w:val="center"/>
          </w:tcPr>
          <w:p w14:paraId="70E5CA99">
            <w:pPr>
              <w:keepNext w:val="0"/>
              <w:keepLines w:val="0"/>
              <w:widowControl/>
              <w:suppressLineNumbers w:val="0"/>
              <w:snapToGrid w:val="0"/>
              <w:spacing w:before="0" w:beforeAutospacing="0" w:after="0" w:afterAutospacing="0" w:line="288" w:lineRule="auto"/>
              <w:ind w:left="0" w:right="0"/>
              <w:jc w:val="left"/>
              <w:rPr>
                <w:rFonts w:hint="eastAsia" w:ascii="宋体" w:hAnsi="宋体" w:eastAsia="仿宋" w:cs="Times New Roman"/>
                <w:color w:val="000000"/>
                <w:sz w:val="24"/>
                <w:highlight w:val="none"/>
              </w:rPr>
            </w:pPr>
            <w:r>
              <w:rPr>
                <w:rFonts w:hint="eastAsia" w:ascii="宋体" w:hAnsi="宋体" w:eastAsia="仿宋" w:cs="Times New Roman"/>
                <w:color w:val="000000"/>
                <w:sz w:val="24"/>
                <w:highlight w:val="none"/>
              </w:rPr>
              <w:t>（1）招标文件中所称时间均指北京时间，采用电子招标投标时，以交易平台时间为准。</w:t>
            </w:r>
          </w:p>
          <w:p w14:paraId="11C99CEE">
            <w:pPr>
              <w:keepNext w:val="0"/>
              <w:keepLines w:val="0"/>
              <w:widowControl/>
              <w:suppressLineNumbers w:val="0"/>
              <w:snapToGrid w:val="0"/>
              <w:spacing w:before="0" w:beforeAutospacing="0" w:after="0" w:afterAutospacing="0" w:line="288" w:lineRule="auto"/>
              <w:ind w:left="0" w:right="0"/>
              <w:jc w:val="left"/>
              <w:rPr>
                <w:rFonts w:hint="eastAsia" w:ascii="宋体" w:hAnsi="宋体" w:eastAsia="仿宋" w:cs="Times New Roman"/>
                <w:color w:val="000000"/>
                <w:sz w:val="24"/>
                <w:highlight w:val="none"/>
              </w:rPr>
            </w:pPr>
            <w:r>
              <w:rPr>
                <w:rFonts w:hint="eastAsia" w:ascii="宋体" w:hAnsi="宋体" w:eastAsia="仿宋" w:cs="Times New Roman"/>
                <w:color w:val="000000"/>
                <w:sz w:val="24"/>
                <w:highlight w:val="none"/>
              </w:rPr>
              <w:t>（2）投标人应注意规定的开标地点和投标截止时间，为了使招标投标工作有条不紊进行，避免因网络等问题导致投标文件无法按时加密并提交的情况发生，建议投标人提前30分钟做好准备工作。</w:t>
            </w:r>
          </w:p>
          <w:p w14:paraId="45849377">
            <w:pPr>
              <w:keepNext w:val="0"/>
              <w:keepLines w:val="0"/>
              <w:widowControl/>
              <w:suppressLineNumbers w:val="0"/>
              <w:snapToGrid w:val="0"/>
              <w:spacing w:before="0" w:beforeAutospacing="0" w:after="0" w:afterAutospacing="0" w:line="288" w:lineRule="auto"/>
              <w:ind w:left="0" w:right="0"/>
              <w:jc w:val="left"/>
              <w:rPr>
                <w:rFonts w:hint="eastAsia" w:ascii="宋体" w:hAnsi="宋体" w:cs="Times New Roman"/>
                <w:color w:val="000000"/>
                <w:sz w:val="24"/>
                <w:highlight w:val="none"/>
              </w:rPr>
            </w:pPr>
            <w:r>
              <w:rPr>
                <w:rFonts w:hint="eastAsia" w:ascii="宋体" w:hAnsi="宋体" w:eastAsia="仿宋" w:cs="Times New Roman"/>
                <w:color w:val="000000"/>
                <w:sz w:val="24"/>
                <w:highlight w:val="none"/>
              </w:rPr>
              <w:t>（3）本项目保证金账户采用虚拟账号，每个项目均不同，同一个项目不同标包也不同。投标标包应与保证金相匹配。请投标人仔细核对账户信息。</w:t>
            </w:r>
          </w:p>
        </w:tc>
      </w:tr>
      <w:tr w14:paraId="2067F2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6C5D255A">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color w:val="000000"/>
                <w:sz w:val="24"/>
                <w:highlight w:val="none"/>
              </w:rPr>
            </w:pPr>
            <w:r>
              <w:rPr>
                <w:rFonts w:hint="eastAsia" w:ascii="宋体" w:hAnsi="宋体" w:eastAsia="仿宋" w:cs="Calibri"/>
                <w:color w:val="000000"/>
                <w:sz w:val="24"/>
                <w:highlight w:val="none"/>
              </w:rPr>
              <w:t>12.7</w:t>
            </w:r>
          </w:p>
        </w:tc>
        <w:tc>
          <w:tcPr>
            <w:tcW w:w="1581" w:type="dxa"/>
            <w:noWrap w:val="0"/>
            <w:vAlign w:val="center"/>
          </w:tcPr>
          <w:p w14:paraId="09CE22FD">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color w:val="000000"/>
                <w:sz w:val="24"/>
                <w:highlight w:val="none"/>
              </w:rPr>
            </w:pPr>
            <w:r>
              <w:rPr>
                <w:rFonts w:hint="eastAsia" w:ascii="宋体" w:hAnsi="宋体" w:eastAsia="仿宋" w:cs="Calibri"/>
                <w:color w:val="000000"/>
                <w:sz w:val="24"/>
                <w:highlight w:val="none"/>
              </w:rPr>
              <w:t>招标文件的解释</w:t>
            </w:r>
          </w:p>
        </w:tc>
        <w:tc>
          <w:tcPr>
            <w:tcW w:w="7229" w:type="dxa"/>
            <w:noWrap w:val="0"/>
            <w:vAlign w:val="top"/>
          </w:tcPr>
          <w:p w14:paraId="635E0463">
            <w:pPr>
              <w:keepNext w:val="0"/>
              <w:keepLines w:val="0"/>
              <w:widowControl/>
              <w:suppressLineNumbers w:val="0"/>
              <w:adjustRightInd w:val="0"/>
              <w:snapToGrid w:val="0"/>
              <w:spacing w:before="0" w:beforeAutospacing="0" w:after="0" w:afterAutospacing="0" w:line="288" w:lineRule="auto"/>
              <w:ind w:left="0" w:right="0"/>
              <w:rPr>
                <w:rFonts w:hint="eastAsia" w:ascii="宋体" w:hAnsi="宋体" w:cs="Times New Roman"/>
                <w:color w:val="000000"/>
                <w:sz w:val="24"/>
                <w:highlight w:val="none"/>
              </w:rPr>
            </w:pPr>
            <w:r>
              <w:rPr>
                <w:rFonts w:hint="eastAsia" w:ascii="宋体" w:hAnsi="宋体" w:eastAsia="仿宋" w:cs="Times New Roman"/>
                <w:color w:val="000000"/>
                <w:sz w:val="24"/>
                <w:highlight w:val="none"/>
              </w:rPr>
              <w:t>构成本招标文件的各个组成文件应互为解释，互为说明；如有不明确或不一致，除招标文件中有特别规定外，仅适用于招标投标阶段规定的，按招标公告、投标人须知、评标办法、投标文件格式的先后顺序解释；同一组成文件中就同一事项的规定或约定不一致的，以编排顺序在后者为准；同一文件不同版本之间有不一致的，以形成时间在后者为准。按本款前述规定仍不能形成结论的，</w:t>
            </w:r>
            <w:r>
              <w:rPr>
                <w:rFonts w:hint="eastAsia" w:ascii="宋体" w:hAnsi="宋体" w:eastAsia="仿宋" w:cs="Times New Roman"/>
                <w:bCs/>
                <w:color w:val="000000"/>
                <w:sz w:val="24"/>
                <w:highlight w:val="none"/>
              </w:rPr>
              <w:t>由采购人和采购代理机构负责解释。</w:t>
            </w:r>
          </w:p>
        </w:tc>
      </w:tr>
      <w:tr w14:paraId="30B328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6CFC688D">
            <w:pPr>
              <w:keepNext w:val="0"/>
              <w:keepLines w:val="0"/>
              <w:widowControl/>
              <w:suppressLineNumbers w:val="0"/>
              <w:adjustRightInd w:val="0"/>
              <w:snapToGrid w:val="0"/>
              <w:spacing w:before="0" w:beforeAutospacing="0" w:after="0" w:afterAutospacing="0" w:line="288" w:lineRule="auto"/>
              <w:ind w:left="0" w:right="0"/>
              <w:jc w:val="center"/>
              <w:rPr>
                <w:rFonts w:hint="default" w:ascii="宋体" w:hAnsi="宋体" w:eastAsia="仿宋" w:cs="Calibri"/>
                <w:color w:val="000000"/>
                <w:sz w:val="24"/>
                <w:highlight w:val="none"/>
              </w:rPr>
            </w:pPr>
            <w:r>
              <w:rPr>
                <w:rFonts w:hint="eastAsia" w:ascii="宋体" w:hAnsi="宋体" w:eastAsia="仿宋" w:cs="Calibri"/>
                <w:color w:val="000000"/>
                <w:sz w:val="24"/>
                <w:highlight w:val="none"/>
              </w:rPr>
              <w:t>12.8</w:t>
            </w:r>
          </w:p>
        </w:tc>
        <w:tc>
          <w:tcPr>
            <w:tcW w:w="1581" w:type="dxa"/>
            <w:noWrap w:val="0"/>
            <w:vAlign w:val="center"/>
          </w:tcPr>
          <w:p w14:paraId="4C59076C">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eastAsia="仿宋" w:cs="Calibri"/>
                <w:color w:val="000000"/>
                <w:sz w:val="24"/>
                <w:highlight w:val="none"/>
              </w:rPr>
            </w:pPr>
            <w:r>
              <w:rPr>
                <w:rFonts w:hint="eastAsia" w:ascii="宋体" w:hAnsi="宋体" w:eastAsia="仿宋" w:cs="Calibri"/>
                <w:color w:val="000000"/>
                <w:sz w:val="24"/>
                <w:highlight w:val="none"/>
              </w:rPr>
              <w:t>“政采贷”融资指引</w:t>
            </w:r>
          </w:p>
        </w:tc>
        <w:tc>
          <w:tcPr>
            <w:tcW w:w="7229" w:type="dxa"/>
            <w:noWrap w:val="0"/>
            <w:vAlign w:val="top"/>
          </w:tcPr>
          <w:p w14:paraId="742AAC55">
            <w:pPr>
              <w:keepNext w:val="0"/>
              <w:keepLines w:val="0"/>
              <w:widowControl/>
              <w:suppressLineNumbers w:val="0"/>
              <w:adjustRightInd w:val="0"/>
              <w:snapToGrid w:val="0"/>
              <w:spacing w:before="0" w:beforeAutospacing="0" w:after="0" w:afterAutospacing="0" w:line="288" w:lineRule="auto"/>
              <w:ind w:left="0" w:right="0"/>
              <w:rPr>
                <w:rFonts w:hint="eastAsia" w:ascii="宋体" w:hAnsi="宋体" w:eastAsia="仿宋" w:cs="Times New Roman"/>
                <w:color w:val="000000"/>
                <w:sz w:val="24"/>
                <w:highlight w:val="none"/>
              </w:rPr>
            </w:pPr>
            <w:r>
              <w:rPr>
                <w:rFonts w:hint="eastAsia" w:ascii="宋体" w:hAnsi="宋体" w:eastAsia="仿宋" w:cs="Times New Roman"/>
                <w:color w:val="000000"/>
                <w:sz w:val="24"/>
                <w:highlight w:val="none"/>
              </w:rPr>
              <w:t>有融资需求的投标人在取得政府采购中标或成交通知书后，可访问安徽省政府采购网“融资/保函”栏目，查看和联系第三方平台或者金融机构，商洽融资事项，确定融资意向。</w:t>
            </w:r>
          </w:p>
          <w:p w14:paraId="42F2222E">
            <w:pPr>
              <w:keepNext w:val="0"/>
              <w:keepLines w:val="0"/>
              <w:widowControl/>
              <w:suppressLineNumbers w:val="0"/>
              <w:adjustRightInd w:val="0"/>
              <w:snapToGrid w:val="0"/>
              <w:spacing w:before="0" w:beforeAutospacing="0" w:after="0" w:afterAutospacing="0" w:line="288" w:lineRule="auto"/>
              <w:ind w:left="0" w:right="0"/>
              <w:rPr>
                <w:rFonts w:hint="eastAsia" w:ascii="宋体" w:hAnsi="宋体" w:eastAsia="仿宋" w:cs="Times New Roman"/>
                <w:color w:val="000000"/>
                <w:sz w:val="24"/>
                <w:highlight w:val="none"/>
              </w:rPr>
            </w:pPr>
            <w:r>
              <w:rPr>
                <w:rFonts w:hint="eastAsia" w:ascii="宋体" w:hAnsi="宋体" w:eastAsia="仿宋" w:cs="Times New Roman"/>
                <w:color w:val="000000"/>
                <w:sz w:val="24"/>
                <w:highlight w:val="none"/>
              </w:rPr>
              <w:t>投标人签署政府采购中标合同后，登录“徽采云”金融服务模块，选择意向产品进行申请，并填写相关信息，“徽采云”金融服务模块将投标人融资申请信息推送第三方平台、意向金融机构。</w:t>
            </w:r>
          </w:p>
        </w:tc>
      </w:tr>
      <w:tr w14:paraId="1A3E7E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748A9721">
            <w:pPr>
              <w:keepNext w:val="0"/>
              <w:keepLines w:val="0"/>
              <w:widowControl/>
              <w:suppressLineNumbers w:val="0"/>
              <w:adjustRightInd w:val="0"/>
              <w:snapToGrid w:val="0"/>
              <w:spacing w:before="0" w:beforeAutospacing="0" w:after="0" w:afterAutospacing="0" w:line="288" w:lineRule="auto"/>
              <w:ind w:left="0" w:right="0"/>
              <w:jc w:val="center"/>
              <w:rPr>
                <w:rFonts w:hint="default" w:ascii="宋体" w:hAnsi="宋体" w:eastAsia="仿宋" w:cs="Calibri"/>
                <w:color w:val="000000"/>
                <w:sz w:val="24"/>
                <w:highlight w:val="none"/>
                <w:lang w:val="en-US" w:eastAsia="zh-CN"/>
              </w:rPr>
            </w:pPr>
            <w:bookmarkStart w:id="53" w:name="_Toc179632546"/>
            <w:bookmarkStart w:id="54" w:name="_Toc455587032"/>
            <w:bookmarkStart w:id="55" w:name="_Toc152042305"/>
            <w:bookmarkStart w:id="56" w:name="_Toc342297618"/>
            <w:bookmarkStart w:id="57" w:name="_Toc342296161"/>
            <w:bookmarkStart w:id="58" w:name="_Toc458504818"/>
            <w:bookmarkStart w:id="59" w:name="_Toc144974497"/>
            <w:bookmarkStart w:id="60" w:name="_Toc455587216"/>
            <w:bookmarkStart w:id="61" w:name="_Toc338943699"/>
            <w:bookmarkStart w:id="62" w:name="_Toc338944604"/>
            <w:bookmarkStart w:id="63" w:name="_Toc445554688"/>
            <w:bookmarkStart w:id="64" w:name="_Toc466024500"/>
            <w:bookmarkStart w:id="65" w:name="_Toc333600682"/>
            <w:bookmarkStart w:id="66" w:name="_Toc371415920"/>
            <w:bookmarkStart w:id="67" w:name="_Toc333599658"/>
            <w:bookmarkStart w:id="68" w:name="_Toc152045529"/>
            <w:bookmarkStart w:id="69" w:name="_Toc342294713"/>
            <w:r>
              <w:rPr>
                <w:rFonts w:hint="eastAsia" w:ascii="宋体" w:hAnsi="宋体" w:eastAsia="仿宋" w:cs="Calibri"/>
                <w:color w:val="auto"/>
                <w:sz w:val="24"/>
                <w:highlight w:val="none"/>
              </w:rPr>
              <w:t>12.</w:t>
            </w:r>
            <w:r>
              <w:rPr>
                <w:rFonts w:hint="eastAsia" w:ascii="宋体" w:hAnsi="宋体" w:eastAsia="仿宋" w:cs="Calibri"/>
                <w:color w:val="auto"/>
                <w:sz w:val="24"/>
                <w:highlight w:val="none"/>
                <w:lang w:val="en-US" w:eastAsia="zh-CN"/>
              </w:rPr>
              <w:t>9</w:t>
            </w:r>
          </w:p>
        </w:tc>
        <w:tc>
          <w:tcPr>
            <w:tcW w:w="1581" w:type="dxa"/>
            <w:noWrap w:val="0"/>
            <w:vAlign w:val="center"/>
          </w:tcPr>
          <w:p w14:paraId="7700FB00">
            <w:pPr>
              <w:keepNext w:val="0"/>
              <w:keepLines w:val="0"/>
              <w:widowControl/>
              <w:suppressLineNumbers w:val="0"/>
              <w:adjustRightInd w:val="0"/>
              <w:snapToGrid w:val="0"/>
              <w:spacing w:before="0" w:beforeAutospacing="0" w:after="0" w:afterAutospacing="0" w:line="288" w:lineRule="auto"/>
              <w:ind w:left="0" w:right="0"/>
              <w:jc w:val="center"/>
              <w:rPr>
                <w:rFonts w:hint="eastAsia" w:ascii="Calibri" w:hAnsi="Calibri" w:eastAsia="仿宋" w:cs="Times New Roman"/>
                <w:color w:val="000000"/>
                <w:sz w:val="24"/>
                <w:highlight w:val="none"/>
              </w:rPr>
            </w:pPr>
            <w:r>
              <w:rPr>
                <w:rFonts w:hint="eastAsia" w:ascii="Calibri" w:hAnsi="Calibri" w:eastAsia="仿宋" w:cs="Times New Roman"/>
                <w:color w:val="auto"/>
                <w:sz w:val="24"/>
                <w:highlight w:val="none"/>
              </w:rPr>
              <w:t>关于投标主体的补充要求</w:t>
            </w:r>
          </w:p>
        </w:tc>
        <w:tc>
          <w:tcPr>
            <w:tcW w:w="7229" w:type="dxa"/>
            <w:noWrap w:val="0"/>
            <w:vAlign w:val="top"/>
          </w:tcPr>
          <w:p w14:paraId="034FE762">
            <w:pPr>
              <w:keepNext w:val="0"/>
              <w:keepLines w:val="0"/>
              <w:widowControl/>
              <w:suppressLineNumbers w:val="0"/>
              <w:adjustRightInd w:val="0"/>
              <w:snapToGrid w:val="0"/>
              <w:spacing w:before="0" w:beforeAutospacing="0" w:after="0" w:afterAutospacing="0" w:line="288" w:lineRule="auto"/>
              <w:ind w:left="0" w:right="0"/>
              <w:jc w:val="left"/>
              <w:rPr>
                <w:rFonts w:hint="eastAsia" w:ascii="Calibri" w:hAnsi="Calibri" w:eastAsia="仿宋" w:cs="Times New Roman"/>
                <w:color w:val="000000"/>
                <w:sz w:val="24"/>
                <w:highlight w:val="none"/>
              </w:rPr>
            </w:pPr>
            <w:r>
              <w:rPr>
                <w:rFonts w:hint="eastAsia" w:ascii="Calibri" w:hAnsi="Calibri" w:eastAsia="仿宋" w:cs="Times New Roman"/>
                <w:color w:val="auto"/>
                <w:sz w:val="24"/>
                <w:highlight w:val="none"/>
              </w:rPr>
              <w:t>制造商（或制造商所在的集团公司）在中国关境内设立的仅销售本制造商（或制造商所在的集团公司）产品的贸易公司可视同为制造商参加本项目投标。但</w:t>
            </w:r>
            <w:r>
              <w:rPr>
                <w:rFonts w:hint="eastAsia" w:ascii="Calibri" w:hAnsi="Calibri" w:eastAsia="仿宋" w:cs="Times New Roman"/>
                <w:color w:val="auto"/>
                <w:sz w:val="24"/>
                <w:highlight w:val="none"/>
                <w:lang w:val="en-US" w:eastAsia="zh-CN"/>
              </w:rPr>
              <w:t>同一设备</w:t>
            </w:r>
            <w:r>
              <w:rPr>
                <w:rFonts w:hint="eastAsia" w:ascii="Calibri" w:hAnsi="Calibri" w:eastAsia="仿宋" w:cs="Times New Roman"/>
                <w:color w:val="auto"/>
                <w:sz w:val="24"/>
                <w:highlight w:val="none"/>
              </w:rPr>
              <w:t>制造商和制造商（或制造商所在的集团公司）设立的贸易公司不得同时参加同一</w:t>
            </w:r>
            <w:r>
              <w:rPr>
                <w:rFonts w:hint="eastAsia" w:ascii="Calibri" w:hAnsi="Calibri" w:eastAsia="仿宋" w:cs="Times New Roman"/>
                <w:color w:val="auto"/>
                <w:sz w:val="24"/>
                <w:highlight w:val="none"/>
                <w:lang w:val="en-US" w:eastAsia="zh-CN"/>
              </w:rPr>
              <w:t>标包</w:t>
            </w:r>
            <w:r>
              <w:rPr>
                <w:rFonts w:hint="eastAsia" w:ascii="Calibri" w:hAnsi="Calibri" w:eastAsia="仿宋" w:cs="Times New Roman"/>
                <w:color w:val="auto"/>
                <w:sz w:val="24"/>
                <w:highlight w:val="none"/>
              </w:rPr>
              <w:t>的投标，否则相关投标均无效。</w:t>
            </w:r>
          </w:p>
        </w:tc>
      </w:tr>
      <w:bookmarkEnd w:id="45"/>
      <w:bookmarkEnd w:id="46"/>
      <w:bookmarkEnd w:id="47"/>
      <w:bookmarkEnd w:id="48"/>
    </w:tbl>
    <w:p w14:paraId="17A551A1">
      <w:pPr>
        <w:pStyle w:val="3"/>
        <w:rPr>
          <w:rStyle w:val="107"/>
          <w:rFonts w:ascii="宋体" w:hAnsi="宋体" w:eastAsia="仿宋"/>
          <w:b/>
          <w:bCs/>
          <w:sz w:val="24"/>
          <w:szCs w:val="24"/>
          <w:highlight w:val="none"/>
        </w:rPr>
      </w:pPr>
      <w:r>
        <w:rPr>
          <w:rStyle w:val="107"/>
          <w:rFonts w:hint="eastAsia" w:ascii="宋体" w:hAnsi="宋体" w:eastAsia="仿宋"/>
          <w:b/>
          <w:bCs/>
          <w:sz w:val="24"/>
          <w:szCs w:val="24"/>
          <w:highlight w:val="none"/>
        </w:rPr>
        <w:t>1. 总则</w:t>
      </w:r>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p>
    <w:p w14:paraId="3DFEB559">
      <w:pPr>
        <w:pStyle w:val="4"/>
        <w:adjustRightInd w:val="0"/>
        <w:ind w:firstLine="482" w:firstLineChars="200"/>
        <w:rPr>
          <w:rFonts w:eastAsia="仿宋"/>
          <w:color w:val="000000"/>
          <w:sz w:val="24"/>
          <w:highlight w:val="none"/>
          <w:lang w:eastAsia="zh-CN"/>
        </w:rPr>
      </w:pPr>
      <w:bookmarkStart w:id="70" w:name="_Toc179632547"/>
      <w:bookmarkStart w:id="71" w:name="_Toc342297619"/>
      <w:bookmarkStart w:id="72" w:name="_Toc144974498"/>
      <w:bookmarkStart w:id="73" w:name="_Toc458504819"/>
      <w:bookmarkStart w:id="74" w:name="_Toc342296162"/>
      <w:bookmarkStart w:id="75" w:name="_Toc333587853"/>
      <w:bookmarkStart w:id="76" w:name="_Toc466024501"/>
      <w:bookmarkStart w:id="77" w:name="_Toc371415921"/>
      <w:bookmarkStart w:id="78" w:name="_Toc333599659"/>
      <w:bookmarkStart w:id="79" w:name="_Toc455587217"/>
      <w:bookmarkStart w:id="80" w:name="_Toc338944605"/>
      <w:bookmarkStart w:id="81" w:name="_Toc342294714"/>
      <w:bookmarkStart w:id="82" w:name="_Toc152045530"/>
      <w:bookmarkStart w:id="83" w:name="_Toc333600683"/>
      <w:bookmarkStart w:id="84" w:name="_Toc338943700"/>
      <w:bookmarkStart w:id="85" w:name="_Toc455587033"/>
      <w:bookmarkStart w:id="86" w:name="_Toc445554689"/>
      <w:bookmarkStart w:id="87" w:name="_Toc152042306"/>
      <w:r>
        <w:rPr>
          <w:rFonts w:eastAsia="仿宋"/>
          <w:color w:val="000000"/>
          <w:sz w:val="24"/>
          <w:highlight w:val="none"/>
          <w:lang w:eastAsia="zh-CN"/>
        </w:rPr>
        <w:t>1</w:t>
      </w:r>
      <w:r>
        <w:rPr>
          <w:rFonts w:hint="eastAsia" w:eastAsia="仿宋"/>
          <w:color w:val="000000"/>
          <w:sz w:val="24"/>
          <w:highlight w:val="none"/>
          <w:lang w:eastAsia="zh-CN"/>
        </w:rPr>
        <w:t>.1 项目概况</w:t>
      </w:r>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p>
    <w:p w14:paraId="0B0628C2">
      <w:pPr>
        <w:widowControl/>
        <w:adjustRightInd w:val="0"/>
        <w:snapToGrid w:val="0"/>
        <w:spacing w:line="360" w:lineRule="auto"/>
        <w:ind w:firstLine="480" w:firstLineChars="200"/>
        <w:rPr>
          <w:rFonts w:hint="eastAsia" w:ascii="宋体" w:hAnsi="宋体" w:eastAsia="仿宋"/>
          <w:color w:val="000000"/>
          <w:sz w:val="24"/>
          <w:highlight w:val="none"/>
        </w:rPr>
      </w:pPr>
      <w:r>
        <w:rPr>
          <w:rFonts w:hint="eastAsia" w:ascii="宋体" w:hAnsi="宋体" w:eastAsia="仿宋"/>
          <w:color w:val="000000"/>
          <w:sz w:val="24"/>
          <w:highlight w:val="none"/>
        </w:rPr>
        <w:t>1.1.1 根据《中华人民共和国政府采购法》《中华人民共和国政府采购法实施条例》《政府采购货物和服务招标投标管理办法》等有关法律、法规和规章的规定，本项目已具备政府采购条件，现以招标方式进行政府采购。</w:t>
      </w:r>
    </w:p>
    <w:p w14:paraId="66772A37">
      <w:pPr>
        <w:widowControl/>
        <w:adjustRightInd w:val="0"/>
        <w:snapToGrid w:val="0"/>
        <w:spacing w:line="360" w:lineRule="auto"/>
        <w:ind w:firstLine="480" w:firstLineChars="200"/>
        <w:rPr>
          <w:rFonts w:hint="eastAsia" w:ascii="宋体" w:hAnsi="宋体" w:eastAsia="仿宋"/>
          <w:color w:val="000000"/>
          <w:sz w:val="24"/>
          <w:highlight w:val="none"/>
        </w:rPr>
      </w:pPr>
      <w:r>
        <w:rPr>
          <w:rFonts w:hint="eastAsia" w:ascii="宋体" w:hAnsi="宋体" w:eastAsia="仿宋"/>
          <w:color w:val="000000"/>
          <w:sz w:val="24"/>
          <w:highlight w:val="none"/>
        </w:rPr>
        <w:t>1.1.2 采购人：见投标人须知前附表。</w:t>
      </w:r>
    </w:p>
    <w:p w14:paraId="7BFE23B8">
      <w:pPr>
        <w:widowControl/>
        <w:adjustRightInd w:val="0"/>
        <w:snapToGrid w:val="0"/>
        <w:spacing w:line="360" w:lineRule="auto"/>
        <w:ind w:firstLine="480" w:firstLineChars="200"/>
        <w:rPr>
          <w:rFonts w:hint="eastAsia" w:ascii="宋体" w:hAnsi="宋体" w:eastAsia="仿宋"/>
          <w:color w:val="000000"/>
          <w:sz w:val="24"/>
          <w:highlight w:val="none"/>
        </w:rPr>
      </w:pPr>
      <w:r>
        <w:rPr>
          <w:rFonts w:hint="eastAsia" w:ascii="宋体" w:hAnsi="宋体" w:eastAsia="仿宋"/>
          <w:color w:val="000000"/>
          <w:sz w:val="24"/>
          <w:highlight w:val="none"/>
        </w:rPr>
        <w:t>1.1.3 采购代理机构：见投标人须知前附表。</w:t>
      </w:r>
    </w:p>
    <w:p w14:paraId="0015E259">
      <w:pPr>
        <w:widowControl/>
        <w:adjustRightInd w:val="0"/>
        <w:snapToGrid w:val="0"/>
        <w:spacing w:line="360" w:lineRule="auto"/>
        <w:ind w:firstLine="480" w:firstLineChars="200"/>
        <w:rPr>
          <w:rFonts w:hint="eastAsia" w:ascii="宋体" w:hAnsi="宋体" w:eastAsia="仿宋"/>
          <w:color w:val="000000"/>
          <w:sz w:val="24"/>
          <w:highlight w:val="none"/>
        </w:rPr>
      </w:pPr>
      <w:r>
        <w:rPr>
          <w:rFonts w:hint="eastAsia" w:ascii="宋体" w:hAnsi="宋体" w:eastAsia="仿宋"/>
          <w:color w:val="000000"/>
          <w:sz w:val="24"/>
          <w:highlight w:val="none"/>
        </w:rPr>
        <w:t>1.1.4 采购项目名称：见投标人须知前附表。</w:t>
      </w:r>
    </w:p>
    <w:p w14:paraId="29DBD2EA">
      <w:pPr>
        <w:widowControl/>
        <w:adjustRightInd w:val="0"/>
        <w:snapToGrid w:val="0"/>
        <w:spacing w:line="360" w:lineRule="auto"/>
        <w:ind w:firstLine="480" w:firstLineChars="200"/>
        <w:rPr>
          <w:rFonts w:hint="eastAsia" w:ascii="宋体" w:hAnsi="宋体" w:eastAsia="仿宋"/>
          <w:color w:val="000000"/>
          <w:sz w:val="24"/>
          <w:highlight w:val="none"/>
        </w:rPr>
      </w:pPr>
      <w:r>
        <w:rPr>
          <w:rFonts w:hint="eastAsia" w:ascii="宋体" w:hAnsi="宋体" w:eastAsia="仿宋"/>
          <w:color w:val="000000"/>
          <w:sz w:val="24"/>
          <w:highlight w:val="none"/>
        </w:rPr>
        <w:t>1.1.5 采购包划分：见投标人须知前附表。</w:t>
      </w:r>
    </w:p>
    <w:p w14:paraId="3F3E23F1">
      <w:pPr>
        <w:widowControl/>
        <w:adjustRightInd w:val="0"/>
        <w:snapToGrid w:val="0"/>
        <w:spacing w:line="360" w:lineRule="auto"/>
        <w:ind w:firstLine="480" w:firstLineChars="200"/>
        <w:rPr>
          <w:rFonts w:hint="eastAsia" w:ascii="宋体" w:hAnsi="宋体" w:eastAsia="仿宋"/>
          <w:color w:val="000000"/>
          <w:sz w:val="24"/>
          <w:highlight w:val="none"/>
        </w:rPr>
      </w:pPr>
      <w:r>
        <w:rPr>
          <w:rFonts w:hint="eastAsia" w:ascii="宋体" w:hAnsi="宋体" w:eastAsia="仿宋"/>
          <w:color w:val="000000"/>
          <w:sz w:val="24"/>
          <w:highlight w:val="none"/>
        </w:rPr>
        <w:t>1.1.6 采购预算：见投标人须知前附表。</w:t>
      </w:r>
    </w:p>
    <w:p w14:paraId="4225F472">
      <w:pPr>
        <w:widowControl/>
        <w:adjustRightInd w:val="0"/>
        <w:snapToGrid w:val="0"/>
        <w:spacing w:line="360" w:lineRule="auto"/>
        <w:ind w:firstLine="480" w:firstLineChars="200"/>
        <w:rPr>
          <w:rFonts w:hint="eastAsia" w:ascii="宋体" w:hAnsi="宋体" w:eastAsia="仿宋"/>
          <w:color w:val="000000"/>
          <w:sz w:val="24"/>
          <w:highlight w:val="none"/>
        </w:rPr>
      </w:pPr>
      <w:r>
        <w:rPr>
          <w:rFonts w:hint="eastAsia" w:ascii="宋体" w:hAnsi="宋体" w:eastAsia="仿宋"/>
          <w:color w:val="000000"/>
          <w:sz w:val="24"/>
          <w:highlight w:val="none"/>
        </w:rPr>
        <w:t>1.1.7 专门面向中小企业采购：见投标人须知前附表。</w:t>
      </w:r>
    </w:p>
    <w:p w14:paraId="64EC62B8">
      <w:pPr>
        <w:pStyle w:val="4"/>
        <w:adjustRightInd w:val="0"/>
        <w:ind w:firstLine="482" w:firstLineChars="200"/>
        <w:rPr>
          <w:rFonts w:eastAsia="仿宋"/>
          <w:color w:val="000000"/>
          <w:sz w:val="24"/>
          <w:highlight w:val="none"/>
          <w:lang w:eastAsia="zh-CN"/>
        </w:rPr>
      </w:pPr>
      <w:bookmarkStart w:id="88" w:name="_Toc466024502"/>
      <w:bookmarkStart w:id="89" w:name="_Toc445554690"/>
      <w:bookmarkStart w:id="90" w:name="_Toc458504820"/>
      <w:bookmarkStart w:id="91" w:name="_Toc455587218"/>
      <w:bookmarkStart w:id="92" w:name="_Toc455587034"/>
      <w:r>
        <w:rPr>
          <w:rFonts w:hint="eastAsia" w:eastAsia="仿宋"/>
          <w:color w:val="000000"/>
          <w:sz w:val="24"/>
          <w:highlight w:val="none"/>
          <w:lang w:eastAsia="zh-CN"/>
        </w:rPr>
        <w:t>1.2 资金落实情况与核心产品</w:t>
      </w:r>
    </w:p>
    <w:p w14:paraId="609AB3DC">
      <w:pPr>
        <w:widowControl/>
        <w:adjustRightInd w:val="0"/>
        <w:snapToGrid w:val="0"/>
        <w:spacing w:line="360" w:lineRule="auto"/>
        <w:ind w:firstLine="480" w:firstLineChars="200"/>
        <w:rPr>
          <w:rFonts w:hint="eastAsia" w:ascii="宋体" w:hAnsi="宋体" w:eastAsia="仿宋" w:cs="宋体"/>
          <w:color w:val="000000"/>
          <w:sz w:val="24"/>
          <w:highlight w:val="none"/>
        </w:rPr>
      </w:pPr>
      <w:r>
        <w:rPr>
          <w:rFonts w:hint="eastAsia" w:ascii="宋体" w:hAnsi="宋体" w:eastAsia="仿宋" w:cs="宋体"/>
          <w:color w:val="000000"/>
          <w:sz w:val="24"/>
          <w:highlight w:val="none"/>
          <w:lang w:bidi="ar"/>
        </w:rPr>
        <w:t xml:space="preserve">1.2.1 </w:t>
      </w:r>
      <w:r>
        <w:rPr>
          <w:rFonts w:hint="eastAsia" w:ascii="宋体" w:hAnsi="宋体" w:eastAsia="仿宋" w:cs="仿宋"/>
          <w:color w:val="000000"/>
          <w:sz w:val="24"/>
          <w:highlight w:val="none"/>
          <w:lang w:bidi="ar"/>
        </w:rPr>
        <w:t>资金来源及比例：见投标人须知前附表。</w:t>
      </w:r>
    </w:p>
    <w:p w14:paraId="428AE5E5">
      <w:pPr>
        <w:widowControl/>
        <w:adjustRightInd w:val="0"/>
        <w:snapToGrid w:val="0"/>
        <w:spacing w:line="360" w:lineRule="auto"/>
        <w:ind w:firstLine="480" w:firstLineChars="200"/>
        <w:rPr>
          <w:rFonts w:hint="eastAsia" w:ascii="宋体" w:hAnsi="宋体" w:eastAsia="仿宋"/>
          <w:color w:val="000000"/>
          <w:sz w:val="24"/>
          <w:highlight w:val="none"/>
        </w:rPr>
      </w:pPr>
      <w:r>
        <w:rPr>
          <w:rFonts w:hint="eastAsia" w:ascii="宋体" w:hAnsi="宋体" w:eastAsia="仿宋" w:cs="宋体"/>
          <w:color w:val="000000"/>
          <w:sz w:val="24"/>
          <w:highlight w:val="none"/>
          <w:lang w:bidi="ar"/>
        </w:rPr>
        <w:t>1.2.2</w:t>
      </w:r>
      <w:r>
        <w:rPr>
          <w:rFonts w:hint="eastAsia" w:ascii="宋体" w:hAnsi="宋体" w:eastAsia="仿宋"/>
          <w:color w:val="000000"/>
          <w:sz w:val="24"/>
          <w:highlight w:val="none"/>
        </w:rPr>
        <w:t xml:space="preserve"> 资金落实情况：本项目的采购人已获得足以支付本次招标后所签订的合同项下的资金。</w:t>
      </w:r>
    </w:p>
    <w:p w14:paraId="41486783">
      <w:pPr>
        <w:widowControl/>
        <w:adjustRightInd w:val="0"/>
        <w:snapToGrid w:val="0"/>
        <w:spacing w:line="360" w:lineRule="auto"/>
        <w:ind w:firstLine="480" w:firstLineChars="200"/>
        <w:rPr>
          <w:rFonts w:hint="eastAsia" w:ascii="宋体" w:hAnsi="宋体" w:eastAsia="仿宋"/>
          <w:color w:val="000000"/>
          <w:sz w:val="24"/>
          <w:highlight w:val="none"/>
        </w:rPr>
      </w:pPr>
      <w:r>
        <w:rPr>
          <w:rFonts w:hint="eastAsia" w:ascii="宋体" w:hAnsi="宋体" w:eastAsia="仿宋"/>
          <w:color w:val="000000"/>
          <w:sz w:val="24"/>
          <w:highlight w:val="none"/>
        </w:rPr>
        <w:t>1.2.3 核心产品：非单一产品采购项目，采购人应当根据采购项目技术构成、产品价格比重等合理确定核心产品，并在招标文件中载明。提供的核心产品品牌相同的不同投标人参加同一合同项下投标的，按一家投标人计算。</w:t>
      </w:r>
    </w:p>
    <w:bookmarkEnd w:id="88"/>
    <w:bookmarkEnd w:id="89"/>
    <w:bookmarkEnd w:id="90"/>
    <w:bookmarkEnd w:id="91"/>
    <w:bookmarkEnd w:id="92"/>
    <w:p w14:paraId="291A915C">
      <w:pPr>
        <w:pStyle w:val="4"/>
        <w:adjustRightInd w:val="0"/>
        <w:ind w:firstLine="482" w:firstLineChars="200"/>
        <w:rPr>
          <w:rFonts w:eastAsia="仿宋"/>
          <w:color w:val="000000"/>
          <w:sz w:val="24"/>
          <w:highlight w:val="none"/>
          <w:lang w:eastAsia="zh-CN"/>
        </w:rPr>
      </w:pPr>
      <w:bookmarkStart w:id="93" w:name="_Toc371415924"/>
      <w:bookmarkStart w:id="94" w:name="_Toc342296166"/>
      <w:bookmarkStart w:id="95" w:name="_Toc333599663"/>
      <w:bookmarkStart w:id="96" w:name="_Toc152042310"/>
      <w:bookmarkStart w:id="97" w:name="_Toc333600687"/>
      <w:bookmarkStart w:id="98" w:name="_Toc455587035"/>
      <w:bookmarkStart w:id="99" w:name="_Toc333587857"/>
      <w:bookmarkStart w:id="100" w:name="_Toc338944609"/>
      <w:bookmarkStart w:id="101" w:name="_Toc342297623"/>
      <w:bookmarkStart w:id="102" w:name="_Toc445554692"/>
      <w:bookmarkStart w:id="103" w:name="_Toc466024503"/>
      <w:bookmarkStart w:id="104" w:name="_Toc455587219"/>
      <w:bookmarkStart w:id="105" w:name="_Toc144974502"/>
      <w:bookmarkStart w:id="106" w:name="_Toc342294718"/>
      <w:bookmarkStart w:id="107" w:name="_Toc458504821"/>
      <w:bookmarkStart w:id="108" w:name="_Toc338943704"/>
      <w:bookmarkStart w:id="109" w:name="_Toc179632551"/>
      <w:bookmarkStart w:id="110" w:name="_Toc152045534"/>
      <w:r>
        <w:rPr>
          <w:rFonts w:hint="eastAsia" w:eastAsia="仿宋"/>
          <w:color w:val="000000"/>
          <w:sz w:val="24"/>
          <w:highlight w:val="none"/>
          <w:lang w:eastAsia="zh-CN"/>
        </w:rPr>
        <w:t>1.3 资格要求</w:t>
      </w:r>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p>
    <w:p w14:paraId="127ADAF9">
      <w:pPr>
        <w:widowControl/>
        <w:adjustRightInd w:val="0"/>
        <w:snapToGrid w:val="0"/>
        <w:spacing w:line="360" w:lineRule="auto"/>
        <w:ind w:firstLine="480" w:firstLineChars="200"/>
        <w:rPr>
          <w:rFonts w:ascii="宋体" w:hAnsi="宋体" w:eastAsia="仿宋"/>
          <w:color w:val="000000"/>
          <w:sz w:val="24"/>
          <w:highlight w:val="none"/>
        </w:rPr>
      </w:pPr>
      <w:r>
        <w:rPr>
          <w:rFonts w:hint="eastAsia" w:ascii="宋体" w:hAnsi="宋体" w:eastAsia="仿宋"/>
          <w:color w:val="000000"/>
          <w:sz w:val="24"/>
          <w:highlight w:val="none"/>
        </w:rPr>
        <w:t>1.3.1 投标人应具备承担本采购项目的资质条件、能力和信誉，具体资格要求见投标人须知前附表。</w:t>
      </w:r>
    </w:p>
    <w:p w14:paraId="0383A59F">
      <w:pPr>
        <w:widowControl/>
        <w:adjustRightInd w:val="0"/>
        <w:snapToGrid w:val="0"/>
        <w:spacing w:line="360" w:lineRule="auto"/>
        <w:ind w:firstLine="480" w:firstLineChars="200"/>
        <w:rPr>
          <w:rFonts w:ascii="宋体" w:hAnsi="宋体" w:eastAsia="仿宋"/>
          <w:color w:val="000000"/>
          <w:sz w:val="24"/>
          <w:highlight w:val="none"/>
        </w:rPr>
      </w:pPr>
      <w:r>
        <w:rPr>
          <w:rFonts w:hint="eastAsia" w:ascii="宋体" w:hAnsi="宋体" w:eastAsia="仿宋"/>
          <w:color w:val="000000"/>
          <w:sz w:val="24"/>
          <w:highlight w:val="none"/>
        </w:rPr>
        <w:t>1.3.2 接受联合体投标的，除应符合本章第1.3</w:t>
      </w:r>
      <w:r>
        <w:rPr>
          <w:rFonts w:ascii="宋体" w:hAnsi="宋体" w:eastAsia="仿宋"/>
          <w:color w:val="000000"/>
          <w:sz w:val="24"/>
          <w:highlight w:val="none"/>
        </w:rPr>
        <w:t>.1</w:t>
      </w:r>
      <w:r>
        <w:rPr>
          <w:rFonts w:hint="eastAsia" w:ascii="宋体" w:hAnsi="宋体" w:eastAsia="仿宋"/>
          <w:color w:val="000000"/>
          <w:sz w:val="24"/>
          <w:highlight w:val="none"/>
        </w:rPr>
        <w:t>项和投标人须知前附表的要求外，还应遵守以下规定：</w:t>
      </w:r>
    </w:p>
    <w:p w14:paraId="47223932">
      <w:pPr>
        <w:widowControl/>
        <w:adjustRightInd w:val="0"/>
        <w:snapToGrid w:val="0"/>
        <w:spacing w:line="360" w:lineRule="auto"/>
        <w:ind w:firstLine="480" w:firstLineChars="200"/>
        <w:rPr>
          <w:rFonts w:hint="eastAsia" w:ascii="宋体" w:hAnsi="宋体" w:eastAsia="仿宋"/>
          <w:color w:val="000000"/>
          <w:sz w:val="24"/>
          <w:highlight w:val="none"/>
        </w:rPr>
      </w:pPr>
      <w:r>
        <w:rPr>
          <w:rFonts w:hint="eastAsia" w:ascii="宋体" w:hAnsi="宋体" w:eastAsia="仿宋"/>
          <w:color w:val="000000"/>
          <w:sz w:val="24"/>
          <w:highlight w:val="none"/>
        </w:rPr>
        <w:t>（</w:t>
      </w:r>
      <w:r>
        <w:rPr>
          <w:rFonts w:ascii="宋体" w:hAnsi="宋体" w:eastAsia="仿宋"/>
          <w:color w:val="000000"/>
          <w:sz w:val="24"/>
          <w:highlight w:val="none"/>
        </w:rPr>
        <w:t>1</w:t>
      </w:r>
      <w:r>
        <w:rPr>
          <w:rFonts w:hint="eastAsia" w:ascii="宋体" w:hAnsi="宋体" w:eastAsia="仿宋"/>
          <w:color w:val="000000"/>
          <w:sz w:val="24"/>
          <w:highlight w:val="none"/>
        </w:rPr>
        <w:t>）联合体各方应按招标文件提供的格式签订联合体协议书，明确联合体牵头人和各方权利义务，并承诺就中标项目向采购人承担连带责任；</w:t>
      </w:r>
    </w:p>
    <w:p w14:paraId="5CC2E2D0">
      <w:pPr>
        <w:widowControl/>
        <w:adjustRightInd w:val="0"/>
        <w:snapToGrid w:val="0"/>
        <w:spacing w:line="360" w:lineRule="auto"/>
        <w:ind w:firstLine="480" w:firstLineChars="200"/>
        <w:rPr>
          <w:rFonts w:ascii="宋体" w:hAnsi="宋体" w:eastAsia="仿宋"/>
          <w:color w:val="000000"/>
          <w:sz w:val="24"/>
          <w:highlight w:val="none"/>
        </w:rPr>
      </w:pPr>
      <w:r>
        <w:rPr>
          <w:rFonts w:hint="eastAsia" w:ascii="宋体" w:hAnsi="宋体" w:eastAsia="仿宋"/>
          <w:color w:val="000000"/>
          <w:sz w:val="24"/>
          <w:highlight w:val="none"/>
        </w:rPr>
        <w:t>（2）由同一专业的单位组成的联合体，按照资质等级较低的单位确定资质等级；</w:t>
      </w:r>
    </w:p>
    <w:p w14:paraId="11346500">
      <w:pPr>
        <w:widowControl/>
        <w:adjustRightInd w:val="0"/>
        <w:snapToGrid w:val="0"/>
        <w:spacing w:line="360" w:lineRule="auto"/>
        <w:ind w:firstLine="480" w:firstLineChars="200"/>
        <w:rPr>
          <w:rFonts w:hint="eastAsia" w:ascii="宋体" w:hAnsi="宋体" w:eastAsia="仿宋"/>
          <w:color w:val="000000"/>
          <w:sz w:val="24"/>
          <w:highlight w:val="none"/>
        </w:rPr>
      </w:pPr>
      <w:r>
        <w:rPr>
          <w:rFonts w:hint="eastAsia" w:ascii="宋体" w:hAnsi="宋体" w:eastAsia="仿宋"/>
          <w:color w:val="000000"/>
          <w:sz w:val="24"/>
          <w:highlight w:val="none"/>
        </w:rPr>
        <w:t>（3）联合体各方不得再以自己名义单独或参加其他联合体在本项目中投标，否则各相关投标均无效；</w:t>
      </w:r>
    </w:p>
    <w:p w14:paraId="77C10183">
      <w:pPr>
        <w:widowControl/>
        <w:adjustRightInd w:val="0"/>
        <w:snapToGrid w:val="0"/>
        <w:spacing w:line="360" w:lineRule="auto"/>
        <w:ind w:firstLine="480" w:firstLineChars="200"/>
        <w:rPr>
          <w:rFonts w:ascii="宋体" w:hAnsi="宋体" w:eastAsia="仿宋"/>
          <w:color w:val="000000"/>
          <w:sz w:val="24"/>
          <w:highlight w:val="none"/>
        </w:rPr>
      </w:pPr>
      <w:r>
        <w:rPr>
          <w:rFonts w:hint="eastAsia" w:ascii="宋体" w:hAnsi="宋体" w:eastAsia="仿宋"/>
          <w:color w:val="000000"/>
          <w:sz w:val="24"/>
          <w:highlight w:val="none"/>
        </w:rPr>
        <w:t>（</w:t>
      </w:r>
      <w:r>
        <w:rPr>
          <w:rFonts w:ascii="宋体" w:hAnsi="宋体" w:eastAsia="仿宋"/>
          <w:color w:val="000000"/>
          <w:sz w:val="24"/>
          <w:highlight w:val="none"/>
        </w:rPr>
        <w:t>4）联合体各方应分别按照本招标文件的要求，填写投标文件中的相应表格，并由联合体牵头人负责对联合体各成员的资料进行统一汇总后一并提交给</w:t>
      </w:r>
      <w:r>
        <w:rPr>
          <w:rFonts w:hint="eastAsia" w:ascii="宋体" w:hAnsi="宋体" w:eastAsia="仿宋"/>
          <w:color w:val="000000"/>
          <w:sz w:val="24"/>
          <w:highlight w:val="none"/>
        </w:rPr>
        <w:t>采购</w:t>
      </w:r>
      <w:r>
        <w:rPr>
          <w:rFonts w:ascii="宋体" w:hAnsi="宋体" w:eastAsia="仿宋"/>
          <w:color w:val="000000"/>
          <w:sz w:val="24"/>
          <w:highlight w:val="none"/>
        </w:rPr>
        <w:t>人；联合体牵头人所提交的投标文件应认为已代表了联合体各成员的真实情况；</w:t>
      </w:r>
    </w:p>
    <w:p w14:paraId="5AD52656">
      <w:pPr>
        <w:widowControl/>
        <w:adjustRightInd w:val="0"/>
        <w:snapToGrid w:val="0"/>
        <w:spacing w:line="360" w:lineRule="auto"/>
        <w:ind w:firstLine="480" w:firstLineChars="200"/>
        <w:rPr>
          <w:rFonts w:hint="eastAsia" w:ascii="宋体" w:hAnsi="宋体" w:eastAsia="仿宋"/>
          <w:color w:val="000000"/>
          <w:sz w:val="24"/>
          <w:highlight w:val="none"/>
        </w:rPr>
      </w:pPr>
      <w:r>
        <w:rPr>
          <w:rFonts w:hint="eastAsia" w:ascii="宋体" w:hAnsi="宋体" w:eastAsia="仿宋"/>
          <w:color w:val="000000"/>
          <w:sz w:val="24"/>
          <w:highlight w:val="none"/>
        </w:rPr>
        <w:t>（</w:t>
      </w:r>
      <w:r>
        <w:rPr>
          <w:rFonts w:ascii="宋体" w:hAnsi="宋体" w:eastAsia="仿宋"/>
          <w:color w:val="000000"/>
          <w:sz w:val="24"/>
          <w:highlight w:val="none"/>
        </w:rPr>
        <w:t>5）尽管委任了联合体牵头人，但联合体各成员在投标、签订合同与履行合同过程中，仍负有连带的和各自的法律责任。</w:t>
      </w:r>
    </w:p>
    <w:p w14:paraId="13FC15AA">
      <w:pPr>
        <w:widowControl/>
        <w:adjustRightInd w:val="0"/>
        <w:snapToGrid w:val="0"/>
        <w:spacing w:line="360" w:lineRule="auto"/>
        <w:ind w:firstLine="480" w:firstLineChars="200"/>
        <w:rPr>
          <w:rFonts w:ascii="宋体" w:hAnsi="宋体" w:eastAsia="仿宋"/>
          <w:color w:val="000000"/>
          <w:sz w:val="24"/>
          <w:highlight w:val="none"/>
        </w:rPr>
      </w:pPr>
      <w:r>
        <w:rPr>
          <w:rFonts w:hint="eastAsia" w:ascii="宋体" w:hAnsi="宋体" w:eastAsia="仿宋"/>
          <w:color w:val="000000"/>
          <w:sz w:val="24"/>
          <w:highlight w:val="none"/>
        </w:rPr>
        <w:t>1.3.3 投标人</w:t>
      </w:r>
      <w:r>
        <w:rPr>
          <w:rFonts w:hAnsi="宋体" w:eastAsia="仿宋"/>
          <w:color w:val="000000"/>
          <w:sz w:val="24"/>
          <w:highlight w:val="none"/>
        </w:rPr>
        <w:t>（包括联合体各成员）</w:t>
      </w:r>
      <w:r>
        <w:rPr>
          <w:rFonts w:hint="eastAsia" w:ascii="宋体" w:hAnsi="宋体" w:eastAsia="仿宋"/>
          <w:color w:val="000000"/>
          <w:sz w:val="24"/>
          <w:highlight w:val="none"/>
        </w:rPr>
        <w:t>不得存在下列情形之一：</w:t>
      </w:r>
    </w:p>
    <w:p w14:paraId="67B739B9">
      <w:pPr>
        <w:widowControl/>
        <w:adjustRightInd w:val="0"/>
        <w:snapToGrid w:val="0"/>
        <w:spacing w:line="360" w:lineRule="auto"/>
        <w:ind w:firstLine="480" w:firstLineChars="200"/>
        <w:rPr>
          <w:rFonts w:hint="eastAsia" w:ascii="宋体" w:hAnsi="宋体" w:eastAsia="仿宋"/>
          <w:color w:val="000000"/>
          <w:sz w:val="24"/>
          <w:highlight w:val="none"/>
        </w:rPr>
      </w:pPr>
      <w:bookmarkStart w:id="111" w:name="_Toc333599664"/>
      <w:bookmarkStart w:id="112" w:name="_Toc333587858"/>
      <w:bookmarkStart w:id="113" w:name="_Toc338944610"/>
      <w:bookmarkStart w:id="114" w:name="_Toc342294719"/>
      <w:bookmarkStart w:id="115" w:name="_Toc338943705"/>
      <w:bookmarkStart w:id="116" w:name="_Toc152045535"/>
      <w:bookmarkStart w:id="117" w:name="_Toc144974503"/>
      <w:bookmarkStart w:id="118" w:name="_Toc342297624"/>
      <w:bookmarkStart w:id="119" w:name="_Toc152042311"/>
      <w:bookmarkStart w:id="120" w:name="_Toc179632552"/>
      <w:bookmarkStart w:id="121" w:name="_Toc342296167"/>
      <w:bookmarkStart w:id="122" w:name="_Toc333600688"/>
      <w:r>
        <w:rPr>
          <w:rFonts w:hint="eastAsia" w:ascii="宋体" w:hAnsi="宋体" w:eastAsia="仿宋"/>
          <w:color w:val="000000"/>
          <w:sz w:val="24"/>
          <w:highlight w:val="none"/>
        </w:rPr>
        <w:t>（1）</w:t>
      </w:r>
      <w:r>
        <w:rPr>
          <w:rFonts w:ascii="宋体" w:hAnsi="宋体" w:eastAsia="仿宋"/>
          <w:color w:val="000000"/>
          <w:sz w:val="24"/>
          <w:highlight w:val="none"/>
        </w:rPr>
        <w:t>为本采购项目的采购代理机构；</w:t>
      </w:r>
    </w:p>
    <w:p w14:paraId="7F8CD34C">
      <w:pPr>
        <w:widowControl/>
        <w:adjustRightInd w:val="0"/>
        <w:snapToGrid w:val="0"/>
        <w:spacing w:line="360" w:lineRule="auto"/>
        <w:ind w:firstLine="480" w:firstLineChars="200"/>
        <w:rPr>
          <w:rFonts w:hint="eastAsia" w:ascii="宋体" w:hAnsi="宋体" w:eastAsia="仿宋"/>
          <w:color w:val="000000"/>
          <w:sz w:val="24"/>
          <w:highlight w:val="none"/>
        </w:rPr>
      </w:pPr>
      <w:r>
        <w:rPr>
          <w:rFonts w:hint="eastAsia" w:ascii="宋体" w:hAnsi="宋体" w:eastAsia="仿宋"/>
          <w:color w:val="000000"/>
          <w:sz w:val="24"/>
          <w:highlight w:val="none"/>
        </w:rPr>
        <w:t>（2）</w:t>
      </w:r>
      <w:r>
        <w:rPr>
          <w:rFonts w:ascii="宋体" w:hAnsi="宋体" w:eastAsia="仿宋"/>
          <w:color w:val="000000"/>
          <w:sz w:val="24"/>
          <w:highlight w:val="none"/>
        </w:rPr>
        <w:t>为采购人</w:t>
      </w:r>
      <w:r>
        <w:rPr>
          <w:rFonts w:hint="eastAsia" w:ascii="宋体" w:hAnsi="宋体" w:eastAsia="仿宋"/>
          <w:color w:val="000000"/>
          <w:sz w:val="24"/>
          <w:highlight w:val="none"/>
        </w:rPr>
        <w:t>不具有独立承担民事责任能力的</w:t>
      </w:r>
      <w:r>
        <w:rPr>
          <w:rFonts w:ascii="宋体" w:hAnsi="宋体" w:eastAsia="仿宋"/>
          <w:color w:val="000000"/>
          <w:sz w:val="24"/>
          <w:highlight w:val="none"/>
        </w:rPr>
        <w:t>附属机构</w:t>
      </w:r>
      <w:r>
        <w:rPr>
          <w:rFonts w:hint="eastAsia" w:ascii="宋体" w:hAnsi="宋体" w:eastAsia="仿宋"/>
          <w:color w:val="000000"/>
          <w:sz w:val="24"/>
          <w:highlight w:val="none"/>
        </w:rPr>
        <w:t>；</w:t>
      </w:r>
    </w:p>
    <w:p w14:paraId="61AF3703">
      <w:pPr>
        <w:widowControl/>
        <w:adjustRightInd w:val="0"/>
        <w:snapToGrid w:val="0"/>
        <w:spacing w:line="360" w:lineRule="auto"/>
        <w:ind w:firstLine="480" w:firstLineChars="200"/>
        <w:rPr>
          <w:rFonts w:ascii="宋体" w:hAnsi="宋体" w:eastAsia="仿宋"/>
          <w:color w:val="000000"/>
          <w:sz w:val="24"/>
          <w:highlight w:val="none"/>
        </w:rPr>
      </w:pPr>
      <w:r>
        <w:rPr>
          <w:rFonts w:hint="eastAsia" w:ascii="宋体" w:hAnsi="宋体" w:eastAsia="仿宋"/>
          <w:color w:val="000000"/>
          <w:sz w:val="24"/>
          <w:highlight w:val="none"/>
        </w:rPr>
        <w:t>（3）</w:t>
      </w:r>
      <w:r>
        <w:rPr>
          <w:rFonts w:ascii="宋体" w:hAnsi="宋体" w:eastAsia="仿宋"/>
          <w:color w:val="000000"/>
          <w:sz w:val="24"/>
          <w:highlight w:val="none"/>
        </w:rPr>
        <w:t>与采购人存在利害关系且可能影响采购公正性；</w:t>
      </w:r>
    </w:p>
    <w:p w14:paraId="0A1EB7F5">
      <w:pPr>
        <w:widowControl/>
        <w:adjustRightInd w:val="0"/>
        <w:snapToGrid w:val="0"/>
        <w:spacing w:line="360" w:lineRule="auto"/>
        <w:ind w:firstLine="480" w:firstLineChars="200"/>
        <w:rPr>
          <w:rFonts w:hint="eastAsia" w:ascii="宋体" w:hAnsi="宋体" w:eastAsia="仿宋"/>
          <w:color w:val="000000"/>
          <w:sz w:val="24"/>
          <w:highlight w:val="none"/>
        </w:rPr>
      </w:pPr>
      <w:r>
        <w:rPr>
          <w:rFonts w:hint="eastAsia" w:ascii="宋体" w:hAnsi="宋体" w:eastAsia="仿宋"/>
          <w:color w:val="000000"/>
          <w:sz w:val="24"/>
          <w:highlight w:val="none"/>
        </w:rPr>
        <w:t>（4）</w:t>
      </w:r>
      <w:r>
        <w:rPr>
          <w:rFonts w:ascii="宋体" w:hAnsi="宋体" w:eastAsia="仿宋"/>
          <w:color w:val="000000"/>
          <w:sz w:val="24"/>
          <w:highlight w:val="none"/>
        </w:rPr>
        <w:t>由本</w:t>
      </w:r>
      <w:r>
        <w:rPr>
          <w:rFonts w:hint="eastAsia" w:ascii="宋体" w:hAnsi="宋体" w:eastAsia="仿宋"/>
          <w:color w:val="000000"/>
          <w:sz w:val="24"/>
          <w:highlight w:val="none"/>
        </w:rPr>
        <w:t>采购项目</w:t>
      </w:r>
      <w:r>
        <w:rPr>
          <w:rFonts w:ascii="宋体" w:hAnsi="宋体" w:eastAsia="仿宋"/>
          <w:color w:val="000000"/>
          <w:sz w:val="24"/>
          <w:highlight w:val="none"/>
        </w:rPr>
        <w:t>采购代理机构代理</w:t>
      </w:r>
      <w:r>
        <w:rPr>
          <w:rFonts w:hint="eastAsia" w:ascii="宋体" w:hAnsi="宋体" w:eastAsia="仿宋"/>
          <w:color w:val="000000"/>
          <w:sz w:val="24"/>
          <w:highlight w:val="none"/>
        </w:rPr>
        <w:t>投标</w:t>
      </w:r>
      <w:r>
        <w:rPr>
          <w:rFonts w:ascii="宋体" w:hAnsi="宋体" w:eastAsia="仿宋"/>
          <w:color w:val="000000"/>
          <w:sz w:val="24"/>
          <w:highlight w:val="none"/>
        </w:rPr>
        <w:t>，或者接受过本</w:t>
      </w:r>
      <w:r>
        <w:rPr>
          <w:rFonts w:hint="eastAsia" w:ascii="宋体" w:hAnsi="宋体" w:eastAsia="仿宋"/>
          <w:color w:val="000000"/>
          <w:sz w:val="24"/>
          <w:highlight w:val="none"/>
        </w:rPr>
        <w:t>采购项目</w:t>
      </w:r>
      <w:r>
        <w:rPr>
          <w:rFonts w:ascii="宋体" w:hAnsi="宋体" w:eastAsia="仿宋"/>
          <w:color w:val="000000"/>
          <w:sz w:val="24"/>
          <w:highlight w:val="none"/>
        </w:rPr>
        <w:t>的采购代理机构为本</w:t>
      </w:r>
      <w:r>
        <w:rPr>
          <w:rFonts w:hint="eastAsia" w:ascii="宋体" w:hAnsi="宋体" w:eastAsia="仿宋"/>
          <w:color w:val="000000"/>
          <w:sz w:val="24"/>
          <w:highlight w:val="none"/>
        </w:rPr>
        <w:t>采购项目</w:t>
      </w:r>
      <w:r>
        <w:rPr>
          <w:rFonts w:ascii="宋体" w:hAnsi="宋体" w:eastAsia="仿宋"/>
          <w:color w:val="000000"/>
          <w:sz w:val="24"/>
          <w:highlight w:val="none"/>
        </w:rPr>
        <w:t>提供咨询</w:t>
      </w:r>
      <w:r>
        <w:rPr>
          <w:rFonts w:hint="eastAsia" w:ascii="宋体" w:hAnsi="宋体" w:eastAsia="仿宋"/>
          <w:color w:val="000000"/>
          <w:sz w:val="24"/>
          <w:highlight w:val="none"/>
        </w:rPr>
        <w:t>；</w:t>
      </w:r>
    </w:p>
    <w:p w14:paraId="29DDD486">
      <w:pPr>
        <w:widowControl/>
        <w:adjustRightInd w:val="0"/>
        <w:snapToGrid w:val="0"/>
        <w:spacing w:line="360" w:lineRule="auto"/>
        <w:ind w:firstLine="480" w:firstLineChars="200"/>
        <w:rPr>
          <w:rFonts w:ascii="宋体" w:hAnsi="宋体" w:eastAsia="仿宋"/>
          <w:color w:val="000000"/>
          <w:sz w:val="24"/>
          <w:highlight w:val="none"/>
        </w:rPr>
      </w:pPr>
      <w:r>
        <w:rPr>
          <w:rFonts w:hint="eastAsia" w:ascii="宋体" w:hAnsi="宋体" w:eastAsia="仿宋"/>
          <w:color w:val="000000"/>
          <w:sz w:val="24"/>
          <w:highlight w:val="none"/>
        </w:rPr>
        <w:t>（5）</w:t>
      </w:r>
      <w:r>
        <w:rPr>
          <w:rFonts w:ascii="宋体" w:hAnsi="宋体" w:eastAsia="仿宋"/>
          <w:color w:val="000000"/>
          <w:sz w:val="24"/>
          <w:highlight w:val="none"/>
        </w:rPr>
        <w:t>被责令停产停业、暂扣或者吊销许可证、暂扣或者吊销执照；</w:t>
      </w:r>
    </w:p>
    <w:p w14:paraId="6AAEC190">
      <w:pPr>
        <w:widowControl/>
        <w:adjustRightInd w:val="0"/>
        <w:snapToGrid w:val="0"/>
        <w:spacing w:line="360" w:lineRule="auto"/>
        <w:ind w:firstLine="480" w:firstLineChars="200"/>
        <w:rPr>
          <w:rFonts w:hint="eastAsia" w:ascii="宋体" w:hAnsi="宋体" w:eastAsia="仿宋"/>
          <w:color w:val="000000"/>
          <w:sz w:val="24"/>
          <w:highlight w:val="none"/>
        </w:rPr>
      </w:pPr>
      <w:r>
        <w:rPr>
          <w:rFonts w:hint="eastAsia" w:ascii="宋体" w:hAnsi="宋体" w:eastAsia="仿宋"/>
          <w:color w:val="000000"/>
          <w:sz w:val="24"/>
          <w:highlight w:val="none"/>
        </w:rPr>
        <w:t>（6）</w:t>
      </w:r>
      <w:r>
        <w:rPr>
          <w:rFonts w:ascii="宋体" w:hAnsi="宋体" w:eastAsia="仿宋"/>
          <w:color w:val="000000"/>
          <w:sz w:val="24"/>
          <w:highlight w:val="none"/>
        </w:rPr>
        <w:t>进入清算程序，或被宣告破产，或其他丧失履约能力的情形；</w:t>
      </w:r>
    </w:p>
    <w:p w14:paraId="0D88E276">
      <w:pPr>
        <w:widowControl/>
        <w:adjustRightInd w:val="0"/>
        <w:snapToGrid w:val="0"/>
        <w:spacing w:line="360" w:lineRule="auto"/>
        <w:ind w:firstLine="480" w:firstLineChars="200"/>
        <w:rPr>
          <w:rFonts w:hint="eastAsia" w:ascii="宋体" w:hAnsi="宋体" w:eastAsia="仿宋"/>
          <w:color w:val="000000"/>
          <w:sz w:val="24"/>
          <w:highlight w:val="none"/>
        </w:rPr>
      </w:pPr>
      <w:r>
        <w:rPr>
          <w:rFonts w:hint="eastAsia" w:ascii="宋体" w:hAnsi="宋体" w:eastAsia="仿宋"/>
          <w:color w:val="000000"/>
          <w:sz w:val="24"/>
          <w:highlight w:val="none"/>
        </w:rPr>
        <w:t>（7）与本项目其他投标人的</w:t>
      </w:r>
      <w:r>
        <w:rPr>
          <w:rFonts w:ascii="宋体" w:hAnsi="宋体" w:eastAsia="仿宋"/>
          <w:color w:val="000000"/>
          <w:sz w:val="24"/>
          <w:highlight w:val="none"/>
        </w:rPr>
        <w:t>单位负责人为同一人或者存在直接控股、管理关系的不同投标人</w:t>
      </w:r>
      <w:r>
        <w:rPr>
          <w:rFonts w:hint="eastAsia" w:ascii="宋体" w:hAnsi="宋体" w:eastAsia="仿宋"/>
          <w:color w:val="000000"/>
          <w:sz w:val="24"/>
          <w:highlight w:val="none"/>
        </w:rPr>
        <w:t>；</w:t>
      </w:r>
    </w:p>
    <w:p w14:paraId="2BE75BEB">
      <w:pPr>
        <w:widowControl/>
        <w:adjustRightInd w:val="0"/>
        <w:snapToGrid w:val="0"/>
        <w:spacing w:line="360" w:lineRule="auto"/>
        <w:ind w:firstLine="480" w:firstLineChars="200"/>
        <w:rPr>
          <w:rFonts w:hint="eastAsia" w:ascii="宋体" w:hAnsi="宋体" w:eastAsia="仿宋"/>
          <w:color w:val="000000"/>
          <w:sz w:val="24"/>
          <w:highlight w:val="none"/>
        </w:rPr>
      </w:pPr>
      <w:r>
        <w:rPr>
          <w:rFonts w:hint="eastAsia" w:ascii="宋体" w:hAnsi="宋体" w:eastAsia="仿宋"/>
          <w:color w:val="000000"/>
          <w:sz w:val="24"/>
          <w:highlight w:val="none"/>
        </w:rPr>
        <w:t>（8）被依法禁止参加政府采购活动并在有效期内；</w:t>
      </w:r>
    </w:p>
    <w:p w14:paraId="1287B5C5">
      <w:pPr>
        <w:widowControl/>
        <w:adjustRightInd w:val="0"/>
        <w:snapToGrid w:val="0"/>
        <w:spacing w:line="360" w:lineRule="auto"/>
        <w:ind w:firstLine="480" w:firstLineChars="200"/>
        <w:rPr>
          <w:rFonts w:ascii="宋体" w:hAnsi="宋体" w:eastAsia="仿宋"/>
          <w:color w:val="000000"/>
          <w:sz w:val="24"/>
          <w:highlight w:val="none"/>
        </w:rPr>
      </w:pPr>
      <w:r>
        <w:rPr>
          <w:rFonts w:hint="eastAsia" w:ascii="宋体" w:hAnsi="宋体" w:eastAsia="仿宋"/>
          <w:color w:val="000000"/>
          <w:sz w:val="24"/>
          <w:highlight w:val="none"/>
        </w:rPr>
        <w:t>（9）为采购项目提供整体设计、规范编制或者项目管理、监理、检测等服务的投标人，不得再参加该采购项目的其他采购活动，具体按财政部财办库〔2015〕295号文件规定；</w:t>
      </w:r>
    </w:p>
    <w:p w14:paraId="3DBE3440">
      <w:pPr>
        <w:widowControl/>
        <w:adjustRightInd w:val="0"/>
        <w:snapToGrid w:val="0"/>
        <w:spacing w:line="360" w:lineRule="auto"/>
        <w:ind w:firstLine="480" w:firstLineChars="200"/>
        <w:rPr>
          <w:rFonts w:hint="eastAsia" w:ascii="宋体" w:hAnsi="宋体" w:eastAsia="仿宋"/>
          <w:color w:val="000000"/>
          <w:sz w:val="24"/>
          <w:highlight w:val="none"/>
        </w:rPr>
      </w:pPr>
      <w:r>
        <w:rPr>
          <w:rFonts w:hint="eastAsia" w:ascii="宋体" w:hAnsi="宋体" w:eastAsia="仿宋"/>
          <w:color w:val="000000"/>
          <w:sz w:val="24"/>
          <w:highlight w:val="none"/>
        </w:rPr>
        <w:t>（10）截至投标截止时间，</w:t>
      </w:r>
      <w:r>
        <w:rPr>
          <w:rFonts w:ascii="宋体" w:hAnsi="宋体" w:eastAsia="仿宋"/>
          <w:color w:val="000000"/>
          <w:sz w:val="24"/>
          <w:highlight w:val="none"/>
        </w:rPr>
        <w:t>被人民法院列入失信被执行人名单</w:t>
      </w:r>
      <w:r>
        <w:rPr>
          <w:rFonts w:hint="eastAsia" w:ascii="宋体" w:hAnsi="宋体" w:eastAsia="仿宋"/>
          <w:color w:val="000000"/>
          <w:sz w:val="24"/>
          <w:highlight w:val="none"/>
        </w:rPr>
        <w:t>的（以信用中国</w:t>
      </w:r>
      <w:r>
        <w:rPr>
          <w:rFonts w:ascii="宋体" w:hAnsi="宋体" w:eastAsia="仿宋"/>
          <w:color w:val="000000"/>
          <w:sz w:val="24"/>
          <w:highlight w:val="none"/>
        </w:rPr>
        <w:t>www.creditchina.gov.cn</w:t>
      </w:r>
      <w:r>
        <w:rPr>
          <w:rFonts w:hint="eastAsia" w:ascii="宋体" w:hAnsi="宋体" w:eastAsia="仿宋"/>
          <w:color w:val="000000"/>
          <w:sz w:val="24"/>
          <w:highlight w:val="none"/>
        </w:rPr>
        <w:t>、中国执行信息公开网</w:t>
      </w:r>
      <w:r>
        <w:rPr>
          <w:rFonts w:ascii="宋体" w:hAnsi="宋体" w:eastAsia="仿宋"/>
          <w:color w:val="000000"/>
          <w:sz w:val="24"/>
          <w:highlight w:val="none"/>
        </w:rPr>
        <w:t>http://zxgk.court.gov.cn/</w:t>
      </w:r>
      <w:r>
        <w:rPr>
          <w:rFonts w:hint="eastAsia" w:ascii="宋体" w:hAnsi="宋体" w:eastAsia="仿宋"/>
          <w:color w:val="000000"/>
          <w:sz w:val="24"/>
          <w:highlight w:val="none"/>
        </w:rPr>
        <w:t>查询为准）</w:t>
      </w:r>
      <w:r>
        <w:rPr>
          <w:rFonts w:ascii="宋体" w:hAnsi="宋体" w:eastAsia="仿宋"/>
          <w:color w:val="000000"/>
          <w:sz w:val="24"/>
          <w:highlight w:val="none"/>
        </w:rPr>
        <w:t>；</w:t>
      </w:r>
    </w:p>
    <w:p w14:paraId="50EF2AB8">
      <w:pPr>
        <w:widowControl/>
        <w:adjustRightInd w:val="0"/>
        <w:snapToGrid w:val="0"/>
        <w:spacing w:line="360" w:lineRule="auto"/>
        <w:ind w:firstLine="480" w:firstLineChars="200"/>
        <w:rPr>
          <w:rFonts w:hint="eastAsia" w:ascii="宋体" w:hAnsi="宋体" w:eastAsia="仿宋"/>
          <w:color w:val="000000"/>
          <w:sz w:val="24"/>
          <w:highlight w:val="none"/>
        </w:rPr>
      </w:pPr>
      <w:r>
        <w:rPr>
          <w:rFonts w:hint="eastAsia" w:ascii="宋体" w:hAnsi="宋体" w:eastAsia="仿宋"/>
          <w:color w:val="000000"/>
          <w:sz w:val="24"/>
          <w:highlight w:val="none"/>
        </w:rPr>
        <w:t>（11）截至投标截止时间，被列入重大税收违法案件当事人（重大税收违法失信主体）名单的（以信用中国网站</w:t>
      </w:r>
      <w:r>
        <w:rPr>
          <w:rFonts w:ascii="宋体" w:hAnsi="宋体" w:eastAsia="仿宋"/>
          <w:color w:val="000000"/>
          <w:sz w:val="24"/>
          <w:highlight w:val="none"/>
        </w:rPr>
        <w:t>www.creditchina.gov.cn</w:t>
      </w:r>
      <w:r>
        <w:rPr>
          <w:rFonts w:hint="eastAsia" w:ascii="宋体" w:hAnsi="宋体" w:eastAsia="仿宋"/>
          <w:color w:val="000000"/>
          <w:sz w:val="24"/>
          <w:highlight w:val="none"/>
        </w:rPr>
        <w:t>查询为准）；</w:t>
      </w:r>
    </w:p>
    <w:p w14:paraId="23DE243F">
      <w:pPr>
        <w:widowControl/>
        <w:adjustRightInd w:val="0"/>
        <w:snapToGrid w:val="0"/>
        <w:spacing w:line="360" w:lineRule="auto"/>
        <w:ind w:firstLine="480" w:firstLineChars="200"/>
        <w:rPr>
          <w:rFonts w:hint="eastAsia" w:ascii="宋体" w:hAnsi="宋体" w:eastAsia="仿宋"/>
          <w:color w:val="000000"/>
          <w:sz w:val="24"/>
          <w:highlight w:val="none"/>
        </w:rPr>
      </w:pPr>
      <w:r>
        <w:rPr>
          <w:rFonts w:hint="eastAsia" w:ascii="宋体" w:hAnsi="宋体" w:eastAsia="仿宋"/>
          <w:color w:val="000000"/>
          <w:sz w:val="24"/>
          <w:highlight w:val="none"/>
        </w:rPr>
        <w:t>（12）截至投标截止时间，被列入政府采购严重违法失信名单的（以信用中国网站</w:t>
      </w:r>
      <w:r>
        <w:rPr>
          <w:rFonts w:ascii="宋体" w:hAnsi="宋体" w:eastAsia="仿宋"/>
          <w:color w:val="000000"/>
          <w:sz w:val="24"/>
          <w:highlight w:val="none"/>
        </w:rPr>
        <w:t>www.creditchina.gov.cn</w:t>
      </w:r>
      <w:r>
        <w:rPr>
          <w:rFonts w:hint="eastAsia" w:ascii="宋体" w:hAnsi="宋体" w:eastAsia="仿宋"/>
          <w:color w:val="000000"/>
          <w:sz w:val="24"/>
          <w:highlight w:val="none"/>
        </w:rPr>
        <w:t>、中国政府采购网</w:t>
      </w:r>
      <w:r>
        <w:rPr>
          <w:rFonts w:ascii="宋体" w:hAnsi="宋体" w:eastAsia="仿宋"/>
          <w:color w:val="000000"/>
          <w:sz w:val="24"/>
          <w:highlight w:val="none"/>
        </w:rPr>
        <w:t>http://www.ccgp.gov.cn/</w:t>
      </w:r>
      <w:r>
        <w:rPr>
          <w:rFonts w:hint="eastAsia" w:ascii="宋体" w:hAnsi="宋体" w:eastAsia="仿宋"/>
          <w:color w:val="000000"/>
          <w:sz w:val="24"/>
          <w:highlight w:val="none"/>
        </w:rPr>
        <w:t>查询为准）；</w:t>
      </w:r>
    </w:p>
    <w:p w14:paraId="70C31856">
      <w:pPr>
        <w:widowControl/>
        <w:adjustRightInd w:val="0"/>
        <w:snapToGrid w:val="0"/>
        <w:spacing w:line="360" w:lineRule="auto"/>
        <w:ind w:firstLine="480" w:firstLineChars="200"/>
        <w:rPr>
          <w:rFonts w:hint="eastAsia" w:ascii="宋体" w:hAnsi="宋体" w:eastAsia="仿宋"/>
          <w:color w:val="000000"/>
          <w:sz w:val="24"/>
          <w:highlight w:val="none"/>
        </w:rPr>
      </w:pPr>
      <w:r>
        <w:rPr>
          <w:rFonts w:hint="eastAsia" w:ascii="宋体" w:hAnsi="宋体" w:eastAsia="仿宋"/>
          <w:color w:val="000000"/>
          <w:sz w:val="24"/>
          <w:highlight w:val="none"/>
        </w:rPr>
        <w:t>（13）截至投标截止时间，被市场监督管理部门（或工商行政管理部门）列入经营异常名录或者严重违法失信企业名单的（未按照《企业信息公示暂行条例》（国务院令第654号）第八条规定的期限公示年度报告被列入经营异常名录的除外）（以国家企业信用信息公示系统http://www.gsxt.gov.cn/查询为准）；</w:t>
      </w:r>
    </w:p>
    <w:p w14:paraId="71785546">
      <w:pPr>
        <w:widowControl/>
        <w:adjustRightInd w:val="0"/>
        <w:snapToGrid w:val="0"/>
        <w:spacing w:line="360" w:lineRule="auto"/>
        <w:ind w:firstLine="480" w:firstLineChars="200"/>
        <w:rPr>
          <w:rFonts w:hint="eastAsia" w:ascii="宋体" w:hAnsi="宋体" w:eastAsia="仿宋"/>
          <w:color w:val="000000"/>
          <w:sz w:val="24"/>
          <w:highlight w:val="none"/>
        </w:rPr>
      </w:pPr>
      <w:r>
        <w:rPr>
          <w:rFonts w:hint="eastAsia" w:ascii="宋体" w:hAnsi="宋体" w:eastAsia="仿宋"/>
          <w:color w:val="000000"/>
          <w:sz w:val="24"/>
          <w:highlight w:val="none"/>
        </w:rPr>
        <w:t>（14）</w:t>
      </w:r>
      <w:r>
        <w:rPr>
          <w:rFonts w:ascii="宋体" w:hAnsi="宋体" w:eastAsia="仿宋"/>
          <w:color w:val="000000"/>
          <w:sz w:val="24"/>
          <w:highlight w:val="none"/>
        </w:rPr>
        <w:t>法律法规</w:t>
      </w:r>
      <w:r>
        <w:rPr>
          <w:rFonts w:hint="eastAsia" w:ascii="宋体" w:hAnsi="宋体" w:eastAsia="仿宋"/>
          <w:color w:val="000000"/>
          <w:sz w:val="24"/>
          <w:highlight w:val="none"/>
        </w:rPr>
        <w:t>规定的其他情形；</w:t>
      </w:r>
    </w:p>
    <w:p w14:paraId="7E649A57">
      <w:pPr>
        <w:widowControl/>
        <w:adjustRightInd w:val="0"/>
        <w:snapToGrid w:val="0"/>
        <w:spacing w:line="360" w:lineRule="auto"/>
        <w:ind w:firstLine="480" w:firstLineChars="200"/>
        <w:rPr>
          <w:rFonts w:hint="eastAsia" w:ascii="宋体" w:hAnsi="宋体" w:eastAsia="仿宋"/>
          <w:color w:val="000000"/>
          <w:sz w:val="24"/>
          <w:highlight w:val="none"/>
        </w:rPr>
      </w:pPr>
      <w:r>
        <w:rPr>
          <w:rFonts w:hint="eastAsia" w:ascii="宋体" w:hAnsi="宋体" w:eastAsia="仿宋"/>
          <w:color w:val="000000"/>
          <w:sz w:val="24"/>
          <w:highlight w:val="none"/>
        </w:rPr>
        <w:t>（15）</w:t>
      </w:r>
      <w:r>
        <w:rPr>
          <w:rFonts w:ascii="宋体" w:hAnsi="宋体" w:eastAsia="仿宋"/>
          <w:color w:val="000000"/>
          <w:sz w:val="24"/>
          <w:highlight w:val="none"/>
        </w:rPr>
        <w:t>投标人须知前附表规定的其他情形。</w:t>
      </w:r>
    </w:p>
    <w:p w14:paraId="717582C2">
      <w:pPr>
        <w:pStyle w:val="4"/>
        <w:adjustRightInd w:val="0"/>
        <w:ind w:firstLine="482" w:firstLineChars="200"/>
        <w:rPr>
          <w:rFonts w:eastAsia="仿宋"/>
          <w:color w:val="000000"/>
          <w:sz w:val="24"/>
          <w:highlight w:val="none"/>
          <w:lang w:eastAsia="zh-CN"/>
        </w:rPr>
      </w:pPr>
      <w:bookmarkStart w:id="123" w:name="_Toc445554693"/>
      <w:bookmarkStart w:id="124" w:name="_Toc455587036"/>
      <w:bookmarkStart w:id="125" w:name="_Toc466024504"/>
      <w:bookmarkStart w:id="126" w:name="_Toc458504822"/>
      <w:bookmarkStart w:id="127" w:name="_Toc455587220"/>
      <w:bookmarkStart w:id="128" w:name="_Toc371415925"/>
      <w:r>
        <w:rPr>
          <w:rFonts w:hint="eastAsia" w:eastAsia="仿宋"/>
          <w:color w:val="000000"/>
          <w:sz w:val="24"/>
          <w:highlight w:val="none"/>
          <w:lang w:eastAsia="zh-CN"/>
        </w:rPr>
        <w:t>1.4 费用承担</w:t>
      </w:r>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p>
    <w:p w14:paraId="43CF33D3">
      <w:pPr>
        <w:widowControl/>
        <w:adjustRightInd w:val="0"/>
        <w:snapToGrid w:val="0"/>
        <w:spacing w:line="360" w:lineRule="auto"/>
        <w:ind w:firstLine="480" w:firstLineChars="200"/>
        <w:rPr>
          <w:rFonts w:ascii="宋体" w:hAnsi="宋体" w:eastAsia="仿宋"/>
          <w:color w:val="000000"/>
          <w:sz w:val="24"/>
          <w:highlight w:val="none"/>
        </w:rPr>
      </w:pPr>
      <w:r>
        <w:rPr>
          <w:rFonts w:hint="eastAsia" w:ascii="宋体" w:hAnsi="宋体" w:eastAsia="仿宋"/>
          <w:color w:val="000000"/>
          <w:sz w:val="24"/>
          <w:highlight w:val="none"/>
        </w:rPr>
        <w:t>投标人准备和参加投标活动发生的费用自理。</w:t>
      </w:r>
    </w:p>
    <w:p w14:paraId="71D9F96F">
      <w:pPr>
        <w:pStyle w:val="4"/>
        <w:adjustRightInd w:val="0"/>
        <w:ind w:firstLine="482" w:firstLineChars="200"/>
        <w:rPr>
          <w:rFonts w:eastAsia="仿宋"/>
          <w:color w:val="000000"/>
          <w:sz w:val="24"/>
          <w:highlight w:val="none"/>
          <w:lang w:eastAsia="zh-CN"/>
        </w:rPr>
      </w:pPr>
      <w:bookmarkStart w:id="129" w:name="_Toc445554694"/>
      <w:bookmarkStart w:id="130" w:name="_Toc455587037"/>
      <w:bookmarkStart w:id="131" w:name="_Toc458504823"/>
      <w:bookmarkStart w:id="132" w:name="_Toc455587221"/>
      <w:bookmarkStart w:id="133" w:name="_Toc466024505"/>
      <w:bookmarkStart w:id="134" w:name="_Toc300834956"/>
      <w:bookmarkStart w:id="135" w:name="_Toc247513959"/>
      <w:bookmarkStart w:id="136" w:name="_Toc247527560"/>
      <w:bookmarkStart w:id="137" w:name="_Toc152042312"/>
      <w:bookmarkStart w:id="138" w:name="_Toc152045536"/>
      <w:bookmarkStart w:id="139" w:name="_Toc144974504"/>
      <w:r>
        <w:rPr>
          <w:rFonts w:hint="eastAsia" w:eastAsia="仿宋"/>
          <w:color w:val="000000"/>
          <w:sz w:val="24"/>
          <w:highlight w:val="none"/>
          <w:lang w:eastAsia="zh-CN"/>
        </w:rPr>
        <w:t>1.5 保密</w:t>
      </w:r>
      <w:bookmarkEnd w:id="129"/>
      <w:bookmarkEnd w:id="130"/>
      <w:bookmarkEnd w:id="131"/>
      <w:bookmarkEnd w:id="132"/>
      <w:bookmarkEnd w:id="133"/>
    </w:p>
    <w:p w14:paraId="2B69F385">
      <w:pPr>
        <w:widowControl/>
        <w:adjustRightInd w:val="0"/>
        <w:snapToGrid w:val="0"/>
        <w:spacing w:line="360" w:lineRule="auto"/>
        <w:ind w:firstLine="480" w:firstLineChars="200"/>
        <w:rPr>
          <w:rFonts w:ascii="宋体" w:hAnsi="宋体" w:eastAsia="仿宋"/>
          <w:color w:val="000000"/>
          <w:sz w:val="24"/>
          <w:highlight w:val="none"/>
        </w:rPr>
      </w:pPr>
      <w:r>
        <w:rPr>
          <w:rFonts w:hint="eastAsia" w:ascii="宋体" w:hAnsi="宋体" w:eastAsia="仿宋"/>
          <w:color w:val="000000"/>
          <w:sz w:val="24"/>
          <w:highlight w:val="none"/>
        </w:rPr>
        <w:t>参与招标投标活动的各方应当对招标文件和投标文件中的商业和技术等秘密保密，否则应当承担相应的法律责任。</w:t>
      </w:r>
    </w:p>
    <w:p w14:paraId="0D660AAE">
      <w:pPr>
        <w:pStyle w:val="4"/>
        <w:adjustRightInd w:val="0"/>
        <w:ind w:firstLine="482" w:firstLineChars="200"/>
        <w:rPr>
          <w:rFonts w:eastAsia="仿宋"/>
          <w:color w:val="000000"/>
          <w:sz w:val="24"/>
          <w:highlight w:val="none"/>
          <w:lang w:eastAsia="zh-CN"/>
        </w:rPr>
      </w:pPr>
      <w:bookmarkStart w:id="140" w:name="_Toc466024506"/>
      <w:bookmarkStart w:id="141" w:name="_Toc445554695"/>
      <w:bookmarkStart w:id="142" w:name="_Toc455587222"/>
      <w:bookmarkStart w:id="143" w:name="_Toc458504824"/>
      <w:bookmarkStart w:id="144" w:name="_Toc455587038"/>
      <w:r>
        <w:rPr>
          <w:rFonts w:hint="eastAsia" w:eastAsia="仿宋"/>
          <w:color w:val="000000"/>
          <w:sz w:val="24"/>
          <w:highlight w:val="none"/>
          <w:lang w:eastAsia="zh-CN"/>
        </w:rPr>
        <w:t>1.6 语言文字</w:t>
      </w:r>
      <w:bookmarkEnd w:id="134"/>
      <w:bookmarkEnd w:id="135"/>
      <w:bookmarkEnd w:id="136"/>
      <w:bookmarkEnd w:id="137"/>
      <w:bookmarkEnd w:id="138"/>
      <w:bookmarkEnd w:id="139"/>
      <w:bookmarkEnd w:id="140"/>
      <w:bookmarkEnd w:id="141"/>
      <w:bookmarkEnd w:id="142"/>
      <w:bookmarkEnd w:id="143"/>
      <w:bookmarkEnd w:id="144"/>
    </w:p>
    <w:p w14:paraId="2C06BEB0">
      <w:pPr>
        <w:widowControl/>
        <w:adjustRightInd w:val="0"/>
        <w:snapToGrid w:val="0"/>
        <w:spacing w:line="360" w:lineRule="auto"/>
        <w:ind w:firstLine="480" w:firstLineChars="200"/>
        <w:rPr>
          <w:rFonts w:ascii="宋体" w:hAnsi="宋体" w:eastAsia="仿宋"/>
          <w:color w:val="000000"/>
          <w:sz w:val="24"/>
          <w:highlight w:val="none"/>
        </w:rPr>
      </w:pPr>
      <w:r>
        <w:rPr>
          <w:rFonts w:hint="eastAsia" w:ascii="宋体" w:hAnsi="宋体" w:eastAsia="仿宋"/>
          <w:color w:val="000000"/>
          <w:sz w:val="24"/>
          <w:highlight w:val="none"/>
        </w:rPr>
        <w:t>除专用术语外，与招标投标有关的语言均应当使用中文。必要时专用术语应附有中文注释。</w:t>
      </w:r>
    </w:p>
    <w:p w14:paraId="7B6DFF3C">
      <w:pPr>
        <w:pStyle w:val="4"/>
        <w:adjustRightInd w:val="0"/>
        <w:ind w:firstLine="482" w:firstLineChars="200"/>
        <w:rPr>
          <w:rFonts w:eastAsia="仿宋"/>
          <w:color w:val="000000"/>
          <w:sz w:val="24"/>
          <w:highlight w:val="none"/>
          <w:lang w:eastAsia="zh-CN"/>
        </w:rPr>
      </w:pPr>
      <w:bookmarkStart w:id="145" w:name="_Toc333599667"/>
      <w:bookmarkStart w:id="146" w:name="_Toc342296170"/>
      <w:bookmarkStart w:id="147" w:name="_Toc458504825"/>
      <w:bookmarkStart w:id="148" w:name="_Toc333600691"/>
      <w:bookmarkStart w:id="149" w:name="_Toc338943708"/>
      <w:bookmarkStart w:id="150" w:name="_Toc179632555"/>
      <w:bookmarkStart w:id="151" w:name="_Toc152045538"/>
      <w:bookmarkStart w:id="152" w:name="_Toc455587223"/>
      <w:bookmarkStart w:id="153" w:name="_Toc144974506"/>
      <w:bookmarkStart w:id="154" w:name="_Toc342297627"/>
      <w:bookmarkStart w:id="155" w:name="_Toc338944613"/>
      <w:bookmarkStart w:id="156" w:name="_Toc152042314"/>
      <w:bookmarkStart w:id="157" w:name="_Toc445554696"/>
      <w:bookmarkStart w:id="158" w:name="_Toc371415926"/>
      <w:bookmarkStart w:id="159" w:name="_Toc455587039"/>
      <w:bookmarkStart w:id="160" w:name="_Toc466024507"/>
      <w:bookmarkStart w:id="161" w:name="_Toc342294722"/>
      <w:bookmarkStart w:id="162" w:name="_Toc333587861"/>
      <w:r>
        <w:rPr>
          <w:rFonts w:hint="eastAsia" w:eastAsia="仿宋"/>
          <w:color w:val="000000"/>
          <w:sz w:val="24"/>
          <w:highlight w:val="none"/>
          <w:lang w:eastAsia="zh-CN"/>
        </w:rPr>
        <w:t>1.7 计量单位</w:t>
      </w:r>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p>
    <w:p w14:paraId="14EFC451">
      <w:pPr>
        <w:widowControl/>
        <w:adjustRightInd w:val="0"/>
        <w:snapToGrid w:val="0"/>
        <w:spacing w:line="360" w:lineRule="auto"/>
        <w:ind w:firstLine="480" w:firstLineChars="200"/>
        <w:rPr>
          <w:rFonts w:ascii="宋体" w:hAnsi="宋体" w:eastAsia="仿宋"/>
          <w:color w:val="000000"/>
          <w:sz w:val="24"/>
          <w:highlight w:val="none"/>
        </w:rPr>
      </w:pPr>
      <w:r>
        <w:rPr>
          <w:rFonts w:hint="eastAsia" w:ascii="宋体" w:hAnsi="宋体" w:eastAsia="仿宋"/>
          <w:color w:val="000000"/>
          <w:sz w:val="24"/>
          <w:highlight w:val="none"/>
        </w:rPr>
        <w:t>除招标文件另有规定外，所有计量均采用中华人民共和国法定计量单位。</w:t>
      </w:r>
    </w:p>
    <w:p w14:paraId="206763CD">
      <w:pPr>
        <w:pStyle w:val="4"/>
        <w:adjustRightInd w:val="0"/>
        <w:ind w:firstLine="482" w:firstLineChars="200"/>
        <w:rPr>
          <w:rFonts w:eastAsia="仿宋"/>
          <w:color w:val="000000"/>
          <w:sz w:val="24"/>
          <w:highlight w:val="none"/>
          <w:lang w:eastAsia="zh-CN"/>
        </w:rPr>
      </w:pPr>
      <w:bookmarkStart w:id="163" w:name="_Toc445554697"/>
      <w:bookmarkStart w:id="164" w:name="_Toc458504826"/>
      <w:bookmarkStart w:id="165" w:name="_Toc455587224"/>
      <w:bookmarkStart w:id="166" w:name="_Toc371415927"/>
      <w:bookmarkStart w:id="167" w:name="_Toc455587040"/>
      <w:bookmarkStart w:id="168" w:name="_Toc466024508"/>
      <w:bookmarkStart w:id="169" w:name="_Toc144974508"/>
      <w:bookmarkStart w:id="170" w:name="_Toc179632557"/>
      <w:bookmarkStart w:id="171" w:name="_Toc333600693"/>
      <w:bookmarkStart w:id="172" w:name="_Toc342296172"/>
      <w:bookmarkStart w:id="173" w:name="_Toc338944615"/>
      <w:bookmarkStart w:id="174" w:name="_Toc333599669"/>
      <w:bookmarkStart w:id="175" w:name="_Toc152042316"/>
      <w:bookmarkStart w:id="176" w:name="_Toc342297629"/>
      <w:bookmarkStart w:id="177" w:name="_Toc342294724"/>
      <w:bookmarkStart w:id="178" w:name="_Toc333587863"/>
      <w:bookmarkStart w:id="179" w:name="_Toc338943710"/>
      <w:bookmarkStart w:id="180" w:name="_Toc152045540"/>
      <w:r>
        <w:rPr>
          <w:rFonts w:hint="eastAsia" w:eastAsia="仿宋"/>
          <w:color w:val="000000"/>
          <w:sz w:val="24"/>
          <w:highlight w:val="none"/>
          <w:lang w:eastAsia="zh-CN"/>
        </w:rPr>
        <w:t>1.</w:t>
      </w:r>
      <w:bookmarkEnd w:id="163"/>
      <w:bookmarkEnd w:id="164"/>
      <w:bookmarkEnd w:id="165"/>
      <w:bookmarkEnd w:id="166"/>
      <w:bookmarkEnd w:id="167"/>
      <w:r>
        <w:rPr>
          <w:rFonts w:hint="eastAsia" w:eastAsia="仿宋"/>
          <w:color w:val="000000"/>
          <w:sz w:val="24"/>
          <w:highlight w:val="none"/>
          <w:lang w:eastAsia="zh-CN"/>
        </w:rPr>
        <w:t>8 现场考察</w:t>
      </w:r>
      <w:bookmarkEnd w:id="168"/>
    </w:p>
    <w:p w14:paraId="7C6484C4">
      <w:pPr>
        <w:widowControl/>
        <w:adjustRightInd w:val="0"/>
        <w:snapToGrid w:val="0"/>
        <w:spacing w:line="360" w:lineRule="auto"/>
        <w:ind w:firstLine="480" w:firstLineChars="200"/>
        <w:rPr>
          <w:rFonts w:ascii="宋体" w:hAnsi="宋体" w:eastAsia="仿宋"/>
          <w:color w:val="000000"/>
          <w:sz w:val="24"/>
          <w:highlight w:val="none"/>
        </w:rPr>
      </w:pPr>
      <w:r>
        <w:rPr>
          <w:rFonts w:hint="eastAsia" w:ascii="宋体" w:hAnsi="宋体" w:eastAsia="仿宋"/>
          <w:color w:val="000000"/>
          <w:sz w:val="24"/>
          <w:highlight w:val="none"/>
        </w:rPr>
        <w:t>1.8</w:t>
      </w:r>
      <w:r>
        <w:rPr>
          <w:rFonts w:ascii="宋体" w:hAnsi="宋体" w:eastAsia="仿宋"/>
          <w:color w:val="000000"/>
          <w:sz w:val="24"/>
          <w:highlight w:val="none"/>
        </w:rPr>
        <w:t>.1</w:t>
      </w:r>
      <w:r>
        <w:rPr>
          <w:rFonts w:hint="eastAsia" w:ascii="宋体" w:hAnsi="宋体" w:eastAsia="仿宋"/>
          <w:color w:val="000000"/>
          <w:sz w:val="24"/>
          <w:highlight w:val="none"/>
        </w:rPr>
        <w:t xml:space="preserve"> 投标人须知前附表规定组织现场考察的，采购人按投标人须知前附表规定的时间、地点组织投标人现场考察。采购人不组织统一现场考察的，由投标人自行考察现场。</w:t>
      </w:r>
    </w:p>
    <w:p w14:paraId="15F74221">
      <w:pPr>
        <w:widowControl/>
        <w:adjustRightInd w:val="0"/>
        <w:snapToGrid w:val="0"/>
        <w:spacing w:line="360" w:lineRule="auto"/>
        <w:ind w:firstLine="480" w:firstLineChars="200"/>
        <w:rPr>
          <w:rFonts w:ascii="宋体" w:hAnsi="宋体" w:eastAsia="仿宋"/>
          <w:color w:val="000000"/>
          <w:sz w:val="24"/>
          <w:highlight w:val="none"/>
        </w:rPr>
      </w:pPr>
      <w:r>
        <w:rPr>
          <w:rFonts w:hint="eastAsia" w:ascii="宋体" w:hAnsi="宋体" w:eastAsia="仿宋"/>
          <w:color w:val="000000"/>
          <w:sz w:val="24"/>
          <w:highlight w:val="none"/>
        </w:rPr>
        <w:t>1.8.</w:t>
      </w:r>
      <w:r>
        <w:rPr>
          <w:rFonts w:ascii="宋体" w:hAnsi="宋体" w:eastAsia="仿宋"/>
          <w:color w:val="000000"/>
          <w:sz w:val="24"/>
          <w:highlight w:val="none"/>
        </w:rPr>
        <w:t>2</w:t>
      </w:r>
      <w:r>
        <w:rPr>
          <w:rFonts w:hint="eastAsia" w:ascii="宋体" w:hAnsi="宋体" w:eastAsia="仿宋"/>
          <w:color w:val="000000"/>
          <w:sz w:val="24"/>
          <w:highlight w:val="none"/>
        </w:rPr>
        <w:t xml:space="preserve"> 投标人现场考察发生的费用自理。</w:t>
      </w:r>
    </w:p>
    <w:p w14:paraId="31EB6ECB">
      <w:pPr>
        <w:widowControl/>
        <w:adjustRightInd w:val="0"/>
        <w:snapToGrid w:val="0"/>
        <w:spacing w:line="360" w:lineRule="auto"/>
        <w:ind w:firstLine="480" w:firstLineChars="200"/>
        <w:rPr>
          <w:rFonts w:ascii="宋体" w:hAnsi="宋体" w:eastAsia="仿宋"/>
          <w:color w:val="000000"/>
          <w:sz w:val="24"/>
          <w:highlight w:val="none"/>
        </w:rPr>
      </w:pPr>
      <w:r>
        <w:rPr>
          <w:rFonts w:hint="eastAsia" w:ascii="宋体" w:hAnsi="宋体" w:eastAsia="仿宋"/>
          <w:color w:val="000000"/>
          <w:sz w:val="24"/>
          <w:highlight w:val="none"/>
        </w:rPr>
        <w:t>1.8</w:t>
      </w:r>
      <w:r>
        <w:rPr>
          <w:rFonts w:ascii="宋体" w:hAnsi="宋体" w:eastAsia="仿宋"/>
          <w:color w:val="000000"/>
          <w:sz w:val="24"/>
          <w:highlight w:val="none"/>
        </w:rPr>
        <w:t>.3</w:t>
      </w:r>
      <w:r>
        <w:rPr>
          <w:rFonts w:hint="eastAsia" w:ascii="宋体" w:hAnsi="宋体" w:eastAsia="仿宋"/>
          <w:color w:val="000000"/>
          <w:sz w:val="24"/>
          <w:highlight w:val="none"/>
        </w:rPr>
        <w:t xml:space="preserve"> 除采购人的原因外，投标人自行负责在现场考察中所发生的人员伤亡和财产损失。</w:t>
      </w:r>
    </w:p>
    <w:p w14:paraId="2D994EBB">
      <w:pPr>
        <w:widowControl/>
        <w:adjustRightInd w:val="0"/>
        <w:snapToGrid w:val="0"/>
        <w:spacing w:line="360" w:lineRule="auto"/>
        <w:ind w:firstLine="480" w:firstLineChars="200"/>
        <w:rPr>
          <w:rFonts w:hint="eastAsia" w:ascii="宋体" w:hAnsi="宋体" w:eastAsia="仿宋"/>
          <w:color w:val="000000"/>
          <w:sz w:val="24"/>
          <w:highlight w:val="none"/>
        </w:rPr>
      </w:pPr>
      <w:r>
        <w:rPr>
          <w:rFonts w:hint="eastAsia" w:ascii="宋体" w:hAnsi="宋体" w:eastAsia="仿宋"/>
          <w:color w:val="000000"/>
          <w:sz w:val="24"/>
          <w:highlight w:val="none"/>
        </w:rPr>
        <w:t>1.8</w:t>
      </w:r>
      <w:r>
        <w:rPr>
          <w:rFonts w:ascii="宋体" w:hAnsi="宋体" w:eastAsia="仿宋"/>
          <w:color w:val="000000"/>
          <w:sz w:val="24"/>
          <w:highlight w:val="none"/>
        </w:rPr>
        <w:t>.4</w:t>
      </w:r>
      <w:r>
        <w:rPr>
          <w:rFonts w:hint="eastAsia" w:ascii="宋体" w:hAnsi="宋体" w:eastAsia="仿宋"/>
          <w:color w:val="000000"/>
          <w:sz w:val="24"/>
          <w:highlight w:val="none"/>
        </w:rPr>
        <w:t xml:space="preserve"> 采购人在现场考察中介绍的现场情况和周边相关的环境情况，仅作为投标人在编制投标文件时参考，采购人不对投标人据此作出的判断和决策负责。</w:t>
      </w:r>
    </w:p>
    <w:p w14:paraId="4BCCA9CA">
      <w:pPr>
        <w:widowControl/>
        <w:adjustRightInd w:val="0"/>
        <w:snapToGrid w:val="0"/>
        <w:spacing w:line="360" w:lineRule="auto"/>
        <w:ind w:firstLine="480" w:firstLineChars="200"/>
        <w:rPr>
          <w:rFonts w:hint="eastAsia" w:ascii="宋体" w:hAnsi="宋体" w:eastAsia="仿宋"/>
          <w:color w:val="000000"/>
          <w:sz w:val="24"/>
          <w:highlight w:val="none"/>
        </w:rPr>
      </w:pPr>
      <w:r>
        <w:rPr>
          <w:rFonts w:hint="eastAsia" w:ascii="宋体" w:hAnsi="宋体" w:eastAsia="仿宋"/>
          <w:color w:val="000000"/>
          <w:sz w:val="24"/>
          <w:highlight w:val="none"/>
        </w:rPr>
        <w:t>1.8.5 除非有特殊要求，招标文件不单独提供供货使用地的自然环境、气候条件、公用设施等情况，投标人被视为熟悉上述与履行合同有关的一切情况。</w:t>
      </w:r>
    </w:p>
    <w:p w14:paraId="3D5E5B4D">
      <w:pPr>
        <w:pStyle w:val="4"/>
        <w:adjustRightInd w:val="0"/>
        <w:ind w:firstLine="482" w:firstLineChars="200"/>
        <w:rPr>
          <w:rFonts w:eastAsia="仿宋"/>
          <w:color w:val="000000"/>
          <w:sz w:val="24"/>
          <w:highlight w:val="none"/>
          <w:lang w:eastAsia="zh-CN"/>
        </w:rPr>
      </w:pPr>
      <w:bookmarkStart w:id="181" w:name="_Toc445554698"/>
      <w:bookmarkStart w:id="182" w:name="_Toc455587225"/>
      <w:bookmarkStart w:id="183" w:name="_Toc455587041"/>
      <w:bookmarkStart w:id="184" w:name="_Toc458504827"/>
      <w:bookmarkStart w:id="185" w:name="_Toc466024509"/>
      <w:r>
        <w:rPr>
          <w:rFonts w:hint="eastAsia" w:eastAsia="仿宋"/>
          <w:color w:val="000000"/>
          <w:sz w:val="24"/>
          <w:highlight w:val="none"/>
          <w:lang w:eastAsia="zh-CN"/>
        </w:rPr>
        <w:t>1.</w:t>
      </w:r>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r>
        <w:rPr>
          <w:rFonts w:hint="eastAsia" w:eastAsia="仿宋"/>
          <w:color w:val="000000"/>
          <w:sz w:val="24"/>
          <w:highlight w:val="none"/>
          <w:lang w:eastAsia="zh-CN"/>
        </w:rPr>
        <w:t>9 开标前答疑会</w:t>
      </w:r>
      <w:bookmarkEnd w:id="185"/>
    </w:p>
    <w:p w14:paraId="0472DF72">
      <w:pPr>
        <w:widowControl/>
        <w:adjustRightInd w:val="0"/>
        <w:snapToGrid w:val="0"/>
        <w:spacing w:line="360" w:lineRule="auto"/>
        <w:ind w:firstLine="480" w:firstLineChars="200"/>
        <w:rPr>
          <w:rFonts w:ascii="宋体" w:hAnsi="宋体" w:eastAsia="仿宋"/>
          <w:color w:val="000000"/>
          <w:sz w:val="24"/>
          <w:highlight w:val="none"/>
        </w:rPr>
      </w:pPr>
      <w:r>
        <w:rPr>
          <w:rFonts w:hint="eastAsia" w:ascii="宋体" w:hAnsi="宋体" w:eastAsia="仿宋"/>
          <w:color w:val="000000"/>
          <w:sz w:val="24"/>
          <w:highlight w:val="none"/>
        </w:rPr>
        <w:t>投标人须知前附表规定召开开标前答疑会（以下简称答疑会）的，采购人按照投标人须知前附表规定的时间和地点召开答疑会，澄清投标人提出的问题。</w:t>
      </w:r>
    </w:p>
    <w:p w14:paraId="51300505">
      <w:pPr>
        <w:pStyle w:val="4"/>
        <w:adjustRightInd w:val="0"/>
        <w:ind w:firstLine="482" w:firstLineChars="200"/>
        <w:rPr>
          <w:rFonts w:hint="eastAsia" w:eastAsia="仿宋"/>
          <w:color w:val="000000"/>
          <w:sz w:val="24"/>
          <w:highlight w:val="none"/>
          <w:lang w:eastAsia="zh-CN"/>
        </w:rPr>
      </w:pPr>
      <w:r>
        <w:rPr>
          <w:rFonts w:hint="eastAsia" w:eastAsia="仿宋"/>
          <w:color w:val="000000"/>
          <w:sz w:val="24"/>
          <w:highlight w:val="none"/>
          <w:lang w:eastAsia="zh-CN"/>
        </w:rPr>
        <w:t>1.10 分包</w:t>
      </w:r>
    </w:p>
    <w:p w14:paraId="6C479EEC">
      <w:pPr>
        <w:widowControl/>
        <w:adjustRightInd w:val="0"/>
        <w:snapToGrid w:val="0"/>
        <w:spacing w:line="360" w:lineRule="auto"/>
        <w:ind w:firstLine="480" w:firstLineChars="200"/>
        <w:rPr>
          <w:rFonts w:hint="eastAsia" w:ascii="宋体" w:hAnsi="宋体" w:eastAsia="仿宋"/>
          <w:color w:val="000000"/>
          <w:sz w:val="24"/>
          <w:highlight w:val="none"/>
        </w:rPr>
      </w:pPr>
      <w:r>
        <w:rPr>
          <w:rFonts w:hint="eastAsia" w:ascii="宋体" w:hAnsi="宋体" w:eastAsia="仿宋"/>
          <w:color w:val="000000"/>
          <w:sz w:val="24"/>
          <w:highlight w:val="none"/>
        </w:rPr>
        <w:t xml:space="preserve">1.10.1 投标人拟在中标后将中标项目的非主体、非关键性工作进行分包的，应符合投标人须知前附表规定的分包要求，分包承担主体应当具备相应资质条件且不得再次分包，除投标人须知前附表规定的非主体、非关键性工作外，其他工作不得分包。 </w:t>
      </w:r>
    </w:p>
    <w:p w14:paraId="4156CAA2">
      <w:pPr>
        <w:widowControl/>
        <w:adjustRightInd w:val="0"/>
        <w:snapToGrid w:val="0"/>
        <w:spacing w:line="360" w:lineRule="auto"/>
        <w:ind w:firstLine="480" w:firstLineChars="200"/>
        <w:rPr>
          <w:rFonts w:hint="eastAsia" w:ascii="宋体" w:hAnsi="宋体" w:eastAsia="仿宋"/>
          <w:color w:val="000000"/>
          <w:sz w:val="24"/>
          <w:highlight w:val="none"/>
        </w:rPr>
      </w:pPr>
      <w:r>
        <w:rPr>
          <w:rFonts w:hint="eastAsia" w:ascii="宋体" w:hAnsi="宋体" w:eastAsia="仿宋"/>
          <w:color w:val="000000"/>
          <w:sz w:val="24"/>
          <w:highlight w:val="none"/>
        </w:rPr>
        <w:t>1.10.2 中标人不得向他人转让中标项目。中标人应当就分包项目向采购人负责，分包承担主体就分包项目承担连带责任。</w:t>
      </w:r>
    </w:p>
    <w:p w14:paraId="7C2EC166">
      <w:pPr>
        <w:widowControl/>
        <w:adjustRightInd w:val="0"/>
        <w:snapToGrid w:val="0"/>
        <w:spacing w:line="360" w:lineRule="auto"/>
        <w:ind w:firstLine="480" w:firstLineChars="200"/>
        <w:rPr>
          <w:rFonts w:ascii="宋体" w:hAnsi="宋体" w:eastAsia="仿宋"/>
          <w:color w:val="000000"/>
          <w:sz w:val="24"/>
          <w:highlight w:val="none"/>
        </w:rPr>
      </w:pPr>
      <w:r>
        <w:rPr>
          <w:rFonts w:hint="eastAsia" w:ascii="宋体" w:hAnsi="宋体" w:eastAsia="仿宋"/>
          <w:color w:val="000000"/>
          <w:sz w:val="24"/>
          <w:highlight w:val="none"/>
        </w:rPr>
        <w:t>1.10.3 中标人享受政府采购扶持政策获得政府采购合同的，小微企业不得将合同分包给大中型企业，中型企业不得将合同分包给大型企业。</w:t>
      </w:r>
    </w:p>
    <w:p w14:paraId="3A274AEC">
      <w:pPr>
        <w:pStyle w:val="3"/>
        <w:rPr>
          <w:rStyle w:val="107"/>
          <w:rFonts w:ascii="宋体" w:hAnsi="宋体" w:eastAsia="仿宋"/>
          <w:b/>
          <w:bCs/>
          <w:color w:val="000000"/>
          <w:sz w:val="24"/>
          <w:szCs w:val="24"/>
          <w:highlight w:val="none"/>
        </w:rPr>
      </w:pPr>
      <w:bookmarkStart w:id="186" w:name="_Toc455587043"/>
      <w:bookmarkStart w:id="187" w:name="_Toc333599672"/>
      <w:bookmarkStart w:id="188" w:name="_Toc466024510"/>
      <w:bookmarkStart w:id="189" w:name="_Toc371415929"/>
      <w:bookmarkStart w:id="190" w:name="_Toc338943713"/>
      <w:bookmarkStart w:id="191" w:name="_Toc445554700"/>
      <w:bookmarkStart w:id="192" w:name="_Toc144974510"/>
      <w:bookmarkStart w:id="193" w:name="_Toc338944618"/>
      <w:bookmarkStart w:id="194" w:name="_Toc342294727"/>
      <w:bookmarkStart w:id="195" w:name="_Toc152045542"/>
      <w:bookmarkStart w:id="196" w:name="_Toc179632560"/>
      <w:bookmarkStart w:id="197" w:name="_Toc342297632"/>
      <w:bookmarkStart w:id="198" w:name="_Toc455587227"/>
      <w:bookmarkStart w:id="199" w:name="_Toc333600696"/>
      <w:bookmarkStart w:id="200" w:name="_Toc458504828"/>
      <w:bookmarkStart w:id="201" w:name="_Toc342296175"/>
      <w:bookmarkStart w:id="202" w:name="_Toc152042318"/>
      <w:r>
        <w:rPr>
          <w:rStyle w:val="107"/>
          <w:rFonts w:hint="eastAsia" w:ascii="宋体" w:hAnsi="宋体" w:eastAsia="仿宋"/>
          <w:b/>
          <w:bCs/>
          <w:color w:val="000000"/>
          <w:sz w:val="24"/>
          <w:szCs w:val="24"/>
          <w:highlight w:val="none"/>
        </w:rPr>
        <w:t>2. 招标文件</w:t>
      </w:r>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p>
    <w:p w14:paraId="1245A024">
      <w:pPr>
        <w:pStyle w:val="4"/>
        <w:adjustRightInd w:val="0"/>
        <w:ind w:firstLine="482" w:firstLineChars="200"/>
        <w:rPr>
          <w:rFonts w:eastAsia="仿宋"/>
          <w:color w:val="000000"/>
          <w:sz w:val="24"/>
          <w:highlight w:val="none"/>
          <w:lang w:eastAsia="zh-CN"/>
        </w:rPr>
      </w:pPr>
      <w:bookmarkStart w:id="203" w:name="_Toc333587867"/>
      <w:bookmarkStart w:id="204" w:name="_Toc445554701"/>
      <w:bookmarkStart w:id="205" w:name="_Toc179632561"/>
      <w:bookmarkStart w:id="206" w:name="_Toc342296176"/>
      <w:bookmarkStart w:id="207" w:name="_Toc144974511"/>
      <w:bookmarkStart w:id="208" w:name="_Toc152042319"/>
      <w:bookmarkStart w:id="209" w:name="_Toc333599673"/>
      <w:bookmarkStart w:id="210" w:name="_Toc458504829"/>
      <w:bookmarkStart w:id="211" w:name="_Toc152045543"/>
      <w:bookmarkStart w:id="212" w:name="_Toc342294728"/>
      <w:bookmarkStart w:id="213" w:name="_Toc342297633"/>
      <w:bookmarkStart w:id="214" w:name="_Toc455587228"/>
      <w:bookmarkStart w:id="215" w:name="_Toc371415930"/>
      <w:bookmarkStart w:id="216" w:name="_Toc466024511"/>
      <w:bookmarkStart w:id="217" w:name="_Toc338944619"/>
      <w:bookmarkStart w:id="218" w:name="_Toc333600697"/>
      <w:bookmarkStart w:id="219" w:name="_Toc338943714"/>
      <w:bookmarkStart w:id="220" w:name="_Toc455587044"/>
      <w:r>
        <w:rPr>
          <w:rFonts w:hint="eastAsia" w:eastAsia="仿宋"/>
          <w:color w:val="000000"/>
          <w:sz w:val="24"/>
          <w:highlight w:val="none"/>
          <w:lang w:eastAsia="zh-CN"/>
        </w:rPr>
        <w:t>2.1 招标文件的组成</w:t>
      </w:r>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p>
    <w:p w14:paraId="347B394F">
      <w:pPr>
        <w:widowControl/>
        <w:adjustRightInd w:val="0"/>
        <w:snapToGrid w:val="0"/>
        <w:spacing w:line="360" w:lineRule="auto"/>
        <w:ind w:firstLine="480" w:firstLineChars="200"/>
        <w:rPr>
          <w:rFonts w:ascii="宋体" w:hAnsi="宋体" w:eastAsia="仿宋"/>
          <w:color w:val="000000"/>
          <w:sz w:val="24"/>
          <w:highlight w:val="none"/>
        </w:rPr>
      </w:pPr>
      <w:r>
        <w:rPr>
          <w:rFonts w:hint="eastAsia" w:ascii="宋体" w:hAnsi="宋体" w:eastAsia="仿宋"/>
          <w:color w:val="000000"/>
          <w:sz w:val="24"/>
          <w:highlight w:val="none"/>
        </w:rPr>
        <w:t>本招标文件包括：</w:t>
      </w:r>
    </w:p>
    <w:p w14:paraId="45BC63D0">
      <w:pPr>
        <w:widowControl/>
        <w:adjustRightInd w:val="0"/>
        <w:snapToGrid w:val="0"/>
        <w:spacing w:line="360" w:lineRule="auto"/>
        <w:ind w:firstLine="480" w:firstLineChars="200"/>
        <w:rPr>
          <w:rFonts w:ascii="宋体" w:hAnsi="宋体" w:eastAsia="仿宋"/>
          <w:color w:val="000000"/>
          <w:sz w:val="24"/>
          <w:highlight w:val="none"/>
        </w:rPr>
      </w:pPr>
      <w:r>
        <w:rPr>
          <w:rFonts w:hint="eastAsia" w:ascii="宋体" w:hAnsi="宋体" w:eastAsia="仿宋"/>
          <w:color w:val="000000"/>
          <w:sz w:val="24"/>
          <w:highlight w:val="none"/>
        </w:rPr>
        <w:t>（</w:t>
      </w:r>
      <w:r>
        <w:rPr>
          <w:rFonts w:ascii="宋体" w:hAnsi="宋体" w:eastAsia="仿宋"/>
          <w:color w:val="000000"/>
          <w:sz w:val="24"/>
          <w:highlight w:val="none"/>
        </w:rPr>
        <w:t>1</w:t>
      </w:r>
      <w:r>
        <w:rPr>
          <w:rFonts w:hint="eastAsia" w:ascii="宋体" w:hAnsi="宋体" w:eastAsia="仿宋"/>
          <w:color w:val="000000"/>
          <w:sz w:val="24"/>
          <w:highlight w:val="none"/>
        </w:rPr>
        <w:t>）招标公告；</w:t>
      </w:r>
    </w:p>
    <w:p w14:paraId="25A8CCEC">
      <w:pPr>
        <w:widowControl/>
        <w:adjustRightInd w:val="0"/>
        <w:snapToGrid w:val="0"/>
        <w:spacing w:line="360" w:lineRule="auto"/>
        <w:ind w:firstLine="480" w:firstLineChars="200"/>
        <w:rPr>
          <w:rFonts w:ascii="宋体" w:hAnsi="宋体" w:eastAsia="仿宋"/>
          <w:color w:val="000000"/>
          <w:sz w:val="24"/>
          <w:highlight w:val="none"/>
        </w:rPr>
      </w:pPr>
      <w:r>
        <w:rPr>
          <w:rFonts w:hint="eastAsia" w:ascii="宋体" w:hAnsi="宋体" w:eastAsia="仿宋"/>
          <w:color w:val="000000"/>
          <w:sz w:val="24"/>
          <w:highlight w:val="none"/>
        </w:rPr>
        <w:t>（</w:t>
      </w:r>
      <w:r>
        <w:rPr>
          <w:rFonts w:ascii="宋体" w:hAnsi="宋体" w:eastAsia="仿宋"/>
          <w:color w:val="000000"/>
          <w:sz w:val="24"/>
          <w:highlight w:val="none"/>
        </w:rPr>
        <w:t>2</w:t>
      </w:r>
      <w:r>
        <w:rPr>
          <w:rFonts w:hint="eastAsia" w:ascii="宋体" w:hAnsi="宋体" w:eastAsia="仿宋"/>
          <w:color w:val="000000"/>
          <w:sz w:val="24"/>
          <w:highlight w:val="none"/>
        </w:rPr>
        <w:t>）投标人须知；</w:t>
      </w:r>
    </w:p>
    <w:p w14:paraId="6F3B6F35">
      <w:pPr>
        <w:widowControl/>
        <w:adjustRightInd w:val="0"/>
        <w:snapToGrid w:val="0"/>
        <w:spacing w:line="360" w:lineRule="auto"/>
        <w:ind w:firstLine="480" w:firstLineChars="200"/>
        <w:rPr>
          <w:rFonts w:ascii="宋体" w:hAnsi="宋体" w:eastAsia="仿宋"/>
          <w:color w:val="000000"/>
          <w:sz w:val="24"/>
          <w:highlight w:val="none"/>
        </w:rPr>
      </w:pPr>
      <w:r>
        <w:rPr>
          <w:rFonts w:hint="eastAsia" w:ascii="宋体" w:hAnsi="宋体" w:eastAsia="仿宋"/>
          <w:color w:val="000000"/>
          <w:sz w:val="24"/>
          <w:highlight w:val="none"/>
        </w:rPr>
        <w:t>（</w:t>
      </w:r>
      <w:r>
        <w:rPr>
          <w:rFonts w:ascii="宋体" w:hAnsi="宋体" w:eastAsia="仿宋"/>
          <w:color w:val="000000"/>
          <w:sz w:val="24"/>
          <w:highlight w:val="none"/>
        </w:rPr>
        <w:t>3</w:t>
      </w:r>
      <w:r>
        <w:rPr>
          <w:rFonts w:hint="eastAsia" w:ascii="宋体" w:hAnsi="宋体" w:eastAsia="仿宋"/>
          <w:color w:val="000000"/>
          <w:sz w:val="24"/>
          <w:highlight w:val="none"/>
        </w:rPr>
        <w:t>）采购需求；</w:t>
      </w:r>
    </w:p>
    <w:p w14:paraId="48F1EDDA">
      <w:pPr>
        <w:widowControl/>
        <w:adjustRightInd w:val="0"/>
        <w:snapToGrid w:val="0"/>
        <w:spacing w:line="360" w:lineRule="auto"/>
        <w:ind w:firstLine="480" w:firstLineChars="200"/>
        <w:rPr>
          <w:rFonts w:hint="eastAsia" w:ascii="宋体" w:hAnsi="宋体" w:eastAsia="仿宋"/>
          <w:color w:val="000000"/>
          <w:sz w:val="24"/>
          <w:highlight w:val="none"/>
        </w:rPr>
      </w:pPr>
      <w:r>
        <w:rPr>
          <w:rFonts w:hint="eastAsia" w:ascii="宋体" w:hAnsi="宋体" w:eastAsia="仿宋"/>
          <w:color w:val="000000"/>
          <w:sz w:val="24"/>
          <w:highlight w:val="none"/>
        </w:rPr>
        <w:t>（</w:t>
      </w:r>
      <w:r>
        <w:rPr>
          <w:rFonts w:ascii="宋体" w:hAnsi="宋体" w:eastAsia="仿宋"/>
          <w:color w:val="000000"/>
          <w:sz w:val="24"/>
          <w:highlight w:val="none"/>
        </w:rPr>
        <w:t>4</w:t>
      </w:r>
      <w:r>
        <w:rPr>
          <w:rFonts w:hint="eastAsia" w:ascii="宋体" w:hAnsi="宋体" w:eastAsia="仿宋"/>
          <w:color w:val="000000"/>
          <w:sz w:val="24"/>
          <w:highlight w:val="none"/>
        </w:rPr>
        <w:t>）资格审查和评标办法；</w:t>
      </w:r>
    </w:p>
    <w:p w14:paraId="62C6E059">
      <w:pPr>
        <w:widowControl/>
        <w:adjustRightInd w:val="0"/>
        <w:snapToGrid w:val="0"/>
        <w:spacing w:line="360" w:lineRule="auto"/>
        <w:ind w:firstLine="480" w:firstLineChars="200"/>
        <w:rPr>
          <w:rFonts w:ascii="宋体" w:hAnsi="宋体" w:eastAsia="仿宋"/>
          <w:color w:val="000000"/>
          <w:sz w:val="24"/>
          <w:highlight w:val="none"/>
        </w:rPr>
      </w:pPr>
      <w:r>
        <w:rPr>
          <w:rFonts w:hint="eastAsia" w:ascii="宋体" w:hAnsi="宋体" w:eastAsia="仿宋"/>
          <w:color w:val="000000"/>
          <w:sz w:val="24"/>
          <w:highlight w:val="none"/>
        </w:rPr>
        <w:t>（5）合同条款及格式；</w:t>
      </w:r>
    </w:p>
    <w:p w14:paraId="0A3121E9">
      <w:pPr>
        <w:widowControl/>
        <w:adjustRightInd w:val="0"/>
        <w:snapToGrid w:val="0"/>
        <w:spacing w:line="360" w:lineRule="auto"/>
        <w:ind w:firstLine="480" w:firstLineChars="200"/>
        <w:rPr>
          <w:rFonts w:hint="eastAsia" w:ascii="宋体" w:hAnsi="宋体" w:eastAsia="仿宋"/>
          <w:color w:val="000000"/>
          <w:sz w:val="24"/>
          <w:highlight w:val="none"/>
        </w:rPr>
      </w:pPr>
      <w:r>
        <w:rPr>
          <w:rFonts w:hint="eastAsia" w:ascii="宋体" w:hAnsi="宋体" w:eastAsia="仿宋"/>
          <w:color w:val="000000"/>
          <w:sz w:val="24"/>
          <w:highlight w:val="none"/>
        </w:rPr>
        <w:t>（6）投标文件格式。</w:t>
      </w:r>
    </w:p>
    <w:p w14:paraId="477F31B7">
      <w:pPr>
        <w:widowControl/>
        <w:adjustRightInd w:val="0"/>
        <w:snapToGrid w:val="0"/>
        <w:spacing w:line="360" w:lineRule="auto"/>
        <w:ind w:firstLine="480" w:firstLineChars="200"/>
        <w:rPr>
          <w:rFonts w:ascii="宋体" w:hAnsi="宋体" w:eastAsia="仿宋"/>
          <w:color w:val="000000"/>
          <w:sz w:val="24"/>
          <w:highlight w:val="none"/>
        </w:rPr>
      </w:pPr>
      <w:r>
        <w:rPr>
          <w:rFonts w:hint="eastAsia" w:ascii="宋体" w:hAnsi="宋体" w:eastAsia="仿宋"/>
          <w:color w:val="000000"/>
          <w:sz w:val="24"/>
          <w:highlight w:val="none"/>
        </w:rPr>
        <w:t>对招标文件所作的澄清、修改、补充通知，构成招标文件的组成部分。当招标文件、招标文件的澄清或修改等在同一内容的</w:t>
      </w:r>
      <w:r>
        <w:rPr>
          <w:rFonts w:hint="eastAsia" w:eastAsia="仿宋"/>
          <w:color w:val="000000"/>
          <w:sz w:val="24"/>
          <w:highlight w:val="none"/>
        </w:rPr>
        <w:t>表述</w:t>
      </w:r>
      <w:r>
        <w:rPr>
          <w:rFonts w:hint="eastAsia" w:ascii="宋体" w:hAnsi="宋体" w:eastAsia="仿宋"/>
          <w:color w:val="000000"/>
          <w:sz w:val="24"/>
          <w:highlight w:val="none"/>
        </w:rPr>
        <w:t>上不一致时，以最后发出的书面文件为准。</w:t>
      </w:r>
    </w:p>
    <w:p w14:paraId="7524C340">
      <w:pPr>
        <w:pStyle w:val="4"/>
        <w:adjustRightInd w:val="0"/>
        <w:ind w:firstLine="482" w:firstLineChars="200"/>
        <w:rPr>
          <w:rFonts w:eastAsia="仿宋"/>
          <w:color w:val="000000"/>
          <w:sz w:val="24"/>
          <w:highlight w:val="none"/>
          <w:lang w:eastAsia="zh-CN"/>
        </w:rPr>
      </w:pPr>
      <w:bookmarkStart w:id="221" w:name="_Toc144974512"/>
      <w:bookmarkStart w:id="222" w:name="_Toc455587229"/>
      <w:bookmarkStart w:id="223" w:name="_Toc466024512"/>
      <w:bookmarkStart w:id="224" w:name="_Toc371415931"/>
      <w:bookmarkStart w:id="225" w:name="_Toc152045544"/>
      <w:bookmarkStart w:id="226" w:name="_Toc247527569"/>
      <w:bookmarkStart w:id="227" w:name="_Toc300834965"/>
      <w:bookmarkStart w:id="228" w:name="_Toc458504830"/>
      <w:bookmarkStart w:id="229" w:name="_Toc247513968"/>
      <w:bookmarkStart w:id="230" w:name="_Toc445554702"/>
      <w:bookmarkStart w:id="231" w:name="_Toc152042320"/>
      <w:bookmarkStart w:id="232" w:name="_Toc455587045"/>
      <w:r>
        <w:rPr>
          <w:rFonts w:hint="eastAsia" w:eastAsia="仿宋"/>
          <w:color w:val="000000"/>
          <w:sz w:val="24"/>
          <w:highlight w:val="none"/>
          <w:lang w:eastAsia="zh-CN"/>
        </w:rPr>
        <w:t>2.2 招标文件的澄清</w:t>
      </w:r>
      <w:bookmarkEnd w:id="221"/>
      <w:bookmarkEnd w:id="222"/>
      <w:bookmarkEnd w:id="223"/>
      <w:bookmarkEnd w:id="224"/>
      <w:bookmarkEnd w:id="225"/>
      <w:bookmarkEnd w:id="226"/>
      <w:bookmarkEnd w:id="227"/>
      <w:bookmarkEnd w:id="228"/>
      <w:bookmarkEnd w:id="229"/>
      <w:bookmarkEnd w:id="230"/>
      <w:bookmarkEnd w:id="231"/>
      <w:bookmarkEnd w:id="232"/>
    </w:p>
    <w:p w14:paraId="2C0EA0F1">
      <w:pPr>
        <w:widowControl/>
        <w:adjustRightInd w:val="0"/>
        <w:snapToGrid w:val="0"/>
        <w:spacing w:line="360" w:lineRule="auto"/>
        <w:ind w:firstLine="480" w:firstLineChars="200"/>
        <w:rPr>
          <w:rFonts w:ascii="宋体" w:hAnsi="宋体" w:eastAsia="仿宋"/>
          <w:color w:val="000000"/>
          <w:sz w:val="24"/>
          <w:highlight w:val="none"/>
        </w:rPr>
      </w:pPr>
      <w:r>
        <w:rPr>
          <w:rFonts w:hint="eastAsia" w:ascii="宋体" w:hAnsi="宋体" w:eastAsia="仿宋"/>
          <w:color w:val="000000"/>
          <w:sz w:val="24"/>
          <w:highlight w:val="none"/>
        </w:rPr>
        <w:t>2.2.</w:t>
      </w:r>
      <w:r>
        <w:rPr>
          <w:rFonts w:ascii="宋体" w:hAnsi="宋体" w:eastAsia="仿宋"/>
          <w:color w:val="000000"/>
          <w:sz w:val="24"/>
          <w:highlight w:val="none"/>
        </w:rPr>
        <w:t>1</w:t>
      </w:r>
      <w:r>
        <w:rPr>
          <w:rFonts w:hint="eastAsia" w:ascii="宋体" w:hAnsi="宋体" w:eastAsia="仿宋"/>
          <w:color w:val="000000"/>
          <w:sz w:val="24"/>
          <w:highlight w:val="none"/>
        </w:rPr>
        <w:t xml:space="preserve"> </w:t>
      </w:r>
      <w:r>
        <w:rPr>
          <w:rFonts w:eastAsia="仿宋"/>
          <w:color w:val="000000"/>
          <w:sz w:val="24"/>
          <w:highlight w:val="none"/>
        </w:rPr>
        <w:t>投标人应仔细阅读和检查招标文件的全部内容。如发现缺页或附件不全，应及时向</w:t>
      </w:r>
      <w:r>
        <w:rPr>
          <w:rFonts w:hint="eastAsia" w:eastAsia="仿宋"/>
          <w:color w:val="000000"/>
          <w:sz w:val="24"/>
          <w:highlight w:val="none"/>
        </w:rPr>
        <w:t>采购</w:t>
      </w:r>
      <w:r>
        <w:rPr>
          <w:rFonts w:eastAsia="仿宋"/>
          <w:color w:val="000000"/>
          <w:sz w:val="24"/>
          <w:highlight w:val="none"/>
        </w:rPr>
        <w:t>人提出，以便补齐。</w:t>
      </w:r>
      <w:r>
        <w:rPr>
          <w:rFonts w:hint="eastAsia" w:eastAsia="仿宋"/>
          <w:color w:val="000000"/>
          <w:sz w:val="24"/>
          <w:highlight w:val="none"/>
        </w:rPr>
        <w:t>投标人对</w:t>
      </w:r>
      <w:r>
        <w:rPr>
          <w:rFonts w:eastAsia="仿宋"/>
          <w:color w:val="000000"/>
          <w:sz w:val="24"/>
          <w:highlight w:val="none"/>
        </w:rPr>
        <w:t>招标文件</w:t>
      </w:r>
      <w:r>
        <w:rPr>
          <w:rFonts w:hint="eastAsia" w:eastAsia="仿宋"/>
          <w:color w:val="000000"/>
          <w:sz w:val="24"/>
          <w:highlight w:val="none"/>
        </w:rPr>
        <w:t>有疑问的，可依法按本章第9.1款提出询问</w:t>
      </w:r>
      <w:r>
        <w:rPr>
          <w:rFonts w:eastAsia="仿宋"/>
          <w:color w:val="000000"/>
          <w:sz w:val="24"/>
          <w:highlight w:val="none"/>
        </w:rPr>
        <w:t>。</w:t>
      </w:r>
    </w:p>
    <w:p w14:paraId="739F848A">
      <w:pPr>
        <w:widowControl/>
        <w:adjustRightInd w:val="0"/>
        <w:snapToGrid w:val="0"/>
        <w:spacing w:line="360" w:lineRule="auto"/>
        <w:ind w:firstLine="480" w:firstLineChars="200"/>
        <w:rPr>
          <w:rFonts w:ascii="宋体" w:hAnsi="宋体" w:eastAsia="仿宋"/>
          <w:color w:val="000000"/>
          <w:sz w:val="24"/>
          <w:highlight w:val="none"/>
        </w:rPr>
      </w:pPr>
      <w:r>
        <w:rPr>
          <w:rFonts w:hint="eastAsia" w:ascii="宋体" w:hAnsi="宋体" w:eastAsia="仿宋"/>
          <w:color w:val="000000"/>
          <w:sz w:val="24"/>
          <w:highlight w:val="none"/>
        </w:rPr>
        <w:t>2.2.2 招标文件的澄清按投标人须知前附表规定的形式发出，但不指明澄清问题的来源，该澄清的内容为招标文件的组成部分。如果澄清发出的时间距本章第4.2.1项规定的投标截止时间不足</w:t>
      </w:r>
      <w:r>
        <w:rPr>
          <w:rFonts w:ascii="宋体" w:hAnsi="宋体" w:eastAsia="仿宋"/>
          <w:color w:val="000000"/>
          <w:sz w:val="24"/>
          <w:highlight w:val="none"/>
        </w:rPr>
        <w:t>15</w:t>
      </w:r>
      <w:r>
        <w:rPr>
          <w:rFonts w:hint="eastAsia" w:ascii="宋体" w:hAnsi="宋体" w:eastAsia="仿宋"/>
          <w:color w:val="000000"/>
          <w:sz w:val="24"/>
          <w:highlight w:val="none"/>
        </w:rPr>
        <w:t>日的，并且澄清内容可能影响投标文件编制，将相应顺延投标截止时间。</w:t>
      </w:r>
    </w:p>
    <w:p w14:paraId="5A3A66AD">
      <w:pPr>
        <w:widowControl/>
        <w:adjustRightInd w:val="0"/>
        <w:snapToGrid w:val="0"/>
        <w:spacing w:line="360" w:lineRule="auto"/>
        <w:ind w:firstLine="480" w:firstLineChars="200"/>
        <w:rPr>
          <w:rFonts w:hint="eastAsia" w:ascii="宋体" w:hAnsi="宋体" w:eastAsia="仿宋"/>
          <w:color w:val="000000"/>
          <w:sz w:val="24"/>
          <w:highlight w:val="none"/>
        </w:rPr>
      </w:pPr>
      <w:r>
        <w:rPr>
          <w:rFonts w:hint="eastAsia" w:ascii="宋体" w:hAnsi="宋体" w:eastAsia="仿宋"/>
          <w:color w:val="000000"/>
          <w:sz w:val="24"/>
          <w:highlight w:val="none"/>
        </w:rPr>
        <w:t>2.2</w:t>
      </w:r>
      <w:r>
        <w:rPr>
          <w:rFonts w:ascii="宋体" w:hAnsi="宋体" w:eastAsia="仿宋"/>
          <w:color w:val="000000"/>
          <w:sz w:val="24"/>
          <w:highlight w:val="none"/>
        </w:rPr>
        <w:t>.3</w:t>
      </w:r>
      <w:r>
        <w:rPr>
          <w:rFonts w:hint="eastAsia" w:ascii="宋体" w:hAnsi="宋体" w:eastAsia="仿宋"/>
          <w:color w:val="000000"/>
          <w:sz w:val="24"/>
          <w:highlight w:val="none"/>
        </w:rPr>
        <w:t xml:space="preserve"> 投标人应主动上网查询对招标文件的澄清，无需投标人书面确认。投标人未及时关注相关信息的，其责任自负。对招标文件进行的澄清，通过其他方式发布的，投标人收到澄清后24小时内书面确认（以发出时间为准），逾期未确认的，视为投标人完整收到。</w:t>
      </w:r>
    </w:p>
    <w:p w14:paraId="770BCF78">
      <w:pPr>
        <w:pStyle w:val="4"/>
        <w:adjustRightInd w:val="0"/>
        <w:ind w:firstLine="482" w:firstLineChars="200"/>
        <w:rPr>
          <w:rFonts w:eastAsia="仿宋"/>
          <w:color w:val="000000"/>
          <w:sz w:val="24"/>
          <w:highlight w:val="none"/>
          <w:lang w:eastAsia="zh-CN"/>
        </w:rPr>
      </w:pPr>
      <w:bookmarkStart w:id="233" w:name="_Toc455587046"/>
      <w:bookmarkStart w:id="234" w:name="_Toc445554703"/>
      <w:bookmarkStart w:id="235" w:name="_Toc152042321"/>
      <w:bookmarkStart w:id="236" w:name="_Toc144974513"/>
      <w:bookmarkStart w:id="237" w:name="_Toc455587230"/>
      <w:bookmarkStart w:id="238" w:name="_Toc300834966"/>
      <w:bookmarkStart w:id="239" w:name="_Toc371415932"/>
      <w:bookmarkStart w:id="240" w:name="_Toc247513969"/>
      <w:bookmarkStart w:id="241" w:name="_Toc247527570"/>
      <w:bookmarkStart w:id="242" w:name="_Toc458504831"/>
      <w:bookmarkStart w:id="243" w:name="_Toc466024513"/>
      <w:bookmarkStart w:id="244" w:name="_Toc152045545"/>
      <w:r>
        <w:rPr>
          <w:rFonts w:hint="eastAsia" w:eastAsia="仿宋"/>
          <w:color w:val="000000"/>
          <w:sz w:val="24"/>
          <w:highlight w:val="none"/>
          <w:lang w:eastAsia="zh-CN"/>
        </w:rPr>
        <w:t>2.3 招标文件的修改</w:t>
      </w:r>
      <w:bookmarkEnd w:id="233"/>
      <w:bookmarkEnd w:id="234"/>
      <w:bookmarkEnd w:id="235"/>
      <w:bookmarkEnd w:id="236"/>
      <w:bookmarkEnd w:id="237"/>
      <w:bookmarkEnd w:id="238"/>
      <w:bookmarkEnd w:id="239"/>
      <w:bookmarkEnd w:id="240"/>
      <w:bookmarkEnd w:id="241"/>
      <w:bookmarkEnd w:id="242"/>
      <w:bookmarkEnd w:id="243"/>
      <w:bookmarkEnd w:id="244"/>
    </w:p>
    <w:p w14:paraId="3782C60A">
      <w:pPr>
        <w:widowControl/>
        <w:adjustRightInd w:val="0"/>
        <w:snapToGrid w:val="0"/>
        <w:spacing w:line="360" w:lineRule="auto"/>
        <w:ind w:firstLine="480" w:firstLineChars="200"/>
        <w:rPr>
          <w:rFonts w:ascii="宋体" w:hAnsi="宋体" w:eastAsia="仿宋"/>
          <w:color w:val="000000"/>
          <w:sz w:val="24"/>
          <w:highlight w:val="none"/>
        </w:rPr>
      </w:pPr>
      <w:r>
        <w:rPr>
          <w:rFonts w:hint="eastAsia" w:ascii="宋体" w:hAnsi="宋体" w:eastAsia="仿宋"/>
          <w:color w:val="000000"/>
          <w:sz w:val="24"/>
          <w:highlight w:val="none"/>
        </w:rPr>
        <w:t>2.3</w:t>
      </w:r>
      <w:r>
        <w:rPr>
          <w:rFonts w:ascii="宋体" w:hAnsi="宋体" w:eastAsia="仿宋"/>
          <w:color w:val="000000"/>
          <w:sz w:val="24"/>
          <w:highlight w:val="none"/>
        </w:rPr>
        <w:t>.1</w:t>
      </w:r>
      <w:r>
        <w:rPr>
          <w:rFonts w:hint="eastAsia" w:ascii="宋体" w:hAnsi="宋体" w:eastAsia="仿宋"/>
          <w:color w:val="000000"/>
          <w:sz w:val="24"/>
          <w:highlight w:val="none"/>
        </w:rPr>
        <w:t xml:space="preserve"> 对招标文件的修改将在招标公告发布的媒介以发布更正公告的方式公开。如果修改招标文件的时间距本章第4.2.1项规定的投标截止时间不足</w:t>
      </w:r>
      <w:r>
        <w:rPr>
          <w:rFonts w:ascii="宋体" w:hAnsi="宋体" w:eastAsia="仿宋"/>
          <w:color w:val="000000"/>
          <w:sz w:val="24"/>
          <w:highlight w:val="none"/>
        </w:rPr>
        <w:t>15</w:t>
      </w:r>
      <w:r>
        <w:rPr>
          <w:rFonts w:hint="eastAsia" w:ascii="宋体" w:hAnsi="宋体" w:eastAsia="仿宋"/>
          <w:color w:val="000000"/>
          <w:sz w:val="24"/>
          <w:highlight w:val="none"/>
        </w:rPr>
        <w:t>日的，且修改内容影响投标文件编制，将相应顺延投标截止时间。</w:t>
      </w:r>
    </w:p>
    <w:p w14:paraId="1CA385A5">
      <w:pPr>
        <w:widowControl/>
        <w:adjustRightInd w:val="0"/>
        <w:snapToGrid w:val="0"/>
        <w:spacing w:line="360" w:lineRule="auto"/>
        <w:ind w:firstLine="480" w:firstLineChars="200"/>
        <w:rPr>
          <w:rFonts w:hint="eastAsia" w:ascii="宋体" w:hAnsi="宋体" w:eastAsia="仿宋"/>
          <w:color w:val="000000"/>
          <w:sz w:val="24"/>
          <w:highlight w:val="none"/>
        </w:rPr>
      </w:pPr>
      <w:r>
        <w:rPr>
          <w:rFonts w:hint="eastAsia" w:ascii="宋体" w:hAnsi="宋体" w:eastAsia="仿宋"/>
          <w:color w:val="000000"/>
          <w:sz w:val="24"/>
          <w:highlight w:val="none"/>
        </w:rPr>
        <w:t>2.3</w:t>
      </w:r>
      <w:r>
        <w:rPr>
          <w:rFonts w:ascii="宋体" w:hAnsi="宋体" w:eastAsia="仿宋"/>
          <w:color w:val="000000"/>
          <w:sz w:val="24"/>
          <w:highlight w:val="none"/>
        </w:rPr>
        <w:t>.2</w:t>
      </w:r>
      <w:r>
        <w:rPr>
          <w:rFonts w:hint="eastAsia" w:ascii="宋体" w:hAnsi="宋体" w:eastAsia="仿宋"/>
          <w:color w:val="000000"/>
          <w:sz w:val="24"/>
          <w:highlight w:val="none"/>
        </w:rPr>
        <w:t xml:space="preserve"> 更正公告的内容作为招标文件的组成部分，对投标人起约束作用。投标人应主动上网查询，采购人及采购代理机构不承担投标人未及时关注相关信息引发的相关责任。</w:t>
      </w:r>
    </w:p>
    <w:p w14:paraId="2806A066">
      <w:pPr>
        <w:pStyle w:val="4"/>
        <w:adjustRightInd w:val="0"/>
        <w:ind w:firstLine="482" w:firstLineChars="200"/>
        <w:rPr>
          <w:rFonts w:hint="eastAsia" w:eastAsia="仿宋"/>
          <w:color w:val="000000"/>
          <w:sz w:val="24"/>
          <w:highlight w:val="none"/>
          <w:lang w:eastAsia="zh-CN"/>
        </w:rPr>
      </w:pPr>
      <w:r>
        <w:rPr>
          <w:rFonts w:hint="eastAsia" w:eastAsia="仿宋"/>
          <w:color w:val="000000"/>
          <w:sz w:val="24"/>
          <w:highlight w:val="none"/>
          <w:lang w:eastAsia="zh-CN"/>
        </w:rPr>
        <w:t>2.4 招标文件的质疑</w:t>
      </w:r>
    </w:p>
    <w:p w14:paraId="636CE2AD">
      <w:pPr>
        <w:widowControl/>
        <w:adjustRightInd w:val="0"/>
        <w:snapToGrid w:val="0"/>
        <w:spacing w:line="360" w:lineRule="auto"/>
        <w:ind w:firstLine="480" w:firstLineChars="200"/>
        <w:rPr>
          <w:rFonts w:hint="eastAsia" w:ascii="宋体" w:hAnsi="宋体" w:eastAsia="仿宋"/>
          <w:color w:val="000000"/>
          <w:sz w:val="24"/>
          <w:highlight w:val="none"/>
        </w:rPr>
      </w:pPr>
      <w:bookmarkStart w:id="245" w:name="_Toc342296179"/>
      <w:bookmarkStart w:id="246" w:name="_Toc371415933"/>
      <w:bookmarkStart w:id="247" w:name="_Toc152045546"/>
      <w:bookmarkStart w:id="248" w:name="_Toc333600700"/>
      <w:bookmarkStart w:id="249" w:name="_Toc338943717"/>
      <w:bookmarkStart w:id="250" w:name="_Toc342294731"/>
      <w:bookmarkStart w:id="251" w:name="_Toc466024514"/>
      <w:bookmarkStart w:id="252" w:name="_Toc152042322"/>
      <w:bookmarkStart w:id="253" w:name="_Toc455587048"/>
      <w:bookmarkStart w:id="254" w:name="_Toc445554705"/>
      <w:bookmarkStart w:id="255" w:name="_Toc458504832"/>
      <w:bookmarkStart w:id="256" w:name="_Toc338944622"/>
      <w:bookmarkStart w:id="257" w:name="_Toc144974514"/>
      <w:bookmarkStart w:id="258" w:name="_Toc342297636"/>
      <w:bookmarkStart w:id="259" w:name="_Toc333599676"/>
      <w:bookmarkStart w:id="260" w:name="_Toc455587232"/>
      <w:bookmarkStart w:id="261" w:name="_Toc179632564"/>
      <w:r>
        <w:rPr>
          <w:rFonts w:hint="eastAsia" w:ascii="宋体" w:hAnsi="宋体" w:eastAsia="仿宋"/>
          <w:color w:val="000000"/>
          <w:sz w:val="24"/>
          <w:highlight w:val="none"/>
        </w:rPr>
        <w:t>2.4.1 投标人对招标文件的质疑须符合本章第9.2款规定。</w:t>
      </w:r>
    </w:p>
    <w:p w14:paraId="0385AC78">
      <w:pPr>
        <w:widowControl/>
        <w:adjustRightInd w:val="0"/>
        <w:snapToGrid w:val="0"/>
        <w:spacing w:line="360" w:lineRule="auto"/>
        <w:ind w:firstLine="480" w:firstLineChars="200"/>
        <w:rPr>
          <w:rFonts w:hint="eastAsia" w:ascii="宋体" w:hAnsi="宋体" w:eastAsia="仿宋"/>
          <w:color w:val="000000"/>
          <w:sz w:val="24"/>
          <w:highlight w:val="none"/>
        </w:rPr>
      </w:pPr>
      <w:r>
        <w:rPr>
          <w:rFonts w:hint="eastAsia" w:ascii="宋体" w:hAnsi="宋体" w:eastAsia="仿宋"/>
          <w:color w:val="000000"/>
          <w:sz w:val="24"/>
          <w:highlight w:val="none"/>
        </w:rPr>
        <w:t>2.4.2 采购人对质疑的答复构成对招标文件澄清或者修改的，采购人将按照本章第2.2款、第2.3款规定办理。</w:t>
      </w:r>
    </w:p>
    <w:p w14:paraId="61DC2DA3">
      <w:pPr>
        <w:pStyle w:val="3"/>
        <w:rPr>
          <w:rStyle w:val="107"/>
          <w:rFonts w:ascii="宋体" w:hAnsi="宋体" w:eastAsia="仿宋"/>
          <w:b/>
          <w:bCs/>
          <w:color w:val="000000"/>
          <w:sz w:val="24"/>
          <w:szCs w:val="24"/>
          <w:highlight w:val="none"/>
        </w:rPr>
      </w:pPr>
      <w:r>
        <w:rPr>
          <w:rStyle w:val="107"/>
          <w:rFonts w:hint="eastAsia" w:ascii="宋体" w:hAnsi="宋体" w:eastAsia="仿宋"/>
          <w:b/>
          <w:bCs/>
          <w:color w:val="000000"/>
          <w:sz w:val="24"/>
          <w:szCs w:val="24"/>
          <w:highlight w:val="none"/>
        </w:rPr>
        <w:t>3. 投标文件</w:t>
      </w:r>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p>
    <w:p w14:paraId="322EEE8D">
      <w:pPr>
        <w:pStyle w:val="4"/>
        <w:adjustRightInd w:val="0"/>
        <w:ind w:firstLine="482" w:firstLineChars="200"/>
        <w:rPr>
          <w:rFonts w:eastAsia="仿宋"/>
          <w:color w:val="000000"/>
          <w:sz w:val="24"/>
          <w:highlight w:val="none"/>
          <w:lang w:eastAsia="zh-CN"/>
        </w:rPr>
      </w:pPr>
      <w:bookmarkStart w:id="262" w:name="_Toc342294732"/>
      <w:bookmarkStart w:id="263" w:name="_Toc445554706"/>
      <w:bookmarkStart w:id="264" w:name="_Toc455587049"/>
      <w:bookmarkStart w:id="265" w:name="_Toc342296180"/>
      <w:bookmarkStart w:id="266" w:name="_Toc333600701"/>
      <w:bookmarkStart w:id="267" w:name="_Toc458504833"/>
      <w:bookmarkStart w:id="268" w:name="_Toc371415934"/>
      <w:bookmarkStart w:id="269" w:name="_Toc342297637"/>
      <w:bookmarkStart w:id="270" w:name="_Toc338944623"/>
      <w:bookmarkStart w:id="271" w:name="_Toc338943718"/>
      <w:bookmarkStart w:id="272" w:name="_Toc144974515"/>
      <w:bookmarkStart w:id="273" w:name="_Toc466024515"/>
      <w:bookmarkStart w:id="274" w:name="_Toc179632565"/>
      <w:bookmarkStart w:id="275" w:name="_Toc333587871"/>
      <w:bookmarkStart w:id="276" w:name="_Toc152045547"/>
      <w:bookmarkStart w:id="277" w:name="_Toc152042323"/>
      <w:bookmarkStart w:id="278" w:name="_Toc333599677"/>
      <w:bookmarkStart w:id="279" w:name="_Toc455587233"/>
      <w:r>
        <w:rPr>
          <w:rFonts w:hint="eastAsia" w:eastAsia="仿宋"/>
          <w:color w:val="000000"/>
          <w:sz w:val="24"/>
          <w:highlight w:val="none"/>
          <w:lang w:eastAsia="zh-CN"/>
        </w:rPr>
        <w:t>3.1 投标文件的组成</w:t>
      </w:r>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p>
    <w:p w14:paraId="109B17A0">
      <w:pPr>
        <w:widowControl/>
        <w:adjustRightInd w:val="0"/>
        <w:snapToGrid w:val="0"/>
        <w:spacing w:line="360" w:lineRule="auto"/>
        <w:ind w:firstLine="480" w:firstLineChars="200"/>
        <w:rPr>
          <w:rFonts w:hint="eastAsia" w:ascii="宋体" w:hAnsi="宋体" w:eastAsia="仿宋"/>
          <w:color w:val="000000"/>
          <w:sz w:val="24"/>
          <w:highlight w:val="none"/>
        </w:rPr>
      </w:pPr>
      <w:bookmarkStart w:id="280" w:name="_Toc333587872"/>
      <w:bookmarkStart w:id="281" w:name="_Toc338943719"/>
      <w:bookmarkStart w:id="282" w:name="_Toc144974516"/>
      <w:bookmarkStart w:id="283" w:name="_Toc333600702"/>
      <w:bookmarkStart w:id="284" w:name="_Toc152042324"/>
      <w:bookmarkStart w:id="285" w:name="_Toc338944624"/>
      <w:bookmarkStart w:id="286" w:name="_Toc333599678"/>
      <w:bookmarkStart w:id="287" w:name="_Toc342296181"/>
      <w:bookmarkStart w:id="288" w:name="_Toc152045548"/>
      <w:bookmarkStart w:id="289" w:name="_Toc179632566"/>
      <w:bookmarkStart w:id="290" w:name="_Toc342297638"/>
      <w:bookmarkStart w:id="291" w:name="_Toc342294733"/>
      <w:r>
        <w:rPr>
          <w:rFonts w:hint="eastAsia" w:ascii="宋体" w:hAnsi="宋体" w:eastAsia="仿宋"/>
          <w:color w:val="000000"/>
          <w:sz w:val="24"/>
          <w:highlight w:val="none"/>
        </w:rPr>
        <w:t>3.1</w:t>
      </w:r>
      <w:r>
        <w:rPr>
          <w:rFonts w:ascii="宋体" w:hAnsi="宋体" w:eastAsia="仿宋"/>
          <w:color w:val="000000"/>
          <w:sz w:val="24"/>
          <w:highlight w:val="none"/>
        </w:rPr>
        <w:t>.1</w:t>
      </w:r>
      <w:r>
        <w:rPr>
          <w:rFonts w:hint="eastAsia" w:ascii="宋体" w:hAnsi="宋体" w:eastAsia="仿宋"/>
          <w:color w:val="000000"/>
          <w:sz w:val="24"/>
          <w:highlight w:val="none"/>
        </w:rPr>
        <w:t xml:space="preserve"> 投标文件应包括下列内容：</w:t>
      </w:r>
    </w:p>
    <w:p w14:paraId="4802B98A">
      <w:pPr>
        <w:widowControl/>
        <w:adjustRightInd w:val="0"/>
        <w:snapToGrid w:val="0"/>
        <w:spacing w:line="360" w:lineRule="auto"/>
        <w:ind w:firstLine="480" w:firstLineChars="200"/>
        <w:rPr>
          <w:rFonts w:hint="eastAsia" w:ascii="宋体" w:hAnsi="宋体" w:eastAsia="仿宋"/>
          <w:color w:val="000000"/>
          <w:sz w:val="24"/>
          <w:highlight w:val="none"/>
        </w:rPr>
      </w:pPr>
      <w:r>
        <w:rPr>
          <w:rFonts w:hint="eastAsia" w:ascii="宋体" w:hAnsi="宋体" w:eastAsia="仿宋"/>
          <w:color w:val="000000"/>
          <w:sz w:val="24"/>
          <w:highlight w:val="none"/>
        </w:rPr>
        <w:t>（1）投标函；</w:t>
      </w:r>
    </w:p>
    <w:p w14:paraId="009B64B8">
      <w:pPr>
        <w:widowControl/>
        <w:adjustRightInd w:val="0"/>
        <w:snapToGrid w:val="0"/>
        <w:spacing w:line="360" w:lineRule="auto"/>
        <w:ind w:firstLine="480" w:firstLineChars="200"/>
        <w:rPr>
          <w:rFonts w:hint="eastAsia" w:ascii="宋体" w:hAnsi="宋体" w:eastAsia="仿宋"/>
          <w:color w:val="000000"/>
          <w:sz w:val="24"/>
          <w:highlight w:val="none"/>
        </w:rPr>
      </w:pPr>
      <w:r>
        <w:rPr>
          <w:rFonts w:hint="eastAsia" w:ascii="宋体" w:hAnsi="宋体" w:eastAsia="仿宋"/>
          <w:color w:val="000000"/>
          <w:sz w:val="24"/>
          <w:highlight w:val="none"/>
        </w:rPr>
        <w:t>（2）开标一览表；</w:t>
      </w:r>
    </w:p>
    <w:p w14:paraId="6F7669FD">
      <w:pPr>
        <w:widowControl/>
        <w:adjustRightInd w:val="0"/>
        <w:snapToGrid w:val="0"/>
        <w:spacing w:line="360" w:lineRule="auto"/>
        <w:ind w:firstLine="480" w:firstLineChars="200"/>
        <w:rPr>
          <w:rFonts w:hint="eastAsia" w:ascii="宋体" w:hAnsi="宋体" w:eastAsia="仿宋"/>
          <w:color w:val="000000"/>
          <w:sz w:val="24"/>
          <w:highlight w:val="none"/>
        </w:rPr>
      </w:pPr>
      <w:r>
        <w:rPr>
          <w:rFonts w:hint="eastAsia" w:ascii="宋体" w:hAnsi="宋体" w:eastAsia="仿宋"/>
          <w:color w:val="000000"/>
          <w:sz w:val="24"/>
          <w:highlight w:val="none"/>
        </w:rPr>
        <w:t>（3）分项报价表；</w:t>
      </w:r>
    </w:p>
    <w:p w14:paraId="686E5BEE">
      <w:pPr>
        <w:widowControl/>
        <w:adjustRightInd w:val="0"/>
        <w:snapToGrid w:val="0"/>
        <w:spacing w:line="360" w:lineRule="auto"/>
        <w:ind w:firstLine="480" w:firstLineChars="200"/>
        <w:rPr>
          <w:rFonts w:ascii="宋体" w:hAnsi="宋体" w:eastAsia="仿宋"/>
          <w:color w:val="000000"/>
          <w:sz w:val="24"/>
          <w:highlight w:val="none"/>
        </w:rPr>
      </w:pPr>
      <w:r>
        <w:rPr>
          <w:rFonts w:hint="eastAsia" w:ascii="宋体" w:hAnsi="宋体" w:eastAsia="仿宋"/>
          <w:color w:val="000000"/>
          <w:sz w:val="24"/>
          <w:highlight w:val="none"/>
        </w:rPr>
        <w:t>（4）投标人综合情况简介；</w:t>
      </w:r>
    </w:p>
    <w:p w14:paraId="02ADF9DF">
      <w:pPr>
        <w:widowControl/>
        <w:adjustRightInd w:val="0"/>
        <w:snapToGrid w:val="0"/>
        <w:spacing w:line="360" w:lineRule="auto"/>
        <w:ind w:firstLine="480" w:firstLineChars="200"/>
        <w:rPr>
          <w:rFonts w:hint="eastAsia" w:ascii="宋体" w:hAnsi="宋体" w:eastAsia="仿宋"/>
          <w:color w:val="000000"/>
          <w:sz w:val="24"/>
          <w:highlight w:val="none"/>
        </w:rPr>
      </w:pPr>
      <w:r>
        <w:rPr>
          <w:rFonts w:hint="eastAsia" w:ascii="宋体" w:hAnsi="宋体" w:eastAsia="仿宋"/>
          <w:color w:val="000000"/>
          <w:sz w:val="24"/>
          <w:highlight w:val="none"/>
        </w:rPr>
        <w:t>（5）中小企业声明函（货物）；</w:t>
      </w:r>
    </w:p>
    <w:p w14:paraId="593853C1">
      <w:pPr>
        <w:widowControl/>
        <w:adjustRightInd w:val="0"/>
        <w:snapToGrid w:val="0"/>
        <w:spacing w:line="360" w:lineRule="auto"/>
        <w:ind w:firstLine="480" w:firstLineChars="200"/>
        <w:rPr>
          <w:rFonts w:hint="eastAsia" w:ascii="宋体" w:hAnsi="宋体" w:eastAsia="仿宋"/>
          <w:color w:val="000000"/>
          <w:sz w:val="24"/>
          <w:highlight w:val="none"/>
        </w:rPr>
      </w:pPr>
      <w:r>
        <w:rPr>
          <w:rFonts w:hint="eastAsia" w:ascii="宋体" w:hAnsi="宋体" w:eastAsia="仿宋"/>
          <w:color w:val="000000"/>
          <w:sz w:val="24"/>
          <w:highlight w:val="none"/>
        </w:rPr>
        <w:t>（6）法定代表人（单位负责人）身份证明或授权委托书；</w:t>
      </w:r>
    </w:p>
    <w:p w14:paraId="04139449">
      <w:pPr>
        <w:widowControl/>
        <w:adjustRightInd w:val="0"/>
        <w:snapToGrid w:val="0"/>
        <w:spacing w:line="360" w:lineRule="auto"/>
        <w:ind w:firstLine="480" w:firstLineChars="200"/>
        <w:rPr>
          <w:rFonts w:hint="eastAsia" w:ascii="宋体" w:hAnsi="宋体" w:eastAsia="仿宋"/>
          <w:color w:val="000000"/>
          <w:sz w:val="24"/>
          <w:highlight w:val="none"/>
        </w:rPr>
      </w:pPr>
      <w:r>
        <w:rPr>
          <w:rFonts w:hint="eastAsia" w:ascii="宋体" w:hAnsi="宋体" w:eastAsia="仿宋"/>
          <w:color w:val="000000"/>
          <w:sz w:val="24"/>
          <w:highlight w:val="none"/>
        </w:rPr>
        <w:t>（7）资格审查材料；</w:t>
      </w:r>
    </w:p>
    <w:p w14:paraId="723582A8">
      <w:pPr>
        <w:widowControl/>
        <w:adjustRightInd w:val="0"/>
        <w:snapToGrid w:val="0"/>
        <w:spacing w:line="360" w:lineRule="auto"/>
        <w:ind w:firstLine="480" w:firstLineChars="200"/>
        <w:rPr>
          <w:rFonts w:hint="eastAsia" w:ascii="宋体" w:hAnsi="宋体" w:eastAsia="仿宋"/>
          <w:color w:val="000000"/>
          <w:sz w:val="24"/>
          <w:highlight w:val="none"/>
        </w:rPr>
      </w:pPr>
      <w:r>
        <w:rPr>
          <w:rFonts w:hint="eastAsia" w:ascii="宋体" w:hAnsi="宋体" w:eastAsia="仿宋"/>
          <w:color w:val="000000"/>
          <w:sz w:val="24"/>
          <w:highlight w:val="none"/>
        </w:rPr>
        <w:t>（</w:t>
      </w:r>
      <w:r>
        <w:rPr>
          <w:rFonts w:hint="eastAsia" w:ascii="宋体" w:hAnsi="宋体" w:eastAsia="仿宋"/>
          <w:color w:val="000000"/>
          <w:sz w:val="24"/>
          <w:highlight w:val="none"/>
          <w:lang w:val="en-US" w:eastAsia="zh-CN"/>
        </w:rPr>
        <w:t>8</w:t>
      </w:r>
      <w:r>
        <w:rPr>
          <w:rFonts w:hint="eastAsia" w:ascii="宋体" w:hAnsi="宋体" w:eastAsia="仿宋"/>
          <w:color w:val="000000"/>
          <w:sz w:val="24"/>
          <w:highlight w:val="none"/>
        </w:rPr>
        <w:t>）符合性审查与详细评审材料；</w:t>
      </w:r>
    </w:p>
    <w:p w14:paraId="40322011">
      <w:pPr>
        <w:widowControl/>
        <w:adjustRightInd w:val="0"/>
        <w:snapToGrid w:val="0"/>
        <w:spacing w:line="360" w:lineRule="auto"/>
        <w:ind w:firstLine="480" w:firstLineChars="200"/>
        <w:rPr>
          <w:rFonts w:hint="eastAsia" w:ascii="宋体" w:hAnsi="宋体" w:eastAsia="仿宋"/>
          <w:color w:val="000000"/>
          <w:sz w:val="24"/>
          <w:highlight w:val="none"/>
        </w:rPr>
      </w:pPr>
      <w:r>
        <w:rPr>
          <w:rFonts w:hint="eastAsia" w:ascii="宋体" w:hAnsi="宋体" w:eastAsia="仿宋"/>
          <w:color w:val="000000"/>
          <w:sz w:val="24"/>
          <w:highlight w:val="none"/>
        </w:rPr>
        <w:t>（</w:t>
      </w:r>
      <w:r>
        <w:rPr>
          <w:rFonts w:hint="eastAsia" w:ascii="宋体" w:hAnsi="宋体" w:eastAsia="仿宋"/>
          <w:color w:val="000000"/>
          <w:sz w:val="24"/>
          <w:highlight w:val="none"/>
          <w:lang w:val="en-US" w:eastAsia="zh-CN"/>
        </w:rPr>
        <w:t>9</w:t>
      </w:r>
      <w:r>
        <w:rPr>
          <w:rFonts w:hint="eastAsia" w:ascii="宋体" w:hAnsi="宋体" w:eastAsia="仿宋"/>
          <w:color w:val="000000"/>
          <w:sz w:val="24"/>
          <w:highlight w:val="none"/>
        </w:rPr>
        <w:t>）主要标的承诺函；</w:t>
      </w:r>
    </w:p>
    <w:p w14:paraId="5BCC4F96">
      <w:pPr>
        <w:widowControl/>
        <w:adjustRightInd w:val="0"/>
        <w:snapToGrid w:val="0"/>
        <w:spacing w:line="360" w:lineRule="auto"/>
        <w:ind w:firstLine="480" w:firstLineChars="200"/>
        <w:rPr>
          <w:rFonts w:hint="eastAsia" w:ascii="宋体" w:hAnsi="宋体" w:eastAsia="仿宋"/>
          <w:color w:val="000000"/>
          <w:sz w:val="24"/>
          <w:highlight w:val="none"/>
        </w:rPr>
      </w:pPr>
      <w:r>
        <w:rPr>
          <w:rFonts w:hint="eastAsia" w:ascii="宋体" w:hAnsi="宋体" w:eastAsia="仿宋"/>
          <w:color w:val="000000"/>
          <w:sz w:val="24"/>
          <w:highlight w:val="none"/>
        </w:rPr>
        <w:t>（</w:t>
      </w:r>
      <w:r>
        <w:rPr>
          <w:rFonts w:hint="eastAsia" w:ascii="宋体" w:hAnsi="宋体" w:eastAsia="仿宋"/>
          <w:color w:val="000000"/>
          <w:sz w:val="24"/>
          <w:highlight w:val="none"/>
          <w:lang w:val="en-US" w:eastAsia="zh-CN"/>
        </w:rPr>
        <w:t>10</w:t>
      </w:r>
      <w:r>
        <w:rPr>
          <w:rFonts w:hint="eastAsia" w:ascii="宋体" w:hAnsi="宋体" w:eastAsia="仿宋"/>
          <w:color w:val="000000"/>
          <w:sz w:val="24"/>
          <w:highlight w:val="none"/>
        </w:rPr>
        <w:t>）投标相关信息汇总表</w:t>
      </w:r>
    </w:p>
    <w:p w14:paraId="5D59FC69">
      <w:pPr>
        <w:widowControl/>
        <w:adjustRightInd w:val="0"/>
        <w:snapToGrid w:val="0"/>
        <w:spacing w:line="360" w:lineRule="auto"/>
        <w:ind w:firstLine="480" w:firstLineChars="200"/>
        <w:rPr>
          <w:rFonts w:hint="eastAsia" w:ascii="宋体" w:hAnsi="宋体" w:eastAsia="仿宋"/>
          <w:color w:val="000000"/>
          <w:sz w:val="24"/>
          <w:highlight w:val="none"/>
        </w:rPr>
      </w:pPr>
      <w:r>
        <w:rPr>
          <w:rFonts w:hint="eastAsia" w:ascii="宋体" w:hAnsi="宋体" w:eastAsia="仿宋"/>
          <w:color w:val="000000"/>
          <w:sz w:val="24"/>
          <w:highlight w:val="none"/>
          <w:lang w:eastAsia="zh-CN"/>
        </w:rPr>
        <w:t>（</w:t>
      </w:r>
      <w:r>
        <w:rPr>
          <w:rFonts w:hint="eastAsia" w:ascii="宋体" w:hAnsi="宋体" w:eastAsia="仿宋"/>
          <w:color w:val="000000"/>
          <w:sz w:val="24"/>
          <w:highlight w:val="none"/>
          <w:lang w:val="en-US" w:eastAsia="zh-CN"/>
        </w:rPr>
        <w:t>11）</w:t>
      </w:r>
      <w:r>
        <w:rPr>
          <w:rFonts w:hint="eastAsia" w:ascii="宋体" w:hAnsi="宋体" w:eastAsia="仿宋"/>
          <w:color w:val="000000"/>
          <w:sz w:val="24"/>
          <w:highlight w:val="none"/>
        </w:rPr>
        <w:t>投标人认为应该提供的其他材料。</w:t>
      </w:r>
    </w:p>
    <w:p w14:paraId="0370FC5F">
      <w:pPr>
        <w:widowControl/>
        <w:adjustRightInd w:val="0"/>
        <w:snapToGrid w:val="0"/>
        <w:spacing w:line="360" w:lineRule="auto"/>
        <w:ind w:firstLine="480" w:firstLineChars="200"/>
        <w:rPr>
          <w:rFonts w:eastAsia="仿宋"/>
          <w:color w:val="000000"/>
          <w:sz w:val="24"/>
          <w:highlight w:val="none"/>
        </w:rPr>
      </w:pPr>
      <w:r>
        <w:rPr>
          <w:rFonts w:eastAsia="仿宋"/>
          <w:color w:val="000000"/>
          <w:sz w:val="24"/>
          <w:highlight w:val="none"/>
        </w:rPr>
        <w:t>投标人在评标过程中作出的符合法律法规和招标文件规定的澄清确认，构成投标文件的组成部分。</w:t>
      </w:r>
    </w:p>
    <w:p w14:paraId="10BC8074">
      <w:pPr>
        <w:widowControl/>
        <w:adjustRightInd w:val="0"/>
        <w:snapToGrid w:val="0"/>
        <w:spacing w:line="360" w:lineRule="auto"/>
        <w:ind w:firstLine="480" w:firstLineChars="200"/>
        <w:rPr>
          <w:rFonts w:hint="eastAsia" w:ascii="宋体" w:hAnsi="宋体" w:eastAsia="仿宋"/>
          <w:color w:val="000000"/>
          <w:sz w:val="24"/>
          <w:highlight w:val="none"/>
        </w:rPr>
      </w:pPr>
      <w:r>
        <w:rPr>
          <w:rFonts w:hint="eastAsia" w:ascii="宋体" w:hAnsi="宋体" w:eastAsia="仿宋"/>
          <w:color w:val="000000"/>
          <w:sz w:val="24"/>
          <w:highlight w:val="none"/>
        </w:rPr>
        <w:t>3.1.2 投标人须知前附表规定不接受联合体投标的，或投标人没有组成联合体的，投标文件不包括联合体协议书。</w:t>
      </w:r>
    </w:p>
    <w:p w14:paraId="65D2ACD8">
      <w:pPr>
        <w:widowControl/>
        <w:adjustRightInd w:val="0"/>
        <w:snapToGrid w:val="0"/>
        <w:spacing w:line="360" w:lineRule="auto"/>
        <w:ind w:firstLine="480" w:firstLineChars="200"/>
        <w:rPr>
          <w:rFonts w:hint="eastAsia" w:ascii="宋体" w:hAnsi="宋体" w:eastAsia="仿宋"/>
          <w:color w:val="000000"/>
          <w:sz w:val="24"/>
          <w:highlight w:val="none"/>
        </w:rPr>
      </w:pPr>
      <w:r>
        <w:rPr>
          <w:rFonts w:hint="eastAsia" w:ascii="宋体" w:hAnsi="宋体" w:eastAsia="仿宋"/>
          <w:color w:val="000000"/>
          <w:sz w:val="24"/>
          <w:highlight w:val="none"/>
        </w:rPr>
        <w:t>3.1.3 投标人须知前附表规定不接受分包的，或投标人没有分包的，投标文件不包括分包意向协议书。</w:t>
      </w:r>
    </w:p>
    <w:p w14:paraId="7C9A5DE9">
      <w:pPr>
        <w:adjustRightInd w:val="0"/>
        <w:spacing w:line="360" w:lineRule="auto"/>
        <w:ind w:firstLine="480" w:firstLineChars="200"/>
        <w:rPr>
          <w:rFonts w:hint="eastAsia" w:ascii="宋体" w:hAnsi="宋体" w:eastAsia="仿宋"/>
          <w:color w:val="000000"/>
          <w:sz w:val="24"/>
          <w:highlight w:val="none"/>
        </w:rPr>
      </w:pPr>
      <w:bookmarkStart w:id="292" w:name="_Toc455587050"/>
      <w:bookmarkStart w:id="293" w:name="_Toc466024516"/>
      <w:bookmarkStart w:id="294" w:name="_Toc458504834"/>
      <w:bookmarkStart w:id="295" w:name="_Toc455587234"/>
      <w:bookmarkStart w:id="296" w:name="_Toc445554707"/>
      <w:r>
        <w:rPr>
          <w:rFonts w:hint="eastAsia" w:ascii="宋体" w:hAnsi="宋体" w:eastAsia="仿宋"/>
          <w:color w:val="000000"/>
          <w:sz w:val="24"/>
          <w:highlight w:val="none"/>
        </w:rPr>
        <w:t>3.1.4 投标人须知前附表规定要求递交投标货物样品的，投标人应按照投标人须知前附表的规定提供投标货物样品。</w:t>
      </w:r>
    </w:p>
    <w:p w14:paraId="00BDA966">
      <w:pPr>
        <w:pStyle w:val="4"/>
        <w:adjustRightInd w:val="0"/>
        <w:ind w:firstLine="482" w:firstLineChars="200"/>
        <w:rPr>
          <w:rFonts w:eastAsia="仿宋"/>
          <w:color w:val="000000"/>
          <w:sz w:val="24"/>
          <w:highlight w:val="none"/>
          <w:lang w:eastAsia="zh-CN"/>
        </w:rPr>
      </w:pPr>
      <w:r>
        <w:rPr>
          <w:rFonts w:hint="eastAsia" w:eastAsia="仿宋"/>
          <w:color w:val="000000"/>
          <w:sz w:val="24"/>
          <w:highlight w:val="none"/>
          <w:lang w:eastAsia="zh-CN"/>
        </w:rPr>
        <w:t>3.2 投标报价</w:t>
      </w:r>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Start w:id="297" w:name="_Toc370199958"/>
    </w:p>
    <w:p w14:paraId="49CA47E4">
      <w:pPr>
        <w:widowControl/>
        <w:adjustRightInd w:val="0"/>
        <w:snapToGrid w:val="0"/>
        <w:spacing w:line="360" w:lineRule="auto"/>
        <w:ind w:firstLine="480" w:firstLineChars="200"/>
        <w:rPr>
          <w:rFonts w:hint="eastAsia" w:ascii="宋体" w:hAnsi="宋体" w:eastAsia="仿宋"/>
          <w:color w:val="000000"/>
          <w:sz w:val="24"/>
          <w:highlight w:val="none"/>
        </w:rPr>
      </w:pPr>
      <w:r>
        <w:rPr>
          <w:rFonts w:hint="eastAsia" w:ascii="宋体" w:hAnsi="宋体" w:eastAsia="仿宋"/>
          <w:color w:val="000000"/>
          <w:sz w:val="24"/>
          <w:highlight w:val="none"/>
        </w:rPr>
        <w:t>3.2</w:t>
      </w:r>
      <w:r>
        <w:rPr>
          <w:rFonts w:ascii="宋体" w:hAnsi="宋体" w:eastAsia="仿宋"/>
          <w:color w:val="000000"/>
          <w:sz w:val="24"/>
          <w:highlight w:val="none"/>
        </w:rPr>
        <w:t>.1</w:t>
      </w:r>
      <w:r>
        <w:rPr>
          <w:rFonts w:hint="eastAsia" w:ascii="宋体" w:hAnsi="宋体" w:eastAsia="仿宋"/>
          <w:color w:val="000000"/>
          <w:sz w:val="24"/>
          <w:highlight w:val="none"/>
        </w:rPr>
        <w:t xml:space="preserve"> 投标报价应当包括的内容见投标人须知前附表规定。投标人应当按招标文件规定进行投标报价，并按给定格式填写投标报价表格。</w:t>
      </w:r>
      <w:bookmarkEnd w:id="297"/>
      <w:bookmarkStart w:id="298" w:name="_Toc370199959"/>
    </w:p>
    <w:p w14:paraId="70AF13B2">
      <w:pPr>
        <w:widowControl/>
        <w:adjustRightInd w:val="0"/>
        <w:snapToGrid w:val="0"/>
        <w:spacing w:line="360" w:lineRule="auto"/>
        <w:ind w:firstLine="480" w:firstLineChars="200"/>
        <w:rPr>
          <w:rFonts w:hint="eastAsia" w:ascii="宋体" w:hAnsi="宋体" w:eastAsia="仿宋"/>
          <w:color w:val="000000"/>
          <w:sz w:val="24"/>
          <w:highlight w:val="none"/>
        </w:rPr>
      </w:pPr>
      <w:r>
        <w:rPr>
          <w:rFonts w:hint="eastAsia" w:ascii="宋体" w:hAnsi="宋体" w:eastAsia="仿宋"/>
          <w:color w:val="000000"/>
          <w:sz w:val="24"/>
          <w:highlight w:val="none"/>
        </w:rPr>
        <w:t xml:space="preserve">3.2.2 </w:t>
      </w:r>
      <w:r>
        <w:rPr>
          <w:rFonts w:ascii="宋体" w:hAnsi="宋体" w:eastAsia="仿宋"/>
          <w:color w:val="000000"/>
          <w:sz w:val="24"/>
          <w:highlight w:val="none"/>
        </w:rPr>
        <w:t>投标人应充分了解该项目的总体情况以及影响报价的其他要素。</w:t>
      </w:r>
    </w:p>
    <w:p w14:paraId="7E553147">
      <w:pPr>
        <w:widowControl/>
        <w:adjustRightInd w:val="0"/>
        <w:snapToGrid w:val="0"/>
        <w:spacing w:line="360" w:lineRule="auto"/>
        <w:ind w:firstLine="480" w:firstLineChars="200"/>
        <w:rPr>
          <w:rFonts w:hint="eastAsia" w:ascii="宋体" w:hAnsi="宋体" w:eastAsia="仿宋"/>
          <w:color w:val="000000"/>
          <w:sz w:val="24"/>
          <w:highlight w:val="none"/>
        </w:rPr>
      </w:pPr>
      <w:r>
        <w:rPr>
          <w:rFonts w:hint="eastAsia" w:ascii="宋体" w:hAnsi="宋体" w:eastAsia="仿宋"/>
          <w:color w:val="000000"/>
          <w:sz w:val="24"/>
          <w:highlight w:val="none"/>
        </w:rPr>
        <w:t>3.2.3 投标报价为各分项报价之和。如分项报价中存在缺漏项，则视为缺漏项价格已包含在其他分项报价之中。投标人在投标截止时间前修改开标一览表中的投标报价总额，应同时修改投标文件“分项报价表”中的相应报价。此修改须符合本章第4.3款的有关要求。</w:t>
      </w:r>
    </w:p>
    <w:p w14:paraId="00F03747">
      <w:pPr>
        <w:widowControl/>
        <w:adjustRightInd w:val="0"/>
        <w:snapToGrid w:val="0"/>
        <w:spacing w:line="360" w:lineRule="auto"/>
        <w:ind w:firstLine="480" w:firstLineChars="200"/>
        <w:rPr>
          <w:rFonts w:ascii="宋体" w:hAnsi="宋体" w:eastAsia="仿宋"/>
          <w:color w:val="000000"/>
          <w:sz w:val="24"/>
          <w:highlight w:val="none"/>
        </w:rPr>
      </w:pPr>
      <w:r>
        <w:rPr>
          <w:rFonts w:hint="eastAsia" w:ascii="宋体" w:hAnsi="宋体" w:eastAsia="仿宋"/>
          <w:color w:val="000000"/>
          <w:sz w:val="24"/>
          <w:highlight w:val="none"/>
        </w:rPr>
        <w:t>3.2.4 投标报价的其他要求见投标人须知前附表。</w:t>
      </w:r>
    </w:p>
    <w:bookmarkEnd w:id="298"/>
    <w:p w14:paraId="3762A6BC">
      <w:pPr>
        <w:pStyle w:val="4"/>
        <w:adjustRightInd w:val="0"/>
        <w:ind w:firstLine="482" w:firstLineChars="200"/>
        <w:rPr>
          <w:rFonts w:eastAsia="仿宋"/>
          <w:color w:val="000000"/>
          <w:sz w:val="24"/>
          <w:highlight w:val="none"/>
          <w:lang w:eastAsia="zh-CN"/>
        </w:rPr>
      </w:pPr>
      <w:bookmarkStart w:id="299" w:name="_Toc333587873"/>
      <w:bookmarkStart w:id="300" w:name="_Toc342297639"/>
      <w:bookmarkStart w:id="301" w:name="_Toc342294734"/>
      <w:bookmarkStart w:id="302" w:name="_Toc144974517"/>
      <w:bookmarkStart w:id="303" w:name="_Toc455587051"/>
      <w:bookmarkStart w:id="304" w:name="_Toc371415937"/>
      <w:bookmarkStart w:id="305" w:name="_Toc338943720"/>
      <w:bookmarkStart w:id="306" w:name="_Toc455587235"/>
      <w:bookmarkStart w:id="307" w:name="_Toc333599679"/>
      <w:bookmarkStart w:id="308" w:name="_Toc458504835"/>
      <w:bookmarkStart w:id="309" w:name="_Toc342296182"/>
      <w:bookmarkStart w:id="310" w:name="_Toc466024517"/>
      <w:bookmarkStart w:id="311" w:name="_Toc179632567"/>
      <w:bookmarkStart w:id="312" w:name="_Toc152045549"/>
      <w:bookmarkStart w:id="313" w:name="_Toc338944625"/>
      <w:bookmarkStart w:id="314" w:name="_Toc445554708"/>
      <w:bookmarkStart w:id="315" w:name="_Toc152042325"/>
      <w:bookmarkStart w:id="316" w:name="_Toc333600703"/>
      <w:r>
        <w:rPr>
          <w:rFonts w:hint="eastAsia" w:eastAsia="仿宋"/>
          <w:color w:val="000000"/>
          <w:sz w:val="24"/>
          <w:highlight w:val="none"/>
          <w:lang w:eastAsia="zh-CN"/>
        </w:rPr>
        <w:t>3.3 投标有效期</w:t>
      </w:r>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p>
    <w:p w14:paraId="084FD6DF">
      <w:pPr>
        <w:widowControl/>
        <w:adjustRightInd w:val="0"/>
        <w:snapToGrid w:val="0"/>
        <w:spacing w:line="360" w:lineRule="auto"/>
        <w:ind w:firstLine="480" w:firstLineChars="200"/>
        <w:rPr>
          <w:rFonts w:ascii="宋体" w:hAnsi="宋体" w:eastAsia="仿宋"/>
          <w:color w:val="000000"/>
          <w:sz w:val="24"/>
          <w:highlight w:val="none"/>
        </w:rPr>
      </w:pPr>
      <w:r>
        <w:rPr>
          <w:rFonts w:hint="eastAsia" w:ascii="宋体" w:hAnsi="宋体" w:eastAsia="仿宋"/>
          <w:color w:val="000000"/>
          <w:sz w:val="24"/>
          <w:highlight w:val="none"/>
        </w:rPr>
        <w:t>3.3</w:t>
      </w:r>
      <w:r>
        <w:rPr>
          <w:rFonts w:ascii="宋体" w:hAnsi="宋体" w:eastAsia="仿宋"/>
          <w:color w:val="000000"/>
          <w:sz w:val="24"/>
          <w:highlight w:val="none"/>
        </w:rPr>
        <w:t>.1</w:t>
      </w:r>
      <w:r>
        <w:rPr>
          <w:rFonts w:hint="eastAsia" w:ascii="宋体" w:hAnsi="宋体" w:eastAsia="仿宋"/>
          <w:color w:val="000000"/>
          <w:sz w:val="24"/>
          <w:highlight w:val="none"/>
        </w:rPr>
        <w:t xml:space="preserve"> 在投标人须知前附表规定的投标有效期内，投标文件保持有效，投标人不得要求撤销或修改其投标文件，否则应承担招标文件和法律法规规定的责任。</w:t>
      </w:r>
    </w:p>
    <w:p w14:paraId="23AD4728">
      <w:pPr>
        <w:widowControl/>
        <w:adjustRightInd w:val="0"/>
        <w:snapToGrid w:val="0"/>
        <w:spacing w:line="360" w:lineRule="auto"/>
        <w:ind w:firstLine="480" w:firstLineChars="200"/>
        <w:rPr>
          <w:rFonts w:ascii="宋体" w:hAnsi="宋体" w:eastAsia="仿宋"/>
          <w:color w:val="000000"/>
          <w:sz w:val="24"/>
          <w:highlight w:val="none"/>
        </w:rPr>
      </w:pPr>
      <w:r>
        <w:rPr>
          <w:rFonts w:hint="eastAsia" w:ascii="宋体" w:hAnsi="宋体" w:eastAsia="仿宋"/>
          <w:color w:val="000000"/>
          <w:sz w:val="24"/>
          <w:highlight w:val="none"/>
        </w:rPr>
        <w:t>3.3</w:t>
      </w:r>
      <w:r>
        <w:rPr>
          <w:rFonts w:ascii="宋体" w:hAnsi="宋体" w:eastAsia="仿宋"/>
          <w:color w:val="000000"/>
          <w:sz w:val="24"/>
          <w:highlight w:val="none"/>
        </w:rPr>
        <w:t>.2</w:t>
      </w:r>
      <w:r>
        <w:rPr>
          <w:rFonts w:hint="eastAsia" w:ascii="宋体" w:hAnsi="宋体" w:eastAsia="仿宋"/>
          <w:color w:val="000000"/>
          <w:sz w:val="24"/>
          <w:highlight w:val="none"/>
        </w:rPr>
        <w:t xml:space="preserve"> 出现特殊情况需要延长投标有效期的，采购人以书面形式通知所有投标人延长投标有效期。投标人同意延长的，应当相应延长其投标保证金的有效期，但不得要求或被允许修改或撤销其投标文件；投标人拒绝延长的，其投标失效，但投标人有权收回其投标保证金。</w:t>
      </w:r>
      <w:r>
        <w:rPr>
          <w:rFonts w:ascii="宋体" w:hAnsi="宋体" w:eastAsia="仿宋"/>
          <w:color w:val="000000"/>
          <w:sz w:val="24"/>
          <w:highlight w:val="none"/>
        </w:rPr>
        <w:t xml:space="preserve"> </w:t>
      </w:r>
    </w:p>
    <w:p w14:paraId="21CE6A72">
      <w:pPr>
        <w:pStyle w:val="4"/>
        <w:adjustRightInd w:val="0"/>
        <w:ind w:firstLine="482" w:firstLineChars="200"/>
        <w:rPr>
          <w:rFonts w:eastAsia="仿宋"/>
          <w:color w:val="000000"/>
          <w:sz w:val="24"/>
          <w:highlight w:val="none"/>
          <w:lang w:eastAsia="zh-CN"/>
        </w:rPr>
      </w:pPr>
      <w:bookmarkStart w:id="317" w:name="_Toc455587052"/>
      <w:bookmarkStart w:id="318" w:name="_Toc333587874"/>
      <w:bookmarkStart w:id="319" w:name="_Toc455587236"/>
      <w:bookmarkStart w:id="320" w:name="_Toc152045550"/>
      <w:bookmarkStart w:id="321" w:name="_Toc338943721"/>
      <w:bookmarkStart w:id="322" w:name="_Toc371415938"/>
      <w:bookmarkStart w:id="323" w:name="_Toc342296183"/>
      <w:bookmarkStart w:id="324" w:name="_Toc338944626"/>
      <w:bookmarkStart w:id="325" w:name="_Toc152042326"/>
      <w:bookmarkStart w:id="326" w:name="_Toc445554709"/>
      <w:bookmarkStart w:id="327" w:name="_Toc333600704"/>
      <w:bookmarkStart w:id="328" w:name="_Toc458504836"/>
      <w:bookmarkStart w:id="329" w:name="_Toc144974518"/>
      <w:bookmarkStart w:id="330" w:name="_Toc342294735"/>
      <w:bookmarkStart w:id="331" w:name="_Toc342297640"/>
      <w:bookmarkStart w:id="332" w:name="_Toc333599680"/>
      <w:bookmarkStart w:id="333" w:name="_Toc179632568"/>
      <w:bookmarkStart w:id="334" w:name="_Toc466024518"/>
      <w:r>
        <w:rPr>
          <w:rFonts w:hint="eastAsia" w:eastAsia="仿宋"/>
          <w:color w:val="000000"/>
          <w:sz w:val="24"/>
          <w:highlight w:val="none"/>
          <w:lang w:eastAsia="zh-CN"/>
        </w:rPr>
        <w:t>3.4 投标保证金</w:t>
      </w:r>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p>
    <w:p w14:paraId="05C2AD08">
      <w:pPr>
        <w:widowControl/>
        <w:adjustRightInd w:val="0"/>
        <w:snapToGrid w:val="0"/>
        <w:spacing w:line="360" w:lineRule="auto"/>
        <w:ind w:firstLine="480" w:firstLineChars="200"/>
        <w:rPr>
          <w:rFonts w:hint="eastAsia" w:ascii="宋体" w:hAnsi="宋体" w:eastAsia="仿宋"/>
          <w:color w:val="000000"/>
          <w:sz w:val="24"/>
          <w:highlight w:val="none"/>
        </w:rPr>
      </w:pPr>
      <w:r>
        <w:rPr>
          <w:rFonts w:hint="eastAsia" w:ascii="宋体" w:hAnsi="宋体" w:eastAsia="仿宋"/>
          <w:color w:val="000000"/>
          <w:sz w:val="24"/>
          <w:highlight w:val="none"/>
        </w:rPr>
        <w:t>对投标保证金的要求见投标人须知前附表。</w:t>
      </w:r>
    </w:p>
    <w:p w14:paraId="2DBA175A">
      <w:pPr>
        <w:pStyle w:val="4"/>
        <w:adjustRightInd w:val="0"/>
        <w:ind w:firstLine="482" w:firstLineChars="200"/>
        <w:rPr>
          <w:rFonts w:eastAsia="仿宋"/>
          <w:color w:val="000000"/>
          <w:sz w:val="24"/>
          <w:highlight w:val="none"/>
          <w:lang w:eastAsia="zh-CN"/>
        </w:rPr>
      </w:pPr>
      <w:bookmarkStart w:id="335" w:name="_Toc338943722"/>
      <w:bookmarkStart w:id="336" w:name="_Toc455587237"/>
      <w:bookmarkStart w:id="337" w:name="_Toc179632569"/>
      <w:bookmarkStart w:id="338" w:name="_Toc333599681"/>
      <w:bookmarkStart w:id="339" w:name="_Toc333587875"/>
      <w:bookmarkStart w:id="340" w:name="_Toc342296184"/>
      <w:bookmarkStart w:id="341" w:name="_Toc466024519"/>
      <w:bookmarkStart w:id="342" w:name="_Toc333600705"/>
      <w:bookmarkStart w:id="343" w:name="_Toc455587053"/>
      <w:bookmarkStart w:id="344" w:name="_Toc338944627"/>
      <w:bookmarkStart w:id="345" w:name="_Toc445554710"/>
      <w:bookmarkStart w:id="346" w:name="_Toc144974519"/>
      <w:bookmarkStart w:id="347" w:name="_Toc152045551"/>
      <w:bookmarkStart w:id="348" w:name="_Toc342297641"/>
      <w:bookmarkStart w:id="349" w:name="_Toc371415939"/>
      <w:bookmarkStart w:id="350" w:name="_Toc152042327"/>
      <w:bookmarkStart w:id="351" w:name="_Toc458504837"/>
      <w:bookmarkStart w:id="352" w:name="_Toc342294736"/>
      <w:r>
        <w:rPr>
          <w:rFonts w:hint="eastAsia" w:eastAsia="仿宋"/>
          <w:color w:val="000000"/>
          <w:sz w:val="24"/>
          <w:highlight w:val="none"/>
          <w:lang w:eastAsia="zh-CN"/>
        </w:rPr>
        <w:t>3.5 资格审查资料（适用于已进行资格预审的）</w:t>
      </w:r>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p>
    <w:p w14:paraId="34BE67C6">
      <w:pPr>
        <w:widowControl/>
        <w:adjustRightInd w:val="0"/>
        <w:snapToGrid w:val="0"/>
        <w:spacing w:line="360" w:lineRule="auto"/>
        <w:ind w:firstLine="480" w:firstLineChars="200"/>
        <w:rPr>
          <w:rFonts w:hint="eastAsia" w:ascii="宋体" w:hAnsi="宋体" w:eastAsia="仿宋"/>
          <w:color w:val="000000"/>
          <w:sz w:val="24"/>
          <w:highlight w:val="none"/>
        </w:rPr>
      </w:pPr>
      <w:r>
        <w:rPr>
          <w:rFonts w:hint="eastAsia" w:ascii="宋体" w:hAnsi="宋体" w:eastAsia="仿宋"/>
          <w:color w:val="000000"/>
          <w:sz w:val="24"/>
          <w:highlight w:val="none"/>
        </w:rPr>
        <w:t>3.5.1 投标人在递交投标文件前，发生可能影响其投标资格的新情况的，应更新或补充其在申请资格预审时提供的资料，以证实其各项资格条件仍能继续满足资格预审文件的要求。</w:t>
      </w:r>
    </w:p>
    <w:p w14:paraId="10E6AC19">
      <w:pPr>
        <w:widowControl/>
        <w:adjustRightInd w:val="0"/>
        <w:snapToGrid w:val="0"/>
        <w:spacing w:line="360" w:lineRule="auto"/>
        <w:ind w:firstLine="480" w:firstLineChars="200"/>
        <w:rPr>
          <w:rFonts w:hint="eastAsia" w:ascii="宋体" w:hAnsi="宋体" w:eastAsia="仿宋"/>
          <w:color w:val="000000"/>
          <w:sz w:val="24"/>
          <w:highlight w:val="none"/>
        </w:rPr>
      </w:pPr>
      <w:r>
        <w:rPr>
          <w:rFonts w:hint="eastAsia" w:ascii="宋体" w:hAnsi="宋体" w:eastAsia="仿宋"/>
          <w:color w:val="000000"/>
          <w:sz w:val="24"/>
          <w:highlight w:val="none"/>
        </w:rPr>
        <w:t>3.5.2 投标人是代理商或经销商的，通过资格预审后如确定了拟投标货物（服务）的制造商（提供商）的，投标时不得更换，否则其投标将按无效处理。</w:t>
      </w:r>
    </w:p>
    <w:p w14:paraId="5FAC588A">
      <w:pPr>
        <w:widowControl/>
        <w:adjustRightInd w:val="0"/>
        <w:snapToGrid w:val="0"/>
        <w:spacing w:line="360" w:lineRule="auto"/>
        <w:ind w:firstLine="480" w:firstLineChars="200"/>
        <w:rPr>
          <w:rFonts w:hint="eastAsia" w:ascii="宋体" w:hAnsi="宋体" w:eastAsia="仿宋"/>
          <w:color w:val="000000"/>
          <w:sz w:val="24"/>
          <w:highlight w:val="none"/>
        </w:rPr>
      </w:pPr>
      <w:r>
        <w:rPr>
          <w:rFonts w:hint="eastAsia" w:ascii="宋体" w:hAnsi="宋体" w:eastAsia="仿宋"/>
          <w:color w:val="000000"/>
          <w:sz w:val="24"/>
          <w:highlight w:val="none"/>
        </w:rPr>
        <w:t>3.5.3 如本招标文件“评标办法”中涉及对相关投标人资格进行评审的，投标人应在投标文件相应的“资格审查资料”中提供证明文件。</w:t>
      </w:r>
    </w:p>
    <w:p w14:paraId="4465277C">
      <w:pPr>
        <w:pStyle w:val="4"/>
        <w:adjustRightInd w:val="0"/>
        <w:ind w:firstLine="482" w:firstLineChars="200"/>
        <w:rPr>
          <w:rFonts w:hint="eastAsia" w:eastAsia="仿宋"/>
          <w:color w:val="000000"/>
          <w:sz w:val="24"/>
          <w:highlight w:val="none"/>
          <w:lang w:eastAsia="zh-CN"/>
        </w:rPr>
      </w:pPr>
      <w:bookmarkStart w:id="353" w:name="_Toc455587238"/>
      <w:bookmarkStart w:id="354" w:name="_Toc333599682"/>
      <w:bookmarkStart w:id="355" w:name="_Toc445554711"/>
      <w:bookmarkStart w:id="356" w:name="_Toc466024520"/>
      <w:bookmarkStart w:id="357" w:name="_Toc338943723"/>
      <w:bookmarkStart w:id="358" w:name="_Toc144974520"/>
      <w:bookmarkStart w:id="359" w:name="_Toc152042328"/>
      <w:bookmarkStart w:id="360" w:name="_Toc455587054"/>
      <w:bookmarkStart w:id="361" w:name="_Toc342297642"/>
      <w:bookmarkStart w:id="362" w:name="_Toc338944628"/>
      <w:bookmarkStart w:id="363" w:name="_Toc342296185"/>
      <w:bookmarkStart w:id="364" w:name="_Toc179632570"/>
      <w:bookmarkStart w:id="365" w:name="_Toc333600706"/>
      <w:bookmarkStart w:id="366" w:name="_Toc152045552"/>
      <w:bookmarkStart w:id="367" w:name="_Toc333587876"/>
      <w:bookmarkStart w:id="368" w:name="_Toc342294737"/>
      <w:bookmarkStart w:id="369" w:name="_Toc371415940"/>
      <w:bookmarkStart w:id="370" w:name="_Toc458504838"/>
      <w:r>
        <w:rPr>
          <w:rFonts w:hint="eastAsia" w:eastAsia="仿宋"/>
          <w:color w:val="000000"/>
          <w:sz w:val="24"/>
          <w:highlight w:val="none"/>
          <w:lang w:eastAsia="zh-CN"/>
        </w:rPr>
        <w:t>3.5 资格审查资料（适用于未进行资格预审的）</w:t>
      </w:r>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p>
    <w:p w14:paraId="0EB8DBE4">
      <w:pPr>
        <w:widowControl/>
        <w:adjustRightInd w:val="0"/>
        <w:snapToGrid w:val="0"/>
        <w:spacing w:line="360" w:lineRule="auto"/>
        <w:ind w:firstLine="480" w:firstLineChars="200"/>
        <w:rPr>
          <w:rFonts w:hint="eastAsia" w:ascii="宋体" w:hAnsi="宋体" w:eastAsia="仿宋"/>
          <w:color w:val="000000"/>
          <w:sz w:val="24"/>
          <w:highlight w:val="none"/>
        </w:rPr>
      </w:pPr>
      <w:r>
        <w:rPr>
          <w:rFonts w:hint="eastAsia" w:ascii="宋体" w:hAnsi="宋体" w:eastAsia="仿宋"/>
          <w:color w:val="000000"/>
          <w:sz w:val="24"/>
          <w:highlight w:val="none"/>
        </w:rPr>
        <w:t>3.5.1 资格审查办法见第四章第一节 资格审查。</w:t>
      </w:r>
    </w:p>
    <w:p w14:paraId="7BCCF9E0">
      <w:pPr>
        <w:widowControl/>
        <w:adjustRightInd w:val="0"/>
        <w:snapToGrid w:val="0"/>
        <w:spacing w:line="360" w:lineRule="auto"/>
        <w:ind w:firstLine="480" w:firstLineChars="200"/>
        <w:rPr>
          <w:rFonts w:hint="eastAsia" w:ascii="宋体" w:hAnsi="宋体" w:eastAsia="仿宋"/>
          <w:color w:val="000000"/>
          <w:sz w:val="24"/>
          <w:highlight w:val="none"/>
        </w:rPr>
      </w:pPr>
      <w:r>
        <w:rPr>
          <w:rFonts w:hint="eastAsia" w:ascii="宋体" w:hAnsi="宋体" w:eastAsia="仿宋"/>
          <w:color w:val="000000"/>
          <w:sz w:val="24"/>
          <w:highlight w:val="none"/>
        </w:rPr>
        <w:t>3.5.2 “资格审查材料”应按规定格式填写，并提供符合要求的相关证明材料的扫描件或电子证照。</w:t>
      </w:r>
    </w:p>
    <w:p w14:paraId="7F2ECA05">
      <w:pPr>
        <w:widowControl/>
        <w:adjustRightInd w:val="0"/>
        <w:snapToGrid w:val="0"/>
        <w:spacing w:line="360" w:lineRule="auto"/>
        <w:ind w:firstLine="480" w:firstLineChars="200"/>
        <w:rPr>
          <w:rFonts w:hint="eastAsia" w:ascii="宋体" w:hAnsi="宋体" w:eastAsia="仿宋"/>
          <w:color w:val="000000"/>
          <w:sz w:val="24"/>
          <w:highlight w:val="none"/>
        </w:rPr>
      </w:pPr>
      <w:r>
        <w:rPr>
          <w:rFonts w:hint="eastAsia" w:ascii="宋体" w:hAnsi="宋体" w:eastAsia="仿宋"/>
          <w:color w:val="000000"/>
          <w:sz w:val="24"/>
          <w:highlight w:val="none"/>
        </w:rPr>
        <w:t>3.5.3 投标人须知前附表规定接受联合体投标的，本章第3.5.1项至第3.5.2项规定的表格和资料包括联合体各方成员相关情况。</w:t>
      </w:r>
    </w:p>
    <w:p w14:paraId="6962816D">
      <w:pPr>
        <w:pStyle w:val="4"/>
        <w:adjustRightInd w:val="0"/>
        <w:ind w:firstLine="482" w:firstLineChars="200"/>
        <w:rPr>
          <w:rFonts w:eastAsia="仿宋"/>
          <w:color w:val="000000"/>
          <w:sz w:val="24"/>
          <w:highlight w:val="none"/>
          <w:lang w:eastAsia="zh-CN"/>
        </w:rPr>
      </w:pPr>
      <w:bookmarkStart w:id="371" w:name="_Toc333600707"/>
      <w:bookmarkStart w:id="372" w:name="_Toc333599683"/>
      <w:bookmarkStart w:id="373" w:name="_Toc455587240"/>
      <w:bookmarkStart w:id="374" w:name="_Toc458504840"/>
      <w:bookmarkStart w:id="375" w:name="_Toc371415941"/>
      <w:bookmarkStart w:id="376" w:name="_Toc342294738"/>
      <w:bookmarkStart w:id="377" w:name="_Toc338944629"/>
      <w:bookmarkStart w:id="378" w:name="_Toc445554713"/>
      <w:bookmarkStart w:id="379" w:name="_Toc342296186"/>
      <w:bookmarkStart w:id="380" w:name="_Toc338943724"/>
      <w:bookmarkStart w:id="381" w:name="_Toc455587056"/>
      <w:bookmarkStart w:id="382" w:name="_Toc342297643"/>
      <w:bookmarkStart w:id="383" w:name="_Toc179632571"/>
      <w:bookmarkStart w:id="384" w:name="_Toc152045553"/>
      <w:bookmarkStart w:id="385" w:name="_Toc466024522"/>
      <w:bookmarkStart w:id="386" w:name="_Toc333587877"/>
      <w:bookmarkStart w:id="387" w:name="_Toc152042329"/>
      <w:bookmarkStart w:id="388" w:name="_Toc144974521"/>
      <w:r>
        <w:rPr>
          <w:rFonts w:hint="eastAsia" w:eastAsia="仿宋"/>
          <w:color w:val="000000"/>
          <w:sz w:val="24"/>
          <w:highlight w:val="none"/>
          <w:lang w:eastAsia="zh-CN"/>
        </w:rPr>
        <w:t>3.6 备选投标方案</w:t>
      </w:r>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p>
    <w:p w14:paraId="30AD72B5">
      <w:pPr>
        <w:widowControl/>
        <w:adjustRightInd w:val="0"/>
        <w:snapToGrid w:val="0"/>
        <w:spacing w:line="360" w:lineRule="auto"/>
        <w:ind w:firstLine="480" w:firstLineChars="200"/>
        <w:rPr>
          <w:rFonts w:hint="eastAsia" w:ascii="宋体" w:hAnsi="宋体" w:eastAsia="仿宋"/>
          <w:color w:val="000000"/>
          <w:sz w:val="24"/>
          <w:highlight w:val="none"/>
        </w:rPr>
      </w:pPr>
      <w:r>
        <w:rPr>
          <w:rFonts w:hint="eastAsia" w:ascii="宋体" w:hAnsi="宋体" w:eastAsia="仿宋"/>
          <w:color w:val="000000"/>
          <w:sz w:val="24"/>
          <w:highlight w:val="none"/>
        </w:rPr>
        <w:t>3.6.1 除投标人须知前附表另有规定外，投标人不得递交备选投标方案，</w:t>
      </w:r>
      <w:r>
        <w:rPr>
          <w:rFonts w:eastAsia="仿宋"/>
          <w:color w:val="000000"/>
          <w:sz w:val="24"/>
          <w:highlight w:val="none"/>
        </w:rPr>
        <w:t>否则其投标将</w:t>
      </w:r>
      <w:r>
        <w:rPr>
          <w:rFonts w:hint="eastAsia" w:eastAsia="仿宋"/>
          <w:color w:val="000000"/>
          <w:sz w:val="24"/>
          <w:highlight w:val="none"/>
        </w:rPr>
        <w:t>按无效处理</w:t>
      </w:r>
      <w:r>
        <w:rPr>
          <w:rFonts w:hint="eastAsia" w:ascii="宋体" w:hAnsi="宋体" w:eastAsia="仿宋"/>
          <w:color w:val="000000"/>
          <w:sz w:val="24"/>
          <w:highlight w:val="none"/>
        </w:rPr>
        <w:t>。</w:t>
      </w:r>
    </w:p>
    <w:p w14:paraId="645831C7">
      <w:pPr>
        <w:widowControl/>
        <w:adjustRightInd w:val="0"/>
        <w:snapToGrid w:val="0"/>
        <w:spacing w:line="360" w:lineRule="auto"/>
        <w:ind w:firstLine="480" w:firstLineChars="200"/>
        <w:rPr>
          <w:rFonts w:hint="eastAsia" w:eastAsia="仿宋"/>
          <w:color w:val="000000"/>
          <w:sz w:val="24"/>
          <w:highlight w:val="none"/>
        </w:rPr>
      </w:pPr>
      <w:r>
        <w:rPr>
          <w:rFonts w:hint="eastAsia" w:ascii="宋体" w:hAnsi="宋体" w:eastAsia="仿宋"/>
          <w:color w:val="000000"/>
          <w:sz w:val="24"/>
          <w:highlight w:val="none"/>
        </w:rPr>
        <w:t xml:space="preserve">3.6.2 </w:t>
      </w:r>
      <w:r>
        <w:rPr>
          <w:rFonts w:eastAsia="仿宋"/>
          <w:color w:val="000000"/>
          <w:sz w:val="24"/>
          <w:highlight w:val="none"/>
        </w:rPr>
        <w:t>允许投标人递交备选投标方案的，只有中标人所递交的备选投标方案方可予以考虑。评标委员会认为中标人的备选投标方案优于其按照招标文件要求编制的投标方案的，</w:t>
      </w:r>
      <w:r>
        <w:rPr>
          <w:rFonts w:hint="eastAsia" w:eastAsia="仿宋"/>
          <w:color w:val="000000"/>
          <w:sz w:val="24"/>
          <w:highlight w:val="none"/>
        </w:rPr>
        <w:t>采购</w:t>
      </w:r>
      <w:r>
        <w:rPr>
          <w:rFonts w:eastAsia="仿宋"/>
          <w:color w:val="000000"/>
          <w:sz w:val="24"/>
          <w:highlight w:val="none"/>
        </w:rPr>
        <w:t>人可以接受该备选投标方案。</w:t>
      </w:r>
    </w:p>
    <w:p w14:paraId="7E996CE5">
      <w:pPr>
        <w:widowControl/>
        <w:adjustRightInd w:val="0"/>
        <w:snapToGrid w:val="0"/>
        <w:spacing w:line="360" w:lineRule="auto"/>
        <w:ind w:firstLine="480" w:firstLineChars="200"/>
        <w:rPr>
          <w:rFonts w:eastAsia="仿宋"/>
          <w:color w:val="000000"/>
          <w:sz w:val="24"/>
          <w:highlight w:val="none"/>
        </w:rPr>
      </w:pPr>
      <w:r>
        <w:rPr>
          <w:rFonts w:ascii="宋体" w:hAnsi="宋体" w:eastAsia="仿宋"/>
          <w:color w:val="000000"/>
          <w:sz w:val="24"/>
          <w:highlight w:val="none"/>
        </w:rPr>
        <w:t>3.6.3 投标人提供两个或两个以上投标报价，或者在投标文件中提供一个报价，但同时提供两个或两</w:t>
      </w:r>
      <w:r>
        <w:rPr>
          <w:rFonts w:eastAsia="仿宋"/>
          <w:color w:val="000000"/>
          <w:sz w:val="24"/>
          <w:highlight w:val="none"/>
        </w:rPr>
        <w:t>个以上</w:t>
      </w:r>
      <w:bookmarkStart w:id="389" w:name="_Toc361508607"/>
      <w:bookmarkStart w:id="390" w:name="_Toc29902"/>
      <w:bookmarkStart w:id="391" w:name="_Toc352691495"/>
      <w:bookmarkStart w:id="392" w:name="_Toc247527575"/>
      <w:bookmarkStart w:id="393" w:name="_Toc369531538"/>
      <w:bookmarkStart w:id="394" w:name="_Toc300834971"/>
      <w:bookmarkStart w:id="395" w:name="_Toc384308232"/>
      <w:bookmarkStart w:id="396" w:name="_Toc247513974"/>
      <w:r>
        <w:rPr>
          <w:rFonts w:hint="eastAsia" w:eastAsia="仿宋"/>
          <w:color w:val="000000"/>
          <w:sz w:val="24"/>
          <w:highlight w:val="none"/>
        </w:rPr>
        <w:t>供货方案</w:t>
      </w:r>
      <w:r>
        <w:rPr>
          <w:rFonts w:eastAsia="仿宋"/>
          <w:color w:val="000000"/>
          <w:sz w:val="24"/>
          <w:highlight w:val="none"/>
        </w:rPr>
        <w:t>的</w:t>
      </w:r>
      <w:bookmarkEnd w:id="389"/>
      <w:bookmarkEnd w:id="390"/>
      <w:bookmarkEnd w:id="391"/>
      <w:bookmarkEnd w:id="392"/>
      <w:bookmarkEnd w:id="393"/>
      <w:bookmarkEnd w:id="394"/>
      <w:bookmarkEnd w:id="395"/>
      <w:bookmarkEnd w:id="396"/>
      <w:r>
        <w:rPr>
          <w:rFonts w:eastAsia="仿宋"/>
          <w:color w:val="000000"/>
          <w:sz w:val="24"/>
          <w:highlight w:val="none"/>
        </w:rPr>
        <w:t>，视为提供备选方案。</w:t>
      </w:r>
    </w:p>
    <w:p w14:paraId="3C5E4276">
      <w:pPr>
        <w:pStyle w:val="4"/>
        <w:adjustRightInd w:val="0"/>
        <w:ind w:firstLine="482" w:firstLineChars="200"/>
        <w:rPr>
          <w:rFonts w:eastAsia="仿宋"/>
          <w:color w:val="000000"/>
          <w:sz w:val="24"/>
          <w:highlight w:val="none"/>
          <w:lang w:eastAsia="zh-CN"/>
        </w:rPr>
      </w:pPr>
      <w:bookmarkStart w:id="397" w:name="_Toc458504841"/>
      <w:bookmarkStart w:id="398" w:name="_Toc445554714"/>
      <w:bookmarkStart w:id="399" w:name="_Toc455587057"/>
      <w:bookmarkStart w:id="400" w:name="_Toc371415942"/>
      <w:bookmarkStart w:id="401" w:name="_Toc455587241"/>
      <w:bookmarkStart w:id="402" w:name="_Toc466024523"/>
      <w:r>
        <w:rPr>
          <w:rFonts w:hint="eastAsia" w:eastAsia="仿宋"/>
          <w:color w:val="000000"/>
          <w:sz w:val="24"/>
          <w:highlight w:val="none"/>
          <w:lang w:eastAsia="zh-CN"/>
        </w:rPr>
        <w:t>3.7 投标文件的编制</w:t>
      </w:r>
      <w:bookmarkEnd w:id="397"/>
      <w:bookmarkEnd w:id="398"/>
      <w:bookmarkEnd w:id="399"/>
      <w:bookmarkEnd w:id="400"/>
      <w:bookmarkEnd w:id="401"/>
      <w:bookmarkEnd w:id="402"/>
    </w:p>
    <w:p w14:paraId="24C3AC46">
      <w:pPr>
        <w:widowControl/>
        <w:adjustRightInd w:val="0"/>
        <w:snapToGrid w:val="0"/>
        <w:spacing w:line="360" w:lineRule="auto"/>
        <w:ind w:firstLine="480" w:firstLineChars="200"/>
        <w:rPr>
          <w:rFonts w:ascii="宋体" w:hAnsi="宋体" w:eastAsia="仿宋"/>
          <w:color w:val="000000"/>
          <w:sz w:val="24"/>
          <w:highlight w:val="none"/>
        </w:rPr>
      </w:pPr>
      <w:r>
        <w:rPr>
          <w:rFonts w:hint="eastAsia" w:ascii="宋体" w:hAnsi="宋体" w:eastAsia="仿宋"/>
          <w:color w:val="000000"/>
          <w:sz w:val="24"/>
          <w:highlight w:val="none"/>
        </w:rPr>
        <w:t>3.7</w:t>
      </w:r>
      <w:r>
        <w:rPr>
          <w:rFonts w:ascii="宋体" w:hAnsi="宋体" w:eastAsia="仿宋"/>
          <w:color w:val="000000"/>
          <w:sz w:val="24"/>
          <w:highlight w:val="none"/>
        </w:rPr>
        <w:t>.1</w:t>
      </w:r>
      <w:r>
        <w:rPr>
          <w:rFonts w:hint="eastAsia" w:ascii="宋体" w:hAnsi="宋体" w:eastAsia="仿宋"/>
          <w:color w:val="000000"/>
          <w:sz w:val="24"/>
          <w:highlight w:val="none"/>
        </w:rPr>
        <w:t xml:space="preserve"> 投标文件应按</w:t>
      </w:r>
      <w:r>
        <w:rPr>
          <w:rFonts w:hint="eastAsia" w:eastAsia="仿宋"/>
          <w:color w:val="000000"/>
          <w:sz w:val="24"/>
          <w:highlight w:val="none"/>
        </w:rPr>
        <w:t>招标文件</w:t>
      </w:r>
      <w:r>
        <w:rPr>
          <w:rFonts w:hint="eastAsia" w:ascii="宋体" w:hAnsi="宋体" w:eastAsia="仿宋"/>
          <w:color w:val="000000"/>
          <w:sz w:val="24"/>
          <w:highlight w:val="none"/>
        </w:rPr>
        <w:t>规定格式进行编写，如有必要，可以增加附页、扩展表格，作为投标文件的组成部分。</w:t>
      </w:r>
    </w:p>
    <w:p w14:paraId="0B4D1305">
      <w:pPr>
        <w:widowControl/>
        <w:adjustRightInd w:val="0"/>
        <w:snapToGrid w:val="0"/>
        <w:spacing w:line="360" w:lineRule="auto"/>
        <w:ind w:firstLine="480" w:firstLineChars="200"/>
        <w:rPr>
          <w:rFonts w:ascii="宋体" w:hAnsi="宋体" w:eastAsia="仿宋"/>
          <w:color w:val="000000"/>
          <w:sz w:val="24"/>
          <w:highlight w:val="none"/>
        </w:rPr>
      </w:pPr>
      <w:r>
        <w:rPr>
          <w:rFonts w:hint="eastAsia" w:ascii="宋体" w:hAnsi="宋体" w:eastAsia="仿宋"/>
          <w:color w:val="000000"/>
          <w:sz w:val="24"/>
          <w:highlight w:val="none"/>
        </w:rPr>
        <w:t>3.7</w:t>
      </w:r>
      <w:r>
        <w:rPr>
          <w:rFonts w:ascii="宋体" w:hAnsi="宋体" w:eastAsia="仿宋"/>
          <w:color w:val="000000"/>
          <w:sz w:val="24"/>
          <w:highlight w:val="none"/>
        </w:rPr>
        <w:t>.2</w:t>
      </w:r>
      <w:r>
        <w:rPr>
          <w:rFonts w:hint="eastAsia" w:ascii="宋体" w:hAnsi="宋体" w:eastAsia="仿宋"/>
          <w:color w:val="000000"/>
          <w:sz w:val="24"/>
          <w:highlight w:val="none"/>
        </w:rPr>
        <w:t xml:space="preserve"> 投标文件应当对招标文件有关采购需求、交付（实施）的时间（期限）、交付（实施）的地点（范围）、质保期、技术与服务要求、投标报价要求、投标有效期、付款方式、合同条款等实质性</w:t>
      </w:r>
      <w:r>
        <w:rPr>
          <w:rFonts w:hint="eastAsia" w:eastAsia="仿宋"/>
          <w:color w:val="000000"/>
          <w:sz w:val="24"/>
          <w:highlight w:val="none"/>
        </w:rPr>
        <w:t>内容</w:t>
      </w:r>
      <w:r>
        <w:rPr>
          <w:rFonts w:hint="eastAsia" w:ascii="宋体" w:hAnsi="宋体" w:eastAsia="仿宋"/>
          <w:color w:val="000000"/>
          <w:sz w:val="24"/>
          <w:highlight w:val="none"/>
        </w:rPr>
        <w:t>作出响应。投标文件在满足招标文件实质性要求的基础上，可以提出比招标文件要求更有利于采购人的承诺。</w:t>
      </w:r>
    </w:p>
    <w:p w14:paraId="7B2F2064">
      <w:pPr>
        <w:widowControl/>
        <w:adjustRightInd w:val="0"/>
        <w:snapToGrid w:val="0"/>
        <w:spacing w:line="360" w:lineRule="auto"/>
        <w:ind w:firstLine="480" w:firstLineChars="200"/>
        <w:rPr>
          <w:rFonts w:ascii="宋体" w:hAnsi="宋体" w:eastAsia="仿宋"/>
          <w:color w:val="000000"/>
          <w:sz w:val="24"/>
          <w:highlight w:val="none"/>
        </w:rPr>
      </w:pPr>
      <w:r>
        <w:rPr>
          <w:rFonts w:hint="eastAsia" w:ascii="宋体" w:hAnsi="宋体" w:eastAsia="仿宋"/>
          <w:color w:val="000000"/>
          <w:sz w:val="24"/>
          <w:highlight w:val="none"/>
        </w:rPr>
        <w:t>3.7.3 投标人必须对其提交的资料的真实性负责，并接受采购人对其中任何资料进一步审查的要求。</w:t>
      </w:r>
    </w:p>
    <w:p w14:paraId="1D7BFCB0">
      <w:pPr>
        <w:widowControl/>
        <w:adjustRightInd w:val="0"/>
        <w:snapToGrid w:val="0"/>
        <w:spacing w:line="360" w:lineRule="auto"/>
        <w:ind w:firstLine="480" w:firstLineChars="200"/>
        <w:rPr>
          <w:rFonts w:hint="eastAsia" w:ascii="宋体" w:hAnsi="宋体" w:eastAsia="仿宋"/>
          <w:color w:val="000000"/>
          <w:sz w:val="24"/>
          <w:highlight w:val="none"/>
        </w:rPr>
      </w:pPr>
      <w:r>
        <w:rPr>
          <w:rFonts w:ascii="宋体" w:hAnsi="宋体" w:eastAsia="仿宋"/>
          <w:color w:val="000000"/>
          <w:sz w:val="24"/>
          <w:highlight w:val="none"/>
        </w:rPr>
        <w:t>3.7.</w:t>
      </w:r>
      <w:r>
        <w:rPr>
          <w:rFonts w:hint="eastAsia" w:ascii="宋体" w:hAnsi="宋体" w:eastAsia="仿宋"/>
          <w:color w:val="000000"/>
          <w:sz w:val="24"/>
          <w:highlight w:val="none"/>
        </w:rPr>
        <w:t>4 投标文件的制作应满足以下规定：</w:t>
      </w:r>
    </w:p>
    <w:p w14:paraId="189786BA">
      <w:pPr>
        <w:widowControl/>
        <w:adjustRightInd w:val="0"/>
        <w:snapToGrid w:val="0"/>
        <w:spacing w:line="360" w:lineRule="auto"/>
        <w:ind w:firstLine="480" w:firstLineChars="200"/>
        <w:rPr>
          <w:rFonts w:hint="eastAsia" w:ascii="宋体" w:hAnsi="宋体" w:eastAsia="仿宋"/>
          <w:color w:val="000000"/>
          <w:sz w:val="24"/>
          <w:highlight w:val="none"/>
        </w:rPr>
      </w:pPr>
      <w:r>
        <w:rPr>
          <w:rFonts w:hint="eastAsia" w:ascii="宋体" w:hAnsi="宋体" w:eastAsia="仿宋"/>
          <w:color w:val="000000"/>
          <w:sz w:val="24"/>
          <w:highlight w:val="none"/>
        </w:rPr>
        <w:t>（</w:t>
      </w:r>
      <w:r>
        <w:rPr>
          <w:rFonts w:ascii="宋体" w:hAnsi="宋体" w:eastAsia="仿宋"/>
          <w:color w:val="000000"/>
          <w:sz w:val="24"/>
          <w:highlight w:val="none"/>
        </w:rPr>
        <w:t>1</w:t>
      </w:r>
      <w:r>
        <w:rPr>
          <w:rFonts w:hint="eastAsia" w:ascii="宋体" w:hAnsi="宋体" w:eastAsia="仿宋"/>
          <w:color w:val="000000"/>
          <w:sz w:val="24"/>
          <w:highlight w:val="none"/>
        </w:rPr>
        <w:t>）投标文件由投标人使用</w:t>
      </w:r>
      <w:r>
        <w:rPr>
          <w:rFonts w:ascii="宋体" w:hAnsi="宋体" w:eastAsia="仿宋"/>
          <w:color w:val="000000"/>
          <w:sz w:val="24"/>
          <w:highlight w:val="none"/>
        </w:rPr>
        <w:t>“</w:t>
      </w:r>
      <w:r>
        <w:rPr>
          <w:rFonts w:hint="eastAsia" w:ascii="宋体" w:hAnsi="宋体" w:eastAsia="仿宋"/>
          <w:color w:val="000000"/>
          <w:sz w:val="24"/>
          <w:highlight w:val="none"/>
        </w:rPr>
        <w:t>电子交易平台</w:t>
      </w:r>
      <w:r>
        <w:rPr>
          <w:rFonts w:ascii="宋体" w:hAnsi="宋体" w:eastAsia="仿宋"/>
          <w:color w:val="000000"/>
          <w:sz w:val="24"/>
          <w:highlight w:val="none"/>
        </w:rPr>
        <w:t>”</w:t>
      </w:r>
      <w:r>
        <w:rPr>
          <w:rFonts w:hint="eastAsia" w:ascii="宋体" w:hAnsi="宋体" w:eastAsia="仿宋"/>
          <w:color w:val="000000"/>
          <w:sz w:val="24"/>
          <w:highlight w:val="none"/>
        </w:rPr>
        <w:t>自带的</w:t>
      </w:r>
      <w:r>
        <w:rPr>
          <w:rFonts w:ascii="宋体" w:hAnsi="宋体" w:eastAsia="仿宋"/>
          <w:color w:val="000000"/>
          <w:sz w:val="24"/>
          <w:highlight w:val="none"/>
        </w:rPr>
        <w:t>“</w:t>
      </w:r>
      <w:r>
        <w:rPr>
          <w:rFonts w:hint="eastAsia" w:ascii="宋体" w:hAnsi="宋体" w:eastAsia="仿宋"/>
          <w:color w:val="000000"/>
          <w:sz w:val="24"/>
          <w:highlight w:val="none"/>
        </w:rPr>
        <w:t>投标文件制作工具</w:t>
      </w:r>
      <w:r>
        <w:rPr>
          <w:rFonts w:ascii="宋体" w:hAnsi="宋体" w:eastAsia="仿宋"/>
          <w:color w:val="000000"/>
          <w:sz w:val="24"/>
          <w:highlight w:val="none"/>
        </w:rPr>
        <w:t>”</w:t>
      </w:r>
      <w:r>
        <w:rPr>
          <w:rFonts w:hint="eastAsia" w:ascii="宋体" w:hAnsi="宋体" w:eastAsia="仿宋"/>
          <w:color w:val="000000"/>
          <w:sz w:val="24"/>
          <w:highlight w:val="none"/>
        </w:rPr>
        <w:t>制作生成，详见投标人须知前附表规定。</w:t>
      </w:r>
    </w:p>
    <w:p w14:paraId="1AEDF26A">
      <w:pPr>
        <w:widowControl/>
        <w:adjustRightInd w:val="0"/>
        <w:snapToGrid w:val="0"/>
        <w:spacing w:line="360" w:lineRule="auto"/>
        <w:ind w:firstLine="480" w:firstLineChars="200"/>
        <w:rPr>
          <w:rFonts w:hint="eastAsia" w:ascii="宋体" w:hAnsi="宋体" w:eastAsia="仿宋"/>
          <w:color w:val="000000"/>
          <w:sz w:val="24"/>
          <w:highlight w:val="none"/>
        </w:rPr>
      </w:pPr>
      <w:r>
        <w:rPr>
          <w:rFonts w:hint="eastAsia" w:ascii="宋体" w:hAnsi="宋体" w:eastAsia="仿宋"/>
          <w:color w:val="000000"/>
          <w:sz w:val="24"/>
          <w:highlight w:val="none"/>
        </w:rPr>
        <w:t>（</w:t>
      </w:r>
      <w:r>
        <w:rPr>
          <w:rFonts w:ascii="宋体" w:hAnsi="宋体" w:eastAsia="仿宋"/>
          <w:color w:val="000000"/>
          <w:sz w:val="24"/>
          <w:highlight w:val="none"/>
        </w:rPr>
        <w:t>2</w:t>
      </w:r>
      <w:r>
        <w:rPr>
          <w:rFonts w:hint="eastAsia" w:ascii="宋体" w:hAnsi="宋体" w:eastAsia="仿宋"/>
          <w:color w:val="000000"/>
          <w:sz w:val="24"/>
          <w:highlight w:val="none"/>
        </w:rPr>
        <w:t>）投标人在编制投标文件时应建立分级目录，并按照标签提示导入相关内容。</w:t>
      </w:r>
    </w:p>
    <w:p w14:paraId="443EE2D9">
      <w:pPr>
        <w:widowControl/>
        <w:adjustRightInd w:val="0"/>
        <w:snapToGrid w:val="0"/>
        <w:spacing w:line="360" w:lineRule="auto"/>
        <w:ind w:firstLine="480" w:firstLineChars="200"/>
        <w:rPr>
          <w:rFonts w:hint="eastAsia" w:ascii="宋体" w:hAnsi="宋体" w:eastAsia="仿宋"/>
          <w:color w:val="000000"/>
          <w:sz w:val="24"/>
          <w:highlight w:val="none"/>
        </w:rPr>
      </w:pPr>
      <w:r>
        <w:rPr>
          <w:rFonts w:hint="eastAsia" w:ascii="宋体" w:hAnsi="宋体" w:eastAsia="仿宋"/>
          <w:color w:val="000000"/>
          <w:sz w:val="24"/>
          <w:highlight w:val="none"/>
        </w:rPr>
        <w:t>（3）除投标人须知前附表另有规定外，</w:t>
      </w:r>
      <w:r>
        <w:rPr>
          <w:rFonts w:ascii="宋体" w:hAnsi="宋体" w:eastAsia="仿宋"/>
          <w:color w:val="000000"/>
          <w:sz w:val="24"/>
          <w:highlight w:val="none"/>
        </w:rPr>
        <w:t>投标文件</w:t>
      </w:r>
      <w:r>
        <w:rPr>
          <w:rFonts w:hint="eastAsia" w:ascii="宋体" w:hAnsi="宋体" w:eastAsia="仿宋"/>
          <w:color w:val="000000"/>
          <w:sz w:val="24"/>
          <w:highlight w:val="none"/>
        </w:rPr>
        <w:t>中证明资料的</w:t>
      </w:r>
      <w:r>
        <w:rPr>
          <w:rFonts w:ascii="宋体" w:hAnsi="宋体" w:eastAsia="仿宋"/>
          <w:color w:val="000000"/>
          <w:sz w:val="24"/>
          <w:highlight w:val="none"/>
        </w:rPr>
        <w:t>“</w:t>
      </w:r>
      <w:r>
        <w:rPr>
          <w:rFonts w:hint="eastAsia" w:ascii="宋体" w:hAnsi="宋体" w:eastAsia="仿宋"/>
          <w:color w:val="000000"/>
          <w:sz w:val="24"/>
          <w:highlight w:val="none"/>
        </w:rPr>
        <w:t>复印件</w:t>
      </w:r>
      <w:r>
        <w:rPr>
          <w:rFonts w:ascii="宋体" w:hAnsi="宋体" w:eastAsia="仿宋"/>
          <w:color w:val="000000"/>
          <w:sz w:val="24"/>
          <w:highlight w:val="none"/>
        </w:rPr>
        <w:t>”均为</w:t>
      </w:r>
      <w:r>
        <w:rPr>
          <w:rFonts w:hint="eastAsia" w:ascii="宋体" w:hAnsi="宋体" w:eastAsia="仿宋"/>
          <w:color w:val="000000"/>
          <w:sz w:val="24"/>
          <w:highlight w:val="none"/>
        </w:rPr>
        <w:t>扫描件</w:t>
      </w:r>
      <w:r>
        <w:rPr>
          <w:rFonts w:ascii="宋体" w:hAnsi="宋体" w:eastAsia="仿宋"/>
          <w:color w:val="000000"/>
          <w:sz w:val="24"/>
          <w:highlight w:val="none"/>
        </w:rPr>
        <w:t>。</w:t>
      </w:r>
    </w:p>
    <w:p w14:paraId="2248DC17">
      <w:pPr>
        <w:widowControl/>
        <w:adjustRightInd w:val="0"/>
        <w:snapToGrid w:val="0"/>
        <w:spacing w:line="360" w:lineRule="auto"/>
        <w:ind w:firstLine="480" w:firstLineChars="200"/>
        <w:rPr>
          <w:rFonts w:hint="eastAsia" w:ascii="宋体" w:hAnsi="宋体" w:eastAsia="仿宋"/>
          <w:color w:val="000000"/>
          <w:sz w:val="24"/>
          <w:highlight w:val="none"/>
        </w:rPr>
      </w:pPr>
      <w:r>
        <w:rPr>
          <w:rFonts w:hint="eastAsia" w:ascii="宋体" w:hAnsi="宋体" w:eastAsia="仿宋"/>
          <w:color w:val="000000"/>
          <w:sz w:val="24"/>
          <w:highlight w:val="none"/>
        </w:rPr>
        <w:t>（4）</w:t>
      </w:r>
      <w:r>
        <w:rPr>
          <w:rFonts w:ascii="宋体" w:hAnsi="宋体" w:eastAsia="仿宋"/>
          <w:color w:val="000000"/>
          <w:sz w:val="24"/>
          <w:highlight w:val="none"/>
        </w:rPr>
        <w:t>“</w:t>
      </w:r>
      <w:r>
        <w:rPr>
          <w:rFonts w:hint="eastAsia" w:ascii="宋体" w:hAnsi="宋体" w:eastAsia="仿宋"/>
          <w:color w:val="000000"/>
          <w:sz w:val="24"/>
          <w:highlight w:val="none"/>
        </w:rPr>
        <w:t>投标文件格式</w:t>
      </w:r>
      <w:r>
        <w:rPr>
          <w:rFonts w:ascii="宋体" w:hAnsi="宋体" w:eastAsia="仿宋"/>
          <w:color w:val="000000"/>
          <w:sz w:val="24"/>
          <w:highlight w:val="none"/>
        </w:rPr>
        <w:t>”</w:t>
      </w:r>
      <w:r>
        <w:rPr>
          <w:rFonts w:hint="eastAsia" w:ascii="宋体" w:hAnsi="宋体" w:eastAsia="仿宋"/>
          <w:color w:val="000000"/>
          <w:sz w:val="24"/>
          <w:highlight w:val="none"/>
        </w:rPr>
        <w:t>中要求盖单位章和（或）签字的地方，投标人均应使用</w:t>
      </w:r>
      <w:r>
        <w:rPr>
          <w:rFonts w:ascii="宋体" w:hAnsi="宋体" w:eastAsia="仿宋"/>
          <w:color w:val="000000"/>
          <w:sz w:val="24"/>
          <w:highlight w:val="none"/>
        </w:rPr>
        <w:t xml:space="preserve">CA </w:t>
      </w:r>
      <w:r>
        <w:rPr>
          <w:rFonts w:hint="eastAsia" w:ascii="宋体" w:hAnsi="宋体" w:eastAsia="仿宋"/>
          <w:color w:val="000000"/>
          <w:sz w:val="24"/>
          <w:highlight w:val="none"/>
        </w:rPr>
        <w:t>数字证书加盖投标人的单位电子印章和（或）法定代表人的个人电子印章或电子签名章。联合体投标的，投标文件由联合体牵头人按上述规定加盖联合体牵头人单位电子印章和（或）法定代表人的个人电子印章或电子签名章。</w:t>
      </w:r>
    </w:p>
    <w:p w14:paraId="6AA84A4B">
      <w:pPr>
        <w:widowControl/>
        <w:adjustRightInd w:val="0"/>
        <w:snapToGrid w:val="0"/>
        <w:spacing w:line="360" w:lineRule="auto"/>
        <w:ind w:firstLine="480" w:firstLineChars="200"/>
        <w:rPr>
          <w:rFonts w:hint="eastAsia" w:ascii="宋体" w:hAnsi="宋体" w:eastAsia="仿宋"/>
          <w:color w:val="000000"/>
          <w:sz w:val="24"/>
          <w:highlight w:val="none"/>
        </w:rPr>
      </w:pPr>
      <w:r>
        <w:rPr>
          <w:rFonts w:hint="eastAsia" w:ascii="宋体" w:hAnsi="宋体" w:eastAsia="仿宋"/>
          <w:color w:val="000000"/>
          <w:sz w:val="24"/>
          <w:highlight w:val="none"/>
        </w:rPr>
        <w:t>（5）投标文件制作完成后，投标人应使用</w:t>
      </w:r>
      <w:r>
        <w:rPr>
          <w:rFonts w:ascii="宋体" w:hAnsi="宋体" w:eastAsia="仿宋"/>
          <w:color w:val="000000"/>
          <w:sz w:val="24"/>
          <w:highlight w:val="none"/>
        </w:rPr>
        <w:t xml:space="preserve">CA </w:t>
      </w:r>
      <w:r>
        <w:rPr>
          <w:rFonts w:hint="eastAsia" w:ascii="宋体" w:hAnsi="宋体" w:eastAsia="仿宋"/>
          <w:color w:val="000000"/>
          <w:sz w:val="24"/>
          <w:highlight w:val="none"/>
        </w:rPr>
        <w:t>数字证书对投标文件进行文件加密，形成加密的投标文件、非加密的投标文件，非加密的投标文件提交形式见投标人须知前附表规定。</w:t>
      </w:r>
    </w:p>
    <w:p w14:paraId="4320BD71">
      <w:pPr>
        <w:widowControl/>
        <w:adjustRightInd w:val="0"/>
        <w:snapToGrid w:val="0"/>
        <w:spacing w:line="360" w:lineRule="auto"/>
        <w:ind w:firstLine="480" w:firstLineChars="200"/>
        <w:rPr>
          <w:rFonts w:hint="eastAsia" w:ascii="宋体" w:hAnsi="宋体" w:eastAsia="仿宋"/>
          <w:color w:val="000000"/>
          <w:sz w:val="24"/>
          <w:highlight w:val="none"/>
        </w:rPr>
      </w:pPr>
      <w:r>
        <w:rPr>
          <w:rFonts w:hint="eastAsia" w:ascii="宋体" w:hAnsi="宋体" w:eastAsia="仿宋"/>
          <w:color w:val="000000"/>
          <w:sz w:val="24"/>
          <w:highlight w:val="none"/>
        </w:rPr>
        <w:t>（6）投标文件制作的具体方法详见</w:t>
      </w:r>
      <w:r>
        <w:rPr>
          <w:rFonts w:ascii="宋体" w:hAnsi="宋体" w:eastAsia="仿宋"/>
          <w:color w:val="000000"/>
          <w:sz w:val="24"/>
          <w:highlight w:val="none"/>
        </w:rPr>
        <w:t>“</w:t>
      </w:r>
      <w:r>
        <w:rPr>
          <w:rFonts w:hint="eastAsia" w:ascii="宋体" w:hAnsi="宋体" w:eastAsia="仿宋"/>
          <w:color w:val="000000"/>
          <w:sz w:val="24"/>
          <w:highlight w:val="none"/>
        </w:rPr>
        <w:t>投标文件制作工具</w:t>
      </w:r>
      <w:r>
        <w:rPr>
          <w:rFonts w:ascii="宋体" w:hAnsi="宋体" w:eastAsia="仿宋"/>
          <w:color w:val="000000"/>
          <w:sz w:val="24"/>
          <w:highlight w:val="none"/>
        </w:rPr>
        <w:t>”</w:t>
      </w:r>
      <w:r>
        <w:rPr>
          <w:rFonts w:hint="eastAsia" w:ascii="宋体" w:hAnsi="宋体" w:eastAsia="仿宋"/>
          <w:color w:val="000000"/>
          <w:sz w:val="24"/>
          <w:highlight w:val="none"/>
        </w:rPr>
        <w:t>中的帮助文档。</w:t>
      </w:r>
    </w:p>
    <w:p w14:paraId="4008C0C1">
      <w:pPr>
        <w:widowControl/>
        <w:adjustRightInd w:val="0"/>
        <w:snapToGrid w:val="0"/>
        <w:spacing w:line="360" w:lineRule="auto"/>
        <w:ind w:firstLine="480" w:firstLineChars="200"/>
        <w:rPr>
          <w:rFonts w:hint="eastAsia" w:ascii="宋体" w:hAnsi="宋体" w:eastAsia="仿宋"/>
          <w:color w:val="000000"/>
          <w:sz w:val="24"/>
          <w:highlight w:val="none"/>
        </w:rPr>
      </w:pPr>
      <w:r>
        <w:rPr>
          <w:rFonts w:ascii="宋体" w:hAnsi="宋体" w:eastAsia="仿宋"/>
          <w:color w:val="000000"/>
          <w:sz w:val="24"/>
          <w:highlight w:val="none"/>
        </w:rPr>
        <w:t>3.7.</w:t>
      </w:r>
      <w:r>
        <w:rPr>
          <w:rFonts w:hint="eastAsia" w:ascii="宋体" w:hAnsi="宋体" w:eastAsia="仿宋"/>
          <w:color w:val="000000"/>
          <w:sz w:val="24"/>
          <w:highlight w:val="none"/>
        </w:rPr>
        <w:t>5</w:t>
      </w:r>
      <w:r>
        <w:rPr>
          <w:rFonts w:ascii="宋体" w:hAnsi="宋体" w:eastAsia="仿宋"/>
          <w:color w:val="000000"/>
          <w:sz w:val="24"/>
          <w:highlight w:val="none"/>
        </w:rPr>
        <w:t xml:space="preserve"> </w:t>
      </w:r>
      <w:r>
        <w:rPr>
          <w:rFonts w:hint="eastAsia" w:ascii="宋体" w:hAnsi="宋体" w:eastAsia="仿宋"/>
          <w:color w:val="000000"/>
          <w:sz w:val="24"/>
          <w:highlight w:val="none"/>
        </w:rPr>
        <w:t>因投标人自身原因而导致投标文件无法导入</w:t>
      </w:r>
      <w:r>
        <w:rPr>
          <w:rFonts w:ascii="宋体" w:hAnsi="宋体" w:eastAsia="仿宋"/>
          <w:color w:val="000000"/>
          <w:sz w:val="24"/>
          <w:highlight w:val="none"/>
        </w:rPr>
        <w:t>“</w:t>
      </w:r>
      <w:r>
        <w:rPr>
          <w:rFonts w:hint="eastAsia" w:ascii="宋体" w:hAnsi="宋体" w:eastAsia="仿宋"/>
          <w:color w:val="000000"/>
          <w:sz w:val="24"/>
          <w:highlight w:val="none"/>
        </w:rPr>
        <w:t>电子交易平台</w:t>
      </w:r>
      <w:r>
        <w:rPr>
          <w:rFonts w:ascii="宋体" w:hAnsi="宋体" w:eastAsia="仿宋"/>
          <w:color w:val="000000"/>
          <w:sz w:val="24"/>
          <w:highlight w:val="none"/>
        </w:rPr>
        <w:t>”</w:t>
      </w:r>
      <w:r>
        <w:rPr>
          <w:rFonts w:hint="eastAsia" w:ascii="宋体" w:hAnsi="宋体" w:eastAsia="仿宋"/>
          <w:color w:val="000000"/>
          <w:sz w:val="24"/>
          <w:highlight w:val="none"/>
        </w:rPr>
        <w:t>电子开标、评标系统，该投标视为无效投标，投标人自行承担由此导致的全部责任。</w:t>
      </w:r>
    </w:p>
    <w:p w14:paraId="4FC4C34C">
      <w:pPr>
        <w:pStyle w:val="3"/>
        <w:rPr>
          <w:rStyle w:val="107"/>
          <w:rFonts w:ascii="宋体" w:hAnsi="宋体" w:eastAsia="仿宋"/>
          <w:b/>
          <w:bCs/>
          <w:color w:val="000000"/>
          <w:sz w:val="24"/>
          <w:szCs w:val="24"/>
          <w:highlight w:val="none"/>
        </w:rPr>
      </w:pPr>
      <w:bookmarkStart w:id="403" w:name="_Toc371415943"/>
      <w:bookmarkStart w:id="404" w:name="_Toc144974523"/>
      <w:bookmarkStart w:id="405" w:name="_Toc333600709"/>
      <w:bookmarkStart w:id="406" w:name="_Toc455587242"/>
      <w:bookmarkStart w:id="407" w:name="_Toc333599685"/>
      <w:bookmarkStart w:id="408" w:name="_Toc152042331"/>
      <w:bookmarkStart w:id="409" w:name="_Toc342296188"/>
      <w:bookmarkStart w:id="410" w:name="_Toc445554715"/>
      <w:bookmarkStart w:id="411" w:name="_Toc466024524"/>
      <w:bookmarkStart w:id="412" w:name="_Toc342294740"/>
      <w:bookmarkStart w:id="413" w:name="_Toc342297645"/>
      <w:bookmarkStart w:id="414" w:name="_Toc179632573"/>
      <w:bookmarkStart w:id="415" w:name="_Toc338944631"/>
      <w:bookmarkStart w:id="416" w:name="_Toc455587058"/>
      <w:bookmarkStart w:id="417" w:name="_Toc152045555"/>
      <w:bookmarkStart w:id="418" w:name="_Toc338943726"/>
      <w:bookmarkStart w:id="419" w:name="_Toc458504842"/>
      <w:r>
        <w:rPr>
          <w:rStyle w:val="107"/>
          <w:rFonts w:hint="eastAsia" w:ascii="宋体" w:hAnsi="宋体" w:eastAsia="仿宋"/>
          <w:b/>
          <w:bCs/>
          <w:color w:val="000000"/>
          <w:sz w:val="24"/>
          <w:szCs w:val="24"/>
          <w:highlight w:val="none"/>
        </w:rPr>
        <w:t>4. 投标</w:t>
      </w:r>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p>
    <w:p w14:paraId="2B51CFCA">
      <w:pPr>
        <w:pStyle w:val="4"/>
        <w:adjustRightInd w:val="0"/>
        <w:ind w:firstLine="482" w:firstLineChars="200"/>
        <w:rPr>
          <w:rFonts w:eastAsia="仿宋"/>
          <w:color w:val="000000"/>
          <w:sz w:val="24"/>
          <w:highlight w:val="none"/>
          <w:lang w:eastAsia="zh-CN"/>
        </w:rPr>
      </w:pPr>
      <w:bookmarkStart w:id="420" w:name="_Toc144974524"/>
      <w:bookmarkStart w:id="421" w:name="_Toc338944632"/>
      <w:bookmarkStart w:id="422" w:name="_Toc333599686"/>
      <w:bookmarkStart w:id="423" w:name="_Toc455587059"/>
      <w:bookmarkStart w:id="424" w:name="_Toc445554716"/>
      <w:bookmarkStart w:id="425" w:name="_Toc458504843"/>
      <w:bookmarkStart w:id="426" w:name="_Toc342297646"/>
      <w:bookmarkStart w:id="427" w:name="_Toc342296189"/>
      <w:bookmarkStart w:id="428" w:name="_Toc179632574"/>
      <w:bookmarkStart w:id="429" w:name="_Toc371415944"/>
      <w:bookmarkStart w:id="430" w:name="_Toc338943727"/>
      <w:bookmarkStart w:id="431" w:name="_Toc152045556"/>
      <w:bookmarkStart w:id="432" w:name="_Toc152042332"/>
      <w:bookmarkStart w:id="433" w:name="_Toc455587243"/>
      <w:bookmarkStart w:id="434" w:name="_Toc333587880"/>
      <w:bookmarkStart w:id="435" w:name="_Toc466024525"/>
      <w:bookmarkStart w:id="436" w:name="_Toc333600710"/>
      <w:bookmarkStart w:id="437" w:name="_Toc342294741"/>
      <w:r>
        <w:rPr>
          <w:rFonts w:hint="eastAsia" w:eastAsia="仿宋"/>
          <w:color w:val="000000"/>
          <w:sz w:val="24"/>
          <w:highlight w:val="none"/>
          <w:lang w:eastAsia="zh-CN"/>
        </w:rPr>
        <w:t>4.1 投标文件的加密</w:t>
      </w:r>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p>
    <w:p w14:paraId="5ACC912F">
      <w:pPr>
        <w:widowControl/>
        <w:adjustRightInd w:val="0"/>
        <w:snapToGrid w:val="0"/>
        <w:spacing w:line="360" w:lineRule="auto"/>
        <w:ind w:firstLine="480" w:firstLineChars="200"/>
        <w:rPr>
          <w:rFonts w:ascii="宋体" w:hAnsi="宋体" w:eastAsia="仿宋"/>
          <w:color w:val="000000"/>
          <w:sz w:val="24"/>
          <w:highlight w:val="none"/>
        </w:rPr>
      </w:pPr>
      <w:r>
        <w:rPr>
          <w:rFonts w:ascii="宋体" w:hAnsi="宋体" w:eastAsia="仿宋"/>
          <w:color w:val="000000"/>
          <w:sz w:val="24"/>
          <w:highlight w:val="none"/>
        </w:rPr>
        <w:t>4.1.1</w:t>
      </w:r>
      <w:r>
        <w:rPr>
          <w:rFonts w:hint="eastAsia" w:ascii="宋体" w:hAnsi="宋体" w:eastAsia="仿宋"/>
          <w:color w:val="000000"/>
          <w:sz w:val="24"/>
          <w:highlight w:val="none"/>
        </w:rPr>
        <w:t xml:space="preserve"> </w:t>
      </w:r>
      <w:r>
        <w:rPr>
          <w:rFonts w:ascii="宋体" w:hAnsi="宋体" w:eastAsia="仿宋"/>
          <w:color w:val="000000"/>
          <w:sz w:val="24"/>
          <w:highlight w:val="none"/>
        </w:rPr>
        <w:t>投标人应当按照招标文件和电子交易平台的要求加密投标文件，具体要求见投标人须知前附表。</w:t>
      </w:r>
    </w:p>
    <w:p w14:paraId="47EADE43">
      <w:pPr>
        <w:widowControl/>
        <w:adjustRightInd w:val="0"/>
        <w:snapToGrid w:val="0"/>
        <w:spacing w:line="360" w:lineRule="auto"/>
        <w:ind w:firstLine="480" w:firstLineChars="200"/>
        <w:rPr>
          <w:rFonts w:hint="eastAsia" w:ascii="宋体" w:hAnsi="宋体" w:eastAsia="仿宋"/>
          <w:color w:val="000000"/>
          <w:sz w:val="24"/>
          <w:highlight w:val="none"/>
        </w:rPr>
      </w:pPr>
      <w:r>
        <w:rPr>
          <w:rFonts w:hint="eastAsia" w:ascii="宋体" w:hAnsi="宋体" w:eastAsia="仿宋"/>
          <w:color w:val="000000"/>
          <w:sz w:val="24"/>
          <w:highlight w:val="none"/>
        </w:rPr>
        <w:t>4.1.2 未按照上述要求加密的投标文件，电子交易平台将予以拒收。</w:t>
      </w:r>
    </w:p>
    <w:p w14:paraId="14C26010">
      <w:pPr>
        <w:pStyle w:val="4"/>
        <w:adjustRightInd w:val="0"/>
        <w:ind w:firstLine="482" w:firstLineChars="200"/>
        <w:rPr>
          <w:rFonts w:eastAsia="仿宋"/>
          <w:color w:val="000000"/>
          <w:sz w:val="24"/>
          <w:highlight w:val="none"/>
          <w:lang w:eastAsia="zh-CN"/>
        </w:rPr>
      </w:pPr>
      <w:bookmarkStart w:id="438" w:name="_Toc458504844"/>
      <w:bookmarkStart w:id="439" w:name="_Toc455587244"/>
      <w:bookmarkStart w:id="440" w:name="_Toc466024526"/>
      <w:bookmarkStart w:id="441" w:name="_Toc455587060"/>
      <w:bookmarkStart w:id="442" w:name="_Toc445554717"/>
      <w:bookmarkStart w:id="443" w:name="_Toc371415945"/>
      <w:r>
        <w:rPr>
          <w:rFonts w:hint="eastAsia" w:eastAsia="仿宋"/>
          <w:color w:val="000000"/>
          <w:sz w:val="24"/>
          <w:highlight w:val="none"/>
          <w:lang w:eastAsia="zh-CN"/>
        </w:rPr>
        <w:t>4.2 投标文件的递交</w:t>
      </w:r>
      <w:bookmarkEnd w:id="438"/>
      <w:bookmarkEnd w:id="439"/>
      <w:bookmarkEnd w:id="440"/>
      <w:bookmarkEnd w:id="441"/>
      <w:bookmarkEnd w:id="442"/>
      <w:bookmarkEnd w:id="443"/>
    </w:p>
    <w:p w14:paraId="0B282B4E">
      <w:pPr>
        <w:widowControl/>
        <w:adjustRightInd w:val="0"/>
        <w:snapToGrid w:val="0"/>
        <w:spacing w:line="360" w:lineRule="auto"/>
        <w:ind w:firstLine="480" w:firstLineChars="200"/>
        <w:rPr>
          <w:rFonts w:hint="eastAsia" w:eastAsia="仿宋"/>
          <w:color w:val="000000"/>
          <w:sz w:val="24"/>
          <w:highlight w:val="none"/>
        </w:rPr>
      </w:pPr>
      <w:r>
        <w:rPr>
          <w:rFonts w:hint="eastAsia" w:ascii="宋体" w:hAnsi="宋体" w:eastAsia="仿宋"/>
          <w:color w:val="000000"/>
          <w:sz w:val="24"/>
          <w:highlight w:val="none"/>
        </w:rPr>
        <w:t xml:space="preserve">4.2.1 </w:t>
      </w:r>
      <w:r>
        <w:rPr>
          <w:rFonts w:eastAsia="仿宋"/>
          <w:color w:val="000000"/>
          <w:sz w:val="24"/>
          <w:highlight w:val="none"/>
        </w:rPr>
        <w:t>投标人应在</w:t>
      </w:r>
      <w:r>
        <w:rPr>
          <w:rFonts w:hint="eastAsia" w:eastAsia="仿宋"/>
          <w:color w:val="000000"/>
          <w:sz w:val="24"/>
          <w:highlight w:val="none"/>
        </w:rPr>
        <w:t>招标公告规定的</w:t>
      </w:r>
      <w:r>
        <w:rPr>
          <w:rFonts w:eastAsia="仿宋"/>
          <w:color w:val="000000"/>
          <w:sz w:val="24"/>
          <w:highlight w:val="none"/>
        </w:rPr>
        <w:t>投标截止时间前递交投标文件。</w:t>
      </w:r>
    </w:p>
    <w:p w14:paraId="23E382E7">
      <w:pPr>
        <w:widowControl/>
        <w:adjustRightInd w:val="0"/>
        <w:snapToGrid w:val="0"/>
        <w:spacing w:line="360" w:lineRule="auto"/>
        <w:ind w:firstLine="480" w:firstLineChars="200"/>
        <w:rPr>
          <w:rFonts w:eastAsia="仿宋"/>
          <w:color w:val="000000"/>
          <w:sz w:val="24"/>
          <w:highlight w:val="none"/>
        </w:rPr>
      </w:pPr>
      <w:r>
        <w:rPr>
          <w:rFonts w:hint="eastAsia" w:ascii="宋体" w:hAnsi="宋体" w:eastAsia="仿宋"/>
          <w:color w:val="000000"/>
          <w:sz w:val="24"/>
          <w:highlight w:val="none"/>
        </w:rPr>
        <w:t>4.2.2</w:t>
      </w:r>
      <w:r>
        <w:rPr>
          <w:rFonts w:hint="eastAsia" w:eastAsia="仿宋"/>
          <w:color w:val="000000"/>
          <w:sz w:val="24"/>
          <w:highlight w:val="none"/>
        </w:rPr>
        <w:t xml:space="preserve"> 投标人应当通过电子交易平台递交投标文件。投标人应充分考虑上传文件时的不可预见因素，未在投标截止时间前完成上传的，视为逾期送达，采购人（</w:t>
      </w:r>
      <w:r>
        <w:rPr>
          <w:rFonts w:eastAsia="仿宋"/>
          <w:color w:val="000000"/>
          <w:sz w:val="24"/>
          <w:highlight w:val="none"/>
        </w:rPr>
        <w:t>“</w:t>
      </w:r>
      <w:r>
        <w:rPr>
          <w:rFonts w:hint="eastAsia" w:eastAsia="仿宋"/>
          <w:color w:val="000000"/>
          <w:sz w:val="24"/>
          <w:highlight w:val="none"/>
        </w:rPr>
        <w:t>电子交易平台</w:t>
      </w:r>
      <w:r>
        <w:rPr>
          <w:rFonts w:eastAsia="仿宋"/>
          <w:color w:val="000000"/>
          <w:sz w:val="24"/>
          <w:highlight w:val="none"/>
        </w:rPr>
        <w:t>”</w:t>
      </w:r>
      <w:r>
        <w:rPr>
          <w:rFonts w:hint="eastAsia" w:eastAsia="仿宋"/>
          <w:color w:val="000000"/>
          <w:sz w:val="24"/>
          <w:highlight w:val="none"/>
        </w:rPr>
        <w:t>）将拒绝接收。详见投标人须知前附表规定。</w:t>
      </w:r>
    </w:p>
    <w:p w14:paraId="55809942">
      <w:pPr>
        <w:widowControl/>
        <w:adjustRightInd w:val="0"/>
        <w:snapToGrid w:val="0"/>
        <w:spacing w:line="360" w:lineRule="auto"/>
        <w:ind w:firstLine="480" w:firstLineChars="200"/>
        <w:rPr>
          <w:rFonts w:eastAsia="仿宋"/>
          <w:color w:val="000000"/>
          <w:sz w:val="24"/>
          <w:highlight w:val="none"/>
        </w:rPr>
      </w:pPr>
      <w:r>
        <w:rPr>
          <w:rFonts w:hint="eastAsia" w:ascii="宋体" w:hAnsi="宋体" w:eastAsia="仿宋"/>
          <w:color w:val="000000"/>
          <w:sz w:val="24"/>
          <w:highlight w:val="none"/>
        </w:rPr>
        <w:t>4.2.3</w:t>
      </w:r>
      <w:r>
        <w:rPr>
          <w:rFonts w:hint="eastAsia" w:eastAsia="仿宋"/>
          <w:color w:val="000000"/>
          <w:sz w:val="24"/>
          <w:highlight w:val="none"/>
        </w:rPr>
        <w:t xml:space="preserve"> 除投标人须知前附表另有规定外，投标人所递交的投标文件不予退还。</w:t>
      </w:r>
    </w:p>
    <w:p w14:paraId="1981E08A">
      <w:pPr>
        <w:pStyle w:val="4"/>
        <w:adjustRightInd w:val="0"/>
        <w:ind w:firstLine="482" w:firstLineChars="200"/>
        <w:rPr>
          <w:rFonts w:eastAsia="仿宋"/>
          <w:color w:val="000000"/>
          <w:sz w:val="24"/>
          <w:highlight w:val="none"/>
          <w:lang w:eastAsia="zh-CN"/>
        </w:rPr>
      </w:pPr>
      <w:bookmarkStart w:id="444" w:name="_Toc338944634"/>
      <w:bookmarkStart w:id="445" w:name="_Toc458504845"/>
      <w:bookmarkStart w:id="446" w:name="_Toc179632576"/>
      <w:bookmarkStart w:id="447" w:name="_Toc152042334"/>
      <w:bookmarkStart w:id="448" w:name="_Toc342297648"/>
      <w:bookmarkStart w:id="449" w:name="_Toc371415946"/>
      <w:bookmarkStart w:id="450" w:name="_Toc333587882"/>
      <w:bookmarkStart w:id="451" w:name="_Toc333600712"/>
      <w:bookmarkStart w:id="452" w:name="_Toc455587245"/>
      <w:bookmarkStart w:id="453" w:name="_Toc455587061"/>
      <w:bookmarkStart w:id="454" w:name="_Toc338943729"/>
      <w:bookmarkStart w:id="455" w:name="_Toc445554718"/>
      <w:bookmarkStart w:id="456" w:name="_Toc152045558"/>
      <w:bookmarkStart w:id="457" w:name="_Toc144974526"/>
      <w:bookmarkStart w:id="458" w:name="_Toc342296191"/>
      <w:bookmarkStart w:id="459" w:name="_Toc333599688"/>
      <w:bookmarkStart w:id="460" w:name="_Toc466024527"/>
      <w:bookmarkStart w:id="461" w:name="_Toc342294743"/>
      <w:r>
        <w:rPr>
          <w:rFonts w:hint="eastAsia" w:eastAsia="仿宋"/>
          <w:color w:val="000000"/>
          <w:sz w:val="24"/>
          <w:highlight w:val="none"/>
          <w:lang w:eastAsia="zh-CN"/>
        </w:rPr>
        <w:t>4.3 投标文件的修改与撤回</w:t>
      </w:r>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p>
    <w:p w14:paraId="5B06BAB5">
      <w:pPr>
        <w:widowControl/>
        <w:adjustRightInd w:val="0"/>
        <w:snapToGrid w:val="0"/>
        <w:spacing w:line="360" w:lineRule="auto"/>
        <w:ind w:firstLine="480" w:firstLineChars="200"/>
        <w:rPr>
          <w:rFonts w:ascii="宋体" w:hAnsi="宋体" w:eastAsia="仿宋"/>
          <w:color w:val="000000"/>
          <w:sz w:val="24"/>
          <w:highlight w:val="none"/>
        </w:rPr>
      </w:pPr>
      <w:r>
        <w:rPr>
          <w:rFonts w:hint="eastAsia" w:ascii="宋体" w:hAnsi="宋体" w:eastAsia="仿宋"/>
          <w:color w:val="000000"/>
          <w:sz w:val="24"/>
          <w:highlight w:val="none"/>
        </w:rPr>
        <w:t>4.3</w:t>
      </w:r>
      <w:r>
        <w:rPr>
          <w:rFonts w:ascii="宋体" w:hAnsi="宋体" w:eastAsia="仿宋"/>
          <w:color w:val="000000"/>
          <w:sz w:val="24"/>
          <w:highlight w:val="none"/>
        </w:rPr>
        <w:t>.1</w:t>
      </w:r>
      <w:r>
        <w:rPr>
          <w:rFonts w:hint="eastAsia" w:ascii="宋体" w:hAnsi="宋体" w:eastAsia="仿宋"/>
          <w:color w:val="000000"/>
          <w:sz w:val="24"/>
          <w:highlight w:val="none"/>
        </w:rPr>
        <w:t xml:space="preserve"> 在规定的投标截止时间前，投标人可以补充、修改或撤回已递交的投标文件，但应以书面形式通知采购人。</w:t>
      </w:r>
    </w:p>
    <w:p w14:paraId="2A955EEE">
      <w:pPr>
        <w:widowControl/>
        <w:adjustRightInd w:val="0"/>
        <w:snapToGrid w:val="0"/>
        <w:spacing w:line="360" w:lineRule="auto"/>
        <w:ind w:firstLine="480" w:firstLineChars="200"/>
        <w:rPr>
          <w:rFonts w:hint="eastAsia" w:ascii="宋体" w:hAnsi="宋体" w:eastAsia="仿宋"/>
          <w:color w:val="000000"/>
          <w:sz w:val="24"/>
          <w:highlight w:val="none"/>
        </w:rPr>
      </w:pPr>
      <w:r>
        <w:rPr>
          <w:rFonts w:hint="eastAsia" w:ascii="宋体" w:hAnsi="宋体" w:eastAsia="仿宋"/>
          <w:color w:val="000000"/>
          <w:sz w:val="24"/>
          <w:highlight w:val="none"/>
        </w:rPr>
        <w:t>4.3.2 投标人修改或撤回已递交投标文件的通知，应按照本章第3.7.4项的要求加盖电子印章。电子交易平台收到通知后，即时向投标人发出确认回执通知。</w:t>
      </w:r>
    </w:p>
    <w:p w14:paraId="42CB884F">
      <w:pPr>
        <w:widowControl/>
        <w:adjustRightInd w:val="0"/>
        <w:snapToGrid w:val="0"/>
        <w:spacing w:line="360" w:lineRule="auto"/>
        <w:ind w:firstLine="480" w:firstLineChars="200"/>
        <w:rPr>
          <w:rFonts w:hint="eastAsia" w:ascii="宋体" w:hAnsi="宋体" w:eastAsia="仿宋"/>
          <w:color w:val="000000"/>
          <w:sz w:val="24"/>
          <w:highlight w:val="none"/>
        </w:rPr>
      </w:pPr>
      <w:r>
        <w:rPr>
          <w:rFonts w:hint="eastAsia" w:ascii="宋体" w:hAnsi="宋体" w:eastAsia="仿宋"/>
          <w:color w:val="000000"/>
          <w:sz w:val="24"/>
          <w:highlight w:val="none"/>
        </w:rPr>
        <w:t>4.3.3 投标人撤回投标文件的，</w:t>
      </w:r>
      <w:r>
        <w:rPr>
          <w:rFonts w:hint="eastAsia" w:eastAsia="仿宋"/>
          <w:color w:val="000000"/>
          <w:sz w:val="24"/>
          <w:highlight w:val="none"/>
        </w:rPr>
        <w:t>采购</w:t>
      </w:r>
      <w:r>
        <w:rPr>
          <w:rFonts w:hint="eastAsia" w:ascii="宋体" w:hAnsi="宋体" w:eastAsia="仿宋"/>
          <w:color w:val="000000"/>
          <w:sz w:val="24"/>
          <w:highlight w:val="none"/>
        </w:rPr>
        <w:t>人自收到投标人书面撤回通知之日起5日内退还已收取的投标保证金。</w:t>
      </w:r>
    </w:p>
    <w:p w14:paraId="4A07EC7A">
      <w:pPr>
        <w:widowControl/>
        <w:adjustRightInd w:val="0"/>
        <w:snapToGrid w:val="0"/>
        <w:spacing w:line="360" w:lineRule="auto"/>
        <w:ind w:firstLine="480" w:firstLineChars="200"/>
        <w:rPr>
          <w:rFonts w:hint="eastAsia" w:ascii="宋体" w:hAnsi="宋体" w:eastAsia="仿宋"/>
          <w:color w:val="000000"/>
          <w:sz w:val="24"/>
          <w:highlight w:val="none"/>
        </w:rPr>
      </w:pPr>
      <w:r>
        <w:rPr>
          <w:rFonts w:hint="eastAsia" w:ascii="宋体" w:hAnsi="宋体" w:eastAsia="仿宋"/>
          <w:color w:val="000000"/>
          <w:sz w:val="24"/>
          <w:highlight w:val="none"/>
        </w:rPr>
        <w:t>4.3.4 补充、修改的内容为投标文件的组成部分，只需提供一份。补充、修改的投标文件应按照本章第3条、第4条的规定进行编制、加密、标记和递交，并标明“补充”或“修改”字样。</w:t>
      </w:r>
    </w:p>
    <w:p w14:paraId="05441558">
      <w:pPr>
        <w:pStyle w:val="3"/>
        <w:rPr>
          <w:rStyle w:val="107"/>
          <w:rFonts w:hint="eastAsia" w:ascii="宋体" w:hAnsi="宋体" w:eastAsia="仿宋"/>
          <w:b/>
          <w:bCs/>
          <w:color w:val="000000"/>
          <w:sz w:val="24"/>
          <w:szCs w:val="24"/>
          <w:highlight w:val="none"/>
        </w:rPr>
      </w:pPr>
      <w:bookmarkStart w:id="462" w:name="_Toc179632577"/>
      <w:bookmarkStart w:id="463" w:name="_Toc455587062"/>
      <w:bookmarkStart w:id="464" w:name="_Toc342294744"/>
      <w:bookmarkStart w:id="465" w:name="_Toc371415947"/>
      <w:bookmarkStart w:id="466" w:name="_Toc466024528"/>
      <w:bookmarkStart w:id="467" w:name="_Toc338943730"/>
      <w:bookmarkStart w:id="468" w:name="_Toc338944635"/>
      <w:bookmarkStart w:id="469" w:name="_Toc152045559"/>
      <w:bookmarkStart w:id="470" w:name="_Toc455587246"/>
      <w:bookmarkStart w:id="471" w:name="_Toc342296192"/>
      <w:bookmarkStart w:id="472" w:name="_Toc458504846"/>
      <w:bookmarkStart w:id="473" w:name="_Toc342297649"/>
      <w:bookmarkStart w:id="474" w:name="_Toc152042335"/>
      <w:bookmarkStart w:id="475" w:name="_Toc144974527"/>
      <w:bookmarkStart w:id="476" w:name="_Toc445554719"/>
      <w:bookmarkStart w:id="477" w:name="_Toc333600713"/>
      <w:bookmarkStart w:id="478" w:name="_Toc333599689"/>
      <w:r>
        <w:rPr>
          <w:rStyle w:val="107"/>
          <w:rFonts w:hint="eastAsia" w:ascii="宋体" w:hAnsi="宋体" w:eastAsia="仿宋"/>
          <w:b/>
          <w:bCs/>
          <w:color w:val="000000"/>
          <w:sz w:val="24"/>
          <w:szCs w:val="24"/>
          <w:highlight w:val="none"/>
        </w:rPr>
        <w:t>5. 开标</w:t>
      </w:r>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p>
    <w:p w14:paraId="4F4F57C0">
      <w:pPr>
        <w:pStyle w:val="4"/>
        <w:adjustRightInd w:val="0"/>
        <w:ind w:firstLine="482" w:firstLineChars="200"/>
        <w:rPr>
          <w:rFonts w:eastAsia="仿宋"/>
          <w:color w:val="000000"/>
          <w:sz w:val="24"/>
          <w:highlight w:val="none"/>
          <w:lang w:eastAsia="zh-CN"/>
        </w:rPr>
      </w:pPr>
      <w:bookmarkStart w:id="479" w:name="_Toc458504847"/>
      <w:bookmarkStart w:id="480" w:name="_Toc455587063"/>
      <w:bookmarkStart w:id="481" w:name="_Toc371415948"/>
      <w:bookmarkStart w:id="482" w:name="_Toc455587247"/>
      <w:bookmarkStart w:id="483" w:name="_Toc333599690"/>
      <w:bookmarkStart w:id="484" w:name="_Toc466024529"/>
      <w:bookmarkStart w:id="485" w:name="_Toc333600714"/>
      <w:bookmarkStart w:id="486" w:name="_Toc342296193"/>
      <w:bookmarkStart w:id="487" w:name="_Toc445554720"/>
      <w:bookmarkStart w:id="488" w:name="_Toc342294745"/>
      <w:bookmarkStart w:id="489" w:name="_Toc342297650"/>
      <w:bookmarkStart w:id="490" w:name="_Toc333587884"/>
      <w:bookmarkStart w:id="491" w:name="_Toc338944636"/>
      <w:bookmarkStart w:id="492" w:name="_Toc152042336"/>
      <w:bookmarkStart w:id="493" w:name="_Toc338943731"/>
      <w:bookmarkStart w:id="494" w:name="_Toc144974528"/>
      <w:bookmarkStart w:id="495" w:name="_Toc179632578"/>
      <w:bookmarkStart w:id="496" w:name="_Toc152045560"/>
      <w:r>
        <w:rPr>
          <w:rFonts w:hint="eastAsia" w:eastAsia="仿宋"/>
          <w:color w:val="000000"/>
          <w:sz w:val="24"/>
          <w:highlight w:val="none"/>
          <w:lang w:eastAsia="zh-CN"/>
        </w:rPr>
        <w:t xml:space="preserve">5.1 </w:t>
      </w:r>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r>
        <w:rPr>
          <w:rFonts w:hint="eastAsia" w:eastAsia="仿宋"/>
          <w:color w:val="000000"/>
          <w:sz w:val="24"/>
          <w:highlight w:val="none"/>
          <w:lang w:eastAsia="zh-CN"/>
        </w:rPr>
        <w:t>开标时间和地点</w:t>
      </w:r>
    </w:p>
    <w:p w14:paraId="7B7C429D">
      <w:pPr>
        <w:widowControl/>
        <w:adjustRightInd w:val="0"/>
        <w:snapToGrid w:val="0"/>
        <w:spacing w:line="360" w:lineRule="auto"/>
        <w:ind w:firstLine="480" w:firstLineChars="200"/>
        <w:rPr>
          <w:rFonts w:eastAsia="仿宋"/>
          <w:color w:val="000000"/>
          <w:sz w:val="24"/>
          <w:highlight w:val="none"/>
        </w:rPr>
      </w:pPr>
      <w:r>
        <w:rPr>
          <w:rFonts w:hint="eastAsia" w:eastAsia="仿宋"/>
          <w:color w:val="000000"/>
          <w:sz w:val="24"/>
          <w:highlight w:val="none"/>
        </w:rPr>
        <w:t>采购</w:t>
      </w:r>
      <w:r>
        <w:rPr>
          <w:rFonts w:eastAsia="仿宋"/>
          <w:color w:val="000000"/>
          <w:sz w:val="24"/>
          <w:highlight w:val="none"/>
        </w:rPr>
        <w:t>人在</w:t>
      </w:r>
      <w:r>
        <w:rPr>
          <w:rFonts w:hint="eastAsia" w:eastAsia="仿宋"/>
          <w:color w:val="000000"/>
          <w:sz w:val="24"/>
          <w:highlight w:val="none"/>
        </w:rPr>
        <w:t>招标公告规定的</w:t>
      </w:r>
      <w:r>
        <w:rPr>
          <w:rFonts w:eastAsia="仿宋"/>
          <w:color w:val="000000"/>
          <w:sz w:val="24"/>
          <w:highlight w:val="none"/>
        </w:rPr>
        <w:t>开标时间</w:t>
      </w:r>
      <w:r>
        <w:rPr>
          <w:rFonts w:hint="eastAsia" w:eastAsia="仿宋"/>
          <w:color w:val="000000"/>
          <w:sz w:val="24"/>
          <w:highlight w:val="none"/>
        </w:rPr>
        <w:t>和开标地点，</w:t>
      </w:r>
      <w:r>
        <w:rPr>
          <w:rFonts w:eastAsia="仿宋"/>
          <w:color w:val="000000"/>
          <w:sz w:val="24"/>
          <w:highlight w:val="none"/>
        </w:rPr>
        <w:t>通过电子招标投标交易平台公开开标，所有投标人</w:t>
      </w:r>
      <w:r>
        <w:rPr>
          <w:rFonts w:hint="eastAsia" w:eastAsia="仿宋"/>
          <w:color w:val="000000"/>
          <w:sz w:val="24"/>
          <w:highlight w:val="none"/>
        </w:rPr>
        <w:t>可以</w:t>
      </w:r>
      <w:r>
        <w:rPr>
          <w:rFonts w:hint="eastAsia" w:ascii="楷体" w:hAnsi="楷体" w:eastAsia="仿宋" w:cs="Calibri"/>
          <w:color w:val="000000"/>
          <w:sz w:val="24"/>
          <w:highlight w:val="none"/>
        </w:rPr>
        <w:t>采用网上远程方式</w:t>
      </w:r>
      <w:r>
        <w:rPr>
          <w:rFonts w:hint="eastAsia" w:eastAsia="仿宋"/>
          <w:color w:val="000000"/>
          <w:sz w:val="24"/>
          <w:highlight w:val="none"/>
        </w:rPr>
        <w:t>参与开标，无须现场参加开标</w:t>
      </w:r>
      <w:r>
        <w:rPr>
          <w:rFonts w:eastAsia="仿宋"/>
          <w:color w:val="000000"/>
          <w:sz w:val="24"/>
          <w:highlight w:val="none"/>
        </w:rPr>
        <w:t>。</w:t>
      </w:r>
    </w:p>
    <w:p w14:paraId="77F09AEF">
      <w:pPr>
        <w:pStyle w:val="4"/>
        <w:adjustRightInd w:val="0"/>
        <w:ind w:firstLine="482" w:firstLineChars="200"/>
        <w:rPr>
          <w:rFonts w:hint="eastAsia" w:eastAsia="仿宋"/>
          <w:color w:val="000000"/>
          <w:sz w:val="24"/>
          <w:highlight w:val="none"/>
          <w:lang w:eastAsia="zh-CN"/>
        </w:rPr>
      </w:pPr>
      <w:r>
        <w:rPr>
          <w:rFonts w:hint="eastAsia" w:eastAsia="仿宋"/>
          <w:color w:val="000000"/>
          <w:sz w:val="24"/>
          <w:highlight w:val="none"/>
          <w:lang w:eastAsia="zh-CN"/>
        </w:rPr>
        <w:t>5.2 开标程序</w:t>
      </w:r>
    </w:p>
    <w:p w14:paraId="4FDCC219">
      <w:pPr>
        <w:widowControl/>
        <w:adjustRightInd w:val="0"/>
        <w:snapToGrid w:val="0"/>
        <w:spacing w:line="360" w:lineRule="auto"/>
        <w:ind w:firstLine="480" w:firstLineChars="200"/>
        <w:rPr>
          <w:rFonts w:ascii="宋体" w:hAnsi="宋体" w:eastAsia="仿宋"/>
          <w:color w:val="000000"/>
          <w:sz w:val="24"/>
          <w:highlight w:val="none"/>
        </w:rPr>
      </w:pPr>
      <w:r>
        <w:rPr>
          <w:rFonts w:hint="eastAsia" w:ascii="宋体" w:hAnsi="宋体" w:eastAsia="仿宋"/>
          <w:color w:val="000000"/>
          <w:sz w:val="24"/>
          <w:highlight w:val="none"/>
        </w:rPr>
        <w:t>按下列程序进行开标：</w:t>
      </w:r>
    </w:p>
    <w:p w14:paraId="3E701A39">
      <w:pPr>
        <w:widowControl/>
        <w:adjustRightInd w:val="0"/>
        <w:snapToGrid w:val="0"/>
        <w:spacing w:line="360" w:lineRule="auto"/>
        <w:ind w:firstLine="480" w:firstLineChars="200"/>
        <w:rPr>
          <w:rFonts w:hint="eastAsia" w:ascii="宋体" w:hAnsi="宋体" w:eastAsia="仿宋"/>
          <w:color w:val="000000"/>
          <w:sz w:val="24"/>
          <w:highlight w:val="none"/>
        </w:rPr>
      </w:pPr>
      <w:r>
        <w:rPr>
          <w:rFonts w:hint="eastAsia" w:ascii="宋体" w:hAnsi="宋体" w:eastAsia="仿宋"/>
          <w:color w:val="000000"/>
          <w:sz w:val="24"/>
          <w:highlight w:val="none"/>
        </w:rPr>
        <w:t>（1）播放开标纪律；</w:t>
      </w:r>
    </w:p>
    <w:p w14:paraId="76BF941B">
      <w:pPr>
        <w:widowControl/>
        <w:adjustRightInd w:val="0"/>
        <w:snapToGrid w:val="0"/>
        <w:spacing w:line="360" w:lineRule="auto"/>
        <w:ind w:firstLine="480" w:firstLineChars="200"/>
        <w:rPr>
          <w:rFonts w:hint="eastAsia" w:ascii="宋体" w:hAnsi="宋体" w:eastAsia="仿宋"/>
          <w:color w:val="000000"/>
          <w:sz w:val="24"/>
          <w:highlight w:val="none"/>
        </w:rPr>
      </w:pPr>
      <w:r>
        <w:rPr>
          <w:rFonts w:hint="eastAsia" w:ascii="宋体" w:hAnsi="宋体" w:eastAsia="仿宋"/>
          <w:color w:val="000000"/>
          <w:sz w:val="24"/>
          <w:highlight w:val="none"/>
        </w:rPr>
        <w:t>（2）公布在投标截止时间前递交投标文件的投标人名称；</w:t>
      </w:r>
    </w:p>
    <w:p w14:paraId="1A2E6F5B">
      <w:pPr>
        <w:widowControl/>
        <w:adjustRightInd w:val="0"/>
        <w:snapToGrid w:val="0"/>
        <w:spacing w:line="360" w:lineRule="auto"/>
        <w:ind w:firstLine="480" w:firstLineChars="200"/>
        <w:rPr>
          <w:rFonts w:hint="eastAsia" w:ascii="宋体" w:hAnsi="宋体" w:eastAsia="仿宋"/>
          <w:color w:val="000000"/>
          <w:sz w:val="24"/>
          <w:highlight w:val="none"/>
        </w:rPr>
      </w:pPr>
      <w:r>
        <w:rPr>
          <w:rFonts w:hint="eastAsia" w:ascii="宋体" w:hAnsi="宋体" w:eastAsia="仿宋"/>
          <w:color w:val="000000"/>
          <w:sz w:val="24"/>
          <w:highlight w:val="none"/>
        </w:rPr>
        <w:t>（3）按投标人须知前附表规定通过电子招标投标交易平台对已递交的电子投标文件进行解密；</w:t>
      </w:r>
    </w:p>
    <w:p w14:paraId="1055A5AC">
      <w:pPr>
        <w:widowControl/>
        <w:adjustRightInd w:val="0"/>
        <w:snapToGrid w:val="0"/>
        <w:spacing w:line="360" w:lineRule="auto"/>
        <w:ind w:firstLine="480" w:firstLineChars="200"/>
        <w:rPr>
          <w:rFonts w:hint="eastAsia" w:ascii="宋体" w:hAnsi="宋体" w:eastAsia="仿宋"/>
          <w:color w:val="000000"/>
          <w:sz w:val="24"/>
          <w:highlight w:val="none"/>
        </w:rPr>
      </w:pPr>
      <w:r>
        <w:rPr>
          <w:rFonts w:hint="eastAsia" w:ascii="宋体" w:hAnsi="宋体" w:eastAsia="仿宋"/>
          <w:color w:val="000000"/>
          <w:sz w:val="24"/>
          <w:highlight w:val="none"/>
        </w:rPr>
        <w:t>（4）唱标，公布招标项目名称、投标人名称、投标报价及其他内容；</w:t>
      </w:r>
    </w:p>
    <w:p w14:paraId="6E41787F">
      <w:pPr>
        <w:widowControl/>
        <w:adjustRightInd w:val="0"/>
        <w:snapToGrid w:val="0"/>
        <w:spacing w:line="360" w:lineRule="auto"/>
        <w:ind w:firstLine="480" w:firstLineChars="200"/>
        <w:rPr>
          <w:rFonts w:hint="eastAsia" w:ascii="宋体" w:hAnsi="宋体" w:eastAsia="仿宋"/>
          <w:color w:val="000000"/>
          <w:sz w:val="24"/>
          <w:highlight w:val="none"/>
        </w:rPr>
      </w:pPr>
      <w:r>
        <w:rPr>
          <w:rFonts w:hint="eastAsia" w:ascii="宋体" w:hAnsi="宋体" w:eastAsia="仿宋"/>
          <w:color w:val="000000"/>
          <w:sz w:val="24"/>
          <w:highlight w:val="none"/>
        </w:rPr>
        <w:t>（5）开标结束。</w:t>
      </w:r>
    </w:p>
    <w:p w14:paraId="2F2B7864">
      <w:pPr>
        <w:pStyle w:val="4"/>
        <w:adjustRightInd w:val="0"/>
        <w:ind w:firstLine="482" w:firstLineChars="200"/>
        <w:rPr>
          <w:rFonts w:hint="eastAsia" w:eastAsia="仿宋"/>
          <w:color w:val="000000"/>
          <w:sz w:val="24"/>
          <w:highlight w:val="none"/>
          <w:lang w:eastAsia="zh-CN"/>
        </w:rPr>
      </w:pPr>
      <w:r>
        <w:rPr>
          <w:rFonts w:hint="eastAsia" w:eastAsia="仿宋"/>
          <w:color w:val="000000"/>
          <w:sz w:val="24"/>
          <w:highlight w:val="none"/>
          <w:lang w:eastAsia="zh-CN"/>
        </w:rPr>
        <w:t>5.3 开标疑义</w:t>
      </w:r>
    </w:p>
    <w:p w14:paraId="05637189">
      <w:pPr>
        <w:widowControl/>
        <w:adjustRightInd w:val="0"/>
        <w:snapToGrid w:val="0"/>
        <w:spacing w:line="360" w:lineRule="auto"/>
        <w:ind w:firstLine="480" w:firstLineChars="200"/>
        <w:rPr>
          <w:rFonts w:hint="eastAsia" w:ascii="宋体" w:hAnsi="宋体" w:eastAsia="仿宋"/>
          <w:color w:val="000000"/>
          <w:sz w:val="24"/>
          <w:highlight w:val="none"/>
        </w:rPr>
      </w:pPr>
      <w:r>
        <w:rPr>
          <w:rFonts w:hint="eastAsia" w:ascii="宋体" w:hAnsi="宋体" w:eastAsia="仿宋"/>
          <w:color w:val="000000"/>
          <w:sz w:val="24"/>
          <w:highlight w:val="none"/>
        </w:rPr>
        <w:t>投标人代表对开标过程和开标记录有疑义，以及认为采购人、采购代理机构相关工作人员有需要回避的情形的，应当场提出询问或者回避申请。采购人、采购代理机构对投标人代表提出的询问或者回避申请应当及时处理。</w:t>
      </w:r>
    </w:p>
    <w:p w14:paraId="201298B0">
      <w:pPr>
        <w:widowControl/>
        <w:adjustRightInd w:val="0"/>
        <w:snapToGrid w:val="0"/>
        <w:spacing w:line="360" w:lineRule="auto"/>
        <w:ind w:firstLine="480" w:firstLineChars="200"/>
        <w:rPr>
          <w:rFonts w:ascii="宋体" w:hAnsi="宋体" w:eastAsia="仿宋"/>
          <w:color w:val="000000"/>
          <w:sz w:val="24"/>
          <w:highlight w:val="none"/>
        </w:rPr>
      </w:pPr>
      <w:r>
        <w:rPr>
          <w:rFonts w:hint="eastAsia" w:ascii="宋体" w:hAnsi="宋体" w:eastAsia="仿宋"/>
          <w:color w:val="000000"/>
          <w:sz w:val="24"/>
          <w:highlight w:val="none"/>
        </w:rPr>
        <w:t>投标人未参加开标的，视同认可开标结果。</w:t>
      </w:r>
    </w:p>
    <w:p w14:paraId="6E454644">
      <w:pPr>
        <w:pStyle w:val="3"/>
        <w:rPr>
          <w:rStyle w:val="107"/>
          <w:rFonts w:hint="eastAsia" w:ascii="宋体" w:hAnsi="宋体" w:eastAsia="仿宋"/>
          <w:b/>
          <w:bCs/>
          <w:color w:val="000000"/>
          <w:sz w:val="24"/>
          <w:szCs w:val="24"/>
          <w:highlight w:val="none"/>
        </w:rPr>
      </w:pPr>
      <w:bookmarkStart w:id="497" w:name="_Toc338944638"/>
      <w:bookmarkStart w:id="498" w:name="_Toc338943733"/>
      <w:bookmarkStart w:id="499" w:name="_Toc466024531"/>
      <w:bookmarkStart w:id="500" w:name="_Toc179632580"/>
      <w:bookmarkStart w:id="501" w:name="_Toc371415950"/>
      <w:bookmarkStart w:id="502" w:name="_Toc342296195"/>
      <w:bookmarkStart w:id="503" w:name="_Toc455587066"/>
      <w:bookmarkStart w:id="504" w:name="_Toc144974530"/>
      <w:bookmarkStart w:id="505" w:name="_Toc445554723"/>
      <w:bookmarkStart w:id="506" w:name="_Toc342297652"/>
      <w:bookmarkStart w:id="507" w:name="_Toc333599692"/>
      <w:bookmarkStart w:id="508" w:name="_Toc458504849"/>
      <w:bookmarkStart w:id="509" w:name="_Toc342294747"/>
      <w:bookmarkStart w:id="510" w:name="_Toc333600716"/>
      <w:bookmarkStart w:id="511" w:name="_Toc152045562"/>
      <w:bookmarkStart w:id="512" w:name="_Toc152042338"/>
      <w:bookmarkStart w:id="513" w:name="_Toc455587250"/>
      <w:r>
        <w:rPr>
          <w:rStyle w:val="107"/>
          <w:rFonts w:hint="eastAsia" w:ascii="宋体" w:hAnsi="宋体" w:eastAsia="仿宋"/>
          <w:b/>
          <w:bCs/>
          <w:color w:val="000000"/>
          <w:sz w:val="24"/>
          <w:szCs w:val="24"/>
          <w:highlight w:val="none"/>
        </w:rPr>
        <w:t>6. 评标</w:t>
      </w:r>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p>
    <w:p w14:paraId="0BA98F31">
      <w:pPr>
        <w:pStyle w:val="4"/>
        <w:adjustRightInd w:val="0"/>
        <w:ind w:firstLine="482" w:firstLineChars="200"/>
        <w:rPr>
          <w:rFonts w:eastAsia="仿宋"/>
          <w:color w:val="000000"/>
          <w:sz w:val="24"/>
          <w:highlight w:val="none"/>
          <w:lang w:eastAsia="zh-CN"/>
        </w:rPr>
      </w:pPr>
      <w:bookmarkStart w:id="514" w:name="_Toc152042339"/>
      <w:bookmarkStart w:id="515" w:name="_Toc455587067"/>
      <w:bookmarkStart w:id="516" w:name="_Toc338944639"/>
      <w:bookmarkStart w:id="517" w:name="_Toc333587887"/>
      <w:bookmarkStart w:id="518" w:name="_Toc445554724"/>
      <w:bookmarkStart w:id="519" w:name="_Toc342294748"/>
      <w:bookmarkStart w:id="520" w:name="_Toc333599693"/>
      <w:bookmarkStart w:id="521" w:name="_Toc144974531"/>
      <w:bookmarkStart w:id="522" w:name="_Toc458504850"/>
      <w:bookmarkStart w:id="523" w:name="_Toc455587251"/>
      <w:bookmarkStart w:id="524" w:name="_Toc338943734"/>
      <w:bookmarkStart w:id="525" w:name="_Toc371415951"/>
      <w:bookmarkStart w:id="526" w:name="_Toc333600717"/>
      <w:bookmarkStart w:id="527" w:name="_Toc342296196"/>
      <w:bookmarkStart w:id="528" w:name="_Toc466024532"/>
      <w:bookmarkStart w:id="529" w:name="_Toc342297653"/>
      <w:bookmarkStart w:id="530" w:name="_Toc152045563"/>
      <w:bookmarkStart w:id="531" w:name="_Toc179632581"/>
      <w:r>
        <w:rPr>
          <w:rFonts w:hint="eastAsia" w:eastAsia="仿宋"/>
          <w:color w:val="000000"/>
          <w:sz w:val="24"/>
          <w:highlight w:val="none"/>
          <w:lang w:eastAsia="zh-CN"/>
        </w:rPr>
        <w:t>6.1 评标委员会</w:t>
      </w:r>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p>
    <w:p w14:paraId="25A81810">
      <w:pPr>
        <w:widowControl/>
        <w:adjustRightInd w:val="0"/>
        <w:snapToGrid w:val="0"/>
        <w:spacing w:line="360" w:lineRule="auto"/>
        <w:ind w:firstLine="480" w:firstLineChars="200"/>
        <w:rPr>
          <w:rFonts w:hint="eastAsia" w:ascii="楷体" w:hAnsi="楷体" w:eastAsia="楷体" w:cs="楷体"/>
          <w:i/>
          <w:iCs/>
          <w:color w:val="000000"/>
          <w:sz w:val="24"/>
          <w:highlight w:val="none"/>
          <w:u w:val="single"/>
          <w:lang w:bidi="ar"/>
        </w:rPr>
      </w:pPr>
      <w:r>
        <w:rPr>
          <w:rFonts w:hint="eastAsia" w:ascii="宋体" w:hAnsi="宋体" w:eastAsia="仿宋"/>
          <w:color w:val="000000"/>
          <w:sz w:val="24"/>
          <w:highlight w:val="none"/>
        </w:rPr>
        <w:t>6.1</w:t>
      </w:r>
      <w:r>
        <w:rPr>
          <w:rFonts w:ascii="宋体" w:hAnsi="宋体" w:eastAsia="仿宋"/>
          <w:color w:val="000000"/>
          <w:sz w:val="24"/>
          <w:highlight w:val="none"/>
        </w:rPr>
        <w:t>.1</w:t>
      </w:r>
      <w:r>
        <w:rPr>
          <w:rFonts w:hint="eastAsia" w:ascii="宋体" w:hAnsi="宋体" w:eastAsia="仿宋"/>
          <w:color w:val="000000"/>
          <w:sz w:val="24"/>
          <w:highlight w:val="none"/>
        </w:rPr>
        <w:t xml:space="preserve"> 按照《中华人民共和国政府采购法》《中华人民共和国政府采购法实施条例》及本项目本级和上级财政部门、政府采购监督管理部门的有关规定依法组建的评标委员会，负责本项目评标工作。</w:t>
      </w:r>
      <w:r>
        <w:rPr>
          <w:rFonts w:hint="eastAsia" w:ascii="宋体" w:hAnsi="宋体" w:eastAsia="仿宋" w:cs="Calibri"/>
          <w:color w:val="000000"/>
          <w:sz w:val="24"/>
          <w:highlight w:val="none"/>
          <w:lang w:bidi="ar"/>
        </w:rPr>
        <w:t>评标委员会</w:t>
      </w:r>
      <w:r>
        <w:rPr>
          <w:rFonts w:hint="eastAsia" w:ascii="宋体" w:hAnsi="宋体" w:eastAsia="仿宋"/>
          <w:color w:val="000000"/>
          <w:sz w:val="24"/>
          <w:highlight w:val="none"/>
        </w:rPr>
        <w:t>成员人数应当为5人以上单数，</w:t>
      </w:r>
      <w:r>
        <w:rPr>
          <w:rFonts w:hint="eastAsia" w:ascii="宋体" w:hAnsi="宋体" w:eastAsia="仿宋"/>
          <w:color w:val="000000"/>
          <w:sz w:val="24"/>
          <w:highlight w:val="none"/>
          <w:lang w:bidi="ar"/>
        </w:rPr>
        <w:t>其中采购预算金额在1000万元以上或者技术复杂或者社会影响较大的项目，评标委员会成员人数应当为7人以上单数。</w:t>
      </w:r>
    </w:p>
    <w:p w14:paraId="17785C1A">
      <w:pPr>
        <w:widowControl/>
        <w:adjustRightInd w:val="0"/>
        <w:snapToGrid w:val="0"/>
        <w:spacing w:line="360" w:lineRule="auto"/>
        <w:ind w:firstLine="480" w:firstLineChars="200"/>
        <w:rPr>
          <w:rFonts w:ascii="宋体" w:hAnsi="宋体" w:eastAsia="仿宋"/>
          <w:color w:val="000000"/>
          <w:sz w:val="24"/>
          <w:highlight w:val="none"/>
        </w:rPr>
      </w:pPr>
      <w:r>
        <w:rPr>
          <w:rFonts w:hint="eastAsia" w:ascii="宋体" w:hAnsi="宋体" w:eastAsia="仿宋"/>
          <w:color w:val="000000"/>
          <w:sz w:val="24"/>
          <w:highlight w:val="none"/>
        </w:rPr>
        <w:t>6.1</w:t>
      </w:r>
      <w:r>
        <w:rPr>
          <w:rFonts w:ascii="宋体" w:hAnsi="宋体" w:eastAsia="仿宋"/>
          <w:color w:val="000000"/>
          <w:sz w:val="24"/>
          <w:highlight w:val="none"/>
        </w:rPr>
        <w:t>.2</w:t>
      </w:r>
      <w:r>
        <w:rPr>
          <w:rFonts w:hint="eastAsia" w:ascii="宋体" w:hAnsi="宋体" w:eastAsia="仿宋"/>
          <w:color w:val="000000"/>
          <w:sz w:val="24"/>
          <w:highlight w:val="none"/>
        </w:rPr>
        <w:t xml:space="preserve"> 评标委员会成员有下列情形之一的，应当回避：</w:t>
      </w:r>
    </w:p>
    <w:p w14:paraId="0D2D5A52">
      <w:pPr>
        <w:widowControl/>
        <w:adjustRightInd w:val="0"/>
        <w:snapToGrid w:val="0"/>
        <w:spacing w:line="360" w:lineRule="auto"/>
        <w:ind w:firstLine="480" w:firstLineChars="200"/>
        <w:rPr>
          <w:rFonts w:hint="eastAsia" w:ascii="宋体" w:hAnsi="宋体" w:eastAsia="仿宋"/>
          <w:color w:val="000000"/>
          <w:sz w:val="24"/>
          <w:highlight w:val="none"/>
        </w:rPr>
      </w:pPr>
      <w:r>
        <w:rPr>
          <w:rFonts w:hint="eastAsia" w:ascii="宋体" w:hAnsi="宋体" w:eastAsia="仿宋"/>
          <w:color w:val="000000"/>
          <w:sz w:val="24"/>
          <w:highlight w:val="none"/>
        </w:rPr>
        <w:t>（1）参加采购活动前三年内，与投标人存在劳动关系，或者担任过投标人的董事、监事，或者是投标人的控股股东或实际控制人；</w:t>
      </w:r>
    </w:p>
    <w:p w14:paraId="3D890F2F">
      <w:pPr>
        <w:widowControl/>
        <w:adjustRightInd w:val="0"/>
        <w:snapToGrid w:val="0"/>
        <w:spacing w:line="360" w:lineRule="auto"/>
        <w:ind w:firstLine="480" w:firstLineChars="200"/>
        <w:rPr>
          <w:rFonts w:hint="eastAsia" w:ascii="宋体" w:hAnsi="宋体" w:eastAsia="仿宋"/>
          <w:color w:val="000000"/>
          <w:sz w:val="24"/>
          <w:highlight w:val="none"/>
        </w:rPr>
      </w:pPr>
      <w:r>
        <w:rPr>
          <w:rFonts w:hint="eastAsia" w:ascii="宋体" w:hAnsi="宋体" w:eastAsia="仿宋"/>
          <w:color w:val="000000"/>
          <w:sz w:val="24"/>
          <w:highlight w:val="none"/>
        </w:rPr>
        <w:t>（2）与投标人的法定代表人或者负责人有夫妻、直系血亲、三代以内旁系血亲或者近姻亲关系；</w:t>
      </w:r>
    </w:p>
    <w:p w14:paraId="0CD0BC5D">
      <w:pPr>
        <w:widowControl/>
        <w:adjustRightInd w:val="0"/>
        <w:snapToGrid w:val="0"/>
        <w:spacing w:line="360" w:lineRule="auto"/>
        <w:ind w:firstLine="480" w:firstLineChars="200"/>
        <w:rPr>
          <w:rFonts w:hint="eastAsia" w:ascii="宋体" w:hAnsi="宋体" w:eastAsia="仿宋"/>
          <w:color w:val="000000"/>
          <w:sz w:val="24"/>
          <w:highlight w:val="none"/>
        </w:rPr>
      </w:pPr>
      <w:r>
        <w:rPr>
          <w:rFonts w:hint="eastAsia" w:ascii="宋体" w:hAnsi="宋体" w:eastAsia="仿宋"/>
          <w:color w:val="000000"/>
          <w:sz w:val="24"/>
          <w:highlight w:val="none"/>
        </w:rPr>
        <w:t>（3）参与本项目进口产品论证的专家；</w:t>
      </w:r>
    </w:p>
    <w:p w14:paraId="56C53028">
      <w:pPr>
        <w:widowControl/>
        <w:adjustRightInd w:val="0"/>
        <w:snapToGrid w:val="0"/>
        <w:spacing w:line="360" w:lineRule="auto"/>
        <w:ind w:firstLine="480" w:firstLineChars="200"/>
        <w:rPr>
          <w:rFonts w:hint="eastAsia" w:ascii="宋体" w:hAnsi="宋体" w:eastAsia="仿宋"/>
          <w:color w:val="000000"/>
          <w:sz w:val="24"/>
          <w:highlight w:val="none"/>
        </w:rPr>
      </w:pPr>
      <w:r>
        <w:rPr>
          <w:rFonts w:hint="eastAsia" w:ascii="宋体" w:hAnsi="宋体" w:eastAsia="仿宋"/>
          <w:color w:val="000000"/>
          <w:sz w:val="24"/>
          <w:highlight w:val="none"/>
        </w:rPr>
        <w:t>（4）与投标人有其他可能影响政府采购活动公平、公正进行的关系。</w:t>
      </w:r>
    </w:p>
    <w:p w14:paraId="123E1C46">
      <w:pPr>
        <w:widowControl/>
        <w:topLinePunct/>
        <w:adjustRightInd w:val="0"/>
        <w:snapToGrid w:val="0"/>
        <w:spacing w:line="360" w:lineRule="auto"/>
        <w:ind w:firstLine="480" w:firstLineChars="200"/>
        <w:rPr>
          <w:rFonts w:hint="eastAsia" w:ascii="宋体" w:hAnsi="宋体" w:eastAsia="仿宋"/>
          <w:color w:val="000000"/>
          <w:sz w:val="24"/>
          <w:highlight w:val="none"/>
        </w:rPr>
      </w:pPr>
      <w:r>
        <w:rPr>
          <w:rFonts w:hint="eastAsia" w:ascii="宋体" w:hAnsi="宋体" w:eastAsia="仿宋"/>
          <w:color w:val="000000"/>
          <w:sz w:val="24"/>
          <w:highlight w:val="none"/>
        </w:rPr>
        <w:t>6.1.3 评标过程中，评标委员会成员有回避事由、擅离职守或者因健康等原因不能继续评标的，采购人有权更换。被更换的评标委员会成员作出的评审结论无效，由更换后的评标委员会成员重新进行评审。</w:t>
      </w:r>
    </w:p>
    <w:p w14:paraId="0BD74BC1">
      <w:pPr>
        <w:pStyle w:val="4"/>
        <w:adjustRightInd w:val="0"/>
        <w:ind w:firstLine="482" w:firstLineChars="200"/>
        <w:rPr>
          <w:rFonts w:hint="eastAsia" w:eastAsia="楷体_GB2312"/>
          <w:i/>
          <w:color w:val="000000"/>
          <w:sz w:val="24"/>
          <w:highlight w:val="none"/>
          <w:lang w:eastAsia="zh-CN"/>
        </w:rPr>
      </w:pPr>
      <w:bookmarkStart w:id="532" w:name="_Toc466024533"/>
      <w:bookmarkStart w:id="533" w:name="_Toc338944640"/>
      <w:bookmarkStart w:id="534" w:name="_Toc333587888"/>
      <w:bookmarkStart w:id="535" w:name="_Toc342296197"/>
      <w:bookmarkStart w:id="536" w:name="_Toc342297654"/>
      <w:bookmarkStart w:id="537" w:name="_Toc144974532"/>
      <w:bookmarkStart w:id="538" w:name="_Toc342294749"/>
      <w:bookmarkStart w:id="539" w:name="_Toc152045564"/>
      <w:bookmarkStart w:id="540" w:name="_Toc179632582"/>
      <w:bookmarkStart w:id="541" w:name="_Toc458504851"/>
      <w:bookmarkStart w:id="542" w:name="_Toc445554725"/>
      <w:bookmarkStart w:id="543" w:name="_Toc338943735"/>
      <w:bookmarkStart w:id="544" w:name="_Toc371415952"/>
      <w:bookmarkStart w:id="545" w:name="_Toc455587068"/>
      <w:bookmarkStart w:id="546" w:name="_Toc455587252"/>
      <w:bookmarkStart w:id="547" w:name="_Toc333600718"/>
      <w:bookmarkStart w:id="548" w:name="_Toc333599694"/>
      <w:bookmarkStart w:id="549" w:name="_Toc152042340"/>
      <w:r>
        <w:rPr>
          <w:rFonts w:hint="eastAsia" w:eastAsia="仿宋"/>
          <w:color w:val="000000"/>
          <w:sz w:val="24"/>
          <w:highlight w:val="none"/>
          <w:lang w:eastAsia="zh-CN"/>
        </w:rPr>
        <w:t>6.2 评标原则</w:t>
      </w:r>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p>
    <w:p w14:paraId="24E88E49">
      <w:pPr>
        <w:widowControl/>
        <w:adjustRightInd w:val="0"/>
        <w:snapToGrid w:val="0"/>
        <w:spacing w:line="360" w:lineRule="auto"/>
        <w:ind w:firstLine="480" w:firstLineChars="200"/>
        <w:rPr>
          <w:rFonts w:ascii="宋体" w:hAnsi="宋体" w:eastAsia="仿宋"/>
          <w:color w:val="000000"/>
          <w:sz w:val="24"/>
          <w:highlight w:val="none"/>
        </w:rPr>
      </w:pPr>
      <w:r>
        <w:rPr>
          <w:rFonts w:hint="eastAsia" w:ascii="宋体" w:hAnsi="宋体" w:eastAsia="仿宋"/>
          <w:color w:val="000000"/>
          <w:sz w:val="24"/>
          <w:highlight w:val="none"/>
        </w:rPr>
        <w:t>评标委员会应该按照客观、公正、审慎的原则，根据招标文件规定的评审程序、评审方法和评审标准进行独立评审。</w:t>
      </w:r>
    </w:p>
    <w:p w14:paraId="744FC858">
      <w:pPr>
        <w:pStyle w:val="4"/>
        <w:adjustRightInd w:val="0"/>
        <w:ind w:firstLine="482" w:firstLineChars="200"/>
        <w:rPr>
          <w:rFonts w:eastAsia="仿宋"/>
          <w:color w:val="000000"/>
          <w:sz w:val="24"/>
          <w:highlight w:val="none"/>
          <w:lang w:eastAsia="zh-CN"/>
        </w:rPr>
      </w:pPr>
      <w:bookmarkStart w:id="550" w:name="_Toc342296198"/>
      <w:bookmarkStart w:id="551" w:name="_Toc445554726"/>
      <w:bookmarkStart w:id="552" w:name="_Toc342297655"/>
      <w:bookmarkStart w:id="553" w:name="_Toc458504852"/>
      <w:bookmarkStart w:id="554" w:name="_Toc333600719"/>
      <w:bookmarkStart w:id="555" w:name="_Toc179632583"/>
      <w:bookmarkStart w:id="556" w:name="_Toc338943736"/>
      <w:bookmarkStart w:id="557" w:name="_Toc152045565"/>
      <w:bookmarkStart w:id="558" w:name="_Toc144974533"/>
      <w:bookmarkStart w:id="559" w:name="_Toc455587253"/>
      <w:bookmarkStart w:id="560" w:name="_Toc371415953"/>
      <w:bookmarkStart w:id="561" w:name="_Toc152042341"/>
      <w:bookmarkStart w:id="562" w:name="_Toc333599695"/>
      <w:bookmarkStart w:id="563" w:name="_Toc338944641"/>
      <w:bookmarkStart w:id="564" w:name="_Toc466024534"/>
      <w:bookmarkStart w:id="565" w:name="_Toc342294750"/>
      <w:bookmarkStart w:id="566" w:name="_Toc333587889"/>
      <w:bookmarkStart w:id="567" w:name="_Toc455587069"/>
      <w:r>
        <w:rPr>
          <w:rFonts w:hint="eastAsia" w:eastAsia="仿宋"/>
          <w:color w:val="000000"/>
          <w:sz w:val="24"/>
          <w:highlight w:val="none"/>
          <w:lang w:eastAsia="zh-CN"/>
        </w:rPr>
        <w:t>6.3 评标</w:t>
      </w:r>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p>
    <w:p w14:paraId="7A8B81D6">
      <w:pPr>
        <w:widowControl/>
        <w:adjustRightInd w:val="0"/>
        <w:snapToGrid w:val="0"/>
        <w:spacing w:line="360" w:lineRule="auto"/>
        <w:ind w:firstLine="480" w:firstLineChars="200"/>
        <w:rPr>
          <w:rFonts w:hint="eastAsia" w:ascii="宋体" w:hAnsi="宋体" w:eastAsia="仿宋"/>
          <w:color w:val="000000"/>
          <w:sz w:val="24"/>
          <w:highlight w:val="none"/>
        </w:rPr>
      </w:pPr>
      <w:r>
        <w:rPr>
          <w:rFonts w:hint="eastAsia" w:ascii="宋体" w:hAnsi="宋体" w:eastAsia="仿宋"/>
          <w:color w:val="000000"/>
          <w:sz w:val="24"/>
          <w:highlight w:val="none"/>
        </w:rPr>
        <w:t>6.3.1 评标委员会按照招标文件第四章“资格审查和评标办法”规定的方法、评审因素、标准和程序对投标文件进行评审。“评标办法”没有规定的方法、评审因素和标准，不作为评标依据。</w:t>
      </w:r>
      <w:bookmarkStart w:id="568" w:name="_Toc144974534"/>
      <w:bookmarkStart w:id="569" w:name="_Toc179632584"/>
      <w:bookmarkStart w:id="570" w:name="_Toc338943737"/>
      <w:bookmarkStart w:id="571" w:name="_Toc342296199"/>
      <w:bookmarkStart w:id="572" w:name="_Toc333599696"/>
      <w:bookmarkStart w:id="573" w:name="_Toc333600720"/>
      <w:bookmarkStart w:id="574" w:name="_Toc152042342"/>
      <w:bookmarkStart w:id="575" w:name="_Toc342294751"/>
      <w:bookmarkStart w:id="576" w:name="_Toc152045566"/>
      <w:bookmarkStart w:id="577" w:name="_Toc342297656"/>
      <w:bookmarkStart w:id="578" w:name="_Toc338944642"/>
    </w:p>
    <w:p w14:paraId="73716B1A">
      <w:pPr>
        <w:widowControl/>
        <w:adjustRightInd w:val="0"/>
        <w:snapToGrid w:val="0"/>
        <w:spacing w:line="360" w:lineRule="auto"/>
        <w:ind w:firstLine="480" w:firstLineChars="200"/>
        <w:rPr>
          <w:rFonts w:hint="eastAsia" w:ascii="宋体" w:hAnsi="宋体" w:eastAsia="仿宋"/>
          <w:color w:val="000000"/>
          <w:sz w:val="24"/>
          <w:highlight w:val="none"/>
        </w:rPr>
      </w:pPr>
      <w:r>
        <w:rPr>
          <w:rFonts w:hint="eastAsia" w:ascii="宋体" w:hAnsi="宋体" w:eastAsia="仿宋"/>
          <w:color w:val="000000"/>
          <w:sz w:val="24"/>
          <w:highlight w:val="none"/>
        </w:rPr>
        <w:t xml:space="preserve">6.3.2 </w:t>
      </w:r>
      <w:r>
        <w:rPr>
          <w:rFonts w:ascii="宋体" w:hAnsi="宋体" w:eastAsia="仿宋"/>
          <w:color w:val="000000"/>
          <w:sz w:val="24"/>
          <w:highlight w:val="none"/>
        </w:rPr>
        <w:t>评标完成后，评标委员会应当向</w:t>
      </w:r>
      <w:r>
        <w:rPr>
          <w:rFonts w:hint="eastAsia" w:eastAsia="仿宋"/>
          <w:color w:val="000000"/>
          <w:sz w:val="24"/>
          <w:highlight w:val="none"/>
        </w:rPr>
        <w:t>采购</w:t>
      </w:r>
      <w:r>
        <w:rPr>
          <w:rFonts w:ascii="宋体" w:hAnsi="宋体" w:eastAsia="仿宋"/>
          <w:color w:val="000000"/>
          <w:sz w:val="24"/>
          <w:highlight w:val="none"/>
        </w:rPr>
        <w:t>人提交书面评标报告和中标候选人名单。评标委员会推荐中标</w:t>
      </w:r>
      <w:bookmarkStart w:id="579" w:name="_Toc12259"/>
      <w:bookmarkStart w:id="580" w:name="_Toc300834979"/>
      <w:bookmarkStart w:id="581" w:name="_Toc247513982"/>
      <w:bookmarkStart w:id="582" w:name="_Toc369531546"/>
      <w:bookmarkStart w:id="583" w:name="_Toc361508615"/>
      <w:bookmarkStart w:id="584" w:name="_Toc384308240"/>
      <w:bookmarkStart w:id="585" w:name="_Toc247527583"/>
      <w:bookmarkStart w:id="586" w:name="_Toc352691502"/>
      <w:r>
        <w:rPr>
          <w:rFonts w:ascii="宋体" w:hAnsi="宋体" w:eastAsia="仿宋"/>
          <w:color w:val="000000"/>
          <w:sz w:val="24"/>
          <w:highlight w:val="none"/>
        </w:rPr>
        <w:t>候选人的人数见投标人须知前附</w:t>
      </w:r>
      <w:bookmarkEnd w:id="579"/>
      <w:bookmarkEnd w:id="580"/>
      <w:bookmarkEnd w:id="581"/>
      <w:bookmarkEnd w:id="582"/>
      <w:bookmarkEnd w:id="583"/>
      <w:bookmarkEnd w:id="584"/>
      <w:bookmarkEnd w:id="585"/>
      <w:bookmarkEnd w:id="586"/>
      <w:r>
        <w:rPr>
          <w:rFonts w:ascii="宋体" w:hAnsi="宋体" w:eastAsia="仿宋"/>
          <w:color w:val="000000"/>
          <w:sz w:val="24"/>
          <w:highlight w:val="none"/>
        </w:rPr>
        <w:t>表。</w:t>
      </w:r>
    </w:p>
    <w:p w14:paraId="7838592C">
      <w:pPr>
        <w:pStyle w:val="3"/>
        <w:rPr>
          <w:rStyle w:val="107"/>
          <w:rFonts w:hint="eastAsia" w:ascii="宋体" w:hAnsi="宋体" w:eastAsia="仿宋"/>
          <w:b/>
          <w:bCs/>
          <w:color w:val="000000"/>
          <w:sz w:val="24"/>
          <w:szCs w:val="24"/>
          <w:highlight w:val="none"/>
        </w:rPr>
      </w:pPr>
      <w:bookmarkStart w:id="587" w:name="_Toc466024535"/>
      <w:bookmarkStart w:id="588" w:name="_Toc458504853"/>
      <w:bookmarkStart w:id="589" w:name="_Toc371415954"/>
      <w:bookmarkStart w:id="590" w:name="_Toc445554727"/>
      <w:bookmarkStart w:id="591" w:name="_Toc455587070"/>
      <w:bookmarkStart w:id="592" w:name="_Toc455587254"/>
      <w:r>
        <w:rPr>
          <w:rStyle w:val="107"/>
          <w:rFonts w:hint="eastAsia" w:ascii="宋体" w:hAnsi="宋体" w:eastAsia="仿宋"/>
          <w:b/>
          <w:bCs/>
          <w:color w:val="000000"/>
          <w:sz w:val="24"/>
          <w:szCs w:val="24"/>
          <w:highlight w:val="none"/>
        </w:rPr>
        <w:t>7. 合同授予</w:t>
      </w:r>
      <w:bookmarkEnd w:id="568"/>
      <w:bookmarkEnd w:id="569"/>
      <w:bookmarkEnd w:id="570"/>
      <w:bookmarkEnd w:id="571"/>
      <w:bookmarkEnd w:id="572"/>
      <w:bookmarkEnd w:id="573"/>
      <w:bookmarkEnd w:id="574"/>
      <w:bookmarkEnd w:id="575"/>
      <w:bookmarkEnd w:id="576"/>
      <w:bookmarkEnd w:id="577"/>
      <w:bookmarkEnd w:id="578"/>
      <w:bookmarkEnd w:id="587"/>
      <w:bookmarkEnd w:id="588"/>
      <w:bookmarkEnd w:id="589"/>
      <w:bookmarkEnd w:id="590"/>
      <w:bookmarkEnd w:id="591"/>
      <w:bookmarkEnd w:id="592"/>
    </w:p>
    <w:p w14:paraId="6BB3A154">
      <w:pPr>
        <w:pStyle w:val="4"/>
        <w:adjustRightInd w:val="0"/>
        <w:ind w:firstLine="482" w:firstLineChars="200"/>
        <w:rPr>
          <w:rFonts w:eastAsia="仿宋"/>
          <w:color w:val="000000"/>
          <w:sz w:val="24"/>
          <w:highlight w:val="none"/>
          <w:lang w:eastAsia="zh-CN"/>
        </w:rPr>
      </w:pPr>
      <w:bookmarkStart w:id="593" w:name="_Toc458504854"/>
      <w:bookmarkStart w:id="594" w:name="_Toc349730879"/>
      <w:bookmarkStart w:id="595" w:name="_Toc371415955"/>
      <w:bookmarkStart w:id="596" w:name="_Toc445554728"/>
      <w:bookmarkStart w:id="597" w:name="_Toc455587071"/>
      <w:bookmarkStart w:id="598" w:name="_Toc466024536"/>
      <w:bookmarkStart w:id="599" w:name="_Toc455587255"/>
      <w:bookmarkStart w:id="600" w:name="_Toc362252685"/>
      <w:bookmarkStart w:id="601" w:name="_Toc179632585"/>
      <w:bookmarkStart w:id="602" w:name="_Toc338944643"/>
      <w:bookmarkStart w:id="603" w:name="_Toc342294752"/>
      <w:bookmarkStart w:id="604" w:name="_Toc333587891"/>
      <w:bookmarkStart w:id="605" w:name="_Toc342297657"/>
      <w:bookmarkStart w:id="606" w:name="_Toc342296200"/>
      <w:bookmarkStart w:id="607" w:name="_Toc152045567"/>
      <w:bookmarkStart w:id="608" w:name="_Toc333599697"/>
      <w:bookmarkStart w:id="609" w:name="_Toc144974535"/>
      <w:bookmarkStart w:id="610" w:name="_Toc333600721"/>
      <w:bookmarkStart w:id="611" w:name="_Toc152042343"/>
      <w:bookmarkStart w:id="612" w:name="_Toc338943738"/>
      <w:r>
        <w:rPr>
          <w:rFonts w:hint="eastAsia" w:eastAsia="仿宋"/>
          <w:color w:val="000000"/>
          <w:sz w:val="24"/>
          <w:highlight w:val="none"/>
          <w:lang w:eastAsia="zh-CN"/>
        </w:rPr>
        <w:t>7.1</w:t>
      </w:r>
      <w:bookmarkEnd w:id="593"/>
      <w:bookmarkEnd w:id="594"/>
      <w:bookmarkEnd w:id="595"/>
      <w:bookmarkEnd w:id="596"/>
      <w:bookmarkEnd w:id="597"/>
      <w:bookmarkEnd w:id="598"/>
      <w:bookmarkEnd w:id="599"/>
      <w:bookmarkEnd w:id="600"/>
      <w:r>
        <w:rPr>
          <w:rFonts w:hint="eastAsia" w:eastAsia="仿宋"/>
          <w:color w:val="000000"/>
          <w:sz w:val="24"/>
          <w:highlight w:val="none"/>
          <w:lang w:eastAsia="zh-CN"/>
        </w:rPr>
        <w:t xml:space="preserve"> 确定中标人</w:t>
      </w:r>
    </w:p>
    <w:p w14:paraId="4FFD4F02">
      <w:pPr>
        <w:widowControl/>
        <w:adjustRightInd w:val="0"/>
        <w:snapToGrid w:val="0"/>
        <w:spacing w:line="360" w:lineRule="auto"/>
        <w:ind w:firstLine="480" w:firstLineChars="200"/>
        <w:rPr>
          <w:rFonts w:hint="eastAsia" w:ascii="宋体" w:hAnsi="宋体" w:eastAsia="仿宋"/>
          <w:color w:val="000000"/>
          <w:sz w:val="24"/>
          <w:highlight w:val="none"/>
        </w:rPr>
      </w:pPr>
      <w:r>
        <w:rPr>
          <w:rFonts w:hint="eastAsia" w:ascii="宋体" w:hAnsi="宋体" w:eastAsia="仿宋"/>
          <w:color w:val="000000"/>
          <w:sz w:val="24"/>
          <w:highlight w:val="none"/>
        </w:rPr>
        <w:t>7.1.1 按照投标人须知前附表规定，采购人或采购人授权评标委员会</w:t>
      </w:r>
      <w:r>
        <w:rPr>
          <w:rFonts w:hint="eastAsia" w:ascii="宋体" w:hAnsi="宋体" w:eastAsia="仿宋" w:cs="宋体"/>
          <w:color w:val="000000"/>
          <w:kern w:val="0"/>
          <w:sz w:val="24"/>
          <w:highlight w:val="none"/>
        </w:rPr>
        <w:t>在评标报告确定的中标候选人名单中按顺序确定中标人。</w:t>
      </w:r>
    </w:p>
    <w:p w14:paraId="1AB2ADCA">
      <w:pPr>
        <w:widowControl/>
        <w:adjustRightInd w:val="0"/>
        <w:snapToGrid w:val="0"/>
        <w:spacing w:line="360" w:lineRule="auto"/>
        <w:ind w:firstLine="480" w:firstLineChars="200"/>
        <w:rPr>
          <w:rFonts w:hint="eastAsia" w:ascii="宋体" w:hAnsi="宋体" w:eastAsia="仿宋"/>
          <w:color w:val="000000"/>
          <w:sz w:val="24"/>
          <w:highlight w:val="none"/>
        </w:rPr>
      </w:pPr>
      <w:r>
        <w:rPr>
          <w:rFonts w:hint="eastAsia" w:ascii="宋体" w:hAnsi="宋体" w:eastAsia="仿宋"/>
          <w:color w:val="000000"/>
          <w:sz w:val="24"/>
          <w:highlight w:val="none"/>
        </w:rPr>
        <w:t>7.1.2 采购人确定中标人后，按投标人须知前附表规定的方式与内容公告中标结果。</w:t>
      </w:r>
    </w:p>
    <w:p w14:paraId="4389849A">
      <w:pPr>
        <w:pStyle w:val="4"/>
        <w:adjustRightInd w:val="0"/>
        <w:ind w:firstLine="482" w:firstLineChars="200"/>
        <w:rPr>
          <w:rFonts w:eastAsia="仿宋"/>
          <w:color w:val="000000"/>
          <w:sz w:val="24"/>
          <w:highlight w:val="none"/>
          <w:lang w:eastAsia="zh-CN"/>
        </w:rPr>
      </w:pPr>
      <w:r>
        <w:rPr>
          <w:rFonts w:hint="eastAsia" w:eastAsia="仿宋"/>
          <w:color w:val="000000"/>
          <w:sz w:val="24"/>
          <w:highlight w:val="none"/>
          <w:lang w:eastAsia="zh-CN"/>
        </w:rPr>
        <w:t>7.2</w:t>
      </w:r>
      <w:bookmarkStart w:id="613" w:name="_Toc455587256"/>
      <w:bookmarkStart w:id="614" w:name="_Toc445554730"/>
      <w:bookmarkStart w:id="615" w:name="_Toc458504855"/>
      <w:bookmarkStart w:id="616" w:name="_Toc349730880"/>
      <w:bookmarkStart w:id="617" w:name="_Toc362252686"/>
      <w:bookmarkStart w:id="618" w:name="_Toc466024537"/>
      <w:bookmarkStart w:id="619" w:name="_Toc371415957"/>
      <w:bookmarkStart w:id="620" w:name="_Toc455587072"/>
      <w:r>
        <w:rPr>
          <w:rFonts w:hint="eastAsia" w:eastAsia="仿宋"/>
          <w:color w:val="000000"/>
          <w:sz w:val="24"/>
          <w:highlight w:val="none"/>
          <w:lang w:eastAsia="zh-CN"/>
        </w:rPr>
        <w:t xml:space="preserve"> 中标通知</w:t>
      </w:r>
      <w:bookmarkEnd w:id="613"/>
      <w:bookmarkEnd w:id="614"/>
      <w:bookmarkEnd w:id="615"/>
      <w:bookmarkEnd w:id="616"/>
      <w:bookmarkEnd w:id="617"/>
      <w:bookmarkEnd w:id="618"/>
      <w:bookmarkEnd w:id="619"/>
      <w:bookmarkEnd w:id="620"/>
    </w:p>
    <w:p w14:paraId="070EB982">
      <w:pPr>
        <w:widowControl/>
        <w:adjustRightInd w:val="0"/>
        <w:snapToGrid w:val="0"/>
        <w:spacing w:line="360" w:lineRule="auto"/>
        <w:ind w:firstLine="480" w:firstLineChars="200"/>
        <w:rPr>
          <w:rFonts w:hint="eastAsia" w:ascii="宋体" w:hAnsi="宋体" w:eastAsia="仿宋"/>
          <w:color w:val="000000"/>
          <w:sz w:val="24"/>
          <w:highlight w:val="none"/>
        </w:rPr>
      </w:pPr>
      <w:r>
        <w:rPr>
          <w:rFonts w:hint="eastAsia" w:ascii="宋体" w:hAnsi="宋体" w:eastAsia="仿宋"/>
          <w:color w:val="000000"/>
          <w:sz w:val="24"/>
          <w:highlight w:val="none"/>
        </w:rPr>
        <w:t>7.2.1 中标结果确定后，采购人以书面形式向中标人发出中标通知书。</w:t>
      </w:r>
    </w:p>
    <w:p w14:paraId="24D53504">
      <w:pPr>
        <w:widowControl/>
        <w:adjustRightInd w:val="0"/>
        <w:snapToGrid w:val="0"/>
        <w:spacing w:line="360" w:lineRule="auto"/>
        <w:ind w:firstLine="480" w:firstLineChars="200"/>
        <w:rPr>
          <w:rFonts w:hint="eastAsia" w:ascii="宋体" w:hAnsi="宋体" w:eastAsia="仿宋"/>
          <w:color w:val="000000"/>
          <w:sz w:val="24"/>
          <w:highlight w:val="none"/>
        </w:rPr>
      </w:pPr>
      <w:r>
        <w:rPr>
          <w:rFonts w:hint="eastAsia" w:ascii="宋体" w:hAnsi="宋体" w:eastAsia="仿宋"/>
          <w:color w:val="000000"/>
          <w:sz w:val="24"/>
          <w:highlight w:val="none"/>
        </w:rPr>
        <w:t>7.2.2 中标人须按投标人须知前附表规定向采购代理机构支付招标代理服务费，其计取标准见投标人须知前附表。</w:t>
      </w:r>
    </w:p>
    <w:p w14:paraId="1C9A7E92">
      <w:pPr>
        <w:pStyle w:val="4"/>
        <w:adjustRightInd w:val="0"/>
        <w:ind w:firstLine="482" w:firstLineChars="200"/>
        <w:rPr>
          <w:rFonts w:eastAsia="仿宋"/>
          <w:color w:val="000000"/>
          <w:sz w:val="24"/>
          <w:highlight w:val="none"/>
          <w:lang w:eastAsia="zh-CN"/>
        </w:rPr>
      </w:pPr>
      <w:bookmarkStart w:id="621" w:name="_Toc455587073"/>
      <w:bookmarkStart w:id="622" w:name="_Toc445554731"/>
      <w:bookmarkStart w:id="623" w:name="_Toc349730881"/>
      <w:bookmarkStart w:id="624" w:name="_Toc466024538"/>
      <w:bookmarkStart w:id="625" w:name="_Toc362252687"/>
      <w:bookmarkStart w:id="626" w:name="_Toc455587257"/>
      <w:bookmarkStart w:id="627" w:name="_Toc371415958"/>
      <w:bookmarkStart w:id="628" w:name="_Toc458504856"/>
      <w:r>
        <w:rPr>
          <w:rFonts w:hint="eastAsia" w:eastAsia="仿宋"/>
          <w:color w:val="000000"/>
          <w:sz w:val="24"/>
          <w:highlight w:val="none"/>
          <w:lang w:eastAsia="zh-CN"/>
        </w:rPr>
        <w:t>7.3 履约</w:t>
      </w:r>
      <w:bookmarkEnd w:id="621"/>
      <w:bookmarkEnd w:id="622"/>
      <w:bookmarkEnd w:id="623"/>
      <w:bookmarkEnd w:id="624"/>
      <w:bookmarkEnd w:id="625"/>
      <w:bookmarkEnd w:id="626"/>
      <w:bookmarkEnd w:id="627"/>
      <w:bookmarkEnd w:id="628"/>
      <w:r>
        <w:rPr>
          <w:rFonts w:hint="eastAsia" w:eastAsia="仿宋"/>
          <w:color w:val="000000"/>
          <w:sz w:val="24"/>
          <w:highlight w:val="none"/>
          <w:lang w:eastAsia="zh-CN"/>
        </w:rPr>
        <w:t>保证金</w:t>
      </w:r>
    </w:p>
    <w:p w14:paraId="7276608C">
      <w:pPr>
        <w:widowControl/>
        <w:adjustRightInd w:val="0"/>
        <w:snapToGrid w:val="0"/>
        <w:spacing w:line="360" w:lineRule="auto"/>
        <w:ind w:firstLine="480" w:firstLineChars="200"/>
        <w:rPr>
          <w:rFonts w:ascii="宋体" w:hAnsi="宋体" w:eastAsia="仿宋"/>
          <w:color w:val="000000"/>
          <w:sz w:val="24"/>
          <w:highlight w:val="none"/>
        </w:rPr>
      </w:pPr>
      <w:r>
        <w:rPr>
          <w:rFonts w:hint="eastAsia" w:ascii="宋体" w:hAnsi="宋体" w:eastAsia="仿宋"/>
          <w:color w:val="000000"/>
          <w:sz w:val="24"/>
          <w:highlight w:val="none"/>
        </w:rPr>
        <w:t>7.3</w:t>
      </w:r>
      <w:r>
        <w:rPr>
          <w:rFonts w:ascii="宋体" w:hAnsi="宋体" w:eastAsia="仿宋"/>
          <w:color w:val="000000"/>
          <w:sz w:val="24"/>
          <w:highlight w:val="none"/>
        </w:rPr>
        <w:t>.1</w:t>
      </w:r>
      <w:r>
        <w:rPr>
          <w:rFonts w:hint="eastAsia" w:ascii="宋体" w:hAnsi="宋体" w:eastAsia="仿宋"/>
          <w:color w:val="000000"/>
          <w:sz w:val="24"/>
          <w:highlight w:val="none"/>
        </w:rPr>
        <w:t xml:space="preserve"> 在签订合同前，中标人应按投标人须知前附表规定的金额、形式向采购人提交履约保证金。</w:t>
      </w:r>
      <w:r>
        <w:rPr>
          <w:rFonts w:eastAsia="仿宋"/>
          <w:color w:val="000000"/>
          <w:sz w:val="24"/>
          <w:highlight w:val="none"/>
        </w:rPr>
        <w:t>除投标人须知前附表另有规定外，履约保证金为中标合同金额的</w:t>
      </w:r>
      <w:r>
        <w:rPr>
          <w:rFonts w:hint="eastAsia" w:eastAsia="仿宋"/>
          <w:color w:val="000000"/>
          <w:sz w:val="24"/>
          <w:highlight w:val="none"/>
        </w:rPr>
        <w:t>10</w:t>
      </w:r>
      <w:r>
        <w:rPr>
          <w:rFonts w:eastAsia="仿宋"/>
          <w:color w:val="000000"/>
          <w:sz w:val="24"/>
          <w:highlight w:val="none"/>
        </w:rPr>
        <w:t>%。联合体中标的，其履约保证金以联合体各方或者联合体中牵头人的名义提交。</w:t>
      </w:r>
    </w:p>
    <w:p w14:paraId="010CEE80">
      <w:pPr>
        <w:widowControl/>
        <w:adjustRightInd w:val="0"/>
        <w:snapToGrid w:val="0"/>
        <w:spacing w:line="360" w:lineRule="auto"/>
        <w:ind w:firstLine="480" w:firstLineChars="200"/>
        <w:rPr>
          <w:rFonts w:ascii="宋体" w:hAnsi="宋体" w:eastAsia="仿宋"/>
          <w:color w:val="000000"/>
          <w:sz w:val="24"/>
          <w:highlight w:val="none"/>
        </w:rPr>
      </w:pPr>
      <w:r>
        <w:rPr>
          <w:rFonts w:hint="eastAsia" w:ascii="宋体" w:hAnsi="宋体" w:eastAsia="仿宋"/>
          <w:color w:val="000000"/>
          <w:sz w:val="24"/>
          <w:highlight w:val="none"/>
        </w:rPr>
        <w:t>7.3</w:t>
      </w:r>
      <w:r>
        <w:rPr>
          <w:rFonts w:ascii="宋体" w:hAnsi="宋体" w:eastAsia="仿宋"/>
          <w:color w:val="000000"/>
          <w:sz w:val="24"/>
          <w:highlight w:val="none"/>
        </w:rPr>
        <w:t>.2</w:t>
      </w:r>
      <w:r>
        <w:rPr>
          <w:rFonts w:hint="eastAsia" w:ascii="宋体" w:hAnsi="宋体" w:eastAsia="仿宋"/>
          <w:color w:val="000000"/>
          <w:sz w:val="24"/>
          <w:highlight w:val="none"/>
        </w:rPr>
        <w:t xml:space="preserve"> 中标人不能按要求提交履约保证金的，视为中标人拒绝与采购人签订合同，其投标保证金不予退还；给采购人造成的损失超过投标保证金数额的，中标人还应当对超过部分予以赔偿。</w:t>
      </w:r>
    </w:p>
    <w:p w14:paraId="4401F3FD">
      <w:pPr>
        <w:pStyle w:val="4"/>
        <w:adjustRightInd w:val="0"/>
        <w:ind w:firstLine="482" w:firstLineChars="200"/>
        <w:rPr>
          <w:rFonts w:eastAsia="仿宋"/>
          <w:color w:val="000000"/>
          <w:sz w:val="24"/>
          <w:highlight w:val="none"/>
          <w:lang w:eastAsia="zh-CN"/>
        </w:rPr>
      </w:pPr>
      <w:bookmarkStart w:id="629" w:name="_Toc349730882"/>
      <w:bookmarkStart w:id="630" w:name="_Toc466024539"/>
      <w:bookmarkStart w:id="631" w:name="_Toc455587258"/>
      <w:bookmarkStart w:id="632" w:name="_Toc342294755"/>
      <w:bookmarkStart w:id="633" w:name="_Toc338944646"/>
      <w:bookmarkStart w:id="634" w:name="_Toc371415959"/>
      <w:bookmarkStart w:id="635" w:name="_Toc333599700"/>
      <w:bookmarkStart w:id="636" w:name="_Toc445554732"/>
      <w:bookmarkStart w:id="637" w:name="_Toc458504857"/>
      <w:bookmarkStart w:id="638" w:name="_Toc338943741"/>
      <w:bookmarkStart w:id="639" w:name="_Toc333600724"/>
      <w:bookmarkStart w:id="640" w:name="_Toc455587074"/>
      <w:bookmarkStart w:id="641" w:name="_Toc362252688"/>
      <w:bookmarkStart w:id="642" w:name="_Toc342296203"/>
      <w:bookmarkStart w:id="643" w:name="_Toc333587894"/>
      <w:bookmarkStart w:id="644" w:name="_Toc179632588"/>
      <w:r>
        <w:rPr>
          <w:rFonts w:hint="eastAsia" w:eastAsia="仿宋"/>
          <w:color w:val="000000"/>
          <w:sz w:val="24"/>
          <w:highlight w:val="none"/>
          <w:lang w:eastAsia="zh-CN"/>
        </w:rPr>
        <w:t>7.4 签订合同</w:t>
      </w:r>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p>
    <w:p w14:paraId="233E691E">
      <w:pPr>
        <w:widowControl/>
        <w:adjustRightInd w:val="0"/>
        <w:snapToGrid w:val="0"/>
        <w:spacing w:line="360" w:lineRule="auto"/>
        <w:ind w:firstLine="480" w:firstLineChars="200"/>
        <w:rPr>
          <w:rFonts w:ascii="宋体" w:hAnsi="宋体" w:eastAsia="仿宋"/>
          <w:color w:val="000000"/>
          <w:sz w:val="24"/>
          <w:highlight w:val="none"/>
        </w:rPr>
      </w:pPr>
      <w:r>
        <w:rPr>
          <w:rFonts w:hint="eastAsia" w:ascii="宋体" w:hAnsi="宋体" w:eastAsia="仿宋"/>
          <w:color w:val="000000"/>
          <w:sz w:val="24"/>
          <w:highlight w:val="none"/>
        </w:rPr>
        <w:t>7.4</w:t>
      </w:r>
      <w:r>
        <w:rPr>
          <w:rFonts w:ascii="宋体" w:hAnsi="宋体" w:eastAsia="仿宋"/>
          <w:color w:val="000000"/>
          <w:sz w:val="24"/>
          <w:highlight w:val="none"/>
        </w:rPr>
        <w:t>.1</w:t>
      </w:r>
      <w:r>
        <w:rPr>
          <w:rFonts w:hint="eastAsia" w:ascii="宋体" w:hAnsi="宋体" w:eastAsia="仿宋"/>
          <w:color w:val="000000"/>
          <w:sz w:val="24"/>
          <w:highlight w:val="none"/>
        </w:rPr>
        <w:t xml:space="preserve"> 除投标人须知前附表另有规定外，</w:t>
      </w:r>
      <w:r>
        <w:rPr>
          <w:rFonts w:eastAsia="仿宋"/>
          <w:color w:val="000000"/>
          <w:sz w:val="24"/>
          <w:highlight w:val="none"/>
        </w:rPr>
        <w:t>采购人</w:t>
      </w:r>
      <w:r>
        <w:rPr>
          <w:rFonts w:hint="eastAsia" w:eastAsia="仿宋"/>
          <w:color w:val="000000"/>
          <w:sz w:val="24"/>
          <w:highlight w:val="none"/>
        </w:rPr>
        <w:t>、使用单位</w:t>
      </w:r>
      <w:r>
        <w:rPr>
          <w:rFonts w:eastAsia="仿宋"/>
          <w:color w:val="000000"/>
          <w:sz w:val="24"/>
          <w:highlight w:val="none"/>
        </w:rPr>
        <w:t>和中标人应当在中标通知书发出之日起</w:t>
      </w:r>
      <w:r>
        <w:rPr>
          <w:rFonts w:hint="eastAsia" w:eastAsia="仿宋"/>
          <w:color w:val="000000"/>
          <w:sz w:val="24"/>
          <w:highlight w:val="none"/>
        </w:rPr>
        <w:t>三十日内</w:t>
      </w:r>
      <w:r>
        <w:rPr>
          <w:rFonts w:eastAsia="仿宋"/>
          <w:color w:val="000000"/>
          <w:sz w:val="24"/>
          <w:highlight w:val="none"/>
        </w:rPr>
        <w:t>，根据招标文件和中标人的投标文件订立书面合同</w:t>
      </w:r>
      <w:r>
        <w:rPr>
          <w:rFonts w:hint="eastAsia" w:eastAsia="仿宋"/>
          <w:color w:val="000000"/>
          <w:sz w:val="24"/>
          <w:highlight w:val="none"/>
        </w:rPr>
        <w:t>，所签订的合同不得对招标文件确定的事项和中标人投标文件作实质性修改。</w:t>
      </w:r>
      <w:r>
        <w:rPr>
          <w:rFonts w:eastAsia="仿宋"/>
          <w:color w:val="000000"/>
          <w:sz w:val="24"/>
          <w:highlight w:val="none"/>
        </w:rPr>
        <w:t>中标人无正当理由</w:t>
      </w:r>
      <w:r>
        <w:rPr>
          <w:rFonts w:hint="eastAsia" w:eastAsia="仿宋"/>
          <w:color w:val="000000"/>
          <w:sz w:val="24"/>
          <w:highlight w:val="none"/>
        </w:rPr>
        <w:t>拒签</w:t>
      </w:r>
      <w:r>
        <w:rPr>
          <w:rFonts w:eastAsia="仿宋"/>
          <w:color w:val="000000"/>
          <w:sz w:val="24"/>
          <w:highlight w:val="none"/>
        </w:rPr>
        <w:t>合同，</w:t>
      </w:r>
      <w:r>
        <w:rPr>
          <w:rFonts w:hint="eastAsia" w:eastAsia="仿宋"/>
          <w:color w:val="000000"/>
          <w:sz w:val="24"/>
          <w:highlight w:val="none"/>
        </w:rPr>
        <w:t>包括但不限于</w:t>
      </w:r>
      <w:r>
        <w:rPr>
          <w:rFonts w:eastAsia="仿宋"/>
          <w:color w:val="000000"/>
          <w:sz w:val="24"/>
          <w:highlight w:val="none"/>
        </w:rPr>
        <w:t>在签订合同时向采购人提出</w:t>
      </w:r>
      <w:r>
        <w:rPr>
          <w:rFonts w:hint="eastAsia" w:eastAsia="仿宋"/>
          <w:color w:val="000000"/>
          <w:sz w:val="24"/>
          <w:highlight w:val="none"/>
        </w:rPr>
        <w:t>非法的附加条件</w:t>
      </w:r>
      <w:r>
        <w:rPr>
          <w:rFonts w:eastAsia="仿宋"/>
          <w:color w:val="000000"/>
          <w:sz w:val="24"/>
          <w:highlight w:val="none"/>
        </w:rPr>
        <w:t>，其投标保证金不予退还；给采购人造成的损失超过投标保证金数额的，中标人还应当对超过部分予以赔偿。</w:t>
      </w:r>
    </w:p>
    <w:p w14:paraId="6283AA2E">
      <w:pPr>
        <w:widowControl/>
        <w:adjustRightInd w:val="0"/>
        <w:snapToGrid w:val="0"/>
        <w:spacing w:line="360" w:lineRule="auto"/>
        <w:ind w:firstLine="480" w:firstLineChars="200"/>
        <w:rPr>
          <w:rFonts w:hint="eastAsia" w:ascii="宋体" w:hAnsi="宋体" w:eastAsia="仿宋"/>
          <w:color w:val="000000"/>
          <w:sz w:val="24"/>
          <w:highlight w:val="none"/>
        </w:rPr>
      </w:pPr>
      <w:r>
        <w:rPr>
          <w:rFonts w:hint="eastAsia" w:ascii="宋体" w:hAnsi="宋体" w:eastAsia="仿宋"/>
          <w:color w:val="000000"/>
          <w:sz w:val="24"/>
          <w:highlight w:val="none"/>
        </w:rPr>
        <w:t>7.4</w:t>
      </w:r>
      <w:r>
        <w:rPr>
          <w:rFonts w:ascii="宋体" w:hAnsi="宋体" w:eastAsia="仿宋"/>
          <w:color w:val="000000"/>
          <w:sz w:val="24"/>
          <w:highlight w:val="none"/>
        </w:rPr>
        <w:t>.2</w:t>
      </w:r>
      <w:r>
        <w:rPr>
          <w:rFonts w:hint="eastAsia" w:ascii="宋体" w:hAnsi="宋体" w:eastAsia="仿宋"/>
          <w:color w:val="000000"/>
          <w:sz w:val="24"/>
          <w:highlight w:val="none"/>
        </w:rPr>
        <w:t xml:space="preserve"> 因中标人原因未签订合同的，采购人可以按照评审报告推荐的中标候选人名单排序，确定下一候选人为中标人，也可以重新开展政府采购活动。</w:t>
      </w:r>
    </w:p>
    <w:p w14:paraId="46007B94">
      <w:pPr>
        <w:widowControl/>
        <w:adjustRightInd w:val="0"/>
        <w:snapToGrid w:val="0"/>
        <w:spacing w:line="360" w:lineRule="auto"/>
        <w:ind w:firstLine="480" w:firstLineChars="200"/>
        <w:rPr>
          <w:rFonts w:ascii="宋体" w:hAnsi="宋体" w:eastAsia="仿宋"/>
          <w:color w:val="000000"/>
          <w:sz w:val="24"/>
          <w:highlight w:val="none"/>
        </w:rPr>
      </w:pPr>
      <w:r>
        <w:rPr>
          <w:rFonts w:ascii="宋体" w:hAnsi="宋体" w:eastAsia="仿宋"/>
          <w:color w:val="000000"/>
          <w:sz w:val="24"/>
          <w:highlight w:val="none"/>
        </w:rPr>
        <w:t>7.</w:t>
      </w:r>
      <w:r>
        <w:rPr>
          <w:rFonts w:hint="eastAsia" w:ascii="宋体" w:hAnsi="宋体" w:eastAsia="仿宋"/>
          <w:color w:val="000000"/>
          <w:sz w:val="24"/>
          <w:highlight w:val="none"/>
        </w:rPr>
        <w:t>4</w:t>
      </w:r>
      <w:r>
        <w:rPr>
          <w:rFonts w:ascii="宋体" w:hAnsi="宋体" w:eastAsia="仿宋"/>
          <w:color w:val="000000"/>
          <w:sz w:val="24"/>
          <w:highlight w:val="none"/>
        </w:rPr>
        <w:t>.</w:t>
      </w:r>
      <w:r>
        <w:rPr>
          <w:rFonts w:hint="eastAsia" w:ascii="宋体" w:hAnsi="宋体" w:eastAsia="仿宋"/>
          <w:color w:val="000000"/>
          <w:sz w:val="24"/>
          <w:highlight w:val="none"/>
        </w:rPr>
        <w:t xml:space="preserve">3 </w:t>
      </w:r>
      <w:r>
        <w:rPr>
          <w:rFonts w:ascii="宋体" w:hAnsi="宋体" w:eastAsia="仿宋"/>
          <w:color w:val="000000"/>
          <w:sz w:val="24"/>
          <w:highlight w:val="none"/>
        </w:rPr>
        <w:t>联合体中标的，联合体各方应当共同与采购人签订合同，就中标项目向采购人承担连带责任。</w:t>
      </w:r>
    </w:p>
    <w:bookmarkEnd w:id="601"/>
    <w:bookmarkEnd w:id="602"/>
    <w:bookmarkEnd w:id="603"/>
    <w:bookmarkEnd w:id="604"/>
    <w:bookmarkEnd w:id="605"/>
    <w:bookmarkEnd w:id="606"/>
    <w:bookmarkEnd w:id="607"/>
    <w:bookmarkEnd w:id="608"/>
    <w:bookmarkEnd w:id="609"/>
    <w:bookmarkEnd w:id="610"/>
    <w:bookmarkEnd w:id="611"/>
    <w:bookmarkEnd w:id="612"/>
    <w:p w14:paraId="3E232C98">
      <w:pPr>
        <w:pStyle w:val="3"/>
        <w:rPr>
          <w:rStyle w:val="107"/>
          <w:rFonts w:hint="eastAsia" w:ascii="宋体" w:hAnsi="宋体" w:eastAsia="仿宋"/>
          <w:b/>
          <w:bCs/>
          <w:color w:val="000000"/>
          <w:sz w:val="24"/>
          <w:szCs w:val="24"/>
          <w:highlight w:val="none"/>
        </w:rPr>
      </w:pPr>
      <w:bookmarkStart w:id="645" w:name="_Toc455587259"/>
      <w:bookmarkStart w:id="646" w:name="_Toc458504860"/>
      <w:bookmarkStart w:id="647" w:name="_Toc455587075"/>
      <w:bookmarkStart w:id="648" w:name="_Toc466024542"/>
      <w:r>
        <w:rPr>
          <w:rStyle w:val="107"/>
          <w:rFonts w:hint="eastAsia" w:ascii="宋体" w:hAnsi="宋体" w:eastAsia="仿宋"/>
          <w:b/>
          <w:bCs/>
          <w:color w:val="000000"/>
          <w:sz w:val="24"/>
          <w:szCs w:val="24"/>
          <w:highlight w:val="none"/>
        </w:rPr>
        <w:t>8. 废标</w:t>
      </w:r>
      <w:bookmarkEnd w:id="645"/>
      <w:bookmarkEnd w:id="646"/>
      <w:bookmarkEnd w:id="647"/>
      <w:r>
        <w:rPr>
          <w:rStyle w:val="107"/>
          <w:rFonts w:hint="eastAsia" w:ascii="宋体" w:hAnsi="宋体" w:eastAsia="仿宋"/>
          <w:b/>
          <w:bCs/>
          <w:color w:val="000000"/>
          <w:sz w:val="24"/>
          <w:szCs w:val="24"/>
          <w:highlight w:val="none"/>
        </w:rPr>
        <w:t>、变更采购方式与终止招标</w:t>
      </w:r>
      <w:bookmarkEnd w:id="648"/>
    </w:p>
    <w:p w14:paraId="008F90CD">
      <w:pPr>
        <w:pStyle w:val="4"/>
        <w:adjustRightInd w:val="0"/>
        <w:ind w:firstLine="482" w:firstLineChars="200"/>
        <w:rPr>
          <w:rFonts w:hint="eastAsia" w:eastAsia="仿宋"/>
          <w:color w:val="000000"/>
          <w:sz w:val="24"/>
          <w:highlight w:val="none"/>
          <w:lang w:eastAsia="zh-CN"/>
        </w:rPr>
      </w:pPr>
      <w:bookmarkStart w:id="649" w:name="_Toc458504861"/>
      <w:bookmarkStart w:id="650" w:name="_Toc455587260"/>
      <w:bookmarkStart w:id="651" w:name="_Toc466024543"/>
      <w:bookmarkStart w:id="652" w:name="_Toc455587076"/>
      <w:bookmarkStart w:id="653" w:name="_Toc371415961"/>
      <w:bookmarkStart w:id="654" w:name="_Toc342296205"/>
      <w:bookmarkStart w:id="655" w:name="_Toc445554734"/>
      <w:bookmarkStart w:id="656" w:name="_Toc333599702"/>
      <w:bookmarkStart w:id="657" w:name="_Toc342297662"/>
      <w:bookmarkStart w:id="658" w:name="_Toc342294757"/>
      <w:bookmarkStart w:id="659" w:name="_Toc152042348"/>
      <w:bookmarkStart w:id="660" w:name="_Toc333600726"/>
      <w:bookmarkStart w:id="661" w:name="_Toc333587896"/>
      <w:bookmarkStart w:id="662" w:name="_Toc179632590"/>
      <w:bookmarkStart w:id="663" w:name="_Toc338944648"/>
      <w:bookmarkStart w:id="664" w:name="_Toc152045572"/>
      <w:bookmarkStart w:id="665" w:name="_Toc338943743"/>
      <w:bookmarkStart w:id="666" w:name="_Toc144974540"/>
      <w:r>
        <w:rPr>
          <w:rFonts w:hint="eastAsia" w:eastAsia="仿宋"/>
          <w:color w:val="000000"/>
          <w:sz w:val="24"/>
          <w:highlight w:val="none"/>
          <w:lang w:eastAsia="zh-CN"/>
        </w:rPr>
        <w:t>8.1 废标</w:t>
      </w:r>
      <w:bookmarkEnd w:id="649"/>
      <w:bookmarkEnd w:id="650"/>
      <w:bookmarkEnd w:id="651"/>
      <w:bookmarkEnd w:id="652"/>
    </w:p>
    <w:p w14:paraId="2673E720">
      <w:pPr>
        <w:widowControl/>
        <w:adjustRightInd w:val="0"/>
        <w:snapToGrid w:val="0"/>
        <w:spacing w:line="360" w:lineRule="auto"/>
        <w:ind w:firstLine="480" w:firstLineChars="200"/>
        <w:rPr>
          <w:rFonts w:hint="eastAsia" w:ascii="宋体" w:hAnsi="宋体" w:eastAsia="仿宋"/>
          <w:color w:val="000000"/>
          <w:sz w:val="24"/>
          <w:highlight w:val="none"/>
        </w:rPr>
      </w:pPr>
      <w:r>
        <w:rPr>
          <w:rFonts w:hint="eastAsia" w:ascii="宋体" w:hAnsi="宋体" w:eastAsia="仿宋"/>
          <w:color w:val="000000"/>
          <w:sz w:val="24"/>
          <w:highlight w:val="none"/>
        </w:rPr>
        <w:t>8.1.1 出现下列情形之一的，应予废标：</w:t>
      </w:r>
    </w:p>
    <w:p w14:paraId="3FDC0B5D">
      <w:pPr>
        <w:widowControl/>
        <w:adjustRightInd w:val="0"/>
        <w:snapToGrid w:val="0"/>
        <w:spacing w:line="360" w:lineRule="auto"/>
        <w:ind w:firstLine="480" w:firstLineChars="200"/>
        <w:rPr>
          <w:rFonts w:hint="eastAsia" w:ascii="宋体" w:hAnsi="宋体" w:eastAsia="仿宋"/>
          <w:color w:val="000000"/>
          <w:sz w:val="24"/>
          <w:highlight w:val="none"/>
        </w:rPr>
      </w:pPr>
      <w:r>
        <w:rPr>
          <w:rFonts w:hint="eastAsia" w:ascii="宋体" w:hAnsi="宋体" w:eastAsia="仿宋"/>
          <w:color w:val="000000"/>
          <w:sz w:val="24"/>
          <w:highlight w:val="none"/>
        </w:rPr>
        <w:t>（1）符合专业条件的投标人或者对招标文件作实质响应的投标人不足3家的；</w:t>
      </w:r>
    </w:p>
    <w:p w14:paraId="1E7CC3DC">
      <w:pPr>
        <w:widowControl/>
        <w:adjustRightInd w:val="0"/>
        <w:snapToGrid w:val="0"/>
        <w:spacing w:line="360" w:lineRule="auto"/>
        <w:ind w:firstLine="480" w:firstLineChars="200"/>
        <w:rPr>
          <w:rFonts w:hint="eastAsia" w:ascii="宋体" w:hAnsi="宋体" w:eastAsia="仿宋"/>
          <w:color w:val="000000"/>
          <w:sz w:val="24"/>
          <w:highlight w:val="none"/>
        </w:rPr>
      </w:pPr>
      <w:r>
        <w:rPr>
          <w:rFonts w:hint="eastAsia" w:ascii="宋体" w:hAnsi="宋体" w:eastAsia="仿宋"/>
          <w:color w:val="000000"/>
          <w:sz w:val="24"/>
          <w:highlight w:val="none"/>
        </w:rPr>
        <w:t>（2）出现影响采购公正的违法、违规行为的；</w:t>
      </w:r>
    </w:p>
    <w:p w14:paraId="1A3C5DDF">
      <w:pPr>
        <w:widowControl/>
        <w:adjustRightInd w:val="0"/>
        <w:snapToGrid w:val="0"/>
        <w:spacing w:line="360" w:lineRule="auto"/>
        <w:ind w:firstLine="480" w:firstLineChars="200"/>
        <w:rPr>
          <w:rFonts w:hint="eastAsia" w:ascii="宋体" w:hAnsi="宋体" w:eastAsia="仿宋"/>
          <w:color w:val="000000"/>
          <w:sz w:val="24"/>
          <w:highlight w:val="none"/>
        </w:rPr>
      </w:pPr>
      <w:r>
        <w:rPr>
          <w:rFonts w:hint="eastAsia" w:ascii="宋体" w:hAnsi="宋体" w:eastAsia="仿宋"/>
          <w:color w:val="000000"/>
          <w:sz w:val="24"/>
          <w:highlight w:val="none"/>
        </w:rPr>
        <w:t>（3）投标人的报价均超过了采购预算或最高限价，采购人不能支付的；</w:t>
      </w:r>
    </w:p>
    <w:p w14:paraId="23A67DC6">
      <w:pPr>
        <w:widowControl/>
        <w:adjustRightInd w:val="0"/>
        <w:snapToGrid w:val="0"/>
        <w:spacing w:line="360" w:lineRule="auto"/>
        <w:ind w:firstLine="480" w:firstLineChars="200"/>
        <w:rPr>
          <w:rFonts w:hint="eastAsia" w:ascii="宋体" w:hAnsi="宋体" w:eastAsia="仿宋"/>
          <w:color w:val="000000"/>
          <w:sz w:val="24"/>
          <w:highlight w:val="none"/>
        </w:rPr>
      </w:pPr>
      <w:r>
        <w:rPr>
          <w:rFonts w:hint="eastAsia" w:ascii="宋体" w:hAnsi="宋体" w:eastAsia="仿宋"/>
          <w:color w:val="000000"/>
          <w:sz w:val="24"/>
          <w:highlight w:val="none"/>
        </w:rPr>
        <w:t>（4）因重大变故，采购任务取消的。</w:t>
      </w:r>
    </w:p>
    <w:p w14:paraId="60344176">
      <w:pPr>
        <w:pStyle w:val="4"/>
        <w:adjustRightInd w:val="0"/>
        <w:ind w:firstLine="482" w:firstLineChars="200"/>
        <w:rPr>
          <w:rFonts w:eastAsia="仿宋"/>
          <w:color w:val="000000"/>
          <w:sz w:val="24"/>
          <w:highlight w:val="none"/>
          <w:lang w:eastAsia="zh-CN"/>
        </w:rPr>
      </w:pPr>
      <w:bookmarkStart w:id="667" w:name="_Toc455587077"/>
      <w:bookmarkStart w:id="668" w:name="_Toc455587261"/>
      <w:bookmarkStart w:id="669" w:name="_Toc458504862"/>
      <w:bookmarkStart w:id="670" w:name="_Toc466024544"/>
      <w:r>
        <w:rPr>
          <w:rFonts w:hint="eastAsia" w:eastAsia="仿宋"/>
          <w:color w:val="000000"/>
          <w:sz w:val="24"/>
          <w:highlight w:val="none"/>
          <w:lang w:eastAsia="zh-CN"/>
        </w:rPr>
        <w:t>8.2</w:t>
      </w:r>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r>
        <w:rPr>
          <w:rFonts w:hint="eastAsia" w:eastAsia="仿宋"/>
          <w:color w:val="000000"/>
          <w:sz w:val="24"/>
          <w:highlight w:val="none"/>
          <w:lang w:eastAsia="zh-CN"/>
        </w:rPr>
        <w:t xml:space="preserve"> 重新招标与变更采购方式</w:t>
      </w:r>
      <w:bookmarkEnd w:id="669"/>
      <w:bookmarkEnd w:id="670"/>
    </w:p>
    <w:p w14:paraId="757EBA1A">
      <w:pPr>
        <w:widowControl/>
        <w:adjustRightInd w:val="0"/>
        <w:snapToGrid w:val="0"/>
        <w:spacing w:line="360" w:lineRule="auto"/>
        <w:ind w:firstLine="480" w:firstLineChars="200"/>
        <w:rPr>
          <w:rFonts w:ascii="宋体" w:hAnsi="宋体" w:eastAsia="仿宋"/>
          <w:color w:val="000000"/>
          <w:sz w:val="24"/>
          <w:highlight w:val="none"/>
        </w:rPr>
      </w:pPr>
      <w:r>
        <w:rPr>
          <w:rFonts w:hint="eastAsia" w:ascii="宋体" w:hAnsi="宋体" w:eastAsia="仿宋"/>
          <w:color w:val="000000"/>
          <w:sz w:val="24"/>
          <w:highlight w:val="none"/>
        </w:rPr>
        <w:t>8.2.1 公开招标数额标准以上的采购项目，投标截止后投标人不足3家或者通过资格审查或符合性审查的投标人不足3家的，除采购任务取消情形外，按照以下方式处理：</w:t>
      </w:r>
    </w:p>
    <w:p w14:paraId="13114A1A">
      <w:pPr>
        <w:widowControl/>
        <w:adjustRightInd w:val="0"/>
        <w:snapToGrid w:val="0"/>
        <w:spacing w:line="360" w:lineRule="auto"/>
        <w:ind w:firstLine="480" w:firstLineChars="200"/>
        <w:rPr>
          <w:rFonts w:ascii="宋体" w:hAnsi="宋体" w:eastAsia="仿宋"/>
          <w:color w:val="000000"/>
          <w:sz w:val="24"/>
          <w:highlight w:val="none"/>
        </w:rPr>
      </w:pPr>
      <w:r>
        <w:rPr>
          <w:rFonts w:hint="eastAsia" w:ascii="宋体" w:hAnsi="宋体" w:eastAsia="仿宋"/>
          <w:color w:val="000000"/>
          <w:sz w:val="24"/>
          <w:highlight w:val="none"/>
        </w:rPr>
        <w:t>（1）招标文件存在不合理条款或者招标程序不符合规定的，采购人、采购代理机构改正后依法重新招标；</w:t>
      </w:r>
    </w:p>
    <w:p w14:paraId="0CC6D1B4">
      <w:pPr>
        <w:widowControl/>
        <w:adjustRightInd w:val="0"/>
        <w:snapToGrid w:val="0"/>
        <w:spacing w:line="360" w:lineRule="auto"/>
        <w:ind w:firstLine="480" w:firstLineChars="200"/>
        <w:rPr>
          <w:rFonts w:ascii="宋体" w:hAnsi="宋体" w:eastAsia="仿宋"/>
          <w:color w:val="000000"/>
          <w:sz w:val="24"/>
          <w:highlight w:val="none"/>
        </w:rPr>
      </w:pPr>
      <w:r>
        <w:rPr>
          <w:rFonts w:hint="eastAsia" w:ascii="宋体" w:hAnsi="宋体" w:eastAsia="仿宋"/>
          <w:color w:val="000000"/>
          <w:sz w:val="24"/>
          <w:highlight w:val="none"/>
        </w:rPr>
        <w:t>（2）招标文件没有不合理条款、招标程序符合规定，需要采用其他采购方式采购的，采购人应当依法报财政部门批准。</w:t>
      </w:r>
    </w:p>
    <w:p w14:paraId="16580F5A">
      <w:pPr>
        <w:widowControl/>
        <w:adjustRightInd w:val="0"/>
        <w:snapToGrid w:val="0"/>
        <w:spacing w:line="360" w:lineRule="auto"/>
        <w:ind w:firstLine="480" w:firstLineChars="200"/>
        <w:rPr>
          <w:rFonts w:hint="eastAsia" w:ascii="宋体" w:hAnsi="宋体" w:eastAsia="仿宋"/>
          <w:color w:val="000000"/>
          <w:sz w:val="24"/>
          <w:highlight w:val="none"/>
        </w:rPr>
      </w:pPr>
      <w:r>
        <w:rPr>
          <w:rFonts w:hint="eastAsia" w:ascii="宋体" w:hAnsi="宋体" w:eastAsia="仿宋"/>
          <w:color w:val="000000"/>
          <w:sz w:val="24"/>
          <w:highlight w:val="none"/>
        </w:rPr>
        <w:t>8.2.2 公开招标数额标准以上的采购项目，出现本章8.2.1项情形或者重新招标未能成立的，采购人拟申请采用其他方式采购的，应由评标委员会或者3名以上评审专家出具招标文件没有不合理条款的论证意见。</w:t>
      </w:r>
    </w:p>
    <w:p w14:paraId="56C5D137">
      <w:pPr>
        <w:pStyle w:val="4"/>
        <w:adjustRightInd w:val="0"/>
        <w:ind w:firstLine="482" w:firstLineChars="200"/>
        <w:rPr>
          <w:rFonts w:hint="eastAsia" w:eastAsia="仿宋"/>
          <w:color w:val="000000"/>
          <w:sz w:val="24"/>
          <w:highlight w:val="none"/>
          <w:lang w:eastAsia="zh-CN"/>
        </w:rPr>
      </w:pPr>
      <w:bookmarkStart w:id="671" w:name="_Toc458504863"/>
      <w:bookmarkStart w:id="672" w:name="_Toc455587078"/>
      <w:bookmarkStart w:id="673" w:name="_Toc455587262"/>
      <w:bookmarkStart w:id="674" w:name="_Toc445554736"/>
      <w:bookmarkStart w:id="675" w:name="_Toc466024545"/>
      <w:bookmarkStart w:id="676" w:name="_Toc342296207"/>
      <w:bookmarkStart w:id="677" w:name="_Toc152042350"/>
      <w:bookmarkStart w:id="678" w:name="_Toc338943745"/>
      <w:bookmarkStart w:id="679" w:name="_Toc342294759"/>
      <w:bookmarkStart w:id="680" w:name="_Toc342297664"/>
      <w:bookmarkStart w:id="681" w:name="_Toc338944650"/>
      <w:bookmarkStart w:id="682" w:name="_Toc333600728"/>
      <w:bookmarkStart w:id="683" w:name="_Toc333599704"/>
      <w:bookmarkStart w:id="684" w:name="_Toc179632592"/>
      <w:bookmarkStart w:id="685" w:name="_Toc152045574"/>
      <w:bookmarkStart w:id="686" w:name="_Toc144974542"/>
      <w:r>
        <w:rPr>
          <w:rFonts w:hint="eastAsia" w:eastAsia="仿宋"/>
          <w:color w:val="000000"/>
          <w:sz w:val="24"/>
          <w:highlight w:val="none"/>
          <w:lang w:eastAsia="zh-CN"/>
        </w:rPr>
        <w:t>8.3 终止招标</w:t>
      </w:r>
      <w:bookmarkEnd w:id="671"/>
      <w:bookmarkEnd w:id="672"/>
      <w:bookmarkEnd w:id="673"/>
      <w:bookmarkEnd w:id="674"/>
      <w:bookmarkEnd w:id="675"/>
    </w:p>
    <w:p w14:paraId="6D995F6E">
      <w:pPr>
        <w:widowControl/>
        <w:adjustRightInd w:val="0"/>
        <w:snapToGrid w:val="0"/>
        <w:spacing w:line="360" w:lineRule="auto"/>
        <w:ind w:firstLine="480" w:firstLineChars="200"/>
        <w:rPr>
          <w:rFonts w:hint="eastAsia" w:ascii="宋体" w:hAnsi="宋体" w:eastAsia="仿宋"/>
          <w:color w:val="000000"/>
          <w:sz w:val="24"/>
          <w:highlight w:val="none"/>
        </w:rPr>
      </w:pPr>
      <w:r>
        <w:rPr>
          <w:rFonts w:hint="eastAsia" w:ascii="宋体" w:hAnsi="宋体" w:eastAsia="仿宋"/>
          <w:color w:val="000000"/>
          <w:sz w:val="24"/>
          <w:highlight w:val="none"/>
        </w:rPr>
        <w:t>因不可抗力等原因，采购人终止招标的，将及时发布公告，或者以书面形式通知被邀请的或者已经获取招标文件的潜在投标人。</w:t>
      </w:r>
    </w:p>
    <w:bookmarkEnd w:id="676"/>
    <w:bookmarkEnd w:id="677"/>
    <w:bookmarkEnd w:id="678"/>
    <w:bookmarkEnd w:id="679"/>
    <w:bookmarkEnd w:id="680"/>
    <w:bookmarkEnd w:id="681"/>
    <w:bookmarkEnd w:id="682"/>
    <w:bookmarkEnd w:id="683"/>
    <w:bookmarkEnd w:id="684"/>
    <w:bookmarkEnd w:id="685"/>
    <w:bookmarkEnd w:id="686"/>
    <w:p w14:paraId="7CCFC55D">
      <w:pPr>
        <w:pStyle w:val="3"/>
        <w:rPr>
          <w:rStyle w:val="107"/>
          <w:rFonts w:hint="eastAsia" w:ascii="宋体" w:hAnsi="宋体" w:eastAsia="仿宋"/>
          <w:b/>
          <w:bCs/>
          <w:color w:val="000000"/>
          <w:sz w:val="24"/>
          <w:szCs w:val="24"/>
          <w:highlight w:val="none"/>
        </w:rPr>
      </w:pPr>
      <w:bookmarkStart w:id="687" w:name="_Toc455587263"/>
      <w:bookmarkStart w:id="688" w:name="_Toc445554737"/>
      <w:bookmarkStart w:id="689" w:name="_Toc458504864"/>
      <w:bookmarkStart w:id="690" w:name="_Toc466024546"/>
      <w:bookmarkStart w:id="691" w:name="_Toc455587079"/>
      <w:r>
        <w:rPr>
          <w:rStyle w:val="107"/>
          <w:rFonts w:hint="eastAsia" w:ascii="宋体" w:hAnsi="宋体" w:eastAsia="仿宋"/>
          <w:b/>
          <w:bCs/>
          <w:color w:val="000000"/>
          <w:sz w:val="24"/>
          <w:szCs w:val="24"/>
          <w:highlight w:val="none"/>
        </w:rPr>
        <w:t>9. 询问与质疑</w:t>
      </w:r>
    </w:p>
    <w:p w14:paraId="40F2D540">
      <w:pPr>
        <w:pStyle w:val="4"/>
        <w:adjustRightInd w:val="0"/>
        <w:ind w:firstLine="482" w:firstLineChars="200"/>
        <w:rPr>
          <w:rFonts w:hint="eastAsia" w:eastAsia="仿宋"/>
          <w:color w:val="000000"/>
          <w:sz w:val="24"/>
          <w:highlight w:val="none"/>
          <w:lang w:eastAsia="zh-CN"/>
        </w:rPr>
      </w:pPr>
      <w:r>
        <w:rPr>
          <w:rFonts w:hint="eastAsia" w:eastAsia="仿宋"/>
          <w:color w:val="000000"/>
          <w:sz w:val="24"/>
          <w:highlight w:val="none"/>
          <w:lang w:eastAsia="zh-CN"/>
        </w:rPr>
        <w:t>9.1 询问</w:t>
      </w:r>
    </w:p>
    <w:p w14:paraId="26D84C89">
      <w:pPr>
        <w:widowControl/>
        <w:adjustRightInd w:val="0"/>
        <w:snapToGrid w:val="0"/>
        <w:spacing w:line="360" w:lineRule="auto"/>
        <w:ind w:firstLine="480" w:firstLineChars="200"/>
        <w:rPr>
          <w:rFonts w:hint="eastAsia" w:ascii="宋体" w:hAnsi="宋体" w:eastAsia="仿宋"/>
          <w:color w:val="000000"/>
          <w:sz w:val="24"/>
          <w:highlight w:val="none"/>
        </w:rPr>
      </w:pPr>
      <w:r>
        <w:rPr>
          <w:rFonts w:hint="eastAsia" w:ascii="宋体" w:hAnsi="宋体" w:eastAsia="仿宋"/>
          <w:color w:val="000000"/>
          <w:sz w:val="24"/>
          <w:highlight w:val="none"/>
        </w:rPr>
        <w:t>9.1.1 投标人对政府采购活动事项有疑问的，可依法按投标人须知前附表载明的时间提出询问。</w:t>
      </w:r>
    </w:p>
    <w:p w14:paraId="2B76D960">
      <w:pPr>
        <w:widowControl/>
        <w:adjustRightInd w:val="0"/>
        <w:snapToGrid w:val="0"/>
        <w:spacing w:line="360" w:lineRule="auto"/>
        <w:ind w:firstLine="480" w:firstLineChars="200"/>
        <w:rPr>
          <w:rFonts w:hint="eastAsia" w:ascii="宋体" w:hAnsi="宋体" w:eastAsia="仿宋"/>
          <w:color w:val="000000"/>
          <w:sz w:val="24"/>
          <w:highlight w:val="none"/>
        </w:rPr>
      </w:pPr>
      <w:r>
        <w:rPr>
          <w:rFonts w:hint="eastAsia" w:ascii="宋体" w:hAnsi="宋体" w:eastAsia="仿宋"/>
          <w:color w:val="000000"/>
          <w:sz w:val="24"/>
          <w:highlight w:val="none"/>
        </w:rPr>
        <w:t>9.1.2 采购人或采购代理机构对供应商依法提出的询问，在3个工作日内作出答复，但答复的内容不得涉及商业秘密。</w:t>
      </w:r>
    </w:p>
    <w:p w14:paraId="0E8CFC94">
      <w:pPr>
        <w:widowControl/>
        <w:adjustRightInd w:val="0"/>
        <w:snapToGrid w:val="0"/>
        <w:spacing w:line="360" w:lineRule="auto"/>
        <w:ind w:firstLine="480" w:firstLineChars="200"/>
        <w:rPr>
          <w:rFonts w:ascii="宋体" w:hAnsi="宋体" w:eastAsia="仿宋"/>
          <w:color w:val="000000"/>
          <w:sz w:val="24"/>
          <w:highlight w:val="none"/>
        </w:rPr>
      </w:pPr>
      <w:r>
        <w:rPr>
          <w:rFonts w:hint="eastAsia" w:ascii="宋体" w:hAnsi="宋体" w:eastAsia="仿宋"/>
          <w:color w:val="000000"/>
          <w:sz w:val="24"/>
          <w:highlight w:val="none"/>
        </w:rPr>
        <w:t>9.1.3 除非采购人认为确有必要答复，否则，采购人有权拒绝回复投标人在本章第9.1.1项规定的时间后的询问。</w:t>
      </w:r>
    </w:p>
    <w:p w14:paraId="586EEE64">
      <w:pPr>
        <w:pStyle w:val="4"/>
        <w:adjustRightInd w:val="0"/>
        <w:ind w:firstLine="482" w:firstLineChars="200"/>
        <w:rPr>
          <w:rFonts w:eastAsia="仿宋"/>
          <w:color w:val="000000"/>
          <w:sz w:val="24"/>
          <w:highlight w:val="none"/>
          <w:lang w:eastAsia="zh-CN"/>
        </w:rPr>
      </w:pPr>
      <w:r>
        <w:rPr>
          <w:rFonts w:hint="eastAsia" w:eastAsia="仿宋"/>
          <w:color w:val="000000"/>
          <w:sz w:val="24"/>
          <w:highlight w:val="none"/>
          <w:lang w:eastAsia="zh-CN"/>
        </w:rPr>
        <w:t>9.2 质疑</w:t>
      </w:r>
    </w:p>
    <w:p w14:paraId="2C4B3910">
      <w:pPr>
        <w:widowControl/>
        <w:adjustRightInd w:val="0"/>
        <w:snapToGrid w:val="0"/>
        <w:spacing w:line="360" w:lineRule="auto"/>
        <w:ind w:firstLine="480" w:firstLineChars="200"/>
        <w:rPr>
          <w:rFonts w:hint="eastAsia" w:ascii="宋体" w:hAnsi="宋体" w:eastAsia="仿宋"/>
          <w:color w:val="000000"/>
          <w:sz w:val="24"/>
          <w:highlight w:val="none"/>
        </w:rPr>
      </w:pPr>
      <w:r>
        <w:rPr>
          <w:rFonts w:hint="eastAsia" w:ascii="宋体" w:hAnsi="宋体" w:eastAsia="仿宋"/>
          <w:color w:val="000000"/>
          <w:sz w:val="24"/>
          <w:highlight w:val="none"/>
        </w:rPr>
        <w:t>9.2.1 投标人认为招标文件、采购过程、中标结果使自己的权益受到损害的，可以在投标人须知前附表载明的时间向采购人、采购代理机构提出质疑，逾期提出的，采购人、采购代理机构可不予受理。对招标文件提出质疑的，质疑期限为供应商获得招标文件之日或者招标文件公告期限届满之日起计算。对采购过程提出质疑的，质疑期限为各采购程序环节结束之日起计算。对采购结果提出质疑的，质疑期限自采购结果公告期限届满之日起计算。</w:t>
      </w:r>
    </w:p>
    <w:p w14:paraId="6265014E">
      <w:pPr>
        <w:widowControl/>
        <w:adjustRightInd w:val="0"/>
        <w:snapToGrid w:val="0"/>
        <w:spacing w:line="360" w:lineRule="auto"/>
        <w:ind w:firstLine="480" w:firstLineChars="200"/>
        <w:rPr>
          <w:rFonts w:hint="eastAsia" w:ascii="宋体" w:hAnsi="宋体" w:eastAsia="仿宋"/>
          <w:color w:val="000000"/>
          <w:sz w:val="24"/>
          <w:highlight w:val="none"/>
        </w:rPr>
      </w:pPr>
      <w:r>
        <w:rPr>
          <w:rFonts w:hint="eastAsia" w:ascii="宋体" w:hAnsi="宋体" w:eastAsia="仿宋"/>
          <w:color w:val="000000"/>
          <w:sz w:val="24"/>
          <w:highlight w:val="none"/>
        </w:rPr>
        <w:t>投标人应以书面形式向采购人、采购代理机构提出质疑，质疑函须使用财政部制定的《政府采购供应商质疑函范本》格式，详见本章附件二“政府采购供应商询问函和质疑函范本”。质疑材料应当采用中文，有关材料是外文的，应当同时提供其中文译本。</w:t>
      </w:r>
    </w:p>
    <w:p w14:paraId="2A750B62">
      <w:pPr>
        <w:widowControl/>
        <w:adjustRightInd w:val="0"/>
        <w:snapToGrid w:val="0"/>
        <w:spacing w:line="360" w:lineRule="auto"/>
        <w:ind w:firstLine="480" w:firstLineChars="200"/>
        <w:rPr>
          <w:rFonts w:hint="eastAsia" w:ascii="宋体" w:hAnsi="宋体" w:eastAsia="仿宋"/>
          <w:color w:val="000000"/>
          <w:sz w:val="24"/>
          <w:highlight w:val="none"/>
        </w:rPr>
      </w:pPr>
      <w:r>
        <w:rPr>
          <w:rFonts w:hint="eastAsia" w:ascii="宋体" w:hAnsi="宋体" w:eastAsia="仿宋"/>
          <w:color w:val="000000"/>
          <w:sz w:val="24"/>
          <w:highlight w:val="none"/>
        </w:rPr>
        <w:t>9.2.2 接收质疑的联系方式见投标人须知前附表，采购人、采购代理机构在收到质疑函后7个工作日内作出答复。</w:t>
      </w:r>
    </w:p>
    <w:p w14:paraId="547BACAC">
      <w:pPr>
        <w:widowControl/>
        <w:adjustRightInd w:val="0"/>
        <w:snapToGrid w:val="0"/>
        <w:spacing w:line="360" w:lineRule="auto"/>
        <w:ind w:firstLine="480" w:firstLineChars="200"/>
        <w:rPr>
          <w:rFonts w:hint="eastAsia" w:ascii="宋体" w:hAnsi="宋体" w:eastAsia="仿宋"/>
          <w:color w:val="000000"/>
          <w:sz w:val="24"/>
          <w:highlight w:val="none"/>
        </w:rPr>
      </w:pPr>
      <w:r>
        <w:rPr>
          <w:rFonts w:hint="eastAsia" w:ascii="宋体" w:hAnsi="宋体" w:eastAsia="仿宋"/>
          <w:color w:val="000000"/>
          <w:sz w:val="24"/>
          <w:highlight w:val="none"/>
        </w:rPr>
        <w:t>9.2.3 投标人为自然人的，质疑函应当由本人签字；投标人为法人或者其他组织的，质疑函应当由法定代表人、主要负责人，或者其授权代表签字或者盖章，并加盖公章，附法定代表人（单位负责人）及其委托联系人的有效身份证复印件。</w:t>
      </w:r>
    </w:p>
    <w:p w14:paraId="6AE75CC8">
      <w:pPr>
        <w:widowControl/>
        <w:adjustRightInd w:val="0"/>
        <w:snapToGrid w:val="0"/>
        <w:spacing w:line="360" w:lineRule="auto"/>
        <w:ind w:firstLine="480" w:firstLineChars="200"/>
        <w:rPr>
          <w:rFonts w:hint="eastAsia" w:ascii="宋体" w:hAnsi="宋体" w:eastAsia="仿宋"/>
          <w:color w:val="000000"/>
          <w:sz w:val="24"/>
          <w:highlight w:val="none"/>
        </w:rPr>
      </w:pPr>
      <w:r>
        <w:rPr>
          <w:rFonts w:hint="eastAsia" w:ascii="宋体" w:hAnsi="宋体" w:eastAsia="仿宋"/>
          <w:color w:val="000000"/>
          <w:sz w:val="24"/>
          <w:highlight w:val="none"/>
        </w:rPr>
        <w:t>9.2.4 投标人委托代理人进行质疑的，应当随质疑函同时提交投标人签署的授权委托书。授权委托书应当载明代理人的姓名或者名称、代理事项、具体权限、期限和相关事项。投标人为自然人的，应当由本人签字；投标人为法人或者其他组织的，应当由法定代表人、主要负责人签字或者盖章，并加盖公章。</w:t>
      </w:r>
    </w:p>
    <w:p w14:paraId="75E824AD">
      <w:pPr>
        <w:widowControl/>
        <w:adjustRightInd w:val="0"/>
        <w:snapToGrid w:val="0"/>
        <w:spacing w:line="360" w:lineRule="auto"/>
        <w:ind w:firstLine="480" w:firstLineChars="200"/>
        <w:rPr>
          <w:rFonts w:hint="eastAsia" w:ascii="宋体" w:hAnsi="宋体" w:eastAsia="仿宋"/>
          <w:color w:val="000000"/>
          <w:sz w:val="24"/>
          <w:highlight w:val="none"/>
        </w:rPr>
      </w:pPr>
      <w:r>
        <w:rPr>
          <w:rFonts w:hint="eastAsia" w:ascii="宋体" w:hAnsi="宋体" w:eastAsia="仿宋"/>
          <w:color w:val="000000"/>
          <w:sz w:val="24"/>
          <w:highlight w:val="none"/>
        </w:rPr>
        <w:t>9.2.5 投标人应在法定质疑期内一次性提出针对同一采购程序环节的质疑，法定质疑期内针对同一采购程序环节再次提出的质疑，采购人、采购代理机构有权不予答复。质疑应当有具体的事项及根据，不得进行虚假、恶意质疑，扰乱政府采购活动正常的工作秩序。</w:t>
      </w:r>
    </w:p>
    <w:p w14:paraId="2384B100">
      <w:pPr>
        <w:widowControl/>
        <w:adjustRightInd w:val="0"/>
        <w:snapToGrid w:val="0"/>
        <w:spacing w:line="360" w:lineRule="auto"/>
        <w:ind w:firstLine="480" w:firstLineChars="200"/>
        <w:rPr>
          <w:rFonts w:eastAsia="仿宋"/>
          <w:color w:val="000000"/>
          <w:sz w:val="24"/>
          <w:highlight w:val="none"/>
        </w:rPr>
      </w:pPr>
      <w:r>
        <w:rPr>
          <w:rFonts w:hint="eastAsia" w:ascii="宋体" w:hAnsi="宋体" w:eastAsia="仿宋"/>
          <w:color w:val="000000"/>
          <w:sz w:val="24"/>
          <w:highlight w:val="none"/>
        </w:rPr>
        <w:t xml:space="preserve">9.2.6 </w:t>
      </w:r>
      <w:r>
        <w:rPr>
          <w:rFonts w:eastAsia="仿宋"/>
          <w:color w:val="000000"/>
          <w:sz w:val="24"/>
          <w:highlight w:val="none"/>
        </w:rPr>
        <w:t>提出质疑的</w:t>
      </w:r>
      <w:r>
        <w:rPr>
          <w:rFonts w:hint="eastAsia" w:eastAsia="仿宋"/>
          <w:color w:val="000000"/>
          <w:sz w:val="24"/>
          <w:highlight w:val="none"/>
        </w:rPr>
        <w:t>投标人</w:t>
      </w:r>
      <w:r>
        <w:rPr>
          <w:rFonts w:eastAsia="仿宋"/>
          <w:color w:val="000000"/>
          <w:sz w:val="24"/>
          <w:highlight w:val="none"/>
        </w:rPr>
        <w:t>应当是参与所质疑项目采购活动的</w:t>
      </w:r>
      <w:r>
        <w:rPr>
          <w:rFonts w:hint="eastAsia" w:eastAsia="仿宋"/>
          <w:color w:val="000000"/>
          <w:sz w:val="24"/>
          <w:highlight w:val="none"/>
        </w:rPr>
        <w:t>投标人</w:t>
      </w:r>
      <w:r>
        <w:rPr>
          <w:rFonts w:eastAsia="仿宋"/>
          <w:color w:val="000000"/>
          <w:sz w:val="24"/>
          <w:highlight w:val="none"/>
        </w:rPr>
        <w:t>。潜在</w:t>
      </w:r>
      <w:r>
        <w:rPr>
          <w:rFonts w:hint="eastAsia" w:eastAsia="仿宋"/>
          <w:color w:val="000000"/>
          <w:sz w:val="24"/>
          <w:highlight w:val="none"/>
        </w:rPr>
        <w:t>投标人</w:t>
      </w:r>
      <w:r>
        <w:rPr>
          <w:rFonts w:eastAsia="仿宋"/>
          <w:color w:val="000000"/>
          <w:sz w:val="24"/>
          <w:highlight w:val="none"/>
        </w:rPr>
        <w:t>已依法获取其可质疑的</w:t>
      </w:r>
      <w:r>
        <w:rPr>
          <w:rFonts w:hint="eastAsia" w:eastAsia="仿宋"/>
          <w:color w:val="000000"/>
          <w:sz w:val="24"/>
          <w:highlight w:val="none"/>
        </w:rPr>
        <w:t>招标</w:t>
      </w:r>
      <w:r>
        <w:rPr>
          <w:rFonts w:eastAsia="仿宋"/>
          <w:color w:val="000000"/>
          <w:sz w:val="24"/>
          <w:highlight w:val="none"/>
        </w:rPr>
        <w:t>文件的，可以对</w:t>
      </w:r>
      <w:r>
        <w:rPr>
          <w:rFonts w:hint="eastAsia" w:eastAsia="仿宋"/>
          <w:color w:val="000000"/>
          <w:sz w:val="24"/>
          <w:highlight w:val="none"/>
        </w:rPr>
        <w:t>招标</w:t>
      </w:r>
      <w:r>
        <w:rPr>
          <w:rFonts w:eastAsia="仿宋"/>
          <w:color w:val="000000"/>
          <w:sz w:val="24"/>
          <w:highlight w:val="none"/>
        </w:rPr>
        <w:t>文件提出</w:t>
      </w:r>
      <w:r>
        <w:rPr>
          <w:rFonts w:hint="eastAsia" w:eastAsia="仿宋"/>
          <w:color w:val="000000"/>
          <w:sz w:val="24"/>
          <w:highlight w:val="none"/>
        </w:rPr>
        <w:t>质疑</w:t>
      </w:r>
      <w:r>
        <w:rPr>
          <w:rFonts w:eastAsia="仿宋"/>
          <w:color w:val="000000"/>
          <w:sz w:val="24"/>
          <w:highlight w:val="none"/>
        </w:rPr>
        <w:t>。</w:t>
      </w:r>
    </w:p>
    <w:p w14:paraId="0251FD62">
      <w:pPr>
        <w:widowControl/>
        <w:adjustRightInd w:val="0"/>
        <w:snapToGrid w:val="0"/>
        <w:spacing w:line="360" w:lineRule="auto"/>
        <w:ind w:firstLine="480" w:firstLineChars="200"/>
        <w:rPr>
          <w:rFonts w:hint="eastAsia" w:ascii="宋体" w:hAnsi="宋体" w:eastAsia="仿宋"/>
          <w:color w:val="000000"/>
          <w:sz w:val="24"/>
          <w:highlight w:val="none"/>
        </w:rPr>
      </w:pPr>
      <w:r>
        <w:rPr>
          <w:rFonts w:hint="eastAsia" w:ascii="宋体" w:hAnsi="宋体" w:eastAsia="仿宋"/>
          <w:color w:val="000000"/>
          <w:sz w:val="24"/>
          <w:highlight w:val="none"/>
        </w:rPr>
        <w:t>9.2.7 质疑材料存在以下情形的，采购人、采购代理机构不予受理。</w:t>
      </w:r>
    </w:p>
    <w:p w14:paraId="023CFB87">
      <w:pPr>
        <w:widowControl/>
        <w:adjustRightInd w:val="0"/>
        <w:snapToGrid w:val="0"/>
        <w:spacing w:line="360" w:lineRule="auto"/>
        <w:ind w:firstLine="480" w:firstLineChars="200"/>
        <w:rPr>
          <w:rFonts w:hint="eastAsia" w:ascii="宋体" w:hAnsi="宋体" w:eastAsia="仿宋"/>
          <w:color w:val="000000"/>
          <w:sz w:val="24"/>
          <w:highlight w:val="none"/>
        </w:rPr>
      </w:pPr>
      <w:r>
        <w:rPr>
          <w:rFonts w:hint="eastAsia" w:ascii="宋体" w:hAnsi="宋体" w:eastAsia="仿宋"/>
          <w:color w:val="000000"/>
          <w:sz w:val="24"/>
          <w:highlight w:val="none"/>
        </w:rPr>
        <w:t>（1）提起质疑的主体不是参与该政府采购项目活动的供应商；</w:t>
      </w:r>
    </w:p>
    <w:p w14:paraId="1A8D19AF">
      <w:pPr>
        <w:widowControl/>
        <w:adjustRightInd w:val="0"/>
        <w:snapToGrid w:val="0"/>
        <w:spacing w:line="360" w:lineRule="auto"/>
        <w:ind w:firstLine="480" w:firstLineChars="200"/>
        <w:rPr>
          <w:rFonts w:hint="eastAsia" w:ascii="宋体" w:hAnsi="宋体" w:eastAsia="仿宋"/>
          <w:color w:val="000000"/>
          <w:sz w:val="24"/>
          <w:highlight w:val="none"/>
        </w:rPr>
      </w:pPr>
      <w:r>
        <w:rPr>
          <w:rFonts w:hint="eastAsia" w:ascii="宋体" w:hAnsi="宋体" w:eastAsia="仿宋"/>
          <w:color w:val="000000"/>
          <w:sz w:val="24"/>
          <w:highlight w:val="none"/>
        </w:rPr>
        <w:t>（2）提起质疑的时间超过规定时限的；</w:t>
      </w:r>
    </w:p>
    <w:p w14:paraId="70C73D09">
      <w:pPr>
        <w:widowControl/>
        <w:adjustRightInd w:val="0"/>
        <w:snapToGrid w:val="0"/>
        <w:spacing w:line="360" w:lineRule="auto"/>
        <w:ind w:firstLine="480" w:firstLineChars="200"/>
        <w:rPr>
          <w:rFonts w:hint="eastAsia" w:ascii="宋体" w:hAnsi="宋体" w:eastAsia="仿宋"/>
          <w:color w:val="000000"/>
          <w:sz w:val="24"/>
          <w:highlight w:val="none"/>
        </w:rPr>
      </w:pPr>
      <w:r>
        <w:rPr>
          <w:rFonts w:hint="eastAsia" w:ascii="宋体" w:hAnsi="宋体" w:eastAsia="仿宋"/>
          <w:color w:val="000000"/>
          <w:sz w:val="24"/>
          <w:highlight w:val="none"/>
        </w:rPr>
        <w:t>（3）质疑材料不完整的；</w:t>
      </w:r>
    </w:p>
    <w:p w14:paraId="16B913A8">
      <w:pPr>
        <w:widowControl/>
        <w:adjustRightInd w:val="0"/>
        <w:snapToGrid w:val="0"/>
        <w:spacing w:line="360" w:lineRule="auto"/>
        <w:ind w:firstLine="480" w:firstLineChars="200"/>
        <w:rPr>
          <w:rFonts w:hint="eastAsia" w:ascii="宋体" w:hAnsi="宋体" w:eastAsia="仿宋"/>
          <w:color w:val="000000"/>
          <w:sz w:val="24"/>
          <w:highlight w:val="none"/>
        </w:rPr>
      </w:pPr>
      <w:r>
        <w:rPr>
          <w:rFonts w:hint="eastAsia" w:ascii="宋体" w:hAnsi="宋体" w:eastAsia="仿宋"/>
          <w:color w:val="000000"/>
          <w:sz w:val="24"/>
          <w:highlight w:val="none"/>
        </w:rPr>
        <w:t>（4）质疑事项含有主观猜测等内容且未提供充分有效线索、难以查证的；</w:t>
      </w:r>
    </w:p>
    <w:p w14:paraId="5230353E">
      <w:pPr>
        <w:widowControl/>
        <w:adjustRightInd w:val="0"/>
        <w:snapToGrid w:val="0"/>
        <w:spacing w:line="360" w:lineRule="auto"/>
        <w:ind w:firstLine="480" w:firstLineChars="200"/>
        <w:rPr>
          <w:rFonts w:hint="eastAsia" w:ascii="宋体" w:hAnsi="宋体" w:eastAsia="仿宋"/>
          <w:color w:val="000000"/>
          <w:sz w:val="24"/>
          <w:highlight w:val="none"/>
        </w:rPr>
      </w:pPr>
      <w:r>
        <w:rPr>
          <w:rFonts w:hint="eastAsia" w:ascii="宋体" w:hAnsi="宋体" w:eastAsia="仿宋"/>
          <w:color w:val="000000"/>
          <w:sz w:val="24"/>
          <w:highlight w:val="none"/>
        </w:rPr>
        <w:t>（5）质疑</w:t>
      </w:r>
      <w:r>
        <w:rPr>
          <w:rFonts w:ascii="宋体" w:hAnsi="宋体" w:eastAsia="仿宋"/>
          <w:color w:val="000000"/>
          <w:sz w:val="24"/>
          <w:highlight w:val="none"/>
        </w:rPr>
        <w:t>事项缺乏事实依据，</w:t>
      </w:r>
      <w:r>
        <w:rPr>
          <w:rFonts w:hint="eastAsia" w:ascii="宋体" w:hAnsi="宋体" w:eastAsia="仿宋"/>
          <w:color w:val="000000"/>
          <w:sz w:val="24"/>
          <w:highlight w:val="none"/>
        </w:rPr>
        <w:t>质疑</w:t>
      </w:r>
      <w:r>
        <w:rPr>
          <w:rFonts w:ascii="宋体" w:hAnsi="宋体" w:eastAsia="仿宋"/>
          <w:color w:val="000000"/>
          <w:sz w:val="24"/>
          <w:highlight w:val="none"/>
        </w:rPr>
        <w:t>事项不成立</w:t>
      </w:r>
      <w:r>
        <w:rPr>
          <w:rFonts w:hint="eastAsia" w:ascii="宋体" w:hAnsi="宋体" w:eastAsia="仿宋"/>
          <w:color w:val="000000"/>
          <w:sz w:val="24"/>
          <w:highlight w:val="none"/>
        </w:rPr>
        <w:t>的；</w:t>
      </w:r>
    </w:p>
    <w:p w14:paraId="1455E7EC">
      <w:pPr>
        <w:widowControl/>
        <w:adjustRightInd w:val="0"/>
        <w:snapToGrid w:val="0"/>
        <w:spacing w:line="360" w:lineRule="auto"/>
        <w:ind w:firstLine="480" w:firstLineChars="200"/>
        <w:rPr>
          <w:rFonts w:hint="eastAsia" w:ascii="宋体" w:hAnsi="宋体" w:eastAsia="仿宋"/>
          <w:color w:val="000000"/>
          <w:sz w:val="24"/>
          <w:highlight w:val="none"/>
        </w:rPr>
      </w:pPr>
      <w:r>
        <w:rPr>
          <w:rFonts w:hint="eastAsia" w:ascii="宋体" w:hAnsi="宋体" w:eastAsia="仿宋"/>
          <w:color w:val="000000"/>
          <w:sz w:val="24"/>
          <w:highlight w:val="none"/>
        </w:rPr>
        <w:t>（6）</w:t>
      </w:r>
      <w:r>
        <w:rPr>
          <w:rFonts w:ascii="宋体" w:hAnsi="宋体" w:eastAsia="仿宋"/>
          <w:color w:val="000000"/>
          <w:sz w:val="24"/>
          <w:highlight w:val="none"/>
        </w:rPr>
        <w:t>捏造事实或者提供虚假材料；</w:t>
      </w:r>
    </w:p>
    <w:p w14:paraId="508EDF92">
      <w:pPr>
        <w:widowControl/>
        <w:adjustRightInd w:val="0"/>
        <w:snapToGrid w:val="0"/>
        <w:spacing w:line="360" w:lineRule="auto"/>
        <w:ind w:firstLine="480" w:firstLineChars="200"/>
        <w:rPr>
          <w:rFonts w:hint="eastAsia" w:ascii="宋体" w:hAnsi="宋体" w:eastAsia="仿宋"/>
          <w:color w:val="000000"/>
          <w:sz w:val="24"/>
          <w:highlight w:val="none"/>
        </w:rPr>
      </w:pPr>
      <w:r>
        <w:rPr>
          <w:rFonts w:hint="eastAsia" w:ascii="宋体" w:hAnsi="宋体" w:eastAsia="仿宋"/>
          <w:color w:val="000000"/>
          <w:sz w:val="24"/>
          <w:highlight w:val="none"/>
        </w:rPr>
        <w:t>（7）</w:t>
      </w:r>
      <w:r>
        <w:rPr>
          <w:rFonts w:ascii="宋体" w:hAnsi="宋体" w:eastAsia="仿宋"/>
          <w:color w:val="000000"/>
          <w:sz w:val="24"/>
          <w:highlight w:val="none"/>
        </w:rPr>
        <w:t>以非法手段取得证明材料。</w:t>
      </w:r>
      <w:r>
        <w:rPr>
          <w:rFonts w:hint="eastAsia" w:ascii="宋体" w:hAnsi="宋体" w:eastAsia="仿宋"/>
          <w:color w:val="000000"/>
          <w:sz w:val="24"/>
          <w:highlight w:val="none"/>
        </w:rPr>
        <w:t>证明材料</w:t>
      </w:r>
      <w:r>
        <w:rPr>
          <w:rFonts w:ascii="宋体" w:hAnsi="宋体" w:eastAsia="仿宋"/>
          <w:color w:val="000000"/>
          <w:sz w:val="24"/>
          <w:highlight w:val="none"/>
        </w:rPr>
        <w:t>来源的合法性存在明显疑问，</w:t>
      </w:r>
      <w:r>
        <w:rPr>
          <w:rFonts w:hint="eastAsia" w:ascii="宋体" w:hAnsi="宋体" w:eastAsia="仿宋"/>
          <w:color w:val="000000"/>
          <w:sz w:val="24"/>
          <w:highlight w:val="none"/>
        </w:rPr>
        <w:t>质疑</w:t>
      </w:r>
      <w:r>
        <w:rPr>
          <w:rFonts w:ascii="宋体" w:hAnsi="宋体" w:eastAsia="仿宋"/>
          <w:color w:val="000000"/>
          <w:sz w:val="24"/>
          <w:highlight w:val="none"/>
        </w:rPr>
        <w:t>人无法证明其取得方式合法的，视为以非法手段取得证明材料</w:t>
      </w:r>
      <w:r>
        <w:rPr>
          <w:rFonts w:hint="eastAsia" w:ascii="宋体" w:hAnsi="宋体" w:eastAsia="仿宋"/>
          <w:color w:val="000000"/>
          <w:sz w:val="24"/>
          <w:highlight w:val="none"/>
        </w:rPr>
        <w:t>；</w:t>
      </w:r>
    </w:p>
    <w:p w14:paraId="6EB7B51E">
      <w:pPr>
        <w:widowControl/>
        <w:adjustRightInd w:val="0"/>
        <w:snapToGrid w:val="0"/>
        <w:spacing w:line="360" w:lineRule="auto"/>
        <w:ind w:firstLine="480" w:firstLineChars="200"/>
        <w:rPr>
          <w:rFonts w:hint="eastAsia" w:ascii="宋体" w:hAnsi="宋体" w:eastAsia="仿宋"/>
          <w:color w:val="000000"/>
          <w:sz w:val="24"/>
          <w:highlight w:val="none"/>
        </w:rPr>
      </w:pPr>
      <w:r>
        <w:rPr>
          <w:rFonts w:hint="eastAsia" w:ascii="宋体" w:hAnsi="宋体" w:eastAsia="仿宋"/>
          <w:color w:val="000000"/>
          <w:sz w:val="24"/>
          <w:highlight w:val="none"/>
        </w:rPr>
        <w:t>（8）对其他投标人的投标文件详细内容质疑，无法提供合法来源渠道的。</w:t>
      </w:r>
    </w:p>
    <w:p w14:paraId="518F0FDD">
      <w:pPr>
        <w:widowControl/>
        <w:adjustRightInd w:val="0"/>
        <w:snapToGrid w:val="0"/>
        <w:spacing w:line="360" w:lineRule="auto"/>
        <w:ind w:firstLine="480" w:firstLineChars="200"/>
        <w:rPr>
          <w:rFonts w:hint="eastAsia" w:ascii="宋体" w:hAnsi="宋体" w:eastAsia="仿宋"/>
          <w:color w:val="000000"/>
          <w:sz w:val="24"/>
          <w:highlight w:val="none"/>
        </w:rPr>
      </w:pPr>
      <w:r>
        <w:rPr>
          <w:rFonts w:hint="eastAsia" w:ascii="宋体" w:hAnsi="宋体" w:eastAsia="仿宋"/>
          <w:color w:val="000000"/>
          <w:sz w:val="24"/>
          <w:highlight w:val="none"/>
        </w:rPr>
        <w:t>9.2.8 质疑人在答复期满前撤回质疑的，应由法定代表人或授权代表人签字确认。质疑人不得以同一理由再次提出质疑。</w:t>
      </w:r>
    </w:p>
    <w:p w14:paraId="2CB78315">
      <w:pPr>
        <w:widowControl/>
        <w:adjustRightInd w:val="0"/>
        <w:snapToGrid w:val="0"/>
        <w:spacing w:line="360" w:lineRule="auto"/>
        <w:ind w:firstLine="480" w:firstLineChars="200"/>
        <w:rPr>
          <w:rFonts w:hint="eastAsia" w:ascii="宋体" w:hAnsi="宋体" w:eastAsia="仿宋"/>
          <w:color w:val="000000"/>
          <w:sz w:val="24"/>
          <w:highlight w:val="none"/>
        </w:rPr>
      </w:pPr>
      <w:r>
        <w:rPr>
          <w:rFonts w:hint="eastAsia" w:ascii="宋体" w:hAnsi="宋体" w:eastAsia="仿宋"/>
          <w:color w:val="000000"/>
          <w:sz w:val="24"/>
          <w:highlight w:val="none"/>
        </w:rPr>
        <w:t>9.2.9 因处理质疑发生的检验、检测、鉴定等费用，</w:t>
      </w:r>
      <w:r>
        <w:rPr>
          <w:rFonts w:ascii="宋体" w:hAnsi="宋体" w:eastAsia="仿宋"/>
          <w:color w:val="000000"/>
          <w:sz w:val="24"/>
          <w:highlight w:val="none"/>
        </w:rPr>
        <w:t>由提出申请的</w:t>
      </w:r>
      <w:r>
        <w:rPr>
          <w:rFonts w:hint="eastAsia" w:ascii="宋体" w:hAnsi="宋体" w:eastAsia="仿宋"/>
          <w:color w:val="000000"/>
          <w:sz w:val="24"/>
          <w:highlight w:val="none"/>
        </w:rPr>
        <w:t>投标人</w:t>
      </w:r>
      <w:r>
        <w:rPr>
          <w:rFonts w:ascii="宋体" w:hAnsi="宋体" w:eastAsia="仿宋"/>
          <w:color w:val="000000"/>
          <w:sz w:val="24"/>
          <w:highlight w:val="none"/>
        </w:rPr>
        <w:t>先行垫付。</w:t>
      </w:r>
      <w:r>
        <w:rPr>
          <w:rFonts w:hint="eastAsia" w:ascii="宋体" w:hAnsi="宋体" w:eastAsia="仿宋"/>
          <w:color w:val="000000"/>
          <w:sz w:val="24"/>
          <w:highlight w:val="none"/>
        </w:rPr>
        <w:t>质疑处理决定各方无异议</w:t>
      </w:r>
      <w:r>
        <w:rPr>
          <w:rFonts w:ascii="宋体" w:hAnsi="宋体" w:eastAsia="仿宋"/>
          <w:color w:val="000000"/>
          <w:sz w:val="24"/>
          <w:highlight w:val="none"/>
        </w:rPr>
        <w:t>后，按照</w:t>
      </w:r>
      <w:r>
        <w:rPr>
          <w:rFonts w:hint="eastAsia" w:ascii="宋体" w:hAnsi="宋体" w:eastAsia="仿宋"/>
          <w:color w:val="000000"/>
          <w:sz w:val="24"/>
          <w:highlight w:val="none"/>
        </w:rPr>
        <w:t>“</w:t>
      </w:r>
      <w:r>
        <w:rPr>
          <w:rFonts w:ascii="宋体" w:hAnsi="宋体" w:eastAsia="仿宋"/>
          <w:color w:val="000000"/>
          <w:sz w:val="24"/>
          <w:highlight w:val="none"/>
        </w:rPr>
        <w:t>谁过错谁负担</w:t>
      </w:r>
      <w:r>
        <w:rPr>
          <w:rFonts w:hint="eastAsia" w:ascii="宋体" w:hAnsi="宋体" w:eastAsia="仿宋"/>
          <w:color w:val="000000"/>
          <w:sz w:val="24"/>
          <w:highlight w:val="none"/>
        </w:rPr>
        <w:t>”</w:t>
      </w:r>
      <w:r>
        <w:rPr>
          <w:rFonts w:ascii="宋体" w:hAnsi="宋体" w:eastAsia="仿宋"/>
          <w:color w:val="000000"/>
          <w:sz w:val="24"/>
          <w:highlight w:val="none"/>
        </w:rPr>
        <w:t>的原则由承担责任的一方负担；双方都有责任的，由双方合理分担。</w:t>
      </w:r>
    </w:p>
    <w:p w14:paraId="1ABD0920">
      <w:pPr>
        <w:widowControl/>
        <w:adjustRightInd w:val="0"/>
        <w:snapToGrid w:val="0"/>
        <w:spacing w:line="360" w:lineRule="auto"/>
        <w:ind w:firstLine="480" w:firstLineChars="200"/>
        <w:rPr>
          <w:rFonts w:hint="eastAsia" w:ascii="宋体" w:hAnsi="宋体" w:eastAsia="仿宋"/>
          <w:color w:val="000000"/>
          <w:sz w:val="24"/>
          <w:highlight w:val="none"/>
        </w:rPr>
      </w:pPr>
      <w:r>
        <w:rPr>
          <w:rFonts w:hint="eastAsia" w:ascii="宋体" w:hAnsi="宋体" w:eastAsia="仿宋"/>
          <w:color w:val="000000"/>
          <w:sz w:val="24"/>
          <w:highlight w:val="none"/>
        </w:rPr>
        <w:t>9.2.10 投标人不得以质疑为名进行虚假、恶意质疑，扰乱政府采购正常的工作秩序。投标人有下列情形之一的，属于虚假、恶意质疑，被质疑人应当驳回质疑，并向同级政府采购监督管理部门报告，将其列入不良行为记录名单，并依法予以处罚：</w:t>
      </w:r>
    </w:p>
    <w:p w14:paraId="33189D77">
      <w:pPr>
        <w:widowControl/>
        <w:adjustRightInd w:val="0"/>
        <w:snapToGrid w:val="0"/>
        <w:spacing w:line="360" w:lineRule="auto"/>
        <w:ind w:firstLine="480" w:firstLineChars="200"/>
        <w:rPr>
          <w:rFonts w:hint="eastAsia" w:ascii="宋体" w:hAnsi="宋体" w:eastAsia="仿宋"/>
          <w:color w:val="000000"/>
          <w:sz w:val="24"/>
          <w:highlight w:val="none"/>
        </w:rPr>
      </w:pPr>
      <w:r>
        <w:rPr>
          <w:rFonts w:hint="eastAsia" w:ascii="宋体" w:hAnsi="宋体" w:eastAsia="仿宋"/>
          <w:color w:val="000000"/>
          <w:sz w:val="24"/>
          <w:highlight w:val="none"/>
        </w:rPr>
        <w:t>（1）一年内三次以上投诉均查无实据的；</w:t>
      </w:r>
    </w:p>
    <w:p w14:paraId="17465D09">
      <w:pPr>
        <w:widowControl/>
        <w:adjustRightInd w:val="0"/>
        <w:snapToGrid w:val="0"/>
        <w:spacing w:line="360" w:lineRule="auto"/>
        <w:ind w:firstLine="480" w:firstLineChars="200"/>
        <w:rPr>
          <w:rFonts w:hint="eastAsia" w:ascii="宋体" w:hAnsi="宋体" w:eastAsia="仿宋"/>
          <w:color w:val="000000"/>
          <w:sz w:val="24"/>
          <w:highlight w:val="none"/>
        </w:rPr>
      </w:pPr>
      <w:r>
        <w:rPr>
          <w:rFonts w:hint="eastAsia" w:ascii="宋体" w:hAnsi="宋体" w:eastAsia="仿宋"/>
          <w:color w:val="000000"/>
          <w:sz w:val="24"/>
          <w:highlight w:val="none"/>
        </w:rPr>
        <w:t>（2）捏造事实或者提供虚假质疑材料的；</w:t>
      </w:r>
    </w:p>
    <w:p w14:paraId="3C79524E">
      <w:pPr>
        <w:widowControl/>
        <w:adjustRightInd w:val="0"/>
        <w:snapToGrid w:val="0"/>
        <w:spacing w:line="360" w:lineRule="auto"/>
        <w:ind w:firstLine="480" w:firstLineChars="200"/>
        <w:rPr>
          <w:rFonts w:hint="eastAsia" w:eastAsia="仿宋"/>
          <w:color w:val="000000"/>
          <w:sz w:val="24"/>
          <w:highlight w:val="none"/>
        </w:rPr>
      </w:pPr>
      <w:r>
        <w:rPr>
          <w:rFonts w:hint="eastAsia" w:ascii="宋体" w:hAnsi="宋体" w:eastAsia="仿宋"/>
          <w:color w:val="000000"/>
          <w:sz w:val="24"/>
          <w:highlight w:val="none"/>
        </w:rPr>
        <w:t>（3）</w:t>
      </w:r>
      <w:r>
        <w:rPr>
          <w:rFonts w:ascii="宋体" w:hAnsi="宋体" w:eastAsia="仿宋"/>
          <w:color w:val="000000"/>
          <w:sz w:val="24"/>
          <w:highlight w:val="none"/>
        </w:rPr>
        <w:t>以非法手段取</w:t>
      </w:r>
      <w:r>
        <w:rPr>
          <w:rFonts w:eastAsia="仿宋"/>
          <w:color w:val="000000"/>
          <w:sz w:val="24"/>
          <w:highlight w:val="none"/>
        </w:rPr>
        <w:t>得证明材料。</w:t>
      </w:r>
      <w:r>
        <w:rPr>
          <w:rFonts w:hint="eastAsia" w:eastAsia="仿宋"/>
          <w:color w:val="000000"/>
          <w:sz w:val="24"/>
          <w:highlight w:val="none"/>
        </w:rPr>
        <w:t>证明材料</w:t>
      </w:r>
      <w:r>
        <w:rPr>
          <w:rFonts w:eastAsia="仿宋"/>
          <w:color w:val="000000"/>
          <w:sz w:val="24"/>
          <w:highlight w:val="none"/>
        </w:rPr>
        <w:t>来源的合法性存在明显疑问，</w:t>
      </w:r>
      <w:r>
        <w:rPr>
          <w:rFonts w:hint="eastAsia" w:eastAsia="仿宋"/>
          <w:color w:val="000000"/>
          <w:sz w:val="24"/>
          <w:highlight w:val="none"/>
        </w:rPr>
        <w:t>质疑</w:t>
      </w:r>
      <w:r>
        <w:rPr>
          <w:rFonts w:eastAsia="仿宋"/>
          <w:color w:val="000000"/>
          <w:sz w:val="24"/>
          <w:highlight w:val="none"/>
        </w:rPr>
        <w:t>人无法证明其取得方式</w:t>
      </w:r>
      <w:r>
        <w:rPr>
          <w:rFonts w:ascii="宋体" w:hAnsi="宋体" w:eastAsia="仿宋"/>
          <w:color w:val="000000"/>
          <w:sz w:val="24"/>
          <w:highlight w:val="none"/>
        </w:rPr>
        <w:t>合法的，视为以非法手段取得证明材料</w:t>
      </w:r>
      <w:r>
        <w:rPr>
          <w:rFonts w:hint="eastAsia" w:ascii="宋体" w:hAnsi="宋体" w:eastAsia="仿宋"/>
          <w:color w:val="000000"/>
          <w:sz w:val="24"/>
          <w:highlight w:val="none"/>
        </w:rPr>
        <w:t>。</w:t>
      </w:r>
    </w:p>
    <w:p w14:paraId="2E54AEDB">
      <w:pPr>
        <w:pStyle w:val="3"/>
        <w:rPr>
          <w:rStyle w:val="107"/>
          <w:rFonts w:hint="eastAsia" w:ascii="宋体" w:hAnsi="宋体" w:eastAsia="仿宋"/>
          <w:b/>
          <w:bCs/>
          <w:color w:val="000000"/>
          <w:sz w:val="24"/>
          <w:szCs w:val="24"/>
          <w:highlight w:val="none"/>
        </w:rPr>
      </w:pPr>
      <w:r>
        <w:rPr>
          <w:rStyle w:val="107"/>
          <w:rFonts w:hint="eastAsia" w:ascii="宋体" w:hAnsi="宋体" w:eastAsia="仿宋"/>
          <w:b/>
          <w:bCs/>
          <w:color w:val="000000"/>
          <w:sz w:val="24"/>
          <w:szCs w:val="24"/>
          <w:highlight w:val="none"/>
        </w:rPr>
        <w:t>10. 纪律和监督</w:t>
      </w:r>
      <w:bookmarkEnd w:id="687"/>
      <w:bookmarkEnd w:id="688"/>
      <w:bookmarkEnd w:id="689"/>
      <w:bookmarkEnd w:id="690"/>
      <w:bookmarkEnd w:id="691"/>
    </w:p>
    <w:p w14:paraId="24A61B79">
      <w:pPr>
        <w:pStyle w:val="4"/>
        <w:adjustRightInd w:val="0"/>
        <w:ind w:firstLine="482" w:firstLineChars="200"/>
        <w:rPr>
          <w:rFonts w:eastAsia="仿宋"/>
          <w:color w:val="000000"/>
          <w:sz w:val="24"/>
          <w:highlight w:val="none"/>
          <w:lang w:eastAsia="zh-CN"/>
        </w:rPr>
      </w:pPr>
      <w:bookmarkStart w:id="692" w:name="_Toc338943746"/>
      <w:bookmarkStart w:id="693" w:name="_Toc458504865"/>
      <w:bookmarkStart w:id="694" w:name="_Toc333599705"/>
      <w:bookmarkStart w:id="695" w:name="_Toc342294760"/>
      <w:bookmarkStart w:id="696" w:name="_Toc342296208"/>
      <w:bookmarkStart w:id="697" w:name="_Toc333587899"/>
      <w:bookmarkStart w:id="698" w:name="_Toc144974543"/>
      <w:bookmarkStart w:id="699" w:name="_Toc338944651"/>
      <w:bookmarkStart w:id="700" w:name="_Toc152042351"/>
      <w:bookmarkStart w:id="701" w:name="_Toc466024547"/>
      <w:bookmarkStart w:id="702" w:name="_Toc333600729"/>
      <w:bookmarkStart w:id="703" w:name="_Toc445554738"/>
      <w:bookmarkStart w:id="704" w:name="_Toc342297665"/>
      <w:bookmarkStart w:id="705" w:name="_Toc179632593"/>
      <w:bookmarkStart w:id="706" w:name="_Toc152045575"/>
      <w:bookmarkStart w:id="707" w:name="_Toc455587080"/>
      <w:bookmarkStart w:id="708" w:name="_Toc455587264"/>
      <w:bookmarkStart w:id="709" w:name="_Toc371415965"/>
      <w:r>
        <w:rPr>
          <w:rFonts w:hint="eastAsia" w:eastAsia="仿宋"/>
          <w:color w:val="000000"/>
          <w:sz w:val="24"/>
          <w:highlight w:val="none"/>
          <w:lang w:eastAsia="zh-CN"/>
        </w:rPr>
        <w:t>10.1 对采购人的纪律要求</w:t>
      </w:r>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p>
    <w:p w14:paraId="6ED6E3C5">
      <w:pPr>
        <w:widowControl/>
        <w:adjustRightInd w:val="0"/>
        <w:snapToGrid w:val="0"/>
        <w:spacing w:line="360" w:lineRule="auto"/>
        <w:ind w:firstLine="480" w:firstLineChars="200"/>
        <w:rPr>
          <w:rFonts w:ascii="宋体" w:hAnsi="宋体" w:eastAsia="仿宋"/>
          <w:color w:val="000000"/>
          <w:sz w:val="24"/>
          <w:highlight w:val="none"/>
        </w:rPr>
      </w:pPr>
      <w:r>
        <w:rPr>
          <w:rFonts w:hint="eastAsia" w:ascii="宋体" w:hAnsi="宋体" w:eastAsia="仿宋"/>
          <w:color w:val="000000"/>
          <w:sz w:val="24"/>
          <w:highlight w:val="none"/>
        </w:rPr>
        <w:t>采购人不得泄露招标投标活动中应当保密的情况和资料，不得与投标人串通损害国家利益、社会公共利益或者他人合法权益。</w:t>
      </w:r>
    </w:p>
    <w:p w14:paraId="37575903">
      <w:pPr>
        <w:pStyle w:val="4"/>
        <w:adjustRightInd w:val="0"/>
        <w:ind w:firstLine="482" w:firstLineChars="200"/>
        <w:rPr>
          <w:rFonts w:eastAsia="仿宋"/>
          <w:color w:val="000000"/>
          <w:sz w:val="24"/>
          <w:highlight w:val="none"/>
          <w:lang w:eastAsia="zh-CN"/>
        </w:rPr>
      </w:pPr>
      <w:bookmarkStart w:id="710" w:name="_Toc342297666"/>
      <w:bookmarkStart w:id="711" w:name="_Toc458504866"/>
      <w:bookmarkStart w:id="712" w:name="_Toc466024548"/>
      <w:bookmarkStart w:id="713" w:name="_Toc338944652"/>
      <w:bookmarkStart w:id="714" w:name="_Toc152045576"/>
      <w:bookmarkStart w:id="715" w:name="_Toc342296209"/>
      <w:bookmarkStart w:id="716" w:name="_Toc179632594"/>
      <w:bookmarkStart w:id="717" w:name="_Toc152042352"/>
      <w:bookmarkStart w:id="718" w:name="_Toc455587081"/>
      <w:bookmarkStart w:id="719" w:name="_Toc445554739"/>
      <w:bookmarkStart w:id="720" w:name="_Toc338943747"/>
      <w:bookmarkStart w:id="721" w:name="_Toc342294761"/>
      <w:bookmarkStart w:id="722" w:name="_Toc333600730"/>
      <w:bookmarkStart w:id="723" w:name="_Toc371415966"/>
      <w:bookmarkStart w:id="724" w:name="_Toc144974544"/>
      <w:bookmarkStart w:id="725" w:name="_Toc333587900"/>
      <w:bookmarkStart w:id="726" w:name="_Toc455587265"/>
      <w:bookmarkStart w:id="727" w:name="_Toc333599706"/>
      <w:r>
        <w:rPr>
          <w:rFonts w:hint="eastAsia" w:eastAsia="仿宋"/>
          <w:color w:val="000000"/>
          <w:sz w:val="24"/>
          <w:highlight w:val="none"/>
          <w:lang w:eastAsia="zh-CN"/>
        </w:rPr>
        <w:t>10.2 对投标人的纪律要求</w:t>
      </w:r>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p>
    <w:p w14:paraId="41D01851">
      <w:pPr>
        <w:widowControl/>
        <w:adjustRightInd w:val="0"/>
        <w:snapToGrid w:val="0"/>
        <w:spacing w:line="360" w:lineRule="auto"/>
        <w:ind w:firstLine="480" w:firstLineChars="200"/>
        <w:rPr>
          <w:rFonts w:ascii="宋体" w:hAnsi="宋体" w:eastAsia="仿宋"/>
          <w:color w:val="000000"/>
          <w:sz w:val="24"/>
          <w:highlight w:val="none"/>
        </w:rPr>
      </w:pPr>
      <w:r>
        <w:rPr>
          <w:rFonts w:hint="eastAsia" w:ascii="宋体" w:hAnsi="宋体" w:eastAsia="仿宋"/>
          <w:color w:val="000000"/>
          <w:sz w:val="24"/>
          <w:highlight w:val="none"/>
        </w:rPr>
        <w:t>投标人不得相互串通投标或者与采购人串通投标，不得向采购人或者评标委员会成员行贿谋取中标，不得以他人名义投标或者以其他方式弄虚作假骗取中标；投标人不得以任何方式干扰、影响评标工作。</w:t>
      </w:r>
    </w:p>
    <w:p w14:paraId="07433F18">
      <w:pPr>
        <w:pStyle w:val="3"/>
        <w:rPr>
          <w:rStyle w:val="107"/>
          <w:rFonts w:hint="eastAsia" w:ascii="宋体" w:hAnsi="宋体" w:eastAsia="仿宋"/>
          <w:b/>
          <w:bCs/>
          <w:color w:val="000000"/>
          <w:sz w:val="24"/>
          <w:szCs w:val="24"/>
          <w:highlight w:val="none"/>
        </w:rPr>
      </w:pPr>
      <w:bookmarkStart w:id="728" w:name="_Toc455587269"/>
      <w:bookmarkStart w:id="729" w:name="_Toc179632598"/>
      <w:bookmarkStart w:id="730" w:name="_Toc371415963"/>
      <w:bookmarkStart w:id="731" w:name="_Toc342294765"/>
      <w:bookmarkStart w:id="732" w:name="_Toc455587085"/>
      <w:bookmarkStart w:id="733" w:name="_Toc333600734"/>
      <w:bookmarkStart w:id="734" w:name="_Toc152045580"/>
      <w:bookmarkStart w:id="735" w:name="_Toc338944656"/>
      <w:bookmarkStart w:id="736" w:name="_Toc342296213"/>
      <w:bookmarkStart w:id="737" w:name="_Toc458504870"/>
      <w:bookmarkStart w:id="738" w:name="_Toc466024552"/>
      <w:bookmarkStart w:id="739" w:name="_Toc342297670"/>
      <w:bookmarkStart w:id="740" w:name="_Toc152042357"/>
      <w:bookmarkStart w:id="741" w:name="_Toc445554743"/>
      <w:bookmarkStart w:id="742" w:name="_Toc144974547"/>
      <w:bookmarkStart w:id="743" w:name="_Toc333599710"/>
      <w:bookmarkStart w:id="744" w:name="_Toc338943751"/>
      <w:r>
        <w:rPr>
          <w:rStyle w:val="107"/>
          <w:rFonts w:hint="eastAsia" w:ascii="宋体" w:hAnsi="宋体" w:eastAsia="仿宋"/>
          <w:b/>
          <w:bCs/>
          <w:color w:val="000000"/>
          <w:sz w:val="24"/>
          <w:szCs w:val="24"/>
          <w:highlight w:val="none"/>
        </w:rPr>
        <w:t>11. 政府采购政策</w:t>
      </w:r>
    </w:p>
    <w:p w14:paraId="6777414E">
      <w:pPr>
        <w:pStyle w:val="4"/>
        <w:adjustRightInd w:val="0"/>
        <w:ind w:firstLine="482" w:firstLineChars="200"/>
        <w:rPr>
          <w:rFonts w:hint="eastAsia" w:eastAsia="仿宋"/>
          <w:color w:val="000000"/>
          <w:sz w:val="24"/>
          <w:highlight w:val="none"/>
          <w:lang w:eastAsia="zh-CN"/>
        </w:rPr>
      </w:pPr>
      <w:r>
        <w:rPr>
          <w:rFonts w:hint="eastAsia" w:eastAsia="仿宋"/>
          <w:color w:val="000000"/>
          <w:sz w:val="24"/>
          <w:highlight w:val="none"/>
          <w:lang w:eastAsia="zh-CN"/>
        </w:rPr>
        <w:t>11.1 节能与环保</w:t>
      </w:r>
    </w:p>
    <w:p w14:paraId="49D4BE31">
      <w:pPr>
        <w:widowControl/>
        <w:adjustRightInd w:val="0"/>
        <w:snapToGrid w:val="0"/>
        <w:spacing w:line="360" w:lineRule="auto"/>
        <w:ind w:firstLine="480" w:firstLineChars="200"/>
        <w:rPr>
          <w:rFonts w:hint="eastAsia" w:ascii="宋体" w:hAnsi="宋体" w:eastAsia="仿宋"/>
          <w:color w:val="000000"/>
          <w:sz w:val="24"/>
          <w:highlight w:val="none"/>
          <w:lang w:bidi="en-US"/>
        </w:rPr>
      </w:pPr>
      <w:r>
        <w:rPr>
          <w:rFonts w:hint="eastAsia" w:ascii="宋体" w:hAnsi="宋体" w:eastAsia="仿宋"/>
          <w:color w:val="000000"/>
          <w:sz w:val="24"/>
          <w:highlight w:val="none"/>
          <w:lang w:bidi="en-US"/>
        </w:rPr>
        <w:t>11.1.1 采购标的在《关于印发节能产品政府采购品目清单的通知》（财库〔2019〕19号）清单内的，应当实行强制采购或优先采购。投标人所投产品如不具备国家确定的认证机构出具的、处于有效期内的节字标志认证证书，其投标将被认定为投标无效（产品属于强制采购）或不具有优先采购的条件（产品属于优先采购）。本次招标实行政府强制采购的节能产品详见投标人须知前附表。</w:t>
      </w:r>
    </w:p>
    <w:p w14:paraId="3B6F1CFF">
      <w:pPr>
        <w:widowControl/>
        <w:adjustRightInd w:val="0"/>
        <w:snapToGrid w:val="0"/>
        <w:spacing w:line="360" w:lineRule="auto"/>
        <w:ind w:firstLine="480" w:firstLineChars="200"/>
        <w:rPr>
          <w:rFonts w:hint="eastAsia" w:ascii="宋体" w:hAnsi="宋体" w:eastAsia="仿宋"/>
          <w:color w:val="000000"/>
          <w:sz w:val="24"/>
          <w:highlight w:val="none"/>
          <w:lang w:bidi="en-US"/>
        </w:rPr>
      </w:pPr>
      <w:r>
        <w:rPr>
          <w:rFonts w:hint="eastAsia" w:ascii="宋体" w:hAnsi="宋体" w:eastAsia="仿宋"/>
          <w:color w:val="000000"/>
          <w:sz w:val="24"/>
          <w:highlight w:val="none"/>
          <w:lang w:bidi="en-US"/>
        </w:rPr>
        <w:t>11.1.2 采购标的在《关于印发环境标志产品政府采购品目清单的通知》（财库〔2019〕18号）清单内的，应当实行优先采购。投标人所投产品如不具备国家确定的认证机构出具的、处于有效期内的环境标志产品认证证书，其投标不具有优先采购的条件。</w:t>
      </w:r>
    </w:p>
    <w:p w14:paraId="6A2698CE">
      <w:pPr>
        <w:pStyle w:val="4"/>
        <w:adjustRightInd w:val="0"/>
        <w:ind w:firstLine="482" w:firstLineChars="200"/>
        <w:rPr>
          <w:rFonts w:hint="eastAsia" w:eastAsia="仿宋"/>
          <w:color w:val="000000"/>
          <w:sz w:val="24"/>
          <w:highlight w:val="none"/>
          <w:lang w:eastAsia="zh-CN"/>
        </w:rPr>
      </w:pPr>
      <w:r>
        <w:rPr>
          <w:rFonts w:hint="eastAsia" w:eastAsia="仿宋"/>
          <w:color w:val="000000"/>
          <w:sz w:val="24"/>
          <w:highlight w:val="none"/>
          <w:lang w:eastAsia="zh-CN"/>
        </w:rPr>
        <w:t>11.2 促进中小企业发展</w:t>
      </w:r>
    </w:p>
    <w:p w14:paraId="6080D325">
      <w:pPr>
        <w:widowControl/>
        <w:adjustRightInd w:val="0"/>
        <w:snapToGrid w:val="0"/>
        <w:spacing w:line="360" w:lineRule="auto"/>
        <w:ind w:firstLine="480" w:firstLineChars="200"/>
        <w:rPr>
          <w:rFonts w:ascii="宋体" w:hAnsi="宋体" w:eastAsia="仿宋"/>
          <w:color w:val="000000"/>
          <w:sz w:val="24"/>
          <w:highlight w:val="none"/>
        </w:rPr>
      </w:pPr>
      <w:r>
        <w:rPr>
          <w:rFonts w:hint="eastAsia" w:ascii="宋体" w:hAnsi="宋体" w:eastAsia="仿宋"/>
          <w:color w:val="000000"/>
          <w:sz w:val="24"/>
          <w:highlight w:val="none"/>
        </w:rPr>
        <w:t>11.2.1根据《政府采购促进中小企业发展管理办法》（财库〔2020〕46号）规定，投标人提供的货物、工程或者服务符合下列情形的，享受本条规定的中小企业扶持政策：</w:t>
      </w:r>
    </w:p>
    <w:p w14:paraId="05F16203">
      <w:pPr>
        <w:widowControl/>
        <w:adjustRightInd w:val="0"/>
        <w:snapToGrid w:val="0"/>
        <w:spacing w:line="360" w:lineRule="auto"/>
        <w:ind w:firstLine="480" w:firstLineChars="200"/>
        <w:rPr>
          <w:rFonts w:ascii="宋体" w:hAnsi="宋体" w:eastAsia="仿宋"/>
          <w:color w:val="000000"/>
          <w:sz w:val="24"/>
          <w:highlight w:val="none"/>
        </w:rPr>
      </w:pPr>
      <w:r>
        <w:rPr>
          <w:rFonts w:hint="eastAsia" w:ascii="宋体" w:hAnsi="宋体" w:eastAsia="仿宋"/>
          <w:color w:val="000000"/>
          <w:sz w:val="24"/>
          <w:highlight w:val="none"/>
        </w:rPr>
        <w:t>（1）在货物采购项目中，货物由中小企业制造，即货物由中小企业生产且使用该中小企业商号或者注册商标；</w:t>
      </w:r>
    </w:p>
    <w:p w14:paraId="5F63AAA6">
      <w:pPr>
        <w:widowControl/>
        <w:adjustRightInd w:val="0"/>
        <w:snapToGrid w:val="0"/>
        <w:spacing w:line="360" w:lineRule="auto"/>
        <w:ind w:firstLine="480" w:firstLineChars="200"/>
        <w:rPr>
          <w:rFonts w:ascii="宋体" w:hAnsi="宋体" w:eastAsia="仿宋"/>
          <w:color w:val="000000"/>
          <w:sz w:val="24"/>
          <w:highlight w:val="none"/>
        </w:rPr>
      </w:pPr>
      <w:r>
        <w:rPr>
          <w:rFonts w:hint="eastAsia" w:ascii="宋体" w:hAnsi="宋体" w:eastAsia="仿宋"/>
          <w:color w:val="000000"/>
          <w:sz w:val="24"/>
          <w:highlight w:val="none"/>
        </w:rPr>
        <w:t>（2）在工程采购项目中，工程由中小企业承建，即工程施工单位为中小企业；</w:t>
      </w:r>
    </w:p>
    <w:p w14:paraId="6104A19E">
      <w:pPr>
        <w:widowControl/>
        <w:adjustRightInd w:val="0"/>
        <w:snapToGrid w:val="0"/>
        <w:spacing w:line="360" w:lineRule="auto"/>
        <w:ind w:firstLine="480" w:firstLineChars="200"/>
        <w:rPr>
          <w:rFonts w:ascii="宋体" w:hAnsi="宋体" w:eastAsia="仿宋"/>
          <w:color w:val="000000"/>
          <w:sz w:val="24"/>
          <w:highlight w:val="none"/>
        </w:rPr>
      </w:pPr>
      <w:r>
        <w:rPr>
          <w:rFonts w:hint="eastAsia" w:ascii="宋体" w:hAnsi="宋体" w:eastAsia="仿宋"/>
          <w:color w:val="000000"/>
          <w:sz w:val="24"/>
          <w:highlight w:val="none"/>
        </w:rPr>
        <w:t>（3）在服务采购项目中，服务由中小企业承接，即提供服务的人员为中小企业依照《中华人民共和国劳动合同法》订立劳动合同的从业人员。</w:t>
      </w:r>
    </w:p>
    <w:p w14:paraId="6E10976F">
      <w:pPr>
        <w:widowControl/>
        <w:adjustRightInd w:val="0"/>
        <w:snapToGrid w:val="0"/>
        <w:spacing w:line="360" w:lineRule="auto"/>
        <w:ind w:firstLine="480" w:firstLineChars="200"/>
        <w:rPr>
          <w:rFonts w:ascii="宋体" w:hAnsi="宋体" w:eastAsia="仿宋"/>
          <w:color w:val="000000"/>
          <w:sz w:val="24"/>
          <w:highlight w:val="none"/>
        </w:rPr>
      </w:pPr>
      <w:r>
        <w:rPr>
          <w:rFonts w:hint="eastAsia" w:ascii="宋体" w:hAnsi="宋体" w:eastAsia="仿宋"/>
          <w:color w:val="000000"/>
          <w:sz w:val="24"/>
          <w:highlight w:val="none"/>
        </w:rPr>
        <w:t>在货物采购项目中，供应商提供的货物既有中小企业制造货物，也有大型企业制造货物的，不享受本条规定的中小企业扶持政策。</w:t>
      </w:r>
    </w:p>
    <w:p w14:paraId="6E9F5221">
      <w:pPr>
        <w:widowControl/>
        <w:adjustRightInd w:val="0"/>
        <w:snapToGrid w:val="0"/>
        <w:spacing w:line="360" w:lineRule="auto"/>
        <w:ind w:firstLine="480" w:firstLineChars="200"/>
        <w:rPr>
          <w:rFonts w:hint="eastAsia" w:ascii="宋体" w:hAnsi="宋体" w:eastAsia="仿宋"/>
          <w:color w:val="000000"/>
          <w:sz w:val="24"/>
          <w:highlight w:val="none"/>
        </w:rPr>
      </w:pPr>
      <w:r>
        <w:rPr>
          <w:rFonts w:hint="eastAsia" w:ascii="宋体" w:hAnsi="宋体" w:eastAsia="仿宋"/>
          <w:color w:val="000000"/>
          <w:sz w:val="24"/>
          <w:highlight w:val="none"/>
        </w:rPr>
        <w:t>以联合体形式参加政府采购活动（如接受联合体投标时），联合体各方均为中小企业的，联合体视同中小企业。其中，联合体各方均为小微企业的，联合体视同小微企业。</w:t>
      </w:r>
    </w:p>
    <w:p w14:paraId="4D415D45">
      <w:pPr>
        <w:widowControl/>
        <w:adjustRightInd w:val="0"/>
        <w:snapToGrid w:val="0"/>
        <w:spacing w:line="360" w:lineRule="auto"/>
        <w:ind w:firstLine="480" w:firstLineChars="200"/>
        <w:rPr>
          <w:rFonts w:hint="eastAsia" w:ascii="宋体" w:hAnsi="宋体" w:eastAsia="仿宋"/>
          <w:color w:val="000000"/>
          <w:sz w:val="24"/>
          <w:highlight w:val="none"/>
          <w:lang w:bidi="en-US"/>
        </w:rPr>
      </w:pPr>
      <w:r>
        <w:rPr>
          <w:rFonts w:hint="eastAsia" w:ascii="宋体" w:hAnsi="宋体" w:eastAsia="仿宋"/>
          <w:color w:val="000000"/>
          <w:sz w:val="24"/>
          <w:highlight w:val="none"/>
          <w:lang w:bidi="en-US"/>
        </w:rPr>
        <w:t>中小企业应当在投标文件中提供招标文件规定格式的《中小企业声明函》，并对其真实性负责。</w:t>
      </w:r>
    </w:p>
    <w:p w14:paraId="58B1135C">
      <w:pPr>
        <w:widowControl/>
        <w:adjustRightInd w:val="0"/>
        <w:snapToGrid w:val="0"/>
        <w:spacing w:line="360" w:lineRule="auto"/>
        <w:ind w:firstLine="480" w:firstLineChars="200"/>
        <w:rPr>
          <w:rFonts w:hint="eastAsia" w:ascii="宋体" w:hAnsi="宋体" w:eastAsia="仿宋"/>
          <w:color w:val="000000"/>
          <w:sz w:val="24"/>
          <w:highlight w:val="none"/>
          <w:lang w:bidi="en-US"/>
        </w:rPr>
      </w:pPr>
      <w:r>
        <w:rPr>
          <w:rFonts w:hint="eastAsia" w:ascii="宋体" w:hAnsi="宋体" w:eastAsia="仿宋"/>
          <w:color w:val="000000"/>
          <w:sz w:val="24"/>
          <w:highlight w:val="none"/>
          <w:lang w:bidi="en-US"/>
        </w:rPr>
        <w:t>中小企业划型标准见工信部联企业〔2011〕300号文件。</w:t>
      </w:r>
    </w:p>
    <w:p w14:paraId="3892F89D">
      <w:pPr>
        <w:widowControl/>
        <w:adjustRightInd w:val="0"/>
        <w:snapToGrid w:val="0"/>
        <w:spacing w:line="360" w:lineRule="auto"/>
        <w:ind w:firstLine="480" w:firstLineChars="200"/>
        <w:rPr>
          <w:rFonts w:hint="eastAsia" w:ascii="宋体" w:hAnsi="宋体" w:eastAsia="仿宋"/>
          <w:color w:val="000000"/>
          <w:sz w:val="24"/>
          <w:highlight w:val="none"/>
        </w:rPr>
      </w:pPr>
      <w:r>
        <w:rPr>
          <w:rFonts w:hint="eastAsia" w:ascii="宋体" w:hAnsi="宋体" w:eastAsia="仿宋"/>
          <w:color w:val="000000"/>
          <w:sz w:val="24"/>
          <w:highlight w:val="none"/>
        </w:rPr>
        <w:t>11.2.2投标人须知前附表第1.1.7项规定本项目属于专门面向中小企业（含中型、小型、微型企业，下同）采购的，投标人应符合本章第11.2.1项规定外，还应符合本项目的资格要求。</w:t>
      </w:r>
    </w:p>
    <w:p w14:paraId="7FCC9FF8">
      <w:pPr>
        <w:widowControl/>
        <w:adjustRightInd w:val="0"/>
        <w:snapToGrid w:val="0"/>
        <w:spacing w:line="360" w:lineRule="auto"/>
        <w:ind w:firstLine="480" w:firstLineChars="200"/>
        <w:rPr>
          <w:rFonts w:hint="eastAsia" w:ascii="宋体" w:hAnsi="宋体" w:eastAsia="仿宋"/>
          <w:color w:val="000000"/>
          <w:sz w:val="24"/>
          <w:highlight w:val="none"/>
          <w:lang w:bidi="en-US"/>
        </w:rPr>
      </w:pPr>
      <w:r>
        <w:rPr>
          <w:rFonts w:hint="eastAsia" w:ascii="宋体" w:hAnsi="宋体" w:eastAsia="仿宋"/>
          <w:color w:val="000000"/>
          <w:sz w:val="24"/>
          <w:highlight w:val="none"/>
          <w:lang w:bidi="en-US"/>
        </w:rPr>
        <w:t>11.2.3</w:t>
      </w:r>
      <w:r>
        <w:rPr>
          <w:rFonts w:hint="eastAsia" w:ascii="宋体" w:hAnsi="宋体" w:eastAsia="仿宋"/>
          <w:color w:val="000000"/>
          <w:sz w:val="24"/>
          <w:highlight w:val="none"/>
        </w:rPr>
        <w:t>投标人须知前附表第1.1.7项规定</w:t>
      </w:r>
      <w:r>
        <w:rPr>
          <w:rFonts w:hint="eastAsia" w:ascii="宋体" w:hAnsi="宋体" w:eastAsia="仿宋"/>
          <w:color w:val="000000"/>
          <w:sz w:val="24"/>
          <w:highlight w:val="none"/>
          <w:lang w:bidi="en-US"/>
        </w:rPr>
        <w:t>本项目属于未预留份额专门面向中小企业采购的采购项目，以及预留份额项目中的非预留部分采购时，对小微企业的投标报价按照投标人须知前附表规定的比例给予扣除；</w:t>
      </w:r>
      <w:r>
        <w:rPr>
          <w:rFonts w:hint="eastAsia" w:ascii="宋体" w:hAnsi="宋体" w:eastAsia="仿宋"/>
          <w:color w:val="000000"/>
          <w:sz w:val="24"/>
          <w:highlight w:val="none"/>
        </w:rPr>
        <w:t>接受大中型企业与小微企业组成联合体或者允许大中型企业向一家或者多家小微企业分包的，对于联合协议或者分包意向协议约定小微企业的合同份额占到合同总金额30%以上的，对联合体或者大中型企业的报价按照投标人须知前附表规定的比例给予报价扣除。用扣除后的价格参加评审。组成联合体或者接受分包的小微企业与联合体内其他企业、分包企业之间存在直接控股、管理关系的，不享受价格扣除优惠政策。</w:t>
      </w:r>
    </w:p>
    <w:p w14:paraId="57AC2415">
      <w:pPr>
        <w:widowControl/>
        <w:adjustRightInd w:val="0"/>
        <w:snapToGrid w:val="0"/>
        <w:spacing w:line="360" w:lineRule="auto"/>
        <w:ind w:firstLine="480" w:firstLineChars="200"/>
        <w:rPr>
          <w:rFonts w:hint="eastAsia" w:ascii="宋体" w:hAnsi="宋体" w:eastAsia="仿宋"/>
          <w:color w:val="000000"/>
          <w:sz w:val="24"/>
          <w:highlight w:val="none"/>
          <w:lang w:bidi="en-US"/>
        </w:rPr>
      </w:pPr>
      <w:r>
        <w:rPr>
          <w:rFonts w:hint="eastAsia" w:ascii="宋体" w:hAnsi="宋体" w:eastAsia="仿宋"/>
          <w:color w:val="000000"/>
          <w:sz w:val="24"/>
          <w:highlight w:val="none"/>
          <w:lang w:bidi="en-US"/>
        </w:rPr>
        <w:t>11.2.4 根据《关于政府采购支持监狱企业发展有关问题的通知》(财库〔2014〕68号)，监狱企业视同小型、微型企业。监狱企业参加政府采购活动时，提供由省级以上监狱管理局、戒毒管理局(含新疆生产建设兵团)出具的属于监狱企业的证明文件，无需提供《中小企业声明函》。</w:t>
      </w:r>
    </w:p>
    <w:p w14:paraId="00B54274">
      <w:pPr>
        <w:widowControl/>
        <w:adjustRightInd w:val="0"/>
        <w:snapToGrid w:val="0"/>
        <w:spacing w:line="360" w:lineRule="auto"/>
        <w:ind w:firstLine="480" w:firstLineChars="200"/>
        <w:rPr>
          <w:rFonts w:hint="eastAsia" w:ascii="宋体" w:hAnsi="宋体" w:eastAsia="仿宋"/>
          <w:color w:val="000000"/>
          <w:sz w:val="24"/>
          <w:highlight w:val="none"/>
          <w:lang w:bidi="en-US"/>
        </w:rPr>
      </w:pPr>
      <w:r>
        <w:rPr>
          <w:rFonts w:hint="eastAsia" w:ascii="宋体" w:hAnsi="宋体" w:eastAsia="仿宋"/>
          <w:color w:val="000000"/>
          <w:sz w:val="24"/>
          <w:highlight w:val="none"/>
          <w:lang w:bidi="en-US"/>
        </w:rPr>
        <w:t>11.2.5 按照《财政部 民政部 中国残疾人联合会关于促进残疾人就业政府采购政策的通知》（财库〔2017〕141号）的规定，在</w:t>
      </w:r>
      <w:r>
        <w:rPr>
          <w:rFonts w:hint="eastAsia" w:ascii="宋体" w:hAnsi="宋体" w:eastAsia="仿宋"/>
          <w:color w:val="000000"/>
          <w:sz w:val="24"/>
          <w:highlight w:val="none"/>
        </w:rPr>
        <w:t>政府</w:t>
      </w:r>
      <w:r>
        <w:rPr>
          <w:rFonts w:hint="eastAsia" w:ascii="宋体" w:hAnsi="宋体" w:eastAsia="仿宋"/>
          <w:color w:val="000000"/>
          <w:sz w:val="24"/>
          <w:highlight w:val="none"/>
          <w:lang w:bidi="en-US"/>
        </w:rPr>
        <w:t>采购活动中，符合条件的残疾人福利性单位视同小型、微型企业，享受评审价格扣除的政府采购政策。符合条件的残疾人福利性单位在参加政府采购活动时，应当提供招标文件规定格式的《残疾人福利性单位声明函》，无需提供《中小企业声明函》。</w:t>
      </w:r>
    </w:p>
    <w:p w14:paraId="0E2FEBEF">
      <w:pPr>
        <w:widowControl/>
        <w:adjustRightInd w:val="0"/>
        <w:snapToGrid w:val="0"/>
        <w:spacing w:line="360" w:lineRule="auto"/>
        <w:ind w:firstLine="480" w:firstLineChars="200"/>
        <w:rPr>
          <w:rFonts w:ascii="宋体" w:hAnsi="宋体" w:eastAsia="仿宋"/>
          <w:color w:val="000000"/>
          <w:sz w:val="24"/>
          <w:highlight w:val="none"/>
          <w:lang w:bidi="en-US"/>
        </w:rPr>
      </w:pPr>
      <w:r>
        <w:rPr>
          <w:rFonts w:hint="eastAsia" w:ascii="宋体" w:hAnsi="宋体" w:eastAsia="仿宋"/>
          <w:color w:val="000000"/>
          <w:sz w:val="24"/>
          <w:highlight w:val="none"/>
          <w:lang w:bidi="en-US"/>
        </w:rPr>
        <w:t>11.2.6 监狱企业、残疾人福利性单位属于小微企业的，不重复享受中小企业价格评审优惠政策。</w:t>
      </w:r>
    </w:p>
    <w:p w14:paraId="5A7B3106">
      <w:pPr>
        <w:widowControl/>
        <w:adjustRightInd w:val="0"/>
        <w:snapToGrid w:val="0"/>
        <w:spacing w:line="360" w:lineRule="auto"/>
        <w:ind w:firstLine="482" w:firstLineChars="200"/>
        <w:outlineLvl w:val="2"/>
        <w:rPr>
          <w:rFonts w:hint="eastAsia" w:ascii="宋体" w:hAnsi="宋体" w:eastAsia="仿宋"/>
          <w:b/>
          <w:bCs/>
          <w:color w:val="000000"/>
          <w:kern w:val="0"/>
          <w:sz w:val="24"/>
          <w:highlight w:val="none"/>
          <w:lang w:bidi="en-US"/>
        </w:rPr>
      </w:pPr>
      <w:r>
        <w:rPr>
          <w:rFonts w:hint="eastAsia" w:ascii="宋体" w:hAnsi="宋体" w:eastAsia="仿宋"/>
          <w:b/>
          <w:bCs/>
          <w:color w:val="000000"/>
          <w:kern w:val="0"/>
          <w:sz w:val="24"/>
          <w:highlight w:val="none"/>
          <w:lang w:bidi="en-US"/>
        </w:rPr>
        <w:t>11.3 采购本国货物、工程和服务</w:t>
      </w:r>
    </w:p>
    <w:p w14:paraId="43CD433B">
      <w:pPr>
        <w:widowControl/>
        <w:adjustRightInd w:val="0"/>
        <w:snapToGrid w:val="0"/>
        <w:spacing w:line="360" w:lineRule="auto"/>
        <w:ind w:firstLine="480" w:firstLineChars="200"/>
        <w:rPr>
          <w:rFonts w:ascii="宋体" w:hAnsi="宋体" w:eastAsia="仿宋"/>
          <w:color w:val="000000"/>
          <w:sz w:val="24"/>
          <w:highlight w:val="none"/>
          <w:lang w:bidi="en-US"/>
        </w:rPr>
      </w:pPr>
      <w:r>
        <w:rPr>
          <w:rFonts w:hint="eastAsia" w:ascii="宋体" w:hAnsi="宋体" w:eastAsia="仿宋"/>
          <w:color w:val="000000"/>
          <w:sz w:val="24"/>
          <w:highlight w:val="none"/>
          <w:lang w:bidi="en-US"/>
        </w:rPr>
        <w:t>11</w:t>
      </w:r>
      <w:r>
        <w:rPr>
          <w:rFonts w:ascii="宋体" w:hAnsi="宋体" w:eastAsia="仿宋"/>
          <w:color w:val="000000"/>
          <w:sz w:val="24"/>
          <w:highlight w:val="none"/>
          <w:lang w:bidi="en-US"/>
        </w:rPr>
        <w:t>.</w:t>
      </w:r>
      <w:r>
        <w:rPr>
          <w:rFonts w:hint="eastAsia" w:ascii="宋体" w:hAnsi="宋体" w:eastAsia="仿宋"/>
          <w:color w:val="000000"/>
          <w:sz w:val="24"/>
          <w:highlight w:val="none"/>
          <w:lang w:bidi="en-US"/>
        </w:rPr>
        <w:t>3</w:t>
      </w:r>
      <w:r>
        <w:rPr>
          <w:rFonts w:ascii="宋体" w:hAnsi="宋体" w:eastAsia="仿宋"/>
          <w:color w:val="000000"/>
          <w:sz w:val="24"/>
          <w:highlight w:val="none"/>
          <w:lang w:bidi="en-US"/>
        </w:rPr>
        <w:t>.1 政府采购应当采购本国货物、工程和服务。但有《中华人民共和国政府采购法》第十条规定情形的除外。</w:t>
      </w:r>
    </w:p>
    <w:p w14:paraId="0E8CFF83">
      <w:pPr>
        <w:widowControl/>
        <w:adjustRightInd w:val="0"/>
        <w:snapToGrid w:val="0"/>
        <w:spacing w:line="360" w:lineRule="auto"/>
        <w:ind w:firstLine="480" w:firstLineChars="200"/>
        <w:rPr>
          <w:rFonts w:ascii="宋体" w:hAnsi="宋体" w:eastAsia="仿宋"/>
          <w:color w:val="000000"/>
          <w:sz w:val="24"/>
          <w:highlight w:val="none"/>
          <w:lang w:bidi="en-US"/>
        </w:rPr>
      </w:pPr>
      <w:r>
        <w:rPr>
          <w:rFonts w:hint="eastAsia" w:ascii="宋体" w:hAnsi="宋体" w:eastAsia="仿宋"/>
          <w:color w:val="000000"/>
          <w:sz w:val="24"/>
          <w:highlight w:val="none"/>
          <w:lang w:bidi="en-US"/>
        </w:rPr>
        <w:t>11</w:t>
      </w:r>
      <w:r>
        <w:rPr>
          <w:rFonts w:ascii="宋体" w:hAnsi="宋体" w:eastAsia="仿宋"/>
          <w:color w:val="000000"/>
          <w:sz w:val="24"/>
          <w:highlight w:val="none"/>
          <w:lang w:bidi="en-US"/>
        </w:rPr>
        <w:t>.</w:t>
      </w:r>
      <w:r>
        <w:rPr>
          <w:rFonts w:hint="eastAsia" w:ascii="宋体" w:hAnsi="宋体" w:eastAsia="仿宋"/>
          <w:color w:val="000000"/>
          <w:sz w:val="24"/>
          <w:highlight w:val="none"/>
          <w:lang w:bidi="en-US"/>
        </w:rPr>
        <w:t>3</w:t>
      </w:r>
      <w:r>
        <w:rPr>
          <w:rFonts w:ascii="宋体" w:hAnsi="宋体" w:eastAsia="仿宋"/>
          <w:color w:val="000000"/>
          <w:sz w:val="24"/>
          <w:highlight w:val="none"/>
          <w:lang w:bidi="en-US"/>
        </w:rPr>
        <w:t>.2 本项目进口产品采购情况见投标人须知前附表。本项目如接受非本国货物、工程、服务参与投标，则具体要求见第</w:t>
      </w:r>
      <w:r>
        <w:rPr>
          <w:rFonts w:hint="eastAsia" w:ascii="宋体" w:hAnsi="宋体" w:eastAsia="仿宋"/>
          <w:color w:val="000000"/>
          <w:sz w:val="24"/>
          <w:highlight w:val="none"/>
          <w:lang w:bidi="en-US"/>
        </w:rPr>
        <w:t>三</w:t>
      </w:r>
      <w:r>
        <w:rPr>
          <w:rFonts w:ascii="宋体" w:hAnsi="宋体" w:eastAsia="仿宋"/>
          <w:color w:val="000000"/>
          <w:sz w:val="24"/>
          <w:highlight w:val="none"/>
          <w:lang w:bidi="en-US"/>
        </w:rPr>
        <w:t>章《采购需求》。</w:t>
      </w:r>
    </w:p>
    <w:p w14:paraId="2C91951A">
      <w:pPr>
        <w:widowControl/>
        <w:adjustRightInd w:val="0"/>
        <w:snapToGrid w:val="0"/>
        <w:spacing w:line="360" w:lineRule="auto"/>
        <w:ind w:firstLine="480" w:firstLineChars="200"/>
        <w:rPr>
          <w:rFonts w:ascii="宋体" w:hAnsi="宋体" w:eastAsia="仿宋"/>
          <w:color w:val="000000"/>
          <w:sz w:val="24"/>
          <w:highlight w:val="none"/>
          <w:lang w:bidi="en-US"/>
        </w:rPr>
      </w:pPr>
      <w:r>
        <w:rPr>
          <w:rFonts w:hint="eastAsia" w:ascii="宋体" w:hAnsi="宋体" w:eastAsia="仿宋"/>
          <w:color w:val="000000"/>
          <w:sz w:val="24"/>
          <w:highlight w:val="none"/>
          <w:lang w:bidi="en-US"/>
        </w:rPr>
        <w:t>11</w:t>
      </w:r>
      <w:r>
        <w:rPr>
          <w:rFonts w:ascii="宋体" w:hAnsi="宋体" w:eastAsia="仿宋"/>
          <w:color w:val="000000"/>
          <w:sz w:val="24"/>
          <w:highlight w:val="none"/>
          <w:lang w:bidi="en-US"/>
        </w:rPr>
        <w:t>.</w:t>
      </w:r>
      <w:r>
        <w:rPr>
          <w:rFonts w:hint="eastAsia" w:ascii="宋体" w:hAnsi="宋体" w:eastAsia="仿宋"/>
          <w:color w:val="000000"/>
          <w:sz w:val="24"/>
          <w:highlight w:val="none"/>
          <w:lang w:bidi="en-US"/>
        </w:rPr>
        <w:t>3</w:t>
      </w:r>
      <w:r>
        <w:rPr>
          <w:rFonts w:ascii="宋体" w:hAnsi="宋体" w:eastAsia="仿宋"/>
          <w:color w:val="000000"/>
          <w:sz w:val="24"/>
          <w:highlight w:val="none"/>
          <w:lang w:bidi="en-US"/>
        </w:rPr>
        <w:t>.3 进口产品指通过中国海关报关验放进入中国境内且产自关境外的产品，包括已经进入中国境内的进口产品。关于进口产品的相关规定依据《政府采购进口产品管理办法》（财库〔2007〕119号文）、《关于政府采购进口产品管理有关问题的通知》（财办库〔2008〕248号文）。</w:t>
      </w:r>
    </w:p>
    <w:p w14:paraId="72439B4D">
      <w:pPr>
        <w:widowControl/>
        <w:adjustRightInd w:val="0"/>
        <w:snapToGrid w:val="0"/>
        <w:spacing w:line="360" w:lineRule="auto"/>
        <w:ind w:firstLine="482" w:firstLineChars="200"/>
        <w:outlineLvl w:val="2"/>
        <w:rPr>
          <w:rFonts w:hint="eastAsia" w:ascii="宋体" w:hAnsi="宋体" w:eastAsia="仿宋"/>
          <w:b/>
          <w:bCs/>
          <w:color w:val="000000"/>
          <w:kern w:val="0"/>
          <w:sz w:val="24"/>
          <w:highlight w:val="none"/>
          <w:lang w:bidi="en-US"/>
        </w:rPr>
      </w:pPr>
      <w:r>
        <w:rPr>
          <w:rFonts w:hint="eastAsia" w:ascii="宋体" w:hAnsi="宋体" w:eastAsia="仿宋"/>
          <w:b/>
          <w:bCs/>
          <w:color w:val="000000"/>
          <w:kern w:val="0"/>
          <w:sz w:val="24"/>
          <w:highlight w:val="none"/>
          <w:lang w:bidi="en-US"/>
        </w:rPr>
        <w:t>11.4 需要执行的其他政府采购政策</w:t>
      </w:r>
    </w:p>
    <w:p w14:paraId="5ABB2402">
      <w:pPr>
        <w:widowControl/>
        <w:adjustRightInd w:val="0"/>
        <w:snapToGrid w:val="0"/>
        <w:spacing w:line="360" w:lineRule="auto"/>
        <w:ind w:firstLine="480" w:firstLineChars="200"/>
        <w:rPr>
          <w:rFonts w:ascii="宋体" w:hAnsi="宋体" w:eastAsia="仿宋"/>
          <w:color w:val="000000"/>
          <w:sz w:val="24"/>
          <w:highlight w:val="none"/>
          <w:lang w:bidi="en-US"/>
        </w:rPr>
      </w:pPr>
      <w:r>
        <w:rPr>
          <w:rFonts w:hint="eastAsia" w:ascii="宋体" w:hAnsi="宋体" w:eastAsia="仿宋"/>
          <w:color w:val="000000"/>
          <w:sz w:val="24"/>
          <w:highlight w:val="none"/>
          <w:lang w:bidi="en-US"/>
        </w:rPr>
        <w:t>需要执行的其他政府采购政策：见投标人须知前附表。</w:t>
      </w:r>
    </w:p>
    <w:p w14:paraId="3AB8B147">
      <w:pPr>
        <w:pStyle w:val="3"/>
        <w:rPr>
          <w:rStyle w:val="107"/>
          <w:rFonts w:hint="eastAsia" w:ascii="宋体" w:hAnsi="宋体" w:eastAsia="仿宋"/>
          <w:b/>
          <w:bCs/>
          <w:color w:val="000000"/>
          <w:sz w:val="24"/>
          <w:szCs w:val="24"/>
          <w:highlight w:val="none"/>
        </w:rPr>
      </w:pPr>
      <w:r>
        <w:rPr>
          <w:rStyle w:val="107"/>
          <w:rFonts w:hint="eastAsia" w:ascii="宋体" w:hAnsi="宋体" w:eastAsia="仿宋"/>
          <w:b/>
          <w:bCs/>
          <w:color w:val="000000"/>
          <w:sz w:val="24"/>
          <w:szCs w:val="24"/>
          <w:highlight w:val="none"/>
        </w:rPr>
        <w:t>12. 需要补充的其他内容</w:t>
      </w:r>
    </w:p>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p w14:paraId="22BB5000">
      <w:pPr>
        <w:widowControl/>
        <w:adjustRightInd w:val="0"/>
        <w:snapToGrid w:val="0"/>
        <w:spacing w:line="360" w:lineRule="auto"/>
        <w:ind w:firstLine="480" w:firstLineChars="200"/>
        <w:rPr>
          <w:rFonts w:hint="eastAsia" w:eastAsia="仿宋"/>
          <w:color w:val="000000"/>
          <w:sz w:val="24"/>
          <w:highlight w:val="none"/>
          <w:lang w:bidi="en-US"/>
        </w:rPr>
      </w:pPr>
      <w:bookmarkStart w:id="745" w:name="_Toc445554745"/>
      <w:bookmarkStart w:id="746" w:name="_Toc455587087"/>
      <w:bookmarkStart w:id="747" w:name="_Toc466024554"/>
      <w:bookmarkStart w:id="748" w:name="_Toc458504872"/>
      <w:bookmarkStart w:id="749" w:name="_Toc455587271"/>
      <w:r>
        <w:rPr>
          <w:rFonts w:hint="eastAsia" w:eastAsia="仿宋"/>
          <w:color w:val="000000"/>
          <w:sz w:val="24"/>
          <w:highlight w:val="none"/>
          <w:lang w:bidi="en-US"/>
        </w:rPr>
        <w:t>需要补充的其他内容</w:t>
      </w:r>
      <w:bookmarkEnd w:id="745"/>
      <w:bookmarkEnd w:id="746"/>
      <w:bookmarkEnd w:id="747"/>
      <w:bookmarkEnd w:id="748"/>
      <w:bookmarkEnd w:id="749"/>
      <w:r>
        <w:rPr>
          <w:rFonts w:hint="eastAsia" w:eastAsia="仿宋"/>
          <w:color w:val="000000"/>
          <w:sz w:val="24"/>
          <w:highlight w:val="none"/>
          <w:lang w:bidi="en-US"/>
        </w:rPr>
        <w:t>：见投标人须知前附表。</w:t>
      </w:r>
    </w:p>
    <w:p w14:paraId="04D0B897">
      <w:pPr>
        <w:pStyle w:val="3"/>
        <w:jc w:val="center"/>
        <w:rPr>
          <w:rFonts w:eastAsia="黑体"/>
          <w:highlight w:val="none"/>
        </w:rPr>
      </w:pPr>
      <w:r>
        <w:rPr>
          <w:rFonts w:ascii="宋体" w:hAnsi="宋体" w:eastAsia="仿宋"/>
          <w:szCs w:val="21"/>
          <w:highlight w:val="none"/>
        </w:rPr>
        <w:br w:type="page"/>
      </w:r>
      <w:bookmarkStart w:id="750" w:name="_Toc24418"/>
      <w:bookmarkStart w:id="751" w:name="_Hlk44246314"/>
      <w:r>
        <w:rPr>
          <w:rFonts w:eastAsia="黑体"/>
          <w:highlight w:val="none"/>
        </w:rPr>
        <w:t>附件</w:t>
      </w:r>
      <w:r>
        <w:rPr>
          <w:rFonts w:hint="eastAsia" w:eastAsia="黑体"/>
          <w:highlight w:val="none"/>
        </w:rPr>
        <w:t>一</w:t>
      </w:r>
      <w:r>
        <w:rPr>
          <w:rFonts w:eastAsia="黑体"/>
          <w:highlight w:val="none"/>
        </w:rPr>
        <w:t>：</w:t>
      </w:r>
      <w:r>
        <w:rPr>
          <w:rFonts w:hint="eastAsia" w:eastAsia="黑体"/>
          <w:highlight w:val="none"/>
        </w:rPr>
        <w:t>全流程电子招标采购</w:t>
      </w:r>
      <w:r>
        <w:rPr>
          <w:rFonts w:eastAsia="黑体"/>
          <w:highlight w:val="none"/>
        </w:rPr>
        <w:t>具体要求</w:t>
      </w:r>
      <w:bookmarkEnd w:id="750"/>
    </w:p>
    <w:bookmarkEnd w:id="751"/>
    <w:p w14:paraId="64351128">
      <w:pPr>
        <w:spacing w:line="400" w:lineRule="exact"/>
        <w:ind w:firstLine="420" w:firstLineChars="200"/>
        <w:rPr>
          <w:rFonts w:ascii="黑体" w:hAnsi="黑体" w:eastAsia="黑体"/>
          <w:highlight w:val="none"/>
        </w:rPr>
      </w:pPr>
      <w:r>
        <w:rPr>
          <w:rFonts w:hint="eastAsia" w:ascii="黑体" w:hAnsi="黑体" w:eastAsia="黑体"/>
          <w:highlight w:val="none"/>
        </w:rPr>
        <w:t>说明：当采用非招标方式进行全流程电子采购活动时，按照本规定执行，其中本要求“投标人”按“供应商”理解，“投标文件”按“响应文件”理解，“招标文件”按“采购文件”理解，“投标文件递交截止时间”按“首次递交响应文件截止时间”理解，“开标”按“开启响应文件”理解，“</w:t>
      </w:r>
      <w:r>
        <w:rPr>
          <w:rFonts w:ascii="黑体" w:hAnsi="黑体" w:eastAsia="黑体"/>
          <w:highlight w:val="none"/>
        </w:rPr>
        <w:t>评标委员会</w:t>
      </w:r>
      <w:r>
        <w:rPr>
          <w:rFonts w:hint="eastAsia" w:ascii="黑体" w:hAnsi="黑体" w:eastAsia="黑体"/>
          <w:highlight w:val="none"/>
        </w:rPr>
        <w:t>”按“评审小组”理解，“投标无效”按“响应文件无效”理解。</w:t>
      </w:r>
    </w:p>
    <w:p w14:paraId="3267F280">
      <w:pPr>
        <w:spacing w:line="400" w:lineRule="exact"/>
        <w:ind w:firstLine="420" w:firstLineChars="200"/>
        <w:rPr>
          <w:rFonts w:ascii="黑体" w:hAnsi="黑体" w:eastAsia="黑体"/>
          <w:highlight w:val="none"/>
        </w:rPr>
      </w:pPr>
    </w:p>
    <w:p w14:paraId="31080B2F">
      <w:pPr>
        <w:spacing w:line="400" w:lineRule="exact"/>
        <w:ind w:firstLine="420" w:firstLineChars="200"/>
        <w:rPr>
          <w:rFonts w:hint="eastAsia" w:ascii="黑体" w:hAnsi="黑体" w:eastAsia="黑体"/>
          <w:highlight w:val="none"/>
        </w:rPr>
      </w:pPr>
      <w:r>
        <w:rPr>
          <w:rFonts w:hint="eastAsia" w:ascii="黑体" w:hAnsi="黑体" w:eastAsia="黑体"/>
          <w:highlight w:val="none"/>
        </w:rPr>
        <w:t>一</w:t>
      </w:r>
      <w:r>
        <w:rPr>
          <w:rFonts w:ascii="黑体" w:hAnsi="黑体" w:eastAsia="黑体"/>
          <w:highlight w:val="none"/>
        </w:rPr>
        <w:t>、</w:t>
      </w:r>
      <w:r>
        <w:rPr>
          <w:rFonts w:hint="eastAsia"/>
          <w:highlight w:val="none"/>
        </w:rPr>
        <w:t>CA</w:t>
      </w:r>
      <w:r>
        <w:rPr>
          <w:rFonts w:hint="eastAsia" w:ascii="黑体" w:hAnsi="黑体" w:eastAsia="黑体"/>
          <w:highlight w:val="none"/>
        </w:rPr>
        <w:t>证书办理和</w:t>
      </w:r>
      <w:r>
        <w:rPr>
          <w:rFonts w:ascii="黑体" w:hAnsi="黑体" w:eastAsia="黑体"/>
          <w:highlight w:val="none"/>
        </w:rPr>
        <w:t>注意事项</w:t>
      </w:r>
    </w:p>
    <w:p w14:paraId="5DF89C1E">
      <w:pPr>
        <w:spacing w:line="400" w:lineRule="exact"/>
        <w:ind w:firstLine="420" w:firstLineChars="200"/>
        <w:rPr>
          <w:highlight w:val="none"/>
        </w:rPr>
      </w:pPr>
      <w:r>
        <w:rPr>
          <w:rFonts w:ascii="宋体" w:hAnsi="宋体"/>
          <w:highlight w:val="none"/>
        </w:rPr>
        <w:t>1.</w:t>
      </w:r>
      <w:r>
        <w:rPr>
          <w:rFonts w:hint="eastAsia" w:ascii="宋体" w:hAnsi="宋体"/>
          <w:highlight w:val="none"/>
        </w:rPr>
        <w:t>本项目采用全流程电子招标采购方式，</w:t>
      </w:r>
      <w:r>
        <w:rPr>
          <w:rFonts w:hint="eastAsia"/>
          <w:highlight w:val="none"/>
        </w:rPr>
        <w:t>潜在投标人应及时办理CA证书，用于对投标文件进行电子签章及加、解密。</w:t>
      </w:r>
    </w:p>
    <w:p w14:paraId="21885F41">
      <w:pPr>
        <w:spacing w:line="400" w:lineRule="exact"/>
        <w:ind w:firstLine="420" w:firstLineChars="200"/>
        <w:rPr>
          <w:bCs/>
          <w:color w:val="000000"/>
          <w:highlight w:val="none"/>
        </w:rPr>
      </w:pPr>
      <w:r>
        <w:rPr>
          <w:rFonts w:ascii="宋体" w:hAnsi="宋体"/>
          <w:highlight w:val="none"/>
        </w:rPr>
        <w:t>2.</w:t>
      </w:r>
      <w:r>
        <w:rPr>
          <w:rFonts w:hint="eastAsia" w:ascii="宋体" w:hAnsi="宋体"/>
          <w:highlight w:val="none"/>
        </w:rPr>
        <w:t>CA</w:t>
      </w:r>
      <w:r>
        <w:rPr>
          <w:rFonts w:hint="eastAsia"/>
          <w:highlight w:val="none"/>
        </w:rPr>
        <w:t>证书</w:t>
      </w:r>
      <w:r>
        <w:rPr>
          <w:rFonts w:hint="eastAsia" w:ascii="宋体" w:hAnsi="宋体"/>
          <w:highlight w:val="none"/>
        </w:rPr>
        <w:t>办理详</w:t>
      </w:r>
      <w:r>
        <w:rPr>
          <w:rFonts w:hint="eastAsia" w:ascii="宋体" w:hAnsi="宋体"/>
          <w:color w:val="000000"/>
          <w:highlight w:val="none"/>
        </w:rPr>
        <w:t>见</w:t>
      </w:r>
      <w:r>
        <w:rPr>
          <w:rFonts w:hint="eastAsia"/>
          <w:bCs/>
          <w:color w:val="000000"/>
          <w:highlight w:val="none"/>
        </w:rPr>
        <w:t>《优质采平台CA数字证书办理说明》：</w:t>
      </w:r>
    </w:p>
    <w:p w14:paraId="02A280AD">
      <w:pPr>
        <w:spacing w:line="400" w:lineRule="exact"/>
        <w:rPr>
          <w:rFonts w:hint="eastAsia"/>
          <w:b/>
          <w:bCs/>
          <w:color w:val="000000"/>
          <w:highlight w:val="none"/>
        </w:rPr>
      </w:pPr>
      <w:r>
        <w:rPr>
          <w:bCs/>
          <w:color w:val="000000"/>
          <w:highlight w:val="none"/>
          <w:u w:val="single"/>
        </w:rPr>
        <w:fldChar w:fldCharType="begin"/>
      </w:r>
      <w:r>
        <w:rPr>
          <w:bCs/>
          <w:color w:val="000000"/>
          <w:highlight w:val="none"/>
          <w:u w:val="single"/>
        </w:rPr>
        <w:instrText xml:space="preserve"> HYPERLINK "http://www.youzhicai.com/ActivityTopic/AdviceDetail/8f80a7ec-911f-4c4d-a123-f8849880f045" </w:instrText>
      </w:r>
      <w:r>
        <w:rPr>
          <w:bCs/>
          <w:color w:val="000000"/>
          <w:highlight w:val="none"/>
          <w:u w:val="single"/>
        </w:rPr>
        <w:fldChar w:fldCharType="separate"/>
      </w:r>
      <w:r>
        <w:rPr>
          <w:rStyle w:val="58"/>
          <w:bCs/>
          <w:color w:val="000000"/>
          <w:highlight w:val="none"/>
        </w:rPr>
        <w:t>http://www.youzhicai.com/ActivityTopic/AdviceDetail/8f80a7ec-911f-4c4d-a123-f</w:t>
      </w:r>
      <w:bookmarkStart w:id="752" w:name="_Hlt105085548"/>
      <w:bookmarkStart w:id="753" w:name="_Hlt105085547"/>
      <w:r>
        <w:rPr>
          <w:rStyle w:val="58"/>
          <w:bCs/>
          <w:color w:val="000000"/>
          <w:highlight w:val="none"/>
        </w:rPr>
        <w:t>8</w:t>
      </w:r>
      <w:bookmarkEnd w:id="752"/>
      <w:bookmarkEnd w:id="753"/>
      <w:r>
        <w:rPr>
          <w:rStyle w:val="58"/>
          <w:bCs/>
          <w:color w:val="000000"/>
          <w:highlight w:val="none"/>
        </w:rPr>
        <w:t>849880f045</w:t>
      </w:r>
      <w:r>
        <w:rPr>
          <w:bCs/>
          <w:color w:val="000000"/>
          <w:highlight w:val="none"/>
          <w:u w:val="single"/>
        </w:rPr>
        <w:fldChar w:fldCharType="end"/>
      </w:r>
      <w:r>
        <w:rPr>
          <w:bCs/>
          <w:color w:val="000000"/>
          <w:highlight w:val="none"/>
        </w:rPr>
        <w:t>。</w:t>
      </w:r>
    </w:p>
    <w:p w14:paraId="317B08AC">
      <w:pPr>
        <w:spacing w:line="400" w:lineRule="exact"/>
        <w:ind w:firstLine="420" w:firstLineChars="200"/>
        <w:rPr>
          <w:color w:val="000000"/>
          <w:highlight w:val="none"/>
        </w:rPr>
      </w:pPr>
      <w:r>
        <w:rPr>
          <w:rFonts w:ascii="宋体" w:hAnsi="宋体"/>
          <w:color w:val="000000"/>
          <w:highlight w:val="none"/>
        </w:rPr>
        <w:t>3.</w:t>
      </w:r>
      <w:r>
        <w:rPr>
          <w:rFonts w:hint="eastAsia" w:ascii="宋体" w:hAnsi="宋体"/>
          <w:color w:val="000000"/>
          <w:highlight w:val="none"/>
        </w:rPr>
        <w:t>CA</w:t>
      </w:r>
      <w:r>
        <w:rPr>
          <w:rFonts w:hint="eastAsia"/>
          <w:color w:val="000000"/>
          <w:highlight w:val="none"/>
        </w:rPr>
        <w:t>证书</w:t>
      </w:r>
      <w:r>
        <w:rPr>
          <w:rFonts w:hint="eastAsia" w:ascii="宋体" w:hAnsi="宋体"/>
          <w:color w:val="000000"/>
          <w:highlight w:val="none"/>
        </w:rPr>
        <w:t>到期或即将到期，须在递交投标文件前办理续期。</w:t>
      </w:r>
    </w:p>
    <w:p w14:paraId="091DB8CA">
      <w:pPr>
        <w:spacing w:line="400" w:lineRule="exact"/>
        <w:ind w:firstLine="420"/>
        <w:rPr>
          <w:color w:val="000000"/>
          <w:highlight w:val="none"/>
        </w:rPr>
      </w:pPr>
      <w:r>
        <w:rPr>
          <w:rFonts w:hint="eastAsia" w:ascii="宋体" w:hAnsi="宋体"/>
          <w:color w:val="000000"/>
          <w:highlight w:val="none"/>
        </w:rPr>
        <w:t>4</w:t>
      </w:r>
      <w:r>
        <w:rPr>
          <w:rFonts w:ascii="宋体" w:hAnsi="宋体"/>
          <w:color w:val="000000"/>
          <w:highlight w:val="none"/>
        </w:rPr>
        <w:t>.</w:t>
      </w:r>
      <w:r>
        <w:rPr>
          <w:rFonts w:hint="eastAsia" w:ascii="宋体" w:hAnsi="宋体"/>
          <w:color w:val="000000"/>
          <w:highlight w:val="none"/>
        </w:rPr>
        <w:t>CA锁</w:t>
      </w:r>
      <w:r>
        <w:rPr>
          <w:rFonts w:hint="eastAsia"/>
          <w:color w:val="000000"/>
          <w:highlight w:val="none"/>
        </w:rPr>
        <w:t>遗失、损坏等无法使用，须在递交投标文件前补办CA锁。</w:t>
      </w:r>
    </w:p>
    <w:p w14:paraId="6ED7B8E8">
      <w:pPr>
        <w:spacing w:line="400" w:lineRule="exact"/>
        <w:ind w:firstLine="420"/>
        <w:rPr>
          <w:color w:val="000000"/>
          <w:highlight w:val="none"/>
        </w:rPr>
      </w:pPr>
      <w:r>
        <w:rPr>
          <w:rFonts w:ascii="宋体" w:hAnsi="宋体"/>
          <w:color w:val="000000"/>
          <w:highlight w:val="none"/>
        </w:rPr>
        <w:t>5.</w:t>
      </w:r>
      <w:r>
        <w:rPr>
          <w:rFonts w:hint="eastAsia" w:ascii="宋体" w:hAnsi="宋体"/>
          <w:color w:val="000000"/>
          <w:highlight w:val="none"/>
        </w:rPr>
        <w:t>企业</w:t>
      </w:r>
      <w:r>
        <w:rPr>
          <w:rFonts w:hint="eastAsia"/>
          <w:color w:val="000000"/>
          <w:highlight w:val="none"/>
        </w:rPr>
        <w:t>信息（包括但不限于企业名称和法定代表人信息）发生变更的，须在递交投标文件前变更CA证书。</w:t>
      </w:r>
    </w:p>
    <w:p w14:paraId="1ECABDB1">
      <w:pPr>
        <w:spacing w:line="400" w:lineRule="exact"/>
        <w:rPr>
          <w:rFonts w:ascii="宋体" w:hAnsi="宋体"/>
          <w:color w:val="000000"/>
          <w:highlight w:val="none"/>
        </w:rPr>
      </w:pPr>
      <w:r>
        <w:rPr>
          <w:rFonts w:ascii="宋体" w:hAnsi="宋体"/>
          <w:color w:val="000000"/>
          <w:highlight w:val="none"/>
        </w:rPr>
        <w:tab/>
      </w:r>
      <w:r>
        <w:rPr>
          <w:rFonts w:ascii="宋体" w:hAnsi="宋体"/>
          <w:color w:val="000000"/>
          <w:highlight w:val="none"/>
        </w:rPr>
        <w:t>6.</w:t>
      </w:r>
      <w:r>
        <w:rPr>
          <w:rFonts w:hint="eastAsia" w:ascii="宋体" w:hAnsi="宋体"/>
          <w:color w:val="000000"/>
          <w:highlight w:val="none"/>
        </w:rPr>
        <w:t>投标人由于</w:t>
      </w:r>
      <w:r>
        <w:rPr>
          <w:rFonts w:hint="eastAsia"/>
          <w:color w:val="000000"/>
          <w:highlight w:val="none"/>
        </w:rPr>
        <w:t>CA证书</w:t>
      </w:r>
      <w:r>
        <w:rPr>
          <w:rFonts w:hint="eastAsia" w:ascii="宋体" w:hAnsi="宋体"/>
          <w:color w:val="000000"/>
          <w:highlight w:val="none"/>
        </w:rPr>
        <w:t>遗失、损坏、更换、续期、企业信息变更等情况导致投标文件无法解密的，由投标人自行承担责任；</w:t>
      </w:r>
    </w:p>
    <w:p w14:paraId="72A7C0D3">
      <w:pPr>
        <w:spacing w:line="400" w:lineRule="exact"/>
        <w:ind w:firstLine="420" w:firstLineChars="200"/>
        <w:rPr>
          <w:rFonts w:ascii="宋体" w:hAnsi="宋体"/>
          <w:color w:val="000000"/>
          <w:highlight w:val="none"/>
        </w:rPr>
      </w:pPr>
      <w:r>
        <w:rPr>
          <w:rFonts w:ascii="宋体" w:hAnsi="宋体"/>
          <w:color w:val="000000"/>
          <w:highlight w:val="none"/>
        </w:rPr>
        <w:t>7.</w:t>
      </w:r>
      <w:r>
        <w:rPr>
          <w:rFonts w:hint="eastAsia" w:ascii="宋体" w:hAnsi="宋体"/>
          <w:color w:val="000000"/>
          <w:highlight w:val="none"/>
        </w:rPr>
        <w:t>加密和解密投标文件</w:t>
      </w:r>
      <w:r>
        <w:rPr>
          <w:rFonts w:hint="eastAsia"/>
          <w:color w:val="000000"/>
          <w:highlight w:val="none"/>
        </w:rPr>
        <w:t>必须使用同一个CA证书</w:t>
      </w:r>
      <w:r>
        <w:rPr>
          <w:rFonts w:hint="eastAsia" w:ascii="宋体" w:hAnsi="宋体"/>
          <w:color w:val="000000"/>
          <w:highlight w:val="none"/>
        </w:rPr>
        <w:t>。</w:t>
      </w:r>
    </w:p>
    <w:p w14:paraId="19278859">
      <w:pPr>
        <w:spacing w:line="400" w:lineRule="exact"/>
        <w:ind w:firstLine="420" w:firstLineChars="200"/>
        <w:rPr>
          <w:rFonts w:ascii="黑体" w:hAnsi="黑体" w:eastAsia="黑体"/>
          <w:color w:val="000000"/>
          <w:highlight w:val="none"/>
        </w:rPr>
      </w:pPr>
      <w:r>
        <w:rPr>
          <w:rFonts w:hint="eastAsia" w:ascii="黑体" w:hAnsi="黑体" w:eastAsia="黑体"/>
          <w:color w:val="000000"/>
          <w:highlight w:val="none"/>
        </w:rPr>
        <w:t>二</w:t>
      </w:r>
      <w:r>
        <w:rPr>
          <w:rFonts w:ascii="黑体" w:hAnsi="黑体" w:eastAsia="黑体"/>
          <w:color w:val="000000"/>
          <w:highlight w:val="none"/>
        </w:rPr>
        <w:t>、制作、签章、加密、上传电子投标文件</w:t>
      </w:r>
    </w:p>
    <w:p w14:paraId="42B10E7D">
      <w:pPr>
        <w:spacing w:line="400" w:lineRule="exact"/>
        <w:ind w:firstLine="420" w:firstLineChars="200"/>
        <w:rPr>
          <w:rStyle w:val="58"/>
          <w:color w:val="000000"/>
          <w:highlight w:val="none"/>
        </w:rPr>
      </w:pPr>
      <w:r>
        <w:rPr>
          <w:rFonts w:ascii="宋体" w:hAnsi="宋体"/>
          <w:color w:val="000000"/>
          <w:highlight w:val="none"/>
        </w:rPr>
        <w:t>8.</w:t>
      </w:r>
      <w:r>
        <w:rPr>
          <w:rFonts w:hint="eastAsia" w:ascii="宋体" w:hAnsi="宋体"/>
          <w:color w:val="000000"/>
          <w:highlight w:val="none"/>
        </w:rPr>
        <w:t>本项目采用全流程电子化招标采购方式，潜在</w:t>
      </w:r>
      <w:r>
        <w:rPr>
          <w:rFonts w:hint="eastAsia"/>
          <w:color w:val="000000"/>
          <w:highlight w:val="none"/>
        </w:rPr>
        <w:t>投标人需使用</w:t>
      </w:r>
      <w:r>
        <w:rPr>
          <w:rFonts w:hint="eastAsia" w:ascii="宋体" w:hAnsi="宋体"/>
          <w:color w:val="000000"/>
          <w:highlight w:val="none"/>
        </w:rPr>
        <w:t>“</w:t>
      </w:r>
      <w:r>
        <w:rPr>
          <w:rFonts w:ascii="宋体" w:hAnsi="宋体"/>
          <w:color w:val="000000"/>
          <w:highlight w:val="none"/>
        </w:rPr>
        <w:t>优质采投标工具</w:t>
      </w:r>
      <w:r>
        <w:rPr>
          <w:rFonts w:hint="eastAsia" w:ascii="宋体" w:hAnsi="宋体"/>
          <w:color w:val="000000"/>
          <w:highlight w:val="none"/>
        </w:rPr>
        <w:t>客户端”（以下简称“投标工具”）制作</w:t>
      </w:r>
      <w:r>
        <w:rPr>
          <w:color w:val="000000"/>
          <w:highlight w:val="none"/>
        </w:rPr>
        <w:t>电子投标文件</w:t>
      </w:r>
      <w:r>
        <w:rPr>
          <w:rFonts w:hint="eastAsia"/>
          <w:color w:val="000000"/>
          <w:highlight w:val="none"/>
        </w:rPr>
        <w:t>，</w:t>
      </w:r>
      <w:r>
        <w:rPr>
          <w:rFonts w:hint="eastAsia" w:ascii="宋体" w:hAnsi="宋体"/>
          <w:color w:val="000000"/>
          <w:highlight w:val="none"/>
        </w:rPr>
        <w:t>投标工具及操作说明下载地址：</w:t>
      </w:r>
      <w:r>
        <w:rPr>
          <w:rStyle w:val="58"/>
          <w:rFonts w:hint="eastAsia"/>
          <w:color w:val="000000"/>
          <w:highlight w:val="none"/>
        </w:rPr>
        <w:fldChar w:fldCharType="begin"/>
      </w:r>
      <w:r>
        <w:rPr>
          <w:rStyle w:val="58"/>
          <w:rFonts w:hint="eastAsia"/>
          <w:color w:val="000000"/>
          <w:highlight w:val="none"/>
        </w:rPr>
        <w:instrText xml:space="preserve"> HYPERLINK "https://toolcdn.youzhicai.com/tools/BidderTools.zip" </w:instrText>
      </w:r>
      <w:r>
        <w:rPr>
          <w:rStyle w:val="58"/>
          <w:rFonts w:hint="eastAsia"/>
          <w:color w:val="000000"/>
          <w:highlight w:val="none"/>
        </w:rPr>
        <w:fldChar w:fldCharType="separate"/>
      </w:r>
      <w:r>
        <w:rPr>
          <w:rStyle w:val="58"/>
          <w:rFonts w:hint="eastAsia"/>
          <w:color w:val="000000"/>
          <w:highlight w:val="none"/>
        </w:rPr>
        <w:t>https://toolcdn.youzhicai.com/tools/BidderTools.zip</w:t>
      </w:r>
      <w:r>
        <w:rPr>
          <w:rStyle w:val="58"/>
          <w:rFonts w:hint="eastAsia"/>
          <w:color w:val="000000"/>
          <w:highlight w:val="none"/>
        </w:rPr>
        <w:fldChar w:fldCharType="end"/>
      </w:r>
      <w:r>
        <w:rPr>
          <w:rStyle w:val="58"/>
          <w:rFonts w:hint="eastAsia"/>
          <w:color w:val="000000"/>
          <w:highlight w:val="none"/>
        </w:rPr>
        <w:t>。</w:t>
      </w:r>
    </w:p>
    <w:p w14:paraId="174EED14">
      <w:pPr>
        <w:spacing w:line="400" w:lineRule="exact"/>
        <w:ind w:firstLine="420" w:firstLineChars="200"/>
        <w:rPr>
          <w:rStyle w:val="58"/>
          <w:color w:val="000000"/>
          <w:highlight w:val="none"/>
        </w:rPr>
      </w:pPr>
      <w:r>
        <w:rPr>
          <w:rStyle w:val="58"/>
          <w:color w:val="000000"/>
          <w:highlight w:val="none"/>
        </w:rPr>
        <w:tab/>
      </w:r>
      <w:r>
        <w:rPr>
          <w:rStyle w:val="58"/>
          <w:color w:val="000000"/>
          <w:highlight w:val="none"/>
        </w:rPr>
        <w:t>8.1.投标工具建议在window7或windows10操作系统下使用；</w:t>
      </w:r>
    </w:p>
    <w:p w14:paraId="39CE0EEF">
      <w:pPr>
        <w:spacing w:line="400" w:lineRule="exact"/>
        <w:ind w:firstLine="420" w:firstLineChars="200"/>
        <w:rPr>
          <w:rFonts w:hint="eastAsia"/>
          <w:bCs/>
          <w:color w:val="000000"/>
          <w:sz w:val="18"/>
          <w:highlight w:val="none"/>
        </w:rPr>
      </w:pPr>
      <w:r>
        <w:rPr>
          <w:rStyle w:val="58"/>
          <w:color w:val="000000"/>
          <w:highlight w:val="none"/>
        </w:rPr>
        <w:tab/>
      </w:r>
      <w:r>
        <w:rPr>
          <w:rStyle w:val="58"/>
          <w:color w:val="000000"/>
          <w:highlight w:val="none"/>
        </w:rPr>
        <w:t>8.2.电子投标文件编制建议使用</w:t>
      </w:r>
      <w:r>
        <w:rPr>
          <w:color w:val="000000"/>
          <w:highlight w:val="none"/>
        </w:rPr>
        <w:t>office2010版本。</w:t>
      </w:r>
    </w:p>
    <w:p w14:paraId="7F6682DB">
      <w:pPr>
        <w:wordWrap w:val="0"/>
        <w:spacing w:line="400" w:lineRule="exact"/>
        <w:rPr>
          <w:bCs/>
          <w:color w:val="000000"/>
          <w:highlight w:val="none"/>
          <w:u w:val="single"/>
        </w:rPr>
      </w:pPr>
      <w:r>
        <w:rPr>
          <w:rFonts w:ascii="宋体" w:hAnsi="宋体"/>
          <w:color w:val="000000"/>
          <w:highlight w:val="none"/>
        </w:rPr>
        <w:tab/>
      </w:r>
      <w:r>
        <w:rPr>
          <w:rFonts w:hint="eastAsia" w:ascii="宋体" w:hAnsi="宋体"/>
          <w:color w:val="000000"/>
          <w:highlight w:val="none"/>
        </w:rPr>
        <w:t>9</w:t>
      </w:r>
      <w:r>
        <w:rPr>
          <w:rFonts w:ascii="宋体" w:hAnsi="宋体"/>
          <w:color w:val="000000"/>
          <w:highlight w:val="none"/>
        </w:rPr>
        <w:t>.</w:t>
      </w:r>
      <w:r>
        <w:rPr>
          <w:rFonts w:hint="eastAsia"/>
          <w:color w:val="000000"/>
          <w:highlight w:val="none"/>
        </w:rPr>
        <w:t>潜在投标人制作电子投标文件后，需在</w:t>
      </w:r>
      <w:r>
        <w:rPr>
          <w:rFonts w:hint="eastAsia" w:ascii="宋体" w:hAnsi="宋体"/>
          <w:color w:val="000000"/>
          <w:highlight w:val="none"/>
        </w:rPr>
        <w:t>投标工具</w:t>
      </w:r>
      <w:r>
        <w:rPr>
          <w:rFonts w:hint="eastAsia"/>
          <w:color w:val="000000"/>
          <w:highlight w:val="none"/>
        </w:rPr>
        <w:t>对</w:t>
      </w:r>
      <w:r>
        <w:rPr>
          <w:color w:val="000000"/>
          <w:highlight w:val="none"/>
        </w:rPr>
        <w:t>电子</w:t>
      </w:r>
      <w:r>
        <w:rPr>
          <w:rFonts w:hint="eastAsia"/>
          <w:color w:val="000000"/>
          <w:highlight w:val="none"/>
        </w:rPr>
        <w:t>投标文件进行电子签章（项目有特殊说明的除外），并使用CA</w:t>
      </w:r>
      <w:r>
        <w:rPr>
          <w:rFonts w:hint="eastAsia" w:ascii="宋体" w:hAnsi="宋体"/>
          <w:color w:val="000000"/>
          <w:highlight w:val="none"/>
        </w:rPr>
        <w:t>证书进行</w:t>
      </w:r>
      <w:r>
        <w:rPr>
          <w:rFonts w:hint="eastAsia"/>
          <w:color w:val="000000"/>
          <w:highlight w:val="none"/>
        </w:rPr>
        <w:t>加密。在</w:t>
      </w:r>
      <w:r>
        <w:rPr>
          <w:rFonts w:hint="eastAsia" w:ascii="宋体" w:hAnsi="宋体"/>
          <w:color w:val="000000"/>
          <w:highlight w:val="none"/>
        </w:rPr>
        <w:t>投标工具使用</w:t>
      </w:r>
      <w:r>
        <w:rPr>
          <w:rFonts w:ascii="宋体" w:hAnsi="宋体"/>
          <w:color w:val="000000"/>
          <w:highlight w:val="none"/>
        </w:rPr>
        <w:t>CA证书</w:t>
      </w:r>
      <w:r>
        <w:rPr>
          <w:rFonts w:hint="eastAsia"/>
          <w:color w:val="000000"/>
          <w:highlight w:val="none"/>
        </w:rPr>
        <w:t>时需安装“优质采数字证书助手”</w:t>
      </w:r>
      <w:r>
        <w:rPr>
          <w:rFonts w:hint="eastAsia" w:ascii="宋体" w:hAnsi="宋体"/>
          <w:color w:val="000000"/>
          <w:highlight w:val="none"/>
        </w:rPr>
        <w:t xml:space="preserve"> （即数字证书驱动）</w:t>
      </w:r>
      <w:r>
        <w:rPr>
          <w:rFonts w:hint="eastAsia"/>
          <w:color w:val="000000"/>
          <w:highlight w:val="none"/>
        </w:rPr>
        <w:t>，下载地址：</w:t>
      </w:r>
      <w:r>
        <w:rPr>
          <w:rStyle w:val="58"/>
          <w:rFonts w:hint="eastAsia"/>
          <w:color w:val="000000"/>
          <w:highlight w:val="none"/>
        </w:rPr>
        <w:fldChar w:fldCharType="begin"/>
      </w:r>
      <w:r>
        <w:rPr>
          <w:rStyle w:val="58"/>
          <w:rFonts w:hint="eastAsia"/>
          <w:color w:val="000000"/>
          <w:highlight w:val="none"/>
        </w:rPr>
        <w:instrText xml:space="preserve"> HYPERLINK "https://toolcdn.youzhicai.com/ca.zip" </w:instrText>
      </w:r>
      <w:r>
        <w:rPr>
          <w:rStyle w:val="58"/>
          <w:rFonts w:hint="eastAsia"/>
          <w:color w:val="000000"/>
          <w:highlight w:val="none"/>
        </w:rPr>
        <w:fldChar w:fldCharType="separate"/>
      </w:r>
      <w:r>
        <w:rPr>
          <w:rStyle w:val="58"/>
          <w:rFonts w:hint="eastAsia"/>
          <w:color w:val="000000"/>
          <w:highlight w:val="none"/>
        </w:rPr>
        <w:t>https://toolcdn.youzhicai.com/ca.zip</w:t>
      </w:r>
      <w:r>
        <w:rPr>
          <w:rStyle w:val="58"/>
          <w:rFonts w:hint="eastAsia"/>
          <w:color w:val="000000"/>
          <w:highlight w:val="none"/>
        </w:rPr>
        <w:fldChar w:fldCharType="end"/>
      </w:r>
      <w:r>
        <w:rPr>
          <w:rStyle w:val="58"/>
          <w:rFonts w:hint="eastAsia"/>
          <w:color w:val="000000"/>
          <w:highlight w:val="none"/>
        </w:rPr>
        <w:t>。</w:t>
      </w:r>
    </w:p>
    <w:p w14:paraId="74B7AF4F">
      <w:pPr>
        <w:wordWrap w:val="0"/>
        <w:spacing w:line="400" w:lineRule="exact"/>
        <w:rPr>
          <w:rFonts w:ascii="宋体" w:hAnsi="宋体"/>
          <w:highlight w:val="none"/>
        </w:rPr>
      </w:pPr>
      <w:r>
        <w:rPr>
          <w:highlight w:val="none"/>
        </w:rPr>
        <w:tab/>
      </w:r>
      <w:r>
        <w:rPr>
          <w:rFonts w:ascii="宋体" w:hAnsi="宋体"/>
          <w:highlight w:val="none"/>
        </w:rPr>
        <w:t>10.</w:t>
      </w:r>
      <w:r>
        <w:rPr>
          <w:rFonts w:hint="eastAsia" w:ascii="宋体" w:hAnsi="宋体"/>
          <w:highlight w:val="none"/>
        </w:rPr>
        <w:t>潜在投标人完成制作、签章、加密投标文件后，需在</w:t>
      </w:r>
      <w:r>
        <w:rPr>
          <w:rFonts w:hint="eastAsia"/>
          <w:highlight w:val="none"/>
        </w:rPr>
        <w:t>招标文件规定的投标截止时间前在</w:t>
      </w:r>
      <w:r>
        <w:rPr>
          <w:rFonts w:hint="eastAsia" w:ascii="宋体" w:hAnsi="宋体"/>
          <w:highlight w:val="none"/>
        </w:rPr>
        <w:t>投标工具</w:t>
      </w:r>
      <w:r>
        <w:rPr>
          <w:rFonts w:hint="eastAsia"/>
          <w:highlight w:val="none"/>
        </w:rPr>
        <w:t>完成上传。</w:t>
      </w:r>
      <w:r>
        <w:rPr>
          <w:rFonts w:hint="eastAsia" w:ascii="宋体" w:hAnsi="宋体"/>
          <w:highlight w:val="none"/>
        </w:rPr>
        <w:t>投标截止时间以优质采云采购平台（</w:t>
      </w:r>
      <w:r>
        <w:rPr>
          <w:rFonts w:ascii="宋体" w:hAnsi="宋体"/>
          <w:highlight w:val="none"/>
        </w:rPr>
        <w:t>www.youzhicai.com</w:t>
      </w:r>
      <w:r>
        <w:rPr>
          <w:rFonts w:hint="eastAsia" w:ascii="宋体" w:hAnsi="宋体"/>
          <w:highlight w:val="none"/>
        </w:rPr>
        <w:t>）系统的时间为准，如未在投标截止时间前完成电子投标文件上传，系统将自动关闭上传通道。潜在投标人未完成电子投标文件上传的，视为没有递交投标文件。</w:t>
      </w:r>
    </w:p>
    <w:p w14:paraId="4BD9D18F">
      <w:pPr>
        <w:wordWrap w:val="0"/>
        <w:spacing w:line="400" w:lineRule="exact"/>
        <w:ind w:firstLine="420"/>
        <w:rPr>
          <w:rFonts w:ascii="宋体" w:hAnsi="宋体"/>
          <w:highlight w:val="none"/>
        </w:rPr>
      </w:pPr>
      <w:r>
        <w:rPr>
          <w:rFonts w:hint="eastAsia" w:ascii="宋体" w:hAnsi="宋体"/>
          <w:highlight w:val="none"/>
        </w:rPr>
        <w:t>1</w:t>
      </w:r>
      <w:r>
        <w:rPr>
          <w:rFonts w:ascii="宋体" w:hAnsi="宋体"/>
          <w:highlight w:val="none"/>
        </w:rPr>
        <w:t>1.</w:t>
      </w:r>
      <w:r>
        <w:rPr>
          <w:rFonts w:hint="eastAsia" w:ascii="宋体" w:hAnsi="宋体"/>
          <w:highlight w:val="none"/>
        </w:rPr>
        <w:t>潜在投标人在投标文件递交截止时间前，可以对其所递交的电子投标文件进行撤回，修改后重新上传。</w:t>
      </w:r>
    </w:p>
    <w:p w14:paraId="2CFA3CF9">
      <w:pPr>
        <w:spacing w:line="400" w:lineRule="exact"/>
        <w:ind w:firstLine="420" w:firstLineChars="200"/>
        <w:rPr>
          <w:rFonts w:ascii="宋体" w:hAnsi="宋体"/>
          <w:highlight w:val="none"/>
        </w:rPr>
      </w:pPr>
      <w:r>
        <w:rPr>
          <w:rFonts w:hint="eastAsia" w:ascii="宋体" w:hAnsi="宋体"/>
          <w:highlight w:val="none"/>
        </w:rPr>
        <w:t>1</w:t>
      </w:r>
      <w:r>
        <w:rPr>
          <w:rFonts w:ascii="宋体" w:hAnsi="宋体"/>
          <w:highlight w:val="none"/>
        </w:rPr>
        <w:t>2.</w:t>
      </w:r>
      <w:r>
        <w:rPr>
          <w:rFonts w:hint="eastAsia" w:ascii="宋体" w:hAnsi="宋体"/>
          <w:highlight w:val="none"/>
        </w:rPr>
        <w:t>潜在投标人在制作、签章、加密、上传电子投标文件过程中，若存在技术操作问题，请及时联系优质采云采购平台客服人员，客服电话：</w:t>
      </w:r>
      <w:r>
        <w:rPr>
          <w:rFonts w:ascii="宋体" w:hAnsi="宋体"/>
          <w:highlight w:val="none"/>
        </w:rPr>
        <w:t>400-0099-555</w:t>
      </w:r>
      <w:r>
        <w:rPr>
          <w:rFonts w:hint="eastAsia" w:ascii="宋体" w:hAnsi="宋体"/>
          <w:highlight w:val="none"/>
        </w:rPr>
        <w:t>，</w:t>
      </w:r>
      <w:r>
        <w:rPr>
          <w:rFonts w:ascii="宋体" w:hAnsi="宋体"/>
          <w:highlight w:val="none"/>
        </w:rPr>
        <w:t>0551-62220164</w:t>
      </w:r>
      <w:r>
        <w:rPr>
          <w:rFonts w:hint="eastAsia" w:ascii="宋体" w:hAnsi="宋体"/>
          <w:highlight w:val="none"/>
        </w:rPr>
        <w:t>。</w:t>
      </w:r>
    </w:p>
    <w:p w14:paraId="56805AF2">
      <w:pPr>
        <w:spacing w:line="400" w:lineRule="exact"/>
        <w:ind w:firstLine="420" w:firstLineChars="200"/>
        <w:rPr>
          <w:rFonts w:ascii="黑体" w:hAnsi="黑体" w:eastAsia="黑体"/>
          <w:highlight w:val="none"/>
        </w:rPr>
      </w:pPr>
      <w:r>
        <w:rPr>
          <w:rFonts w:hint="eastAsia" w:ascii="黑体" w:hAnsi="黑体" w:eastAsia="黑体"/>
          <w:highlight w:val="none"/>
        </w:rPr>
        <w:t>三</w:t>
      </w:r>
      <w:r>
        <w:rPr>
          <w:rFonts w:ascii="黑体" w:hAnsi="黑体" w:eastAsia="黑体"/>
          <w:highlight w:val="none"/>
        </w:rPr>
        <w:t>、</w:t>
      </w:r>
      <w:r>
        <w:rPr>
          <w:rFonts w:hint="eastAsia" w:ascii="黑体" w:hAnsi="黑体" w:eastAsia="黑体"/>
          <w:highlight w:val="none"/>
        </w:rPr>
        <w:t>开标</w:t>
      </w:r>
      <w:r>
        <w:rPr>
          <w:rFonts w:ascii="黑体" w:hAnsi="黑体" w:eastAsia="黑体"/>
          <w:highlight w:val="none"/>
        </w:rPr>
        <w:t>和解密</w:t>
      </w:r>
    </w:p>
    <w:p w14:paraId="45601C66">
      <w:pPr>
        <w:spacing w:line="400" w:lineRule="exact"/>
        <w:ind w:firstLine="420" w:firstLineChars="200"/>
        <w:rPr>
          <w:rFonts w:ascii="宋体" w:hAnsi="宋体"/>
          <w:highlight w:val="none"/>
        </w:rPr>
      </w:pPr>
      <w:r>
        <w:rPr>
          <w:rFonts w:ascii="宋体" w:hAnsi="宋体"/>
          <w:highlight w:val="none"/>
        </w:rPr>
        <w:t>13.</w:t>
      </w:r>
      <w:r>
        <w:rPr>
          <w:rFonts w:hint="eastAsia" w:ascii="宋体" w:hAnsi="宋体"/>
          <w:highlight w:val="none"/>
        </w:rPr>
        <w:t>采购人或采购代理机构工作人员（以下简称工作人员）根据有关规定登录系统组织开标。投标文件递交截止时间后由投标人使用</w:t>
      </w:r>
      <w:r>
        <w:rPr>
          <w:rFonts w:hint="eastAsia"/>
          <w:highlight w:val="none"/>
        </w:rPr>
        <w:t>CA证书</w:t>
      </w:r>
      <w:r>
        <w:rPr>
          <w:rFonts w:hint="eastAsia" w:ascii="宋体" w:hAnsi="宋体"/>
          <w:highlight w:val="none"/>
        </w:rPr>
        <w:t>解密投标文件，工作人员导入已解密投标文件并公布开标结果。</w:t>
      </w:r>
    </w:p>
    <w:p w14:paraId="596F8FB8">
      <w:pPr>
        <w:spacing w:line="400" w:lineRule="exact"/>
        <w:ind w:firstLine="420" w:firstLineChars="200"/>
        <w:rPr>
          <w:rFonts w:ascii="宋体" w:hAnsi="宋体"/>
          <w:highlight w:val="none"/>
        </w:rPr>
      </w:pPr>
      <w:r>
        <w:rPr>
          <w:rFonts w:ascii="宋体" w:hAnsi="宋体"/>
          <w:highlight w:val="none"/>
        </w:rPr>
        <w:t>14.</w:t>
      </w:r>
      <w:r>
        <w:rPr>
          <w:rFonts w:hint="eastAsia" w:ascii="宋体" w:hAnsi="宋体"/>
          <w:highlight w:val="none"/>
        </w:rPr>
        <w:t>投标文件可远程解密，投标人无需到达开标现场。招标文件“投标人须知”中另有规定的，从其规定。</w:t>
      </w:r>
    </w:p>
    <w:p w14:paraId="5E2DCA3B">
      <w:pPr>
        <w:spacing w:line="400" w:lineRule="exact"/>
        <w:ind w:firstLine="420" w:firstLineChars="200"/>
        <w:rPr>
          <w:rFonts w:ascii="宋体" w:hAnsi="宋体"/>
          <w:highlight w:val="none"/>
        </w:rPr>
      </w:pPr>
      <w:r>
        <w:rPr>
          <w:rFonts w:ascii="宋体" w:hAnsi="宋体"/>
          <w:highlight w:val="none"/>
        </w:rPr>
        <w:t>15.</w:t>
      </w:r>
      <w:r>
        <w:rPr>
          <w:rFonts w:hint="eastAsia" w:ascii="宋体" w:hAnsi="宋体"/>
          <w:highlight w:val="none"/>
        </w:rPr>
        <w:t>潜在投标人须按照招标文件的要求在投标文件递交截止时间前登录投标工具并保持在线，关注开标互动大厅消息直到项目评审结束。</w:t>
      </w:r>
    </w:p>
    <w:p w14:paraId="6C1E9C0B">
      <w:pPr>
        <w:spacing w:line="400" w:lineRule="exact"/>
        <w:ind w:firstLine="420" w:firstLineChars="200"/>
        <w:rPr>
          <w:rFonts w:ascii="宋体" w:hAnsi="宋体"/>
          <w:highlight w:val="none"/>
        </w:rPr>
      </w:pPr>
      <w:r>
        <w:rPr>
          <w:rFonts w:ascii="宋体" w:hAnsi="宋体"/>
          <w:highlight w:val="none"/>
        </w:rPr>
        <w:t>16.</w:t>
      </w:r>
      <w:r>
        <w:rPr>
          <w:rFonts w:hint="eastAsia" w:ascii="宋体" w:hAnsi="宋体"/>
          <w:highlight w:val="none"/>
        </w:rPr>
        <w:t>投标文件解密时限为投标文件递交截止时间后</w:t>
      </w:r>
      <w:r>
        <w:rPr>
          <w:rFonts w:ascii="宋体" w:hAnsi="宋体"/>
          <w:highlight w:val="none"/>
        </w:rPr>
        <w:t>30</w:t>
      </w:r>
      <w:r>
        <w:rPr>
          <w:rFonts w:hint="eastAsia" w:ascii="宋体" w:hAnsi="宋体"/>
          <w:highlight w:val="none"/>
        </w:rPr>
        <w:t>分钟（招标文件</w:t>
      </w:r>
      <w:r>
        <w:rPr>
          <w:rFonts w:ascii="宋体" w:hAnsi="宋体"/>
          <w:highlight w:val="none"/>
        </w:rPr>
        <w:t>“</w:t>
      </w:r>
      <w:r>
        <w:rPr>
          <w:rFonts w:hint="eastAsia" w:ascii="宋体" w:hAnsi="宋体"/>
          <w:highlight w:val="none"/>
        </w:rPr>
        <w:t>投标人须知</w:t>
      </w:r>
      <w:r>
        <w:rPr>
          <w:rFonts w:ascii="宋体" w:hAnsi="宋体"/>
          <w:highlight w:val="none"/>
        </w:rPr>
        <w:t>”</w:t>
      </w:r>
      <w:r>
        <w:rPr>
          <w:rFonts w:hint="eastAsia" w:ascii="宋体" w:hAnsi="宋体"/>
          <w:highlight w:val="none"/>
        </w:rPr>
        <w:t>中另有规定的，从其规定）。潜在投标人须在投标文件解密时限内完成投标文件解密，未能成功解密的视为放弃投标。招标文件</w:t>
      </w:r>
      <w:r>
        <w:rPr>
          <w:rFonts w:ascii="宋体" w:hAnsi="宋体"/>
          <w:highlight w:val="none"/>
        </w:rPr>
        <w:t>“</w:t>
      </w:r>
      <w:r>
        <w:rPr>
          <w:rFonts w:hint="eastAsia" w:ascii="宋体" w:hAnsi="宋体"/>
          <w:highlight w:val="none"/>
        </w:rPr>
        <w:t>投标人须知</w:t>
      </w:r>
      <w:r>
        <w:rPr>
          <w:rFonts w:ascii="宋体" w:hAnsi="宋体"/>
          <w:highlight w:val="none"/>
        </w:rPr>
        <w:t>”</w:t>
      </w:r>
      <w:r>
        <w:rPr>
          <w:rFonts w:hint="eastAsia" w:ascii="宋体" w:hAnsi="宋体"/>
          <w:highlight w:val="none"/>
        </w:rPr>
        <w:t>中对投标文件解密设有线下补救方案的，执行该补救方案。</w:t>
      </w:r>
    </w:p>
    <w:p w14:paraId="3DA143ED">
      <w:pPr>
        <w:spacing w:line="400" w:lineRule="exact"/>
        <w:ind w:firstLine="420" w:firstLineChars="200"/>
        <w:rPr>
          <w:rFonts w:ascii="黑体" w:hAnsi="黑体" w:eastAsia="黑体"/>
          <w:highlight w:val="none"/>
        </w:rPr>
      </w:pPr>
      <w:r>
        <w:rPr>
          <w:rFonts w:hint="eastAsia" w:ascii="黑体" w:hAnsi="黑体" w:eastAsia="黑体"/>
          <w:highlight w:val="none"/>
        </w:rPr>
        <w:t>四</w:t>
      </w:r>
      <w:r>
        <w:rPr>
          <w:rFonts w:ascii="黑体" w:hAnsi="黑体" w:eastAsia="黑体"/>
          <w:highlight w:val="none"/>
        </w:rPr>
        <w:t>、</w:t>
      </w:r>
      <w:r>
        <w:rPr>
          <w:rFonts w:hint="eastAsia" w:ascii="黑体" w:hAnsi="黑体" w:eastAsia="黑体"/>
          <w:highlight w:val="none"/>
        </w:rPr>
        <w:t>评标</w:t>
      </w:r>
      <w:r>
        <w:rPr>
          <w:rFonts w:ascii="黑体" w:hAnsi="黑体" w:eastAsia="黑体"/>
          <w:highlight w:val="none"/>
        </w:rPr>
        <w:t>和询标</w:t>
      </w:r>
    </w:p>
    <w:p w14:paraId="009EDD5B">
      <w:pPr>
        <w:spacing w:line="400" w:lineRule="exact"/>
        <w:ind w:firstLine="420" w:firstLineChars="200"/>
        <w:rPr>
          <w:rFonts w:ascii="宋体" w:hAnsi="宋体"/>
          <w:highlight w:val="none"/>
        </w:rPr>
      </w:pPr>
      <w:r>
        <w:rPr>
          <w:rFonts w:ascii="宋体" w:hAnsi="宋体"/>
          <w:highlight w:val="none"/>
        </w:rPr>
        <w:t>17.</w:t>
      </w:r>
      <w:r>
        <w:rPr>
          <w:rFonts w:hint="eastAsia" w:ascii="宋体" w:hAnsi="宋体"/>
          <w:highlight w:val="none"/>
        </w:rPr>
        <w:t>评标委员会通过优质采电子评标工具将需要澄清、说明或补正的内容以询标函的形式发送给投标人，投标人</w:t>
      </w:r>
      <w:r>
        <w:rPr>
          <w:rFonts w:ascii="宋体" w:hAnsi="宋体"/>
          <w:highlight w:val="none"/>
        </w:rPr>
        <w:t>/</w:t>
      </w:r>
      <w:r>
        <w:rPr>
          <w:rFonts w:hint="eastAsia" w:ascii="宋体" w:hAnsi="宋体"/>
          <w:highlight w:val="none"/>
        </w:rPr>
        <w:t>供应商应登录投标工具并保持在线状态，以便及时接收评标委员会可能发出的询标函，并在询标函载明的时间内回复，若投标人未及时回复，视为放弃澄清。</w:t>
      </w:r>
    </w:p>
    <w:p w14:paraId="37FF50CD">
      <w:pPr>
        <w:spacing w:line="400" w:lineRule="exact"/>
        <w:ind w:firstLine="420" w:firstLineChars="200"/>
        <w:rPr>
          <w:rFonts w:ascii="黑体" w:hAnsi="黑体" w:eastAsia="黑体"/>
          <w:highlight w:val="none"/>
        </w:rPr>
      </w:pPr>
      <w:r>
        <w:rPr>
          <w:rFonts w:hint="eastAsia" w:ascii="黑体" w:hAnsi="黑体" w:eastAsia="黑体"/>
          <w:highlight w:val="none"/>
        </w:rPr>
        <w:t>五、异常情形</w:t>
      </w:r>
    </w:p>
    <w:p w14:paraId="3DB5DA27">
      <w:pPr>
        <w:spacing w:line="400" w:lineRule="exact"/>
        <w:ind w:firstLine="420" w:firstLineChars="200"/>
        <w:rPr>
          <w:rFonts w:ascii="宋体" w:hAnsi="宋体"/>
          <w:highlight w:val="none"/>
        </w:rPr>
      </w:pPr>
      <w:r>
        <w:rPr>
          <w:rFonts w:hint="eastAsia" w:ascii="宋体" w:hAnsi="宋体"/>
          <w:highlight w:val="none"/>
        </w:rPr>
        <w:t>1</w:t>
      </w:r>
      <w:r>
        <w:rPr>
          <w:rFonts w:ascii="宋体" w:hAnsi="宋体"/>
          <w:highlight w:val="none"/>
        </w:rPr>
        <w:t>8</w:t>
      </w:r>
      <w:r>
        <w:rPr>
          <w:rFonts w:hint="eastAsia" w:ascii="宋体" w:hAnsi="宋体"/>
          <w:highlight w:val="none"/>
        </w:rPr>
        <w:t>.出现下列情形导致电子交易系统无法正常运行，影响招投标过程的公平、公正和信息安全，经第三方机构认定后，各方当事人免责：</w:t>
      </w:r>
    </w:p>
    <w:p w14:paraId="5577DF66">
      <w:pPr>
        <w:spacing w:line="400" w:lineRule="exact"/>
        <w:ind w:firstLine="420" w:firstLineChars="200"/>
        <w:rPr>
          <w:rFonts w:ascii="宋体" w:hAnsi="宋体"/>
          <w:highlight w:val="none"/>
        </w:rPr>
      </w:pPr>
      <w:r>
        <w:rPr>
          <w:rFonts w:hint="eastAsia" w:ascii="宋体" w:hAnsi="宋体"/>
          <w:highlight w:val="none"/>
        </w:rPr>
        <w:t>(1)网络、服务器、数据库发生故障造成无法访问或使用的；</w:t>
      </w:r>
    </w:p>
    <w:p w14:paraId="797F18B4">
      <w:pPr>
        <w:spacing w:line="400" w:lineRule="exact"/>
        <w:ind w:firstLine="420" w:firstLineChars="200"/>
        <w:rPr>
          <w:rFonts w:ascii="宋体" w:hAnsi="宋体"/>
          <w:highlight w:val="none"/>
        </w:rPr>
      </w:pPr>
      <w:r>
        <w:rPr>
          <w:rFonts w:hint="eastAsia" w:ascii="宋体" w:hAnsi="宋体"/>
          <w:highlight w:val="none"/>
        </w:rPr>
        <w:t>(2)电力系统发生故障导致电子服务系统或电子交易系统无法运行；</w:t>
      </w:r>
    </w:p>
    <w:p w14:paraId="2F764769">
      <w:pPr>
        <w:spacing w:line="400" w:lineRule="exact"/>
        <w:ind w:firstLine="420" w:firstLineChars="200"/>
        <w:rPr>
          <w:rFonts w:ascii="宋体" w:hAnsi="宋体"/>
          <w:highlight w:val="none"/>
        </w:rPr>
      </w:pPr>
      <w:r>
        <w:rPr>
          <w:rFonts w:hint="eastAsia" w:ascii="宋体" w:hAnsi="宋体"/>
          <w:highlight w:val="none"/>
        </w:rPr>
        <w:t>(3)出现网络攻击、病毒入侵以及电子服务系统或电子交易系统安全漏洞导致无法正常提供服务的；</w:t>
      </w:r>
    </w:p>
    <w:p w14:paraId="1E2BC951">
      <w:pPr>
        <w:spacing w:line="400" w:lineRule="exact"/>
        <w:ind w:firstLine="420" w:firstLineChars="200"/>
        <w:rPr>
          <w:rFonts w:ascii="宋体" w:hAnsi="宋体"/>
          <w:highlight w:val="none"/>
        </w:rPr>
      </w:pPr>
      <w:r>
        <w:rPr>
          <w:rFonts w:hint="eastAsia" w:ascii="宋体" w:hAnsi="宋体"/>
          <w:highlight w:val="none"/>
        </w:rPr>
        <w:t>(4)其他无法保证招投标过程公平、公正和信息安全的情形。</w:t>
      </w:r>
    </w:p>
    <w:p w14:paraId="3A461E8B">
      <w:pPr>
        <w:spacing w:line="400" w:lineRule="exact"/>
        <w:ind w:firstLine="420" w:firstLineChars="200"/>
        <w:rPr>
          <w:rFonts w:ascii="黑体" w:hAnsi="黑体" w:eastAsia="黑体"/>
          <w:highlight w:val="none"/>
        </w:rPr>
      </w:pPr>
      <w:r>
        <w:rPr>
          <w:rFonts w:hint="eastAsia" w:ascii="黑体" w:hAnsi="黑体" w:eastAsia="黑体"/>
          <w:highlight w:val="none"/>
        </w:rPr>
        <w:t>六、异常情形处理</w:t>
      </w:r>
    </w:p>
    <w:p w14:paraId="0F3C0EB4">
      <w:pPr>
        <w:spacing w:line="400" w:lineRule="exact"/>
        <w:ind w:firstLine="420" w:firstLineChars="200"/>
        <w:rPr>
          <w:highlight w:val="none"/>
        </w:rPr>
      </w:pPr>
      <w:r>
        <w:rPr>
          <w:rFonts w:hint="eastAsia"/>
          <w:highlight w:val="none"/>
        </w:rPr>
        <w:t>1</w:t>
      </w:r>
      <w:r>
        <w:rPr>
          <w:highlight w:val="none"/>
        </w:rPr>
        <w:t>9</w:t>
      </w:r>
      <w:r>
        <w:rPr>
          <w:rFonts w:hint="eastAsia"/>
          <w:highlight w:val="none"/>
        </w:rPr>
        <w:t>.出现上述情形，优质采平台及时组织相关方查明原因，排除故障。若能保证在开标前恢复系统运行的，招投标程序继续进行；若导致开评标程序无法按时开展，但能在原开标时间后2小时内恢复系统运行的，招投标程序继续进行；若导致开评标程序无法按时开展，在原开标时间后2小时内无法恢复系统运行的，按以下程序操作：</w:t>
      </w:r>
    </w:p>
    <w:p w14:paraId="610FDE64">
      <w:pPr>
        <w:spacing w:line="400" w:lineRule="exact"/>
        <w:ind w:firstLine="420" w:firstLineChars="200"/>
        <w:rPr>
          <w:highlight w:val="none"/>
        </w:rPr>
      </w:pPr>
      <w:r>
        <w:rPr>
          <w:rFonts w:hint="eastAsia"/>
          <w:highlight w:val="none"/>
        </w:rPr>
        <w:t>（1）项目中止，中止期限由采购人或采购代理机构根据项目具体情况确定。中止期限届满后中止情形尚未消除的，采购人或采购代理机构可以根据实际情况决定延长中止期限。决定延长中止期限的，应向投标人发出延长中止期限通知，并发布公布。</w:t>
      </w:r>
    </w:p>
    <w:p w14:paraId="1EEFE998">
      <w:pPr>
        <w:spacing w:line="400" w:lineRule="exact"/>
        <w:ind w:firstLine="420" w:firstLineChars="200"/>
        <w:rPr>
          <w:highlight w:val="none"/>
        </w:rPr>
      </w:pPr>
      <w:r>
        <w:rPr>
          <w:rFonts w:hint="eastAsia"/>
          <w:highlight w:val="none"/>
        </w:rPr>
        <w:t>（2）项目恢复，导致项目中止的情形消除后，采购人或采购代理机构应当尽快恢复招投标程序，向投标人发出恢复交易通知，并发布公布；已发出延长中止期限通知的，按通知执行。</w:t>
      </w:r>
    </w:p>
    <w:p w14:paraId="10A71A33">
      <w:pPr>
        <w:widowControl/>
        <w:adjustRightInd w:val="0"/>
        <w:snapToGrid w:val="0"/>
        <w:spacing w:line="360" w:lineRule="auto"/>
        <w:ind w:firstLine="420" w:firstLineChars="200"/>
        <w:rPr>
          <w:rFonts w:hint="eastAsia" w:ascii="宋体" w:hAnsi="宋体" w:eastAsia="仿宋"/>
          <w:szCs w:val="21"/>
          <w:highlight w:val="none"/>
        </w:rPr>
      </w:pPr>
    </w:p>
    <w:p w14:paraId="0F6E9088">
      <w:pPr>
        <w:spacing w:line="360" w:lineRule="auto"/>
        <w:jc w:val="center"/>
        <w:outlineLvl w:val="1"/>
        <w:rPr>
          <w:rFonts w:hint="eastAsia" w:ascii="Cambria" w:hAnsi="Cambria" w:eastAsia="黑体"/>
          <w:b/>
          <w:bCs/>
          <w:sz w:val="32"/>
          <w:szCs w:val="32"/>
          <w:highlight w:val="none"/>
        </w:rPr>
      </w:pPr>
      <w:r>
        <w:rPr>
          <w:rFonts w:hint="eastAsia" w:ascii="宋体" w:hAnsi="宋体" w:eastAsia="仿宋"/>
          <w:szCs w:val="21"/>
          <w:highlight w:val="none"/>
        </w:rPr>
        <w:br w:type="page"/>
      </w:r>
      <w:r>
        <w:rPr>
          <w:rFonts w:ascii="Cambria" w:hAnsi="Cambria" w:eastAsia="黑体"/>
          <w:b/>
          <w:bCs/>
          <w:sz w:val="32"/>
          <w:szCs w:val="32"/>
          <w:highlight w:val="none"/>
        </w:rPr>
        <w:t>附件</w:t>
      </w:r>
      <w:r>
        <w:rPr>
          <w:rFonts w:hint="eastAsia" w:ascii="Cambria" w:hAnsi="Cambria" w:eastAsia="黑体"/>
          <w:b/>
          <w:bCs/>
          <w:sz w:val="32"/>
          <w:szCs w:val="32"/>
          <w:highlight w:val="none"/>
        </w:rPr>
        <w:t>二</w:t>
      </w:r>
      <w:r>
        <w:rPr>
          <w:rFonts w:ascii="Cambria" w:hAnsi="Cambria" w:eastAsia="黑体"/>
          <w:b/>
          <w:bCs/>
          <w:sz w:val="32"/>
          <w:szCs w:val="32"/>
          <w:highlight w:val="none"/>
        </w:rPr>
        <w:t>：</w:t>
      </w:r>
      <w:r>
        <w:rPr>
          <w:rFonts w:hint="eastAsia" w:ascii="Cambria" w:hAnsi="Cambria" w:eastAsia="黑体"/>
          <w:b/>
          <w:bCs/>
          <w:sz w:val="32"/>
          <w:szCs w:val="32"/>
          <w:highlight w:val="none"/>
        </w:rPr>
        <w:t>政府采购供应商询问函和质疑函范本</w:t>
      </w:r>
    </w:p>
    <w:p w14:paraId="6B1C1AE4">
      <w:pPr>
        <w:spacing w:line="360" w:lineRule="auto"/>
        <w:jc w:val="center"/>
        <w:rPr>
          <w:rFonts w:hint="eastAsia" w:ascii="仿宋" w:hAnsi="仿宋" w:eastAsia="仿宋" w:cs="仿宋"/>
          <w:b/>
          <w:bCs/>
          <w:sz w:val="32"/>
          <w:szCs w:val="44"/>
          <w:highlight w:val="none"/>
        </w:rPr>
      </w:pPr>
      <w:r>
        <w:rPr>
          <w:rFonts w:hint="eastAsia" w:ascii="仿宋" w:hAnsi="仿宋" w:eastAsia="仿宋" w:cs="仿宋"/>
          <w:b/>
          <w:bCs/>
          <w:sz w:val="32"/>
          <w:szCs w:val="44"/>
          <w:highlight w:val="none"/>
        </w:rPr>
        <w:t>询问函范本</w:t>
      </w:r>
    </w:p>
    <w:p w14:paraId="574AADA9">
      <w:pPr>
        <w:adjustRightInd w:val="0"/>
        <w:snapToGrid w:val="0"/>
        <w:spacing w:line="360" w:lineRule="auto"/>
        <w:ind w:firstLine="480" w:firstLineChars="200"/>
        <w:jc w:val="center"/>
        <w:rPr>
          <w:rFonts w:hint="eastAsia" w:ascii="仿宋" w:hAnsi="仿宋" w:eastAsia="仿宋" w:cs="仿宋"/>
          <w:b/>
          <w:bCs/>
          <w:sz w:val="32"/>
          <w:szCs w:val="44"/>
          <w:highlight w:val="none"/>
        </w:rPr>
      </w:pPr>
      <w:r>
        <w:rPr>
          <w:rFonts w:hint="eastAsia" w:ascii="宋体" w:hAnsi="宋体" w:cs="仿宋"/>
          <w:i/>
          <w:iCs/>
          <w:sz w:val="24"/>
          <w:highlight w:val="none"/>
        </w:rPr>
        <w:t>（如为对采购文件或采购程序的询问或疑问，请按询问函范本或电子交易系统中网上询问格式附件进行提交）</w:t>
      </w:r>
    </w:p>
    <w:p w14:paraId="632301EF">
      <w:pPr>
        <w:adjustRightInd w:val="0"/>
        <w:snapToGrid w:val="0"/>
        <w:spacing w:line="360" w:lineRule="auto"/>
        <w:rPr>
          <w:rFonts w:hint="eastAsia" w:ascii="仿宋" w:hAnsi="仿宋" w:eastAsia="仿宋" w:cs="仿宋"/>
          <w:sz w:val="24"/>
          <w:highlight w:val="none"/>
        </w:rPr>
      </w:pPr>
      <w:r>
        <w:rPr>
          <w:rFonts w:hint="eastAsia" w:ascii="仿宋" w:hAnsi="仿宋" w:eastAsia="仿宋" w:cs="仿宋"/>
          <w:sz w:val="24"/>
          <w:highlight w:val="none"/>
        </w:rPr>
        <w:t>某采购单位、某采购代理机构：</w:t>
      </w:r>
    </w:p>
    <w:p w14:paraId="6C44677F">
      <w:pPr>
        <w:adjustRightInd w:val="0"/>
        <w:snapToGrid w:val="0"/>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我单位拟参与某项目(某编号)的采购活动，现有以下内容(或条款)存在疑问(或无法理解)，特提出询问。</w:t>
      </w:r>
    </w:p>
    <w:p w14:paraId="7CE349A1">
      <w:pPr>
        <w:adjustRightInd w:val="0"/>
        <w:snapToGrid w:val="0"/>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一、(事项一)</w:t>
      </w:r>
    </w:p>
    <w:p w14:paraId="5AD86802">
      <w:pPr>
        <w:adjustRightInd w:val="0"/>
        <w:snapToGrid w:val="0"/>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1、(内容或条款)</w:t>
      </w:r>
    </w:p>
    <w:p w14:paraId="085C1043">
      <w:pPr>
        <w:adjustRightInd w:val="0"/>
        <w:snapToGrid w:val="0"/>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2、(说明疑问或无法理解原因)</w:t>
      </w:r>
    </w:p>
    <w:p w14:paraId="43B48EB2">
      <w:pPr>
        <w:adjustRightInd w:val="0"/>
        <w:snapToGrid w:val="0"/>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3、(建议)</w:t>
      </w:r>
    </w:p>
    <w:p w14:paraId="5BBD6C03">
      <w:pPr>
        <w:adjustRightInd w:val="0"/>
        <w:snapToGrid w:val="0"/>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二、(事项二)</w:t>
      </w:r>
    </w:p>
    <w:p w14:paraId="1DC21778">
      <w:pPr>
        <w:adjustRightInd w:val="0"/>
        <w:snapToGrid w:val="0"/>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w:t>
      </w:r>
    </w:p>
    <w:p w14:paraId="6D27C05E">
      <w:pPr>
        <w:adjustRightInd w:val="0"/>
        <w:snapToGrid w:val="0"/>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 xml:space="preserve">随附相关证明材料如下： </w:t>
      </w:r>
    </w:p>
    <w:p w14:paraId="013AED03">
      <w:pPr>
        <w:spacing w:line="360" w:lineRule="auto"/>
        <w:ind w:firstLine="4228" w:firstLineChars="1762"/>
        <w:rPr>
          <w:rFonts w:hint="eastAsia" w:ascii="仿宋" w:hAnsi="仿宋" w:eastAsia="仿宋" w:cs="仿宋"/>
          <w:sz w:val="24"/>
          <w:highlight w:val="none"/>
          <w:u w:val="single"/>
        </w:rPr>
      </w:pPr>
      <w:r>
        <w:rPr>
          <w:rFonts w:hint="eastAsia" w:ascii="仿宋" w:hAnsi="仿宋" w:eastAsia="仿宋" w:cs="仿宋"/>
          <w:sz w:val="24"/>
          <w:highlight w:val="none"/>
        </w:rPr>
        <w:t>联 系 人：</w:t>
      </w:r>
      <w:r>
        <w:rPr>
          <w:rFonts w:hint="eastAsia" w:ascii="仿宋" w:hAnsi="仿宋" w:eastAsia="仿宋" w:cs="仿宋"/>
          <w:sz w:val="24"/>
          <w:highlight w:val="none"/>
          <w:u w:val="single"/>
        </w:rPr>
        <w:t xml:space="preserve">              </w:t>
      </w:r>
    </w:p>
    <w:p w14:paraId="2F0D9D88">
      <w:pPr>
        <w:spacing w:line="360" w:lineRule="auto"/>
        <w:ind w:firstLine="4228" w:firstLineChars="1762"/>
        <w:rPr>
          <w:rFonts w:hint="eastAsia" w:ascii="仿宋" w:hAnsi="仿宋" w:eastAsia="仿宋" w:cs="仿宋"/>
          <w:sz w:val="24"/>
          <w:highlight w:val="none"/>
          <w:u w:val="single"/>
        </w:rPr>
      </w:pPr>
      <w:r>
        <w:rPr>
          <w:rFonts w:hint="eastAsia" w:ascii="仿宋" w:hAnsi="仿宋" w:eastAsia="仿宋" w:cs="仿宋"/>
          <w:sz w:val="24"/>
          <w:highlight w:val="none"/>
        </w:rPr>
        <w:t>联系电话：</w:t>
      </w:r>
      <w:r>
        <w:rPr>
          <w:rFonts w:hint="eastAsia" w:ascii="仿宋" w:hAnsi="仿宋" w:eastAsia="仿宋" w:cs="仿宋"/>
          <w:sz w:val="24"/>
          <w:highlight w:val="none"/>
          <w:u w:val="single"/>
        </w:rPr>
        <w:t xml:space="preserve">              </w:t>
      </w:r>
    </w:p>
    <w:p w14:paraId="2C44FFAE">
      <w:pPr>
        <w:tabs>
          <w:tab w:val="left" w:pos="630"/>
        </w:tabs>
        <w:spacing w:line="360" w:lineRule="auto"/>
        <w:ind w:firstLine="4228" w:firstLineChars="1762"/>
        <w:rPr>
          <w:rFonts w:hint="eastAsia" w:ascii="仿宋" w:hAnsi="仿宋" w:eastAsia="仿宋" w:cs="仿宋"/>
          <w:sz w:val="24"/>
          <w:highlight w:val="none"/>
          <w:u w:val="single"/>
        </w:rPr>
      </w:pPr>
      <w:r>
        <w:rPr>
          <w:rFonts w:hint="eastAsia" w:ascii="仿宋" w:hAnsi="仿宋" w:eastAsia="仿宋" w:cs="仿宋"/>
          <w:sz w:val="24"/>
          <w:highlight w:val="none"/>
        </w:rPr>
        <w:t>日    期：</w:t>
      </w:r>
      <w:r>
        <w:rPr>
          <w:rFonts w:hint="eastAsia" w:ascii="仿宋" w:hAnsi="仿宋" w:eastAsia="仿宋" w:cs="仿宋"/>
          <w:sz w:val="24"/>
          <w:highlight w:val="none"/>
          <w:u w:val="single"/>
        </w:rPr>
        <w:t xml:space="preserve">              </w:t>
      </w:r>
    </w:p>
    <w:p w14:paraId="5D718A78">
      <w:pPr>
        <w:rPr>
          <w:rFonts w:ascii="宋体" w:hAnsi="宋体"/>
          <w:b/>
          <w:sz w:val="52"/>
          <w:highlight w:val="none"/>
        </w:rPr>
      </w:pPr>
      <w:r>
        <w:rPr>
          <w:rFonts w:hint="eastAsia" w:ascii="仿宋" w:hAnsi="仿宋" w:eastAsia="仿宋" w:cs="仿宋"/>
          <w:b/>
          <w:bCs/>
          <w:sz w:val="32"/>
          <w:szCs w:val="44"/>
          <w:highlight w:val="none"/>
        </w:rPr>
        <w:br w:type="page"/>
      </w:r>
    </w:p>
    <w:p w14:paraId="44F9A4E0">
      <w:pPr>
        <w:jc w:val="center"/>
        <w:rPr>
          <w:rFonts w:ascii="仿宋" w:hAnsi="仿宋" w:eastAsia="仿宋" w:cs="仿宋"/>
          <w:b/>
          <w:bCs/>
          <w:sz w:val="32"/>
          <w:szCs w:val="44"/>
          <w:highlight w:val="none"/>
        </w:rPr>
      </w:pPr>
      <w:r>
        <w:rPr>
          <w:rFonts w:hint="eastAsia" w:ascii="仿宋" w:hAnsi="仿宋" w:eastAsia="仿宋" w:cs="仿宋"/>
          <w:b/>
          <w:bCs/>
          <w:sz w:val="32"/>
          <w:szCs w:val="44"/>
          <w:highlight w:val="none"/>
        </w:rPr>
        <w:t>质疑函范本</w:t>
      </w:r>
    </w:p>
    <w:p w14:paraId="06384263">
      <w:pPr>
        <w:adjustRightInd w:val="0"/>
        <w:snapToGrid w:val="0"/>
        <w:spacing w:before="240" w:beforeLines="100" w:line="360" w:lineRule="auto"/>
        <w:rPr>
          <w:rFonts w:hint="eastAsia" w:ascii="仿宋" w:hAnsi="仿宋" w:eastAsia="仿宋" w:cs="仿宋"/>
          <w:b/>
          <w:bCs/>
          <w:sz w:val="24"/>
          <w:highlight w:val="none"/>
        </w:rPr>
      </w:pPr>
      <w:r>
        <w:rPr>
          <w:rFonts w:hint="eastAsia" w:ascii="仿宋" w:hAnsi="仿宋" w:eastAsia="仿宋" w:cs="仿宋"/>
          <w:b/>
          <w:bCs/>
          <w:sz w:val="24"/>
          <w:highlight w:val="none"/>
        </w:rPr>
        <w:t>一、质疑供应商基本信息</w:t>
      </w:r>
    </w:p>
    <w:p w14:paraId="156322B8">
      <w:pPr>
        <w:adjustRightInd w:val="0"/>
        <w:snapToGrid w:val="0"/>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rPr>
        <w:t>质疑供应商：</w:t>
      </w:r>
      <w:r>
        <w:rPr>
          <w:rFonts w:hint="eastAsia" w:ascii="仿宋" w:hAnsi="仿宋" w:eastAsia="仿宋" w:cs="仿宋"/>
          <w:sz w:val="24"/>
          <w:highlight w:val="none"/>
          <w:u w:val="dotted"/>
        </w:rPr>
        <w:t xml:space="preserve">                                        </w:t>
      </w:r>
    </w:p>
    <w:p w14:paraId="08E081E6">
      <w:pPr>
        <w:adjustRightInd w:val="0"/>
        <w:snapToGrid w:val="0"/>
        <w:spacing w:line="360" w:lineRule="auto"/>
        <w:rPr>
          <w:rFonts w:hint="eastAsia" w:ascii="仿宋" w:hAnsi="仿宋" w:eastAsia="仿宋" w:cs="仿宋"/>
          <w:sz w:val="24"/>
          <w:highlight w:val="none"/>
        </w:rPr>
      </w:pPr>
      <w:r>
        <w:rPr>
          <w:rFonts w:hint="eastAsia" w:ascii="仿宋" w:hAnsi="仿宋" w:eastAsia="仿宋" w:cs="仿宋"/>
          <w:sz w:val="24"/>
          <w:highlight w:val="none"/>
        </w:rPr>
        <w:t>地址：</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邮编：</w:t>
      </w:r>
      <w:r>
        <w:rPr>
          <w:rFonts w:hint="eastAsia" w:ascii="仿宋" w:hAnsi="仿宋" w:eastAsia="仿宋" w:cs="仿宋"/>
          <w:sz w:val="24"/>
          <w:highlight w:val="none"/>
          <w:u w:val="dotted"/>
        </w:rPr>
        <w:t xml:space="preserve">              </w:t>
      </w:r>
    </w:p>
    <w:p w14:paraId="7039E5D1">
      <w:pPr>
        <w:adjustRightInd w:val="0"/>
        <w:snapToGrid w:val="0"/>
        <w:spacing w:line="360" w:lineRule="auto"/>
        <w:rPr>
          <w:rFonts w:hint="eastAsia" w:ascii="仿宋" w:hAnsi="仿宋" w:eastAsia="仿宋" w:cs="仿宋"/>
          <w:sz w:val="24"/>
          <w:highlight w:val="none"/>
        </w:rPr>
      </w:pPr>
      <w:r>
        <w:rPr>
          <w:rFonts w:hint="eastAsia" w:ascii="仿宋" w:hAnsi="仿宋" w:eastAsia="仿宋" w:cs="仿宋"/>
          <w:sz w:val="24"/>
          <w:highlight w:val="none"/>
        </w:rPr>
        <w:t>联系人：</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联系电话：</w:t>
      </w:r>
      <w:r>
        <w:rPr>
          <w:rFonts w:hint="eastAsia" w:ascii="仿宋" w:hAnsi="仿宋" w:eastAsia="仿宋" w:cs="仿宋"/>
          <w:sz w:val="24"/>
          <w:highlight w:val="none"/>
          <w:u w:val="dotted"/>
        </w:rPr>
        <w:t xml:space="preserve">            </w:t>
      </w:r>
    </w:p>
    <w:p w14:paraId="7793463C">
      <w:pPr>
        <w:adjustRightInd w:val="0"/>
        <w:snapToGrid w:val="0"/>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rPr>
        <w:t>授权代表：</w:t>
      </w:r>
      <w:r>
        <w:rPr>
          <w:rFonts w:hint="eastAsia" w:ascii="仿宋" w:hAnsi="仿宋" w:eastAsia="仿宋" w:cs="仿宋"/>
          <w:sz w:val="24"/>
          <w:highlight w:val="none"/>
          <w:u w:val="dotted"/>
        </w:rPr>
        <w:t xml:space="preserve">                                          </w:t>
      </w:r>
    </w:p>
    <w:p w14:paraId="00B2671C">
      <w:pPr>
        <w:adjustRightInd w:val="0"/>
        <w:snapToGrid w:val="0"/>
        <w:spacing w:line="360" w:lineRule="auto"/>
        <w:rPr>
          <w:rFonts w:hint="eastAsia" w:ascii="仿宋" w:hAnsi="仿宋" w:eastAsia="仿宋" w:cs="仿宋"/>
          <w:sz w:val="24"/>
          <w:highlight w:val="none"/>
        </w:rPr>
      </w:pPr>
      <w:r>
        <w:rPr>
          <w:rFonts w:hint="eastAsia" w:ascii="仿宋" w:hAnsi="仿宋" w:eastAsia="仿宋" w:cs="仿宋"/>
          <w:sz w:val="24"/>
          <w:highlight w:val="none"/>
        </w:rPr>
        <w:t>联系电话：</w:t>
      </w:r>
      <w:r>
        <w:rPr>
          <w:rFonts w:hint="eastAsia" w:ascii="仿宋" w:hAnsi="仿宋" w:eastAsia="仿宋" w:cs="仿宋"/>
          <w:sz w:val="24"/>
          <w:highlight w:val="none"/>
          <w:u w:val="dotted"/>
        </w:rPr>
        <w:t xml:space="preserve">                                          </w:t>
      </w:r>
    </w:p>
    <w:p w14:paraId="78BE4B08">
      <w:pPr>
        <w:adjustRightInd w:val="0"/>
        <w:snapToGrid w:val="0"/>
        <w:spacing w:line="360" w:lineRule="auto"/>
        <w:rPr>
          <w:rFonts w:hint="eastAsia" w:ascii="仿宋" w:hAnsi="仿宋" w:eastAsia="仿宋" w:cs="仿宋"/>
          <w:sz w:val="24"/>
          <w:highlight w:val="none"/>
        </w:rPr>
      </w:pPr>
      <w:r>
        <w:rPr>
          <w:rFonts w:hint="eastAsia" w:ascii="仿宋" w:hAnsi="仿宋" w:eastAsia="仿宋" w:cs="仿宋"/>
          <w:sz w:val="24"/>
          <w:highlight w:val="none"/>
        </w:rPr>
        <w:t xml:space="preserve">地址： </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邮编：</w:t>
      </w:r>
      <w:r>
        <w:rPr>
          <w:rFonts w:hint="eastAsia" w:ascii="仿宋" w:hAnsi="仿宋" w:eastAsia="仿宋" w:cs="仿宋"/>
          <w:sz w:val="24"/>
          <w:highlight w:val="none"/>
          <w:u w:val="dotted"/>
        </w:rPr>
        <w:t xml:space="preserve">               </w:t>
      </w:r>
    </w:p>
    <w:p w14:paraId="2C068A72">
      <w:pPr>
        <w:adjustRightInd w:val="0"/>
        <w:snapToGrid w:val="0"/>
        <w:spacing w:line="360" w:lineRule="auto"/>
        <w:rPr>
          <w:rFonts w:hint="eastAsia" w:ascii="仿宋" w:hAnsi="仿宋" w:eastAsia="仿宋" w:cs="仿宋"/>
          <w:b/>
          <w:bCs/>
          <w:sz w:val="24"/>
          <w:highlight w:val="none"/>
        </w:rPr>
      </w:pPr>
      <w:r>
        <w:rPr>
          <w:rFonts w:hint="eastAsia" w:ascii="仿宋" w:hAnsi="仿宋" w:eastAsia="仿宋" w:cs="仿宋"/>
          <w:b/>
          <w:bCs/>
          <w:sz w:val="24"/>
          <w:highlight w:val="none"/>
        </w:rPr>
        <w:t>二、质疑项目基本情况</w:t>
      </w:r>
    </w:p>
    <w:p w14:paraId="019DF619">
      <w:pPr>
        <w:adjustRightInd w:val="0"/>
        <w:snapToGrid w:val="0"/>
        <w:spacing w:line="360" w:lineRule="auto"/>
        <w:rPr>
          <w:rFonts w:hint="eastAsia" w:ascii="仿宋" w:hAnsi="仿宋" w:eastAsia="仿宋" w:cs="仿宋"/>
          <w:sz w:val="24"/>
          <w:highlight w:val="none"/>
        </w:rPr>
      </w:pPr>
      <w:r>
        <w:rPr>
          <w:rFonts w:hint="eastAsia" w:ascii="仿宋" w:hAnsi="仿宋" w:eastAsia="仿宋" w:cs="仿宋"/>
          <w:sz w:val="24"/>
          <w:highlight w:val="none"/>
        </w:rPr>
        <w:t>质疑项目的名称：</w:t>
      </w:r>
      <w:r>
        <w:rPr>
          <w:rFonts w:hint="eastAsia" w:ascii="仿宋" w:hAnsi="仿宋" w:eastAsia="仿宋" w:cs="仿宋"/>
          <w:sz w:val="24"/>
          <w:highlight w:val="none"/>
          <w:u w:val="dotted"/>
        </w:rPr>
        <w:t xml:space="preserve">                                      </w:t>
      </w:r>
    </w:p>
    <w:p w14:paraId="76CFC145">
      <w:pPr>
        <w:adjustRightInd w:val="0"/>
        <w:snapToGrid w:val="0"/>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rPr>
        <w:t>质疑项目的编号：</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包号：</w:t>
      </w:r>
      <w:r>
        <w:rPr>
          <w:rFonts w:hint="eastAsia" w:ascii="仿宋" w:hAnsi="仿宋" w:eastAsia="仿宋" w:cs="仿宋"/>
          <w:sz w:val="24"/>
          <w:highlight w:val="none"/>
          <w:u w:val="dotted"/>
        </w:rPr>
        <w:t xml:space="preserve">                 </w:t>
      </w:r>
    </w:p>
    <w:p w14:paraId="5B96E7F8">
      <w:pPr>
        <w:adjustRightInd w:val="0"/>
        <w:snapToGrid w:val="0"/>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rPr>
        <w:t>采购人名称：</w:t>
      </w:r>
      <w:r>
        <w:rPr>
          <w:rFonts w:hint="eastAsia" w:ascii="仿宋" w:hAnsi="仿宋" w:eastAsia="仿宋" w:cs="仿宋"/>
          <w:sz w:val="24"/>
          <w:highlight w:val="none"/>
          <w:u w:val="dotted"/>
        </w:rPr>
        <w:t xml:space="preserve">                                          </w:t>
      </w:r>
    </w:p>
    <w:p w14:paraId="2C4414FB">
      <w:pPr>
        <w:adjustRightInd w:val="0"/>
        <w:snapToGrid w:val="0"/>
        <w:spacing w:line="360" w:lineRule="auto"/>
        <w:rPr>
          <w:rFonts w:hint="eastAsia" w:ascii="仿宋" w:hAnsi="仿宋" w:eastAsia="仿宋" w:cs="仿宋"/>
          <w:sz w:val="24"/>
          <w:highlight w:val="none"/>
        </w:rPr>
      </w:pPr>
      <w:r>
        <w:rPr>
          <w:rFonts w:hint="eastAsia" w:ascii="仿宋" w:hAnsi="仿宋" w:eastAsia="仿宋" w:cs="仿宋"/>
          <w:sz w:val="24"/>
          <w:highlight w:val="none"/>
        </w:rPr>
        <w:t>采购文件获取日期：</w:t>
      </w:r>
      <w:r>
        <w:rPr>
          <w:rFonts w:hint="eastAsia" w:ascii="仿宋" w:hAnsi="仿宋" w:eastAsia="仿宋" w:cs="仿宋"/>
          <w:sz w:val="24"/>
          <w:highlight w:val="none"/>
          <w:u w:val="dotted"/>
        </w:rPr>
        <w:t xml:space="preserve">                                    </w:t>
      </w:r>
    </w:p>
    <w:p w14:paraId="68CADC59">
      <w:pPr>
        <w:adjustRightInd w:val="0"/>
        <w:snapToGrid w:val="0"/>
        <w:spacing w:line="360" w:lineRule="auto"/>
        <w:rPr>
          <w:rFonts w:hint="eastAsia" w:ascii="仿宋" w:hAnsi="仿宋" w:eastAsia="仿宋" w:cs="仿宋"/>
          <w:b/>
          <w:bCs/>
          <w:sz w:val="24"/>
          <w:highlight w:val="none"/>
        </w:rPr>
      </w:pPr>
      <w:r>
        <w:rPr>
          <w:rFonts w:hint="eastAsia" w:ascii="仿宋" w:hAnsi="仿宋" w:eastAsia="仿宋" w:cs="仿宋"/>
          <w:b/>
          <w:bCs/>
          <w:sz w:val="24"/>
          <w:highlight w:val="none"/>
        </w:rPr>
        <w:t>三、质疑事项具体内容</w:t>
      </w:r>
    </w:p>
    <w:p w14:paraId="18FBC088">
      <w:pPr>
        <w:adjustRightInd w:val="0"/>
        <w:snapToGrid w:val="0"/>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rPr>
        <w:t>质疑事项1：</w:t>
      </w:r>
      <w:r>
        <w:rPr>
          <w:rFonts w:hint="eastAsia" w:ascii="仿宋" w:hAnsi="仿宋" w:eastAsia="仿宋" w:cs="仿宋"/>
          <w:sz w:val="24"/>
          <w:highlight w:val="none"/>
          <w:u w:val="dotted"/>
        </w:rPr>
        <w:t xml:space="preserve">                                         </w:t>
      </w:r>
    </w:p>
    <w:p w14:paraId="60CDA915">
      <w:pPr>
        <w:adjustRightInd w:val="0"/>
        <w:snapToGrid w:val="0"/>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rPr>
        <w:t>事实依据：</w:t>
      </w:r>
      <w:r>
        <w:rPr>
          <w:rFonts w:hint="eastAsia" w:ascii="仿宋" w:hAnsi="仿宋" w:eastAsia="仿宋" w:cs="仿宋"/>
          <w:sz w:val="24"/>
          <w:highlight w:val="none"/>
          <w:u w:val="dotted"/>
        </w:rPr>
        <w:t xml:space="preserve">                                          </w:t>
      </w:r>
    </w:p>
    <w:p w14:paraId="49D6CF2B">
      <w:pPr>
        <w:adjustRightInd w:val="0"/>
        <w:snapToGrid w:val="0"/>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u w:val="dotted"/>
        </w:rPr>
        <w:t xml:space="preserve">                                                    </w:t>
      </w:r>
    </w:p>
    <w:p w14:paraId="3110C796">
      <w:pPr>
        <w:adjustRightInd w:val="0"/>
        <w:snapToGrid w:val="0"/>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rPr>
        <w:t>法律依据：</w:t>
      </w:r>
      <w:r>
        <w:rPr>
          <w:rFonts w:hint="eastAsia" w:ascii="仿宋" w:hAnsi="仿宋" w:eastAsia="仿宋" w:cs="仿宋"/>
          <w:sz w:val="24"/>
          <w:highlight w:val="none"/>
          <w:u w:val="dotted"/>
        </w:rPr>
        <w:t xml:space="preserve">                                          </w:t>
      </w:r>
    </w:p>
    <w:p w14:paraId="77644523">
      <w:pPr>
        <w:adjustRightInd w:val="0"/>
        <w:snapToGrid w:val="0"/>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u w:val="dotted"/>
        </w:rPr>
        <w:t xml:space="preserve">                                                    </w:t>
      </w:r>
    </w:p>
    <w:p w14:paraId="11C3EFD0">
      <w:pPr>
        <w:adjustRightInd w:val="0"/>
        <w:snapToGrid w:val="0"/>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rPr>
        <w:t>质疑事项2</w:t>
      </w:r>
    </w:p>
    <w:p w14:paraId="14E18CE9">
      <w:pPr>
        <w:adjustRightInd w:val="0"/>
        <w:snapToGrid w:val="0"/>
        <w:spacing w:line="360" w:lineRule="auto"/>
        <w:rPr>
          <w:rFonts w:hint="eastAsia" w:ascii="仿宋" w:hAnsi="仿宋" w:eastAsia="仿宋" w:cs="仿宋"/>
          <w:sz w:val="24"/>
          <w:highlight w:val="none"/>
        </w:rPr>
      </w:pPr>
      <w:r>
        <w:rPr>
          <w:rFonts w:hint="eastAsia" w:ascii="仿宋" w:hAnsi="仿宋" w:eastAsia="仿宋" w:cs="仿宋"/>
          <w:sz w:val="24"/>
          <w:highlight w:val="none"/>
        </w:rPr>
        <w:t>……</w:t>
      </w:r>
    </w:p>
    <w:p w14:paraId="3D14DE4B">
      <w:pPr>
        <w:adjustRightInd w:val="0"/>
        <w:snapToGrid w:val="0"/>
        <w:spacing w:line="360" w:lineRule="auto"/>
        <w:rPr>
          <w:rFonts w:hint="eastAsia" w:ascii="仿宋" w:hAnsi="仿宋" w:eastAsia="仿宋" w:cs="仿宋"/>
          <w:b/>
          <w:bCs/>
          <w:sz w:val="24"/>
          <w:highlight w:val="none"/>
        </w:rPr>
      </w:pPr>
      <w:r>
        <w:rPr>
          <w:rFonts w:hint="eastAsia" w:ascii="仿宋" w:hAnsi="仿宋" w:eastAsia="仿宋" w:cs="仿宋"/>
          <w:b/>
          <w:bCs/>
          <w:sz w:val="24"/>
          <w:highlight w:val="none"/>
        </w:rPr>
        <w:t>四、与质疑事项相关的质疑请求</w:t>
      </w:r>
    </w:p>
    <w:p w14:paraId="1634B55B">
      <w:pPr>
        <w:adjustRightInd w:val="0"/>
        <w:snapToGrid w:val="0"/>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rPr>
        <w:t>请求：</w:t>
      </w:r>
      <w:r>
        <w:rPr>
          <w:rFonts w:hint="eastAsia" w:ascii="仿宋" w:hAnsi="仿宋" w:eastAsia="仿宋" w:cs="仿宋"/>
          <w:sz w:val="24"/>
          <w:highlight w:val="none"/>
          <w:u w:val="dotted"/>
        </w:rPr>
        <w:t xml:space="preserve">                                               </w:t>
      </w:r>
    </w:p>
    <w:p w14:paraId="1E61BB30">
      <w:pPr>
        <w:spacing w:line="360" w:lineRule="auto"/>
        <w:rPr>
          <w:rFonts w:hint="eastAsia" w:ascii="仿宋" w:hAnsi="仿宋" w:eastAsia="仿宋" w:cs="仿宋"/>
          <w:sz w:val="24"/>
          <w:highlight w:val="none"/>
        </w:rPr>
      </w:pPr>
      <w:r>
        <w:rPr>
          <w:rFonts w:hint="eastAsia" w:ascii="仿宋" w:hAnsi="仿宋" w:eastAsia="仿宋" w:cs="仿宋"/>
          <w:sz w:val="24"/>
          <w:highlight w:val="none"/>
        </w:rPr>
        <w:t>签字(签章)：</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 xml:space="preserve">  公章：</w:t>
      </w:r>
      <w:r>
        <w:rPr>
          <w:rFonts w:hint="eastAsia" w:ascii="仿宋" w:hAnsi="仿宋" w:eastAsia="仿宋" w:cs="仿宋"/>
          <w:sz w:val="24"/>
          <w:highlight w:val="none"/>
          <w:u w:val="dotted"/>
        </w:rPr>
        <w:t xml:space="preserve">                </w:t>
      </w:r>
    </w:p>
    <w:p w14:paraId="23094CEE">
      <w:pPr>
        <w:spacing w:line="360" w:lineRule="auto"/>
        <w:rPr>
          <w:rFonts w:hint="eastAsia" w:ascii="仿宋" w:hAnsi="仿宋" w:eastAsia="仿宋" w:cs="仿宋"/>
          <w:sz w:val="24"/>
          <w:highlight w:val="none"/>
        </w:rPr>
      </w:pPr>
      <w:r>
        <w:rPr>
          <w:rFonts w:hint="eastAsia" w:ascii="仿宋" w:hAnsi="仿宋" w:eastAsia="仿宋" w:cs="仿宋"/>
          <w:sz w:val="24"/>
          <w:highlight w:val="none"/>
        </w:rPr>
        <w:t>日期：</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 xml:space="preserve"> </w:t>
      </w:r>
    </w:p>
    <w:p w14:paraId="3DC9FBB3">
      <w:pPr>
        <w:widowControl/>
        <w:jc w:val="left"/>
        <w:rPr>
          <w:rFonts w:ascii="仿宋" w:hAnsi="仿宋" w:eastAsia="仿宋" w:cs="仿宋"/>
          <w:sz w:val="32"/>
          <w:szCs w:val="32"/>
          <w:highlight w:val="none"/>
        </w:rPr>
      </w:pPr>
      <w:r>
        <w:rPr>
          <w:rFonts w:ascii="仿宋" w:hAnsi="仿宋" w:eastAsia="仿宋" w:cs="仿宋"/>
          <w:sz w:val="32"/>
          <w:szCs w:val="32"/>
          <w:highlight w:val="none"/>
        </w:rPr>
        <w:br w:type="page"/>
      </w:r>
    </w:p>
    <w:p w14:paraId="272BBE0A">
      <w:pPr>
        <w:rPr>
          <w:rFonts w:hint="eastAsia" w:ascii="仿宋" w:hAnsi="仿宋" w:eastAsia="仿宋" w:cs="仿宋"/>
          <w:b/>
          <w:sz w:val="28"/>
          <w:szCs w:val="32"/>
          <w:highlight w:val="none"/>
        </w:rPr>
      </w:pPr>
      <w:bookmarkStart w:id="754" w:name="_Toc11441"/>
      <w:r>
        <w:rPr>
          <w:rFonts w:hint="eastAsia" w:ascii="仿宋" w:hAnsi="仿宋" w:eastAsia="仿宋" w:cs="仿宋"/>
          <w:b/>
          <w:sz w:val="28"/>
          <w:szCs w:val="32"/>
          <w:highlight w:val="none"/>
        </w:rPr>
        <w:t>质疑函制作说明：</w:t>
      </w:r>
      <w:bookmarkEnd w:id="754"/>
    </w:p>
    <w:p w14:paraId="4174AE5F">
      <w:pPr>
        <w:spacing w:line="360" w:lineRule="auto"/>
        <w:ind w:firstLine="435"/>
        <w:rPr>
          <w:rFonts w:hint="eastAsia" w:ascii="仿宋" w:hAnsi="仿宋" w:eastAsia="仿宋" w:cs="仿宋"/>
          <w:sz w:val="24"/>
          <w:highlight w:val="none"/>
        </w:rPr>
      </w:pPr>
      <w:r>
        <w:rPr>
          <w:rFonts w:hint="eastAsia" w:ascii="仿宋" w:hAnsi="仿宋" w:eastAsia="仿宋" w:cs="仿宋"/>
          <w:sz w:val="24"/>
          <w:highlight w:val="none"/>
        </w:rPr>
        <w:t>1.供应商提出质疑时，应提交质疑函和必要的证明材料。</w:t>
      </w:r>
    </w:p>
    <w:p w14:paraId="4D41F3A1">
      <w:pPr>
        <w:spacing w:line="360" w:lineRule="auto"/>
        <w:ind w:firstLine="435"/>
        <w:rPr>
          <w:rFonts w:hint="eastAsia" w:ascii="仿宋" w:hAnsi="仿宋" w:eastAsia="仿宋" w:cs="仿宋"/>
          <w:sz w:val="24"/>
          <w:highlight w:val="none"/>
        </w:rPr>
      </w:pPr>
      <w:r>
        <w:rPr>
          <w:rFonts w:hint="eastAsia" w:ascii="仿宋" w:hAnsi="仿宋" w:eastAsia="仿宋" w:cs="仿宋"/>
          <w:sz w:val="24"/>
          <w:highlight w:val="none"/>
        </w:rPr>
        <w:t>2.质疑供应商若委托授权代表进行质疑的，质疑函应按要求列明“授权代表”的有关内容，并在附件中提交由质疑供应商签署的授权委托书。授权委托书应载明授权代表的姓名或者名称、代理事项、具体权限、期限和相关事项。</w:t>
      </w:r>
    </w:p>
    <w:p w14:paraId="35DEDD87">
      <w:pPr>
        <w:spacing w:line="360" w:lineRule="auto"/>
        <w:ind w:firstLine="435"/>
        <w:rPr>
          <w:rFonts w:hint="eastAsia" w:ascii="仿宋" w:hAnsi="仿宋" w:eastAsia="仿宋" w:cs="仿宋"/>
          <w:sz w:val="24"/>
          <w:highlight w:val="none"/>
        </w:rPr>
      </w:pPr>
      <w:r>
        <w:rPr>
          <w:rFonts w:hint="eastAsia" w:ascii="仿宋" w:hAnsi="仿宋" w:eastAsia="仿宋" w:cs="仿宋"/>
          <w:sz w:val="24"/>
          <w:highlight w:val="none"/>
        </w:rPr>
        <w:t>3.质疑供应商若对项目的某一采购包进行质疑，质疑函中应列明具体包号。</w:t>
      </w:r>
    </w:p>
    <w:p w14:paraId="18D90F95">
      <w:pPr>
        <w:spacing w:line="360" w:lineRule="auto"/>
        <w:ind w:firstLine="435"/>
        <w:rPr>
          <w:rFonts w:hint="eastAsia" w:ascii="仿宋" w:hAnsi="仿宋" w:eastAsia="仿宋" w:cs="仿宋"/>
          <w:sz w:val="24"/>
          <w:highlight w:val="none"/>
        </w:rPr>
      </w:pPr>
      <w:r>
        <w:rPr>
          <w:rFonts w:hint="eastAsia" w:ascii="仿宋" w:hAnsi="仿宋" w:eastAsia="仿宋" w:cs="仿宋"/>
          <w:sz w:val="24"/>
          <w:highlight w:val="none"/>
        </w:rPr>
        <w:t>4.质疑函的质疑事项应具体、明确，并有必要的事实依据和法律依据。</w:t>
      </w:r>
    </w:p>
    <w:p w14:paraId="3BCE43A6">
      <w:pPr>
        <w:spacing w:line="360" w:lineRule="auto"/>
        <w:ind w:firstLine="435"/>
        <w:rPr>
          <w:rFonts w:hint="eastAsia" w:ascii="仿宋" w:hAnsi="仿宋" w:eastAsia="仿宋" w:cs="仿宋"/>
          <w:sz w:val="24"/>
          <w:highlight w:val="none"/>
        </w:rPr>
      </w:pPr>
      <w:r>
        <w:rPr>
          <w:rFonts w:hint="eastAsia" w:ascii="仿宋" w:hAnsi="仿宋" w:eastAsia="仿宋" w:cs="仿宋"/>
          <w:sz w:val="24"/>
          <w:highlight w:val="none"/>
        </w:rPr>
        <w:t>5.质疑函的质疑请求应与质疑事项相关。</w:t>
      </w:r>
    </w:p>
    <w:p w14:paraId="5E18279D">
      <w:pPr>
        <w:spacing w:line="360" w:lineRule="auto"/>
        <w:ind w:firstLine="435"/>
        <w:rPr>
          <w:rFonts w:hint="eastAsia" w:ascii="宋体" w:hAnsi="宋体" w:cs="宋体"/>
          <w:szCs w:val="28"/>
          <w:highlight w:val="none"/>
        </w:rPr>
      </w:pPr>
      <w:r>
        <w:rPr>
          <w:rFonts w:hint="eastAsia" w:ascii="仿宋" w:hAnsi="仿宋" w:eastAsia="仿宋" w:cs="仿宋"/>
          <w:sz w:val="24"/>
          <w:highlight w:val="none"/>
        </w:rPr>
        <w:t>6.质疑供应商为自然人的，质疑函应由本人签字；质疑供应商为法人或者其他组织的，质疑函应由法定代表人/主要负责人/其授权代表签字或者盖签字章，并加盖公章。</w:t>
      </w:r>
    </w:p>
    <w:p w14:paraId="346E0EC2">
      <w:pPr>
        <w:widowControl/>
        <w:adjustRightInd w:val="0"/>
        <w:snapToGrid w:val="0"/>
        <w:spacing w:line="360" w:lineRule="auto"/>
        <w:ind w:firstLine="420" w:firstLineChars="200"/>
        <w:rPr>
          <w:rFonts w:hint="eastAsia" w:ascii="宋体" w:hAnsi="宋体" w:eastAsia="仿宋"/>
          <w:szCs w:val="21"/>
          <w:highlight w:val="none"/>
        </w:rPr>
      </w:pPr>
    </w:p>
    <w:p w14:paraId="12A72888">
      <w:pPr>
        <w:widowControl/>
        <w:adjustRightInd w:val="0"/>
        <w:snapToGrid w:val="0"/>
        <w:spacing w:line="360" w:lineRule="auto"/>
        <w:ind w:firstLine="420" w:firstLineChars="200"/>
        <w:rPr>
          <w:rFonts w:hint="eastAsia" w:ascii="宋体" w:hAnsi="宋体" w:eastAsia="仿宋"/>
          <w:szCs w:val="21"/>
          <w:highlight w:val="none"/>
        </w:rPr>
        <w:sectPr>
          <w:footnotePr>
            <w:numFmt w:val="decimalEnclosedCircleChinese"/>
            <w:numRestart w:val="eachPage"/>
          </w:footnotePr>
          <w:pgSz w:w="11906" w:h="16838"/>
          <w:pgMar w:top="1134" w:right="1134" w:bottom="1134" w:left="1134" w:header="851" w:footer="851" w:gutter="0"/>
          <w:cols w:space="720" w:num="1"/>
          <w:docGrid w:linePitch="312" w:charSpace="0"/>
        </w:sectPr>
      </w:pPr>
    </w:p>
    <w:p w14:paraId="76570008">
      <w:pPr>
        <w:pStyle w:val="2"/>
        <w:widowControl/>
        <w:snapToGrid w:val="0"/>
        <w:spacing w:before="0" w:after="0" w:line="360" w:lineRule="auto"/>
        <w:jc w:val="center"/>
        <w:rPr>
          <w:rFonts w:hint="eastAsia" w:ascii="宋体" w:hAnsi="宋体" w:eastAsia="仿宋"/>
          <w:highlight w:val="none"/>
        </w:rPr>
      </w:pPr>
      <w:bookmarkStart w:id="755" w:name="_Toc445554746"/>
      <w:bookmarkStart w:id="756" w:name="_Toc24366"/>
      <w:bookmarkStart w:id="757" w:name="_Toc466024555"/>
      <w:bookmarkStart w:id="758" w:name="_Toc179632616"/>
      <w:bookmarkStart w:id="759" w:name="_Toc342297701"/>
      <w:bookmarkStart w:id="760" w:name="_Toc241459648"/>
      <w:bookmarkStart w:id="761" w:name="_Toc152045598"/>
      <w:bookmarkStart w:id="762" w:name="_Toc152042375"/>
      <w:bookmarkStart w:id="763" w:name="_Toc144974565"/>
      <w:bookmarkStart w:id="764" w:name="_Toc342297699"/>
      <w:bookmarkStart w:id="765" w:name="_Toc342296242"/>
      <w:bookmarkStart w:id="766" w:name="_Toc342296244"/>
      <w:r>
        <w:rPr>
          <w:rFonts w:hint="eastAsia" w:ascii="宋体" w:hAnsi="宋体" w:eastAsia="仿宋"/>
          <w:highlight w:val="none"/>
        </w:rPr>
        <w:t>第三章  采购需求</w:t>
      </w:r>
      <w:bookmarkEnd w:id="755"/>
      <w:bookmarkEnd w:id="756"/>
      <w:bookmarkEnd w:id="757"/>
    </w:p>
    <w:p w14:paraId="216F34A2">
      <w:pPr>
        <w:pStyle w:val="3"/>
        <w:spacing w:line="360" w:lineRule="auto"/>
        <w:rPr>
          <w:rStyle w:val="107"/>
          <w:rFonts w:ascii="宋体" w:hAnsi="宋体" w:eastAsia="仿宋"/>
          <w:b/>
          <w:bCs/>
          <w:sz w:val="24"/>
          <w:szCs w:val="24"/>
          <w:highlight w:val="none"/>
        </w:rPr>
      </w:pPr>
      <w:bookmarkStart w:id="767" w:name="_Toc455587089"/>
      <w:bookmarkStart w:id="768" w:name="_Toc455587273"/>
      <w:bookmarkStart w:id="769" w:name="_Toc466024556"/>
      <w:bookmarkStart w:id="770" w:name="_Toc445554747"/>
      <w:r>
        <w:rPr>
          <w:rStyle w:val="107"/>
          <w:rFonts w:hint="eastAsia" w:ascii="宋体" w:hAnsi="宋体" w:eastAsia="仿宋"/>
          <w:b/>
          <w:bCs/>
          <w:sz w:val="24"/>
          <w:szCs w:val="24"/>
          <w:highlight w:val="none"/>
        </w:rPr>
        <w:t xml:space="preserve">1. </w:t>
      </w:r>
      <w:bookmarkEnd w:id="767"/>
      <w:bookmarkEnd w:id="768"/>
      <w:bookmarkEnd w:id="769"/>
      <w:r>
        <w:rPr>
          <w:rStyle w:val="107"/>
          <w:rFonts w:hint="eastAsia" w:ascii="宋体" w:hAnsi="宋体" w:eastAsia="仿宋"/>
          <w:b/>
          <w:bCs/>
          <w:sz w:val="24"/>
          <w:szCs w:val="24"/>
          <w:highlight w:val="none"/>
        </w:rPr>
        <w:t>总体说明</w:t>
      </w:r>
    </w:p>
    <w:p w14:paraId="6FB923F3">
      <w:pPr>
        <w:widowControl/>
        <w:tabs>
          <w:tab w:val="left" w:pos="1406"/>
        </w:tabs>
        <w:snapToGrid w:val="0"/>
        <w:spacing w:line="360" w:lineRule="auto"/>
        <w:ind w:firstLine="480" w:firstLineChars="200"/>
        <w:rPr>
          <w:rFonts w:hint="eastAsia" w:ascii="宋体" w:hAnsi="宋体" w:eastAsia="仿宋"/>
          <w:color w:val="FF0000"/>
          <w:sz w:val="24"/>
          <w:highlight w:val="none"/>
        </w:rPr>
      </w:pPr>
      <w:r>
        <w:rPr>
          <w:rFonts w:hint="eastAsia" w:ascii="宋体" w:hAnsi="宋体" w:eastAsia="仿宋"/>
          <w:sz w:val="24"/>
          <w:highlight w:val="none"/>
        </w:rPr>
        <w:t>1.1 本章所提出的技术要求是对本次招标货物及伴随服务的基本要求，并未涉及所有技术细节，也未充分引述有关标准、规范的全部条款。投标人应保证其提供的货物及伴随服务除了满足本技术要求外，还应符合中国国家、行业、地方或设备制造商所在国的有关强制性标准、规范。当上述标准、规范的有关规定之间存在差异时，应以要求高的为准。</w:t>
      </w:r>
    </w:p>
    <w:p w14:paraId="70080C23">
      <w:pPr>
        <w:widowControl/>
        <w:tabs>
          <w:tab w:val="left" w:pos="1406"/>
        </w:tabs>
        <w:snapToGrid w:val="0"/>
        <w:spacing w:line="360" w:lineRule="auto"/>
        <w:ind w:firstLine="480" w:firstLineChars="200"/>
        <w:rPr>
          <w:rFonts w:hint="eastAsia" w:ascii="宋体" w:hAnsi="宋体" w:eastAsia="仿宋"/>
          <w:sz w:val="24"/>
          <w:highlight w:val="none"/>
        </w:rPr>
      </w:pPr>
      <w:r>
        <w:rPr>
          <w:rFonts w:hint="eastAsia" w:ascii="宋体" w:hAnsi="宋体" w:eastAsia="仿宋"/>
          <w:sz w:val="24"/>
          <w:highlight w:val="none"/>
        </w:rPr>
        <w:t>1.2 本章中提及的工艺、材料、设备的标准及品牌或型号（如有）仅起说明作用，并没有强制性。投标人在投标中可以用替代工艺、材料、设备的标准及品牌或型号，但这种替代须实质上满足、等同或优于本章技术要求，同时须提供相关证明材料，否则可能被评标委员会认定为负偏离。</w:t>
      </w:r>
    </w:p>
    <w:p w14:paraId="78C9B9DD">
      <w:pPr>
        <w:widowControl/>
        <w:tabs>
          <w:tab w:val="left" w:pos="1406"/>
        </w:tabs>
        <w:snapToGrid w:val="0"/>
        <w:spacing w:line="360" w:lineRule="auto"/>
        <w:ind w:firstLine="480" w:firstLineChars="200"/>
        <w:rPr>
          <w:rFonts w:hint="eastAsia" w:ascii="宋体" w:hAnsi="宋体" w:eastAsia="仿宋"/>
          <w:sz w:val="24"/>
          <w:highlight w:val="none"/>
        </w:rPr>
      </w:pPr>
      <w:r>
        <w:rPr>
          <w:rFonts w:hint="eastAsia" w:ascii="宋体" w:hAnsi="宋体" w:eastAsia="仿宋"/>
          <w:sz w:val="24"/>
          <w:highlight w:val="none"/>
        </w:rPr>
        <w:t>1.3 除非有特别说明，本章中所列的具体参数或参数范围，均理解为采购人可接受的最低要求。</w:t>
      </w:r>
    </w:p>
    <w:p w14:paraId="41AE0160">
      <w:pPr>
        <w:widowControl/>
        <w:tabs>
          <w:tab w:val="left" w:pos="1406"/>
        </w:tabs>
        <w:snapToGrid w:val="0"/>
        <w:spacing w:line="360" w:lineRule="auto"/>
        <w:ind w:firstLine="480" w:firstLineChars="200"/>
        <w:rPr>
          <w:rFonts w:hint="eastAsia" w:ascii="宋体" w:hAnsi="宋体" w:eastAsia="仿宋"/>
          <w:sz w:val="24"/>
          <w:highlight w:val="none"/>
        </w:rPr>
      </w:pPr>
      <w:r>
        <w:rPr>
          <w:rFonts w:hint="eastAsia" w:ascii="宋体" w:hAnsi="宋体" w:eastAsia="仿宋"/>
          <w:sz w:val="24"/>
          <w:highlight w:val="none"/>
        </w:rPr>
        <w:t>1.4 根据《关于规范政府采购进口产品有关工作的通知》及政府采购管理部门的相关规定，下列采购需求中标注进口产品的货物均已履行相关论证手续，经核准采购进口产品，但不限制满足招标文件要求的国内产品参与竞争。未标注进口产品的货物均为拒绝采购进口产品。</w:t>
      </w:r>
      <w:r>
        <w:rPr>
          <w:rFonts w:hint="eastAsia" w:ascii="宋体" w:hAnsi="宋体" w:eastAsia="仿宋" w:cs="Calibri"/>
          <w:sz w:val="24"/>
          <w:highlight w:val="none"/>
        </w:rPr>
        <w:t>进口产品的认定按照财政部文件《关于政府采购进口产品管理有关问题的通知》（财办库〔2008〕248号）规定，整机设备内元器件不做限制。</w:t>
      </w:r>
    </w:p>
    <w:p w14:paraId="17ABA09F">
      <w:pPr>
        <w:widowControl/>
        <w:tabs>
          <w:tab w:val="left" w:pos="1406"/>
        </w:tabs>
        <w:snapToGrid w:val="0"/>
        <w:spacing w:line="360" w:lineRule="auto"/>
        <w:ind w:firstLine="480" w:firstLineChars="200"/>
        <w:rPr>
          <w:rFonts w:hint="eastAsia" w:ascii="宋体" w:hAnsi="宋体" w:eastAsia="仿宋"/>
          <w:sz w:val="24"/>
          <w:highlight w:val="none"/>
        </w:rPr>
      </w:pPr>
      <w:r>
        <w:rPr>
          <w:rFonts w:hint="eastAsia" w:ascii="宋体" w:hAnsi="宋体" w:eastAsia="仿宋"/>
          <w:sz w:val="24"/>
          <w:highlight w:val="none"/>
        </w:rPr>
        <w:t>1.5 采购需求如包含属于《节能产品政府采购品目清单》中政府强制采购的节能产品，则投标人所投产品须具有市场监管总局公布的《参与实施政府采购节能产品认证机构目录》中的认证机构出具的、处于有效期内的节能（节水）产品认证证书。</w:t>
      </w:r>
    </w:p>
    <w:p w14:paraId="592547C5">
      <w:pPr>
        <w:pStyle w:val="3"/>
        <w:spacing w:line="360" w:lineRule="auto"/>
        <w:rPr>
          <w:rStyle w:val="107"/>
          <w:rFonts w:hint="eastAsia" w:ascii="宋体" w:hAnsi="宋体" w:eastAsia="仿宋"/>
          <w:b/>
          <w:bCs/>
          <w:sz w:val="24"/>
          <w:szCs w:val="24"/>
          <w:highlight w:val="none"/>
        </w:rPr>
      </w:pPr>
      <w:bookmarkStart w:id="771" w:name="_Toc466024557"/>
      <w:bookmarkStart w:id="772" w:name="_Toc455587274"/>
      <w:bookmarkStart w:id="773" w:name="_Toc455587090"/>
      <w:r>
        <w:rPr>
          <w:rStyle w:val="107"/>
          <w:rFonts w:hint="eastAsia" w:ascii="宋体" w:hAnsi="宋体" w:eastAsia="仿宋"/>
          <w:b/>
          <w:bCs/>
          <w:sz w:val="24"/>
          <w:szCs w:val="24"/>
          <w:highlight w:val="none"/>
        </w:rPr>
        <w:t>2. 采购内容及范围</w:t>
      </w:r>
      <w:bookmarkEnd w:id="771"/>
      <w:bookmarkEnd w:id="772"/>
      <w:bookmarkEnd w:id="773"/>
    </w:p>
    <w:p w14:paraId="64FF5F72">
      <w:pPr>
        <w:widowControl/>
        <w:tabs>
          <w:tab w:val="left" w:pos="1406"/>
        </w:tabs>
        <w:snapToGrid w:val="0"/>
        <w:spacing w:line="360" w:lineRule="auto"/>
        <w:ind w:firstLine="412" w:firstLineChars="171"/>
        <w:rPr>
          <w:rFonts w:hint="eastAsia" w:ascii="宋体" w:hAnsi="宋体"/>
          <w:b/>
          <w:sz w:val="24"/>
          <w:highlight w:val="none"/>
        </w:rPr>
      </w:pPr>
      <w:r>
        <w:rPr>
          <w:rFonts w:hint="eastAsia" w:ascii="宋体" w:hAnsi="宋体" w:eastAsia="仿宋"/>
          <w:b/>
          <w:sz w:val="24"/>
          <w:highlight w:val="none"/>
        </w:rPr>
        <w:t>2.1 采购内容</w:t>
      </w:r>
    </w:p>
    <w:tbl>
      <w:tblPr>
        <w:tblStyle w:val="48"/>
        <w:tblW w:w="10058" w:type="dxa"/>
        <w:jc w:val="center"/>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Layout w:type="fixed"/>
        <w:tblCellMar>
          <w:top w:w="0" w:type="dxa"/>
          <w:left w:w="108" w:type="dxa"/>
          <w:bottom w:w="0" w:type="dxa"/>
          <w:right w:w="108" w:type="dxa"/>
        </w:tblCellMar>
      </w:tblPr>
      <w:tblGrid>
        <w:gridCol w:w="880"/>
        <w:gridCol w:w="791"/>
        <w:gridCol w:w="1848"/>
        <w:gridCol w:w="777"/>
        <w:gridCol w:w="846"/>
        <w:gridCol w:w="1204"/>
        <w:gridCol w:w="1240"/>
        <w:gridCol w:w="1241"/>
        <w:gridCol w:w="1231"/>
      </w:tblGrid>
      <w:tr w14:paraId="0ACA3C71">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trHeight w:val="458" w:hRule="atLeast"/>
          <w:jc w:val="center"/>
        </w:trPr>
        <w:tc>
          <w:tcPr>
            <w:tcW w:w="880"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3F012394">
            <w:pPr>
              <w:keepNext w:val="0"/>
              <w:keepLines w:val="0"/>
              <w:widowControl/>
              <w:suppressLineNumbers w:val="0"/>
              <w:autoSpaceDN w:val="0"/>
              <w:spacing w:before="0" w:beforeAutospacing="0" w:after="0" w:afterAutospacing="0"/>
              <w:ind w:left="0" w:right="0"/>
              <w:jc w:val="center"/>
              <w:rPr>
                <w:rFonts w:hint="eastAsia" w:ascii="宋体" w:hAnsi="宋体" w:eastAsia="仿宋" w:cs="Times New Roman"/>
                <w:sz w:val="24"/>
                <w:highlight w:val="none"/>
              </w:rPr>
            </w:pPr>
            <w:r>
              <w:rPr>
                <w:rFonts w:hint="eastAsia" w:ascii="宋体" w:hAnsi="宋体" w:eastAsia="仿宋" w:cs="Times New Roman"/>
                <w:sz w:val="24"/>
                <w:highlight w:val="none"/>
              </w:rPr>
              <w:t>包号</w:t>
            </w:r>
          </w:p>
        </w:tc>
        <w:tc>
          <w:tcPr>
            <w:tcW w:w="791"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2AB23877">
            <w:pPr>
              <w:keepNext w:val="0"/>
              <w:keepLines w:val="0"/>
              <w:widowControl/>
              <w:suppressLineNumbers w:val="0"/>
              <w:autoSpaceDN w:val="0"/>
              <w:spacing w:before="0" w:beforeAutospacing="0" w:after="0" w:afterAutospacing="0"/>
              <w:ind w:left="0" w:right="0"/>
              <w:jc w:val="center"/>
              <w:rPr>
                <w:rFonts w:hint="default" w:ascii="Calibri" w:hAnsi="宋体" w:cs="Times New Roman"/>
                <w:sz w:val="24"/>
                <w:highlight w:val="none"/>
              </w:rPr>
            </w:pPr>
            <w:r>
              <w:rPr>
                <w:rFonts w:hint="default" w:ascii="宋体" w:hAnsi="宋体" w:eastAsia="仿宋" w:cs="Times New Roman"/>
                <w:sz w:val="24"/>
                <w:highlight w:val="none"/>
              </w:rPr>
              <w:t>序号</w:t>
            </w:r>
          </w:p>
        </w:tc>
        <w:tc>
          <w:tcPr>
            <w:tcW w:w="1848"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4C09C924">
            <w:pPr>
              <w:keepNext w:val="0"/>
              <w:keepLines w:val="0"/>
              <w:widowControl/>
              <w:suppressLineNumbers w:val="0"/>
              <w:autoSpaceDN w:val="0"/>
              <w:spacing w:before="0" w:beforeAutospacing="0" w:after="0" w:afterAutospacing="0"/>
              <w:ind w:left="0" w:right="0"/>
              <w:jc w:val="center"/>
              <w:rPr>
                <w:rFonts w:hint="default" w:ascii="Calibri" w:hAnsi="宋体" w:cs="Times New Roman"/>
                <w:sz w:val="24"/>
                <w:highlight w:val="none"/>
              </w:rPr>
            </w:pPr>
            <w:r>
              <w:rPr>
                <w:rFonts w:hint="eastAsia" w:ascii="宋体" w:hAnsi="宋体" w:eastAsia="仿宋" w:cs="Times New Roman"/>
                <w:sz w:val="24"/>
                <w:highlight w:val="none"/>
              </w:rPr>
              <w:t>标的</w:t>
            </w:r>
            <w:r>
              <w:rPr>
                <w:rFonts w:hint="default" w:ascii="宋体" w:hAnsi="宋体" w:eastAsia="仿宋" w:cs="Times New Roman"/>
                <w:sz w:val="24"/>
                <w:highlight w:val="none"/>
              </w:rPr>
              <w:t>名称</w:t>
            </w:r>
          </w:p>
        </w:tc>
        <w:tc>
          <w:tcPr>
            <w:tcW w:w="77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58F77817">
            <w:pPr>
              <w:keepNext w:val="0"/>
              <w:keepLines w:val="0"/>
              <w:widowControl/>
              <w:suppressLineNumbers w:val="0"/>
              <w:autoSpaceDN w:val="0"/>
              <w:spacing w:before="0" w:beforeAutospacing="0" w:after="0" w:afterAutospacing="0"/>
              <w:ind w:left="0" w:right="0"/>
              <w:jc w:val="center"/>
              <w:rPr>
                <w:rFonts w:hint="eastAsia" w:ascii="Calibri" w:hAnsi="宋体" w:cs="Times New Roman"/>
                <w:sz w:val="24"/>
                <w:highlight w:val="none"/>
              </w:rPr>
            </w:pPr>
            <w:r>
              <w:rPr>
                <w:rFonts w:hint="eastAsia" w:ascii="Calibri" w:hAnsi="宋体" w:eastAsia="仿宋" w:cs="Times New Roman"/>
                <w:sz w:val="24"/>
                <w:highlight w:val="none"/>
              </w:rPr>
              <w:t>单位</w:t>
            </w:r>
          </w:p>
        </w:tc>
        <w:tc>
          <w:tcPr>
            <w:tcW w:w="846"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21EB3C72">
            <w:pPr>
              <w:keepNext w:val="0"/>
              <w:keepLines w:val="0"/>
              <w:widowControl/>
              <w:suppressLineNumbers w:val="0"/>
              <w:autoSpaceDN w:val="0"/>
              <w:spacing w:before="0" w:beforeAutospacing="0" w:after="0" w:afterAutospacing="0"/>
              <w:ind w:left="0" w:right="0"/>
              <w:jc w:val="center"/>
              <w:rPr>
                <w:rFonts w:hint="default" w:ascii="Calibri" w:hAnsi="宋体" w:cs="Times New Roman"/>
                <w:sz w:val="24"/>
                <w:highlight w:val="none"/>
              </w:rPr>
            </w:pPr>
            <w:r>
              <w:rPr>
                <w:rFonts w:hint="eastAsia" w:ascii="宋体" w:hAnsi="宋体" w:eastAsia="仿宋" w:cs="Times New Roman"/>
                <w:sz w:val="24"/>
                <w:highlight w:val="none"/>
              </w:rPr>
              <w:t>数量</w:t>
            </w:r>
          </w:p>
        </w:tc>
        <w:tc>
          <w:tcPr>
            <w:tcW w:w="1204"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29ED1E15">
            <w:pPr>
              <w:keepNext w:val="0"/>
              <w:keepLines w:val="0"/>
              <w:widowControl/>
              <w:suppressLineNumbers w:val="0"/>
              <w:autoSpaceDN w:val="0"/>
              <w:spacing w:before="0" w:beforeAutospacing="0" w:after="0" w:afterAutospacing="0"/>
              <w:ind w:left="0" w:right="0"/>
              <w:jc w:val="center"/>
              <w:rPr>
                <w:rFonts w:hint="eastAsia" w:ascii="Calibri" w:hAnsi="宋体" w:eastAsia="仿宋" w:cs="Times New Roman"/>
                <w:sz w:val="24"/>
                <w:highlight w:val="none"/>
                <w:lang w:eastAsia="zh-CN"/>
              </w:rPr>
            </w:pPr>
            <w:r>
              <w:rPr>
                <w:rFonts w:hint="eastAsia" w:ascii="Calibri" w:hAnsi="宋体" w:eastAsia="仿宋" w:cs="Times New Roman"/>
                <w:sz w:val="24"/>
                <w:highlight w:val="none"/>
              </w:rPr>
              <w:t>单套限价</w:t>
            </w:r>
            <w:r>
              <w:rPr>
                <w:rFonts w:hint="eastAsia" w:ascii="Calibri" w:hAnsi="宋体" w:eastAsia="仿宋" w:cs="Times New Roman"/>
                <w:sz w:val="24"/>
                <w:highlight w:val="none"/>
                <w:lang w:eastAsia="zh-CN"/>
              </w:rPr>
              <w:t>（</w:t>
            </w:r>
            <w:r>
              <w:rPr>
                <w:rFonts w:hint="eastAsia" w:ascii="Calibri" w:hAnsi="宋体" w:eastAsia="仿宋" w:cs="Times New Roman"/>
                <w:sz w:val="24"/>
                <w:highlight w:val="none"/>
                <w:lang w:val="en-US" w:eastAsia="zh-CN"/>
              </w:rPr>
              <w:t>万元</w:t>
            </w:r>
            <w:r>
              <w:rPr>
                <w:rFonts w:hint="eastAsia" w:ascii="Calibri" w:hAnsi="宋体" w:eastAsia="仿宋" w:cs="Times New Roman"/>
                <w:sz w:val="24"/>
                <w:highlight w:val="none"/>
                <w:lang w:eastAsia="zh-CN"/>
              </w:rPr>
              <w:t>）</w:t>
            </w:r>
          </w:p>
        </w:tc>
        <w:tc>
          <w:tcPr>
            <w:tcW w:w="1240"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692613E1">
            <w:pPr>
              <w:keepNext w:val="0"/>
              <w:keepLines w:val="0"/>
              <w:widowControl/>
              <w:suppressLineNumbers w:val="0"/>
              <w:autoSpaceDN w:val="0"/>
              <w:spacing w:before="0" w:beforeAutospacing="0" w:after="0" w:afterAutospacing="0"/>
              <w:ind w:left="0" w:right="0"/>
              <w:jc w:val="center"/>
              <w:rPr>
                <w:rFonts w:hint="default" w:ascii="Calibri" w:hAnsi="宋体" w:eastAsia="仿宋" w:cs="Times New Roman"/>
                <w:sz w:val="24"/>
                <w:highlight w:val="none"/>
              </w:rPr>
            </w:pPr>
            <w:r>
              <w:rPr>
                <w:rFonts w:hint="eastAsia" w:ascii="Calibri" w:hAnsi="宋体" w:eastAsia="仿宋" w:cs="Times New Roman"/>
                <w:sz w:val="24"/>
                <w:highlight w:val="none"/>
              </w:rPr>
              <w:t>所属行业</w:t>
            </w:r>
          </w:p>
        </w:tc>
        <w:tc>
          <w:tcPr>
            <w:tcW w:w="1241"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471F8F9A">
            <w:pPr>
              <w:keepNext w:val="0"/>
              <w:keepLines w:val="0"/>
              <w:widowControl/>
              <w:suppressLineNumbers w:val="0"/>
              <w:autoSpaceDN w:val="0"/>
              <w:spacing w:before="0" w:beforeAutospacing="0" w:after="0" w:afterAutospacing="0"/>
              <w:ind w:left="0" w:right="0"/>
              <w:jc w:val="center"/>
              <w:rPr>
                <w:rFonts w:hint="default" w:ascii="Calibri" w:hAnsi="宋体" w:eastAsia="仿宋" w:cs="Times New Roman"/>
                <w:sz w:val="24"/>
                <w:highlight w:val="none"/>
              </w:rPr>
            </w:pPr>
            <w:r>
              <w:rPr>
                <w:rFonts w:hint="eastAsia" w:ascii="Calibri" w:hAnsi="宋体" w:eastAsia="仿宋" w:cs="Times New Roman"/>
                <w:sz w:val="24"/>
                <w:highlight w:val="none"/>
              </w:rPr>
              <w:t>是否接受进口</w:t>
            </w:r>
          </w:p>
        </w:tc>
        <w:tc>
          <w:tcPr>
            <w:tcW w:w="1231"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051C6E02">
            <w:pPr>
              <w:keepNext w:val="0"/>
              <w:keepLines w:val="0"/>
              <w:widowControl/>
              <w:suppressLineNumbers w:val="0"/>
              <w:autoSpaceDN w:val="0"/>
              <w:spacing w:before="0" w:beforeAutospacing="0" w:after="0" w:afterAutospacing="0"/>
              <w:ind w:left="0" w:right="0"/>
              <w:jc w:val="center"/>
              <w:rPr>
                <w:rFonts w:hint="eastAsia" w:ascii="Calibri" w:hAnsi="宋体" w:eastAsia="仿宋" w:cs="Times New Roman"/>
                <w:color w:val="FF0000"/>
                <w:sz w:val="24"/>
                <w:highlight w:val="none"/>
              </w:rPr>
            </w:pPr>
            <w:r>
              <w:rPr>
                <w:rFonts w:hint="eastAsia" w:ascii="宋体" w:hAnsi="宋体" w:eastAsia="仿宋" w:cs="Times New Roman"/>
                <w:sz w:val="24"/>
                <w:highlight w:val="none"/>
              </w:rPr>
              <w:t>备注</w:t>
            </w:r>
          </w:p>
        </w:tc>
      </w:tr>
      <w:tr w14:paraId="36D86283">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trHeight w:val="551" w:hRule="atLeast"/>
          <w:jc w:val="center"/>
        </w:trPr>
        <w:tc>
          <w:tcPr>
            <w:tcW w:w="880"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355B87D6">
            <w:pPr>
              <w:keepNext w:val="0"/>
              <w:keepLines w:val="0"/>
              <w:widowControl/>
              <w:suppressLineNumbers w:val="0"/>
              <w:autoSpaceDN w:val="0"/>
              <w:spacing w:before="0" w:beforeAutospacing="0" w:after="0" w:afterAutospacing="0"/>
              <w:ind w:left="0" w:right="0"/>
              <w:jc w:val="center"/>
              <w:rPr>
                <w:rFonts w:hint="default" w:ascii="宋体" w:hAnsi="宋体" w:eastAsia="仿宋" w:cs="Times New Roman"/>
                <w:sz w:val="24"/>
                <w:highlight w:val="none"/>
              </w:rPr>
            </w:pPr>
            <w:r>
              <w:rPr>
                <w:rFonts w:hint="eastAsia" w:ascii="宋体" w:hAnsi="宋体" w:eastAsia="仿宋" w:cs="Times New Roman"/>
                <w:sz w:val="24"/>
                <w:highlight w:val="none"/>
              </w:rPr>
              <w:t>第1包</w:t>
            </w:r>
          </w:p>
        </w:tc>
        <w:tc>
          <w:tcPr>
            <w:tcW w:w="791"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3BD3105E">
            <w:pPr>
              <w:keepNext w:val="0"/>
              <w:keepLines w:val="0"/>
              <w:widowControl/>
              <w:suppressLineNumbers w:val="0"/>
              <w:autoSpaceDN w:val="0"/>
              <w:spacing w:before="0" w:beforeAutospacing="0" w:after="0" w:afterAutospacing="0"/>
              <w:ind w:left="0" w:right="0"/>
              <w:jc w:val="center"/>
              <w:rPr>
                <w:rFonts w:hint="default" w:ascii="Calibri" w:hAnsi="宋体" w:cs="Times New Roman"/>
                <w:sz w:val="24"/>
                <w:highlight w:val="none"/>
              </w:rPr>
            </w:pPr>
            <w:r>
              <w:rPr>
                <w:rFonts w:hint="default" w:ascii="宋体" w:hAnsi="宋体" w:eastAsia="仿宋" w:cs="Times New Roman"/>
                <w:sz w:val="24"/>
                <w:highlight w:val="none"/>
              </w:rPr>
              <w:t>1</w:t>
            </w:r>
          </w:p>
        </w:tc>
        <w:tc>
          <w:tcPr>
            <w:tcW w:w="1848"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3A675CFD">
            <w:pPr>
              <w:keepNext w:val="0"/>
              <w:keepLines w:val="0"/>
              <w:widowControl/>
              <w:suppressLineNumbers w:val="0"/>
              <w:autoSpaceDN w:val="0"/>
              <w:spacing w:before="0" w:beforeAutospacing="0" w:after="0" w:afterAutospacing="0"/>
              <w:ind w:left="0" w:right="0"/>
              <w:jc w:val="center"/>
              <w:rPr>
                <w:rFonts w:hint="eastAsia" w:ascii="宋体" w:hAnsi="宋体" w:eastAsia="仿宋" w:cs="Times New Roman"/>
                <w:sz w:val="24"/>
                <w:highlight w:val="none"/>
                <w:lang w:val="en-US" w:eastAsia="zh-CN"/>
              </w:rPr>
            </w:pPr>
            <w:r>
              <w:rPr>
                <w:rFonts w:hint="eastAsia" w:ascii="宋体" w:hAnsi="宋体" w:eastAsia="仿宋" w:cs="Times New Roman"/>
                <w:sz w:val="24"/>
                <w:highlight w:val="none"/>
                <w:lang w:val="en-US" w:eastAsia="zh-CN"/>
              </w:rPr>
              <w:t>彩超(高端心脏机)</w:t>
            </w:r>
          </w:p>
        </w:tc>
        <w:tc>
          <w:tcPr>
            <w:tcW w:w="77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2CAF1AED">
            <w:pPr>
              <w:keepNext w:val="0"/>
              <w:keepLines w:val="0"/>
              <w:widowControl/>
              <w:suppressLineNumbers w:val="0"/>
              <w:autoSpaceDN w:val="0"/>
              <w:spacing w:before="0" w:beforeAutospacing="0" w:after="0" w:afterAutospacing="0"/>
              <w:ind w:left="0" w:right="0"/>
              <w:jc w:val="center"/>
              <w:rPr>
                <w:rFonts w:hint="eastAsia" w:ascii="宋体" w:hAnsi="宋体" w:eastAsia="仿宋" w:cs="Times New Roman"/>
                <w:sz w:val="24"/>
                <w:highlight w:val="none"/>
              </w:rPr>
            </w:pPr>
            <w:r>
              <w:rPr>
                <w:rFonts w:hint="eastAsia" w:ascii="宋体" w:hAnsi="宋体" w:eastAsia="仿宋" w:cs="Times New Roman"/>
                <w:sz w:val="24"/>
                <w:highlight w:val="none"/>
              </w:rPr>
              <w:t>套</w:t>
            </w:r>
          </w:p>
        </w:tc>
        <w:tc>
          <w:tcPr>
            <w:tcW w:w="846"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1031C7C0">
            <w:pPr>
              <w:keepNext w:val="0"/>
              <w:keepLines w:val="0"/>
              <w:widowControl/>
              <w:suppressLineNumbers w:val="0"/>
              <w:autoSpaceDN w:val="0"/>
              <w:spacing w:before="0" w:beforeAutospacing="0" w:after="0" w:afterAutospacing="0"/>
              <w:ind w:left="0" w:right="0"/>
              <w:jc w:val="center"/>
              <w:rPr>
                <w:rFonts w:hint="default" w:ascii="宋体" w:hAnsi="宋体" w:eastAsia="仿宋" w:cs="Times New Roman"/>
                <w:sz w:val="24"/>
                <w:highlight w:val="none"/>
                <w:lang w:val="en-US" w:eastAsia="zh-CN"/>
              </w:rPr>
            </w:pPr>
            <w:r>
              <w:rPr>
                <w:rFonts w:hint="eastAsia" w:ascii="宋体" w:hAnsi="宋体" w:eastAsia="仿宋" w:cs="Times New Roman"/>
                <w:sz w:val="24"/>
                <w:highlight w:val="none"/>
                <w:lang w:val="en-US" w:eastAsia="zh-CN"/>
              </w:rPr>
              <w:t>14</w:t>
            </w:r>
          </w:p>
        </w:tc>
        <w:tc>
          <w:tcPr>
            <w:tcW w:w="1204"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67B878C1">
            <w:pPr>
              <w:keepNext w:val="0"/>
              <w:keepLines w:val="0"/>
              <w:widowControl/>
              <w:suppressLineNumbers w:val="0"/>
              <w:autoSpaceDN w:val="0"/>
              <w:spacing w:before="0" w:beforeAutospacing="0" w:after="0" w:afterAutospacing="0"/>
              <w:ind w:left="0" w:right="0"/>
              <w:jc w:val="center"/>
              <w:rPr>
                <w:rFonts w:hint="default" w:ascii="宋体" w:hAnsi="宋体" w:eastAsia="仿宋" w:cs="Times New Roman"/>
                <w:sz w:val="24"/>
                <w:highlight w:val="none"/>
                <w:lang w:val="en-US" w:eastAsia="zh-CN"/>
              </w:rPr>
            </w:pPr>
            <w:r>
              <w:rPr>
                <w:rFonts w:hint="eastAsia" w:ascii="宋体" w:hAnsi="宋体" w:eastAsia="仿宋" w:cs="Times New Roman"/>
                <w:sz w:val="24"/>
                <w:highlight w:val="none"/>
                <w:lang w:val="en-US" w:eastAsia="zh-CN"/>
              </w:rPr>
              <w:t>195</w:t>
            </w:r>
          </w:p>
        </w:tc>
        <w:tc>
          <w:tcPr>
            <w:tcW w:w="1240"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060A1D26">
            <w:pPr>
              <w:keepNext w:val="0"/>
              <w:keepLines w:val="0"/>
              <w:widowControl/>
              <w:suppressLineNumbers w:val="0"/>
              <w:autoSpaceDN w:val="0"/>
              <w:spacing w:before="0" w:beforeAutospacing="0" w:after="0" w:afterAutospacing="0"/>
              <w:ind w:left="0" w:right="0"/>
              <w:jc w:val="center"/>
              <w:rPr>
                <w:rFonts w:hint="eastAsia" w:ascii="宋体" w:hAnsi="宋体" w:eastAsia="仿宋" w:cs="Times New Roman"/>
                <w:sz w:val="24"/>
                <w:highlight w:val="none"/>
              </w:rPr>
            </w:pPr>
            <w:r>
              <w:rPr>
                <w:rFonts w:hint="eastAsia" w:ascii="宋体" w:hAnsi="宋体" w:eastAsia="仿宋" w:cs="Times New Roman"/>
                <w:sz w:val="24"/>
                <w:highlight w:val="none"/>
              </w:rPr>
              <w:t>工业</w:t>
            </w:r>
          </w:p>
        </w:tc>
        <w:tc>
          <w:tcPr>
            <w:tcW w:w="1241"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50390B1B">
            <w:pPr>
              <w:keepNext w:val="0"/>
              <w:keepLines w:val="0"/>
              <w:widowControl/>
              <w:suppressLineNumbers w:val="0"/>
              <w:autoSpaceDN w:val="0"/>
              <w:spacing w:before="0" w:beforeAutospacing="0" w:after="0" w:afterAutospacing="0"/>
              <w:ind w:left="0" w:right="0"/>
              <w:jc w:val="center"/>
              <w:rPr>
                <w:rFonts w:hint="eastAsia" w:ascii="宋体" w:hAnsi="宋体" w:eastAsia="仿宋" w:cs="Times New Roman"/>
                <w:sz w:val="24"/>
                <w:highlight w:val="none"/>
              </w:rPr>
            </w:pPr>
            <w:r>
              <w:rPr>
                <w:rFonts w:hint="eastAsia" w:ascii="宋体" w:hAnsi="宋体" w:eastAsia="仿宋" w:cs="Times New Roman"/>
                <w:sz w:val="24"/>
                <w:highlight w:val="none"/>
              </w:rPr>
              <w:t>否</w:t>
            </w:r>
          </w:p>
        </w:tc>
        <w:tc>
          <w:tcPr>
            <w:tcW w:w="1231"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5E26D914">
            <w:pPr>
              <w:keepNext w:val="0"/>
              <w:keepLines w:val="0"/>
              <w:widowControl/>
              <w:suppressLineNumbers w:val="0"/>
              <w:autoSpaceDN w:val="0"/>
              <w:spacing w:before="0" w:beforeAutospacing="0" w:after="0" w:afterAutospacing="0"/>
              <w:ind w:left="0" w:right="0"/>
              <w:jc w:val="center"/>
              <w:rPr>
                <w:rFonts w:hint="eastAsia" w:ascii="宋体" w:hAnsi="宋体" w:eastAsia="仿宋" w:cs="Times New Roman"/>
                <w:sz w:val="24"/>
                <w:highlight w:val="none"/>
                <w:lang w:val="en-US" w:eastAsia="zh-CN"/>
              </w:rPr>
            </w:pPr>
            <w:r>
              <w:rPr>
                <w:rFonts w:hint="eastAsia" w:ascii="宋体" w:hAnsi="宋体" w:eastAsia="仿宋" w:cs="Times New Roman"/>
                <w:sz w:val="24"/>
                <w:highlight w:val="none"/>
                <w:lang w:val="en-US" w:eastAsia="zh-CN"/>
              </w:rPr>
              <w:t>/</w:t>
            </w:r>
          </w:p>
        </w:tc>
      </w:tr>
    </w:tbl>
    <w:p w14:paraId="23F9CC3A">
      <w:pPr>
        <w:widowControl/>
        <w:tabs>
          <w:tab w:val="left" w:pos="1406"/>
        </w:tabs>
        <w:snapToGrid w:val="0"/>
        <w:spacing w:line="360" w:lineRule="auto"/>
        <w:ind w:firstLine="412" w:firstLineChars="171"/>
        <w:rPr>
          <w:rFonts w:hint="eastAsia" w:ascii="宋体" w:hAnsi="宋体" w:eastAsia="仿宋"/>
          <w:b/>
          <w:sz w:val="24"/>
          <w:highlight w:val="none"/>
        </w:rPr>
      </w:pPr>
      <w:r>
        <w:rPr>
          <w:rFonts w:hint="eastAsia" w:ascii="宋体" w:hAnsi="宋体" w:eastAsia="仿宋"/>
          <w:b/>
          <w:sz w:val="24"/>
          <w:highlight w:val="none"/>
        </w:rPr>
        <w:t>2.2 采购范围</w:t>
      </w:r>
    </w:p>
    <w:p w14:paraId="23CA5012">
      <w:pPr>
        <w:pStyle w:val="25"/>
        <w:widowControl/>
        <w:snapToGrid w:val="0"/>
        <w:spacing w:line="360" w:lineRule="auto"/>
        <w:ind w:firstLine="480" w:firstLineChars="200"/>
        <w:rPr>
          <w:rFonts w:hint="eastAsia" w:hAnsi="宋体" w:eastAsia="仿宋"/>
          <w:sz w:val="24"/>
          <w:highlight w:val="none"/>
        </w:rPr>
      </w:pPr>
      <w:r>
        <w:rPr>
          <w:rFonts w:hint="eastAsia" w:hAnsi="宋体" w:eastAsia="仿宋"/>
          <w:sz w:val="24"/>
          <w:szCs w:val="24"/>
          <w:highlight w:val="none"/>
        </w:rPr>
        <w:t>包括所有货物的供货、包装运输（包括卸车及就位至采购人指定的安装地点）、安装、调试、技术服务、培训、售后服务等所有内容。</w:t>
      </w:r>
    </w:p>
    <w:p w14:paraId="17C58773">
      <w:pPr>
        <w:pStyle w:val="3"/>
        <w:spacing w:line="360" w:lineRule="auto"/>
        <w:rPr>
          <w:rFonts w:ascii="宋体" w:hAnsi="宋体" w:eastAsia="仿宋"/>
          <w:sz w:val="24"/>
          <w:highlight w:val="none"/>
        </w:rPr>
      </w:pPr>
      <w:r>
        <w:rPr>
          <w:rFonts w:hint="eastAsia" w:ascii="宋体" w:hAnsi="宋体" w:eastAsia="仿宋"/>
          <w:sz w:val="24"/>
          <w:highlight w:val="none"/>
        </w:rPr>
        <w:t>3</w:t>
      </w:r>
      <w:r>
        <w:rPr>
          <w:rFonts w:ascii="宋体" w:hAnsi="宋体" w:eastAsia="仿宋"/>
          <w:sz w:val="24"/>
          <w:highlight w:val="none"/>
        </w:rPr>
        <w:t>. 商务要求</w:t>
      </w:r>
    </w:p>
    <w:p w14:paraId="34E61038">
      <w:pPr>
        <w:spacing w:line="360" w:lineRule="auto"/>
        <w:rPr>
          <w:rFonts w:hint="eastAsia" w:ascii="仿宋" w:hAnsi="仿宋" w:eastAsia="仿宋" w:cs="仿宋"/>
          <w:b/>
          <w:bCs/>
          <w:sz w:val="24"/>
          <w:szCs w:val="32"/>
          <w:highlight w:val="none"/>
        </w:rPr>
      </w:pPr>
      <w:r>
        <w:rPr>
          <w:rFonts w:hint="eastAsia" w:ascii="仿宋" w:hAnsi="仿宋" w:eastAsia="仿宋" w:cs="仿宋"/>
          <w:b/>
          <w:bCs/>
          <w:sz w:val="24"/>
          <w:szCs w:val="32"/>
          <w:highlight w:val="none"/>
        </w:rPr>
        <w:t>除非有特别说明，本条为实质性要求。</w:t>
      </w:r>
    </w:p>
    <w:tbl>
      <w:tblPr>
        <w:tblStyle w:val="4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75"/>
        <w:gridCol w:w="7479"/>
      </w:tblGrid>
      <w:tr w14:paraId="1F12E8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75" w:type="dxa"/>
            <w:noWrap w:val="0"/>
            <w:vAlign w:val="center"/>
          </w:tcPr>
          <w:p w14:paraId="10F8A976">
            <w:pPr>
              <w:keepNext w:val="0"/>
              <w:keepLines w:val="0"/>
              <w:widowControl/>
              <w:suppressLineNumbers w:val="0"/>
              <w:spacing w:before="0" w:beforeAutospacing="0" w:after="0" w:afterAutospacing="0" w:line="360" w:lineRule="auto"/>
              <w:ind w:left="0" w:right="0"/>
              <w:jc w:val="center"/>
              <w:rPr>
                <w:rFonts w:hint="eastAsia" w:ascii="宋体" w:hAnsi="宋体" w:eastAsia="仿宋" w:cs="Times New Roman"/>
                <w:sz w:val="24"/>
                <w:highlight w:val="none"/>
              </w:rPr>
            </w:pPr>
            <w:r>
              <w:rPr>
                <w:rFonts w:hint="eastAsia" w:ascii="宋体" w:hAnsi="宋体" w:eastAsia="仿宋" w:cs="Times New Roman"/>
                <w:sz w:val="24"/>
                <w:highlight w:val="none"/>
              </w:rPr>
              <w:t>交付（实施）的时间（期限）</w:t>
            </w:r>
          </w:p>
        </w:tc>
        <w:tc>
          <w:tcPr>
            <w:tcW w:w="7479" w:type="dxa"/>
            <w:noWrap w:val="0"/>
            <w:vAlign w:val="top"/>
          </w:tcPr>
          <w:p w14:paraId="6C7C055D">
            <w:pPr>
              <w:keepNext w:val="0"/>
              <w:keepLines w:val="0"/>
              <w:widowControl/>
              <w:suppressLineNumbers w:val="0"/>
              <w:adjustRightInd w:val="0"/>
              <w:snapToGrid w:val="0"/>
              <w:spacing w:before="0" w:beforeAutospacing="0" w:after="0" w:afterAutospacing="0" w:line="360" w:lineRule="auto"/>
              <w:ind w:left="0" w:right="0"/>
              <w:rPr>
                <w:rFonts w:hint="eastAsia" w:ascii="楷体" w:hAnsi="楷体" w:eastAsia="仿宋" w:cs="Calibri"/>
                <w:color w:val="000000"/>
                <w:sz w:val="24"/>
                <w:highlight w:val="none"/>
              </w:rPr>
            </w:pPr>
            <w:r>
              <w:rPr>
                <w:rFonts w:hint="eastAsia" w:ascii="楷体" w:hAnsi="楷体" w:eastAsia="仿宋" w:cs="Calibri"/>
                <w:color w:val="000000"/>
                <w:sz w:val="24"/>
                <w:highlight w:val="none"/>
              </w:rPr>
              <w:t>合同生效后60日历天内完成供货安装调试。</w:t>
            </w:r>
          </w:p>
          <w:p w14:paraId="28AD7032">
            <w:pPr>
              <w:keepNext w:val="0"/>
              <w:keepLines w:val="0"/>
              <w:widowControl/>
              <w:suppressLineNumbers w:val="0"/>
              <w:adjustRightInd w:val="0"/>
              <w:snapToGrid w:val="0"/>
              <w:spacing w:before="0" w:beforeAutospacing="0" w:after="0" w:afterAutospacing="0" w:line="360" w:lineRule="auto"/>
              <w:ind w:left="0" w:right="0"/>
              <w:rPr>
                <w:rFonts w:hint="eastAsia" w:ascii="楷体" w:hAnsi="楷体" w:eastAsia="仿宋" w:cs="Calibri"/>
                <w:sz w:val="24"/>
                <w:highlight w:val="none"/>
              </w:rPr>
            </w:pPr>
            <w:r>
              <w:rPr>
                <w:rFonts w:hint="eastAsia" w:ascii="宋体" w:hAnsi="宋体" w:eastAsia="仿宋" w:cs="Calibri"/>
                <w:sz w:val="24"/>
                <w:highlight w:val="none"/>
              </w:rPr>
              <w:t>是否接受负偏离：</w:t>
            </w:r>
            <w:r>
              <w:rPr>
                <w:rFonts w:hint="eastAsia" w:ascii="楷体" w:hAnsi="楷体" w:eastAsia="仿宋" w:cs="Calibri"/>
                <w:sz w:val="24"/>
                <w:highlight w:val="none"/>
              </w:rPr>
              <w:t>☑不接受</w:t>
            </w:r>
          </w:p>
          <w:p w14:paraId="23F877AF">
            <w:pPr>
              <w:pStyle w:val="93"/>
              <w:keepNext w:val="0"/>
              <w:keepLines w:val="0"/>
              <w:suppressLineNumbers w:val="0"/>
              <w:spacing w:before="0" w:beforeAutospacing="0" w:after="0" w:afterAutospacing="0" w:line="360" w:lineRule="auto"/>
              <w:ind w:left="0" w:right="0" w:firstLine="480"/>
              <w:rPr>
                <w:rFonts w:hint="eastAsia" w:ascii="楷体" w:hAnsi="楷体" w:eastAsia="仿宋" w:cs="Calibri"/>
                <w:sz w:val="24"/>
                <w:highlight w:val="none"/>
              </w:rPr>
            </w:pPr>
            <w:r>
              <w:rPr>
                <w:rFonts w:hint="eastAsia" w:ascii="楷体" w:hAnsi="楷体" w:eastAsia="仿宋" w:cs="Calibri"/>
                <w:sz w:val="24"/>
                <w:highlight w:val="none"/>
              </w:rPr>
              <w:t xml:space="preserve">            □接受：</w:t>
            </w:r>
          </w:p>
          <w:p w14:paraId="396CEEFD">
            <w:pPr>
              <w:pStyle w:val="93"/>
              <w:keepNext w:val="0"/>
              <w:keepLines w:val="0"/>
              <w:suppressLineNumbers w:val="0"/>
              <w:spacing w:before="0" w:beforeAutospacing="0" w:after="0" w:afterAutospacing="0" w:line="360" w:lineRule="auto"/>
              <w:ind w:left="0" w:right="0" w:firstLine="2160" w:firstLineChars="900"/>
              <w:rPr>
                <w:rFonts w:hint="eastAsia" w:ascii="宋体" w:hAnsi="宋体" w:eastAsia="仿宋" w:cs="Times New Roman"/>
                <w:sz w:val="24"/>
                <w:highlight w:val="none"/>
              </w:rPr>
            </w:pPr>
            <w:r>
              <w:rPr>
                <w:rFonts w:hint="eastAsia" w:ascii="楷体" w:hAnsi="楷体" w:eastAsia="仿宋" w:cs="Calibri"/>
                <w:sz w:val="24"/>
                <w:highlight w:val="none"/>
              </w:rPr>
              <w:t>允许偏</w:t>
            </w:r>
            <w:r>
              <w:rPr>
                <w:rFonts w:hint="eastAsia" w:ascii="楷体" w:hAnsi="楷体" w:eastAsia="仿宋" w:cs="Calibri"/>
                <w:color w:val="auto"/>
                <w:sz w:val="24"/>
                <w:highlight w:val="none"/>
              </w:rPr>
              <w:t>离的幅度：</w:t>
            </w:r>
            <w:r>
              <w:rPr>
                <w:rFonts w:hint="eastAsia" w:ascii="宋体" w:hAnsi="宋体" w:eastAsia="仿宋" w:cs="Calibri"/>
                <w:color w:val="auto"/>
                <w:sz w:val="24"/>
                <w:highlight w:val="none"/>
              </w:rPr>
              <w:t>/</w:t>
            </w:r>
          </w:p>
        </w:tc>
      </w:tr>
      <w:tr w14:paraId="66A8BF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75" w:type="dxa"/>
            <w:noWrap w:val="0"/>
            <w:vAlign w:val="center"/>
          </w:tcPr>
          <w:p w14:paraId="6964BEE4">
            <w:pPr>
              <w:keepNext w:val="0"/>
              <w:keepLines w:val="0"/>
              <w:widowControl/>
              <w:suppressLineNumbers w:val="0"/>
              <w:spacing w:before="0" w:beforeAutospacing="0" w:after="0" w:afterAutospacing="0" w:line="360" w:lineRule="auto"/>
              <w:ind w:left="0" w:right="0"/>
              <w:jc w:val="center"/>
              <w:rPr>
                <w:rFonts w:hint="eastAsia" w:ascii="宋体" w:hAnsi="宋体" w:eastAsia="仿宋" w:cs="Times New Roman"/>
                <w:sz w:val="24"/>
                <w:highlight w:val="none"/>
              </w:rPr>
            </w:pPr>
            <w:r>
              <w:rPr>
                <w:rFonts w:hint="eastAsia" w:ascii="宋体" w:hAnsi="宋体" w:eastAsia="仿宋" w:cs="Times New Roman"/>
                <w:sz w:val="24"/>
                <w:highlight w:val="none"/>
              </w:rPr>
              <w:t>交付（实施）的地点（范围）</w:t>
            </w:r>
          </w:p>
        </w:tc>
        <w:tc>
          <w:tcPr>
            <w:tcW w:w="7479" w:type="dxa"/>
            <w:noWrap w:val="0"/>
            <w:vAlign w:val="center"/>
          </w:tcPr>
          <w:p w14:paraId="2DDF3563">
            <w:pPr>
              <w:pStyle w:val="93"/>
              <w:keepNext w:val="0"/>
              <w:keepLines w:val="0"/>
              <w:suppressLineNumbers w:val="0"/>
              <w:spacing w:before="0" w:beforeAutospacing="0" w:after="0" w:afterAutospacing="0" w:line="360" w:lineRule="auto"/>
              <w:ind w:left="0" w:right="0" w:firstLine="0" w:firstLineChars="0"/>
              <w:jc w:val="left"/>
              <w:rPr>
                <w:rFonts w:hint="default" w:ascii="宋体" w:hAnsi="宋体" w:eastAsia="仿宋" w:cs="Times New Roman"/>
                <w:sz w:val="24"/>
                <w:highlight w:val="none"/>
              </w:rPr>
            </w:pPr>
            <w:r>
              <w:rPr>
                <w:rFonts w:hint="eastAsia" w:ascii="宋体" w:hAnsi="宋体" w:eastAsia="仿宋" w:cs="Times New Roman"/>
                <w:sz w:val="24"/>
                <w:highlight w:val="none"/>
              </w:rPr>
              <w:t>安徽省，采购人或使用单位指定地点</w:t>
            </w:r>
          </w:p>
        </w:tc>
      </w:tr>
      <w:tr w14:paraId="5C4174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75" w:type="dxa"/>
            <w:noWrap w:val="0"/>
            <w:vAlign w:val="center"/>
          </w:tcPr>
          <w:p w14:paraId="05E27EF3">
            <w:pPr>
              <w:pStyle w:val="93"/>
              <w:keepNext w:val="0"/>
              <w:keepLines w:val="0"/>
              <w:suppressLineNumbers w:val="0"/>
              <w:spacing w:before="0" w:beforeAutospacing="0" w:after="0" w:afterAutospacing="0" w:line="360" w:lineRule="auto"/>
              <w:ind w:left="0" w:right="0" w:firstLine="0" w:firstLineChars="0"/>
              <w:jc w:val="center"/>
              <w:rPr>
                <w:rFonts w:hint="default" w:ascii="宋体" w:hAnsi="宋体" w:eastAsia="仿宋" w:cs="Times New Roman"/>
                <w:sz w:val="24"/>
                <w:highlight w:val="none"/>
              </w:rPr>
            </w:pPr>
            <w:r>
              <w:rPr>
                <w:rFonts w:hint="eastAsia" w:ascii="宋体" w:hAnsi="宋体" w:eastAsia="仿宋" w:cs="Times New Roman"/>
                <w:sz w:val="24"/>
                <w:highlight w:val="none"/>
              </w:rPr>
              <w:t>付款方式</w:t>
            </w:r>
          </w:p>
        </w:tc>
        <w:tc>
          <w:tcPr>
            <w:tcW w:w="7479" w:type="dxa"/>
            <w:noWrap w:val="0"/>
            <w:vAlign w:val="top"/>
          </w:tcPr>
          <w:p w14:paraId="6AEA9B39">
            <w:pPr>
              <w:keepNext w:val="0"/>
              <w:keepLines w:val="0"/>
              <w:widowControl/>
              <w:suppressLineNumbers w:val="0"/>
              <w:adjustRightInd w:val="0"/>
              <w:snapToGrid w:val="0"/>
              <w:spacing w:before="0" w:beforeAutospacing="0" w:after="0" w:afterAutospacing="0" w:line="360" w:lineRule="auto"/>
              <w:ind w:left="0" w:right="0"/>
              <w:rPr>
                <w:rFonts w:hint="eastAsia" w:ascii="宋体" w:hAnsi="宋体" w:eastAsia="仿宋" w:cs="Calibri"/>
                <w:sz w:val="24"/>
                <w:highlight w:val="none"/>
              </w:rPr>
            </w:pPr>
            <w:r>
              <w:rPr>
                <w:rFonts w:hint="eastAsia" w:ascii="宋体" w:hAnsi="宋体" w:eastAsia="仿宋" w:cs="Calibri"/>
                <w:sz w:val="24"/>
                <w:highlight w:val="none"/>
              </w:rPr>
              <w:t>（1）供货合同签订且所投产品货到使用单位指定地点，提交所在市卫健委汇总后报安徽省卫生健康委员会，由安徽省卫生健康委员会统一支付超长期国债资金（以下简称“到货款”）。</w:t>
            </w:r>
          </w:p>
          <w:p w14:paraId="784BA2E6">
            <w:pPr>
              <w:keepNext w:val="0"/>
              <w:keepLines w:val="0"/>
              <w:widowControl/>
              <w:suppressLineNumbers w:val="0"/>
              <w:adjustRightInd w:val="0"/>
              <w:snapToGrid w:val="0"/>
              <w:spacing w:before="0" w:beforeAutospacing="0" w:after="0" w:afterAutospacing="0" w:line="360" w:lineRule="auto"/>
              <w:ind w:left="0" w:right="0"/>
              <w:rPr>
                <w:rFonts w:hint="eastAsia" w:ascii="宋体" w:hAnsi="宋体" w:eastAsia="仿宋" w:cs="Calibri"/>
                <w:sz w:val="24"/>
                <w:highlight w:val="none"/>
              </w:rPr>
            </w:pPr>
            <w:r>
              <w:rPr>
                <w:rFonts w:hint="eastAsia" w:ascii="宋体" w:hAnsi="宋体" w:eastAsia="仿宋" w:cs="Calibri"/>
                <w:sz w:val="24"/>
                <w:highlight w:val="none"/>
              </w:rPr>
              <w:t>（2）货物安装、验收合格后，各使用单位在收到发票后向中标人支付对应分合同剩余款项（以下简称“尾款”）。</w:t>
            </w:r>
          </w:p>
          <w:p w14:paraId="2D834BB7">
            <w:pPr>
              <w:keepNext w:val="0"/>
              <w:keepLines w:val="0"/>
              <w:widowControl/>
              <w:suppressLineNumbers w:val="0"/>
              <w:adjustRightInd w:val="0"/>
              <w:snapToGrid w:val="0"/>
              <w:spacing w:before="0" w:beforeAutospacing="0" w:after="0" w:afterAutospacing="0" w:line="360" w:lineRule="auto"/>
              <w:ind w:left="0" w:right="0"/>
              <w:rPr>
                <w:rFonts w:hint="eastAsia" w:ascii="宋体" w:hAnsi="宋体" w:eastAsia="仿宋" w:cs="Calibri"/>
                <w:sz w:val="24"/>
                <w:highlight w:val="none"/>
              </w:rPr>
            </w:pPr>
            <w:r>
              <w:rPr>
                <w:rFonts w:hint="eastAsia" w:ascii="宋体" w:hAnsi="宋体" w:eastAsia="仿宋" w:cs="Calibri"/>
                <w:sz w:val="24"/>
                <w:highlight w:val="none"/>
              </w:rPr>
              <w:t>（3）安徽省卫生健康委员会支付的到货款与各使用单位支付的尾款之和为对应使用单位分合同的合同总额。</w:t>
            </w:r>
          </w:p>
          <w:p w14:paraId="456B27E4">
            <w:pPr>
              <w:keepNext w:val="0"/>
              <w:keepLines w:val="0"/>
              <w:widowControl/>
              <w:suppressLineNumbers w:val="0"/>
              <w:adjustRightInd w:val="0"/>
              <w:snapToGrid w:val="0"/>
              <w:spacing w:before="0" w:beforeAutospacing="0" w:after="0" w:afterAutospacing="0" w:line="360" w:lineRule="auto"/>
              <w:ind w:left="0" w:right="0"/>
              <w:rPr>
                <w:rFonts w:hint="eastAsia" w:ascii="宋体" w:hAnsi="宋体" w:eastAsia="仿宋" w:cs="Calibri"/>
                <w:sz w:val="24"/>
                <w:highlight w:val="none"/>
              </w:rPr>
            </w:pPr>
            <w:r>
              <w:rPr>
                <w:rFonts w:hint="eastAsia" w:ascii="宋体" w:hAnsi="宋体" w:eastAsia="仿宋" w:cs="Calibri"/>
                <w:sz w:val="24"/>
                <w:highlight w:val="none"/>
              </w:rPr>
              <w:t>（4）如果招标公告附件中列明的某使用单位“超长期国债资金付款金额”不小于分合同合同总额的90%，则安徽省卫生健康委员会支付的到货款为分合同合同总额的90%，使用单位支付的尾款为其分合同合同总额的10%。（5）如果招标公告附件中列明的某使用单位“超长期国债资金付款金额”小于分合同合同总额的90%，则安徽省卫生健康委员会支付的到货款为招标公告附件中列明的“超长期国债资金付款金额”，使用单位支付的尾款为其分合同合同总额扣除招标公告附件中列明的“超长期国债资金付款金额”的剩余金额。</w:t>
            </w:r>
          </w:p>
          <w:p w14:paraId="6CD22946">
            <w:pPr>
              <w:keepNext w:val="0"/>
              <w:keepLines w:val="0"/>
              <w:widowControl/>
              <w:suppressLineNumbers w:val="0"/>
              <w:adjustRightInd w:val="0"/>
              <w:snapToGrid w:val="0"/>
              <w:spacing w:before="0" w:beforeAutospacing="0" w:after="0" w:afterAutospacing="0" w:line="360" w:lineRule="auto"/>
              <w:ind w:left="0" w:right="0"/>
              <w:rPr>
                <w:rFonts w:hint="eastAsia" w:ascii="楷体" w:hAnsi="楷体" w:eastAsia="仿宋" w:cs="Calibri"/>
                <w:sz w:val="24"/>
                <w:highlight w:val="none"/>
              </w:rPr>
            </w:pPr>
            <w:r>
              <w:rPr>
                <w:rFonts w:hint="eastAsia" w:ascii="宋体" w:hAnsi="宋体" w:eastAsia="仿宋" w:cs="Calibri"/>
                <w:sz w:val="24"/>
                <w:highlight w:val="none"/>
              </w:rPr>
              <w:t>是否接受负偏离：</w:t>
            </w:r>
            <w:r>
              <w:rPr>
                <w:rFonts w:hint="eastAsia" w:ascii="楷体" w:hAnsi="楷体" w:eastAsia="仿宋" w:cs="Calibri"/>
                <w:sz w:val="24"/>
                <w:highlight w:val="none"/>
              </w:rPr>
              <w:t>☑不接受</w:t>
            </w:r>
          </w:p>
          <w:p w14:paraId="1CC3F283">
            <w:pPr>
              <w:keepNext w:val="0"/>
              <w:keepLines w:val="0"/>
              <w:widowControl/>
              <w:suppressLineNumbers w:val="0"/>
              <w:adjustRightInd w:val="0"/>
              <w:snapToGrid w:val="0"/>
              <w:spacing w:before="0" w:beforeAutospacing="0" w:after="0" w:afterAutospacing="0" w:line="360" w:lineRule="auto"/>
              <w:ind w:left="0" w:right="0"/>
              <w:rPr>
                <w:rFonts w:hint="eastAsia" w:ascii="楷体" w:hAnsi="楷体" w:eastAsia="仿宋" w:cs="Calibri"/>
                <w:sz w:val="24"/>
                <w:highlight w:val="none"/>
              </w:rPr>
            </w:pPr>
            <w:r>
              <w:rPr>
                <w:rFonts w:hint="eastAsia" w:ascii="楷体" w:hAnsi="楷体" w:eastAsia="仿宋" w:cs="Calibri"/>
                <w:sz w:val="24"/>
                <w:highlight w:val="none"/>
              </w:rPr>
              <w:t xml:space="preserve">                □接受：</w:t>
            </w:r>
          </w:p>
          <w:p w14:paraId="688A78BD">
            <w:pPr>
              <w:keepNext w:val="0"/>
              <w:keepLines w:val="0"/>
              <w:widowControl/>
              <w:suppressLineNumbers w:val="0"/>
              <w:adjustRightInd w:val="0"/>
              <w:snapToGrid w:val="0"/>
              <w:spacing w:before="0" w:beforeAutospacing="0" w:after="0" w:afterAutospacing="0" w:line="360" w:lineRule="auto"/>
              <w:ind w:left="0" w:right="0" w:firstLine="1920" w:firstLineChars="800"/>
              <w:rPr>
                <w:rFonts w:hint="default" w:ascii="宋体" w:hAnsi="宋体" w:eastAsia="仿宋" w:cs="Times New Roman"/>
                <w:sz w:val="24"/>
                <w:highlight w:val="none"/>
              </w:rPr>
            </w:pPr>
            <w:r>
              <w:rPr>
                <w:rFonts w:hint="eastAsia" w:ascii="楷体" w:hAnsi="楷体" w:eastAsia="仿宋" w:cs="Calibri"/>
                <w:sz w:val="24"/>
                <w:highlight w:val="none"/>
              </w:rPr>
              <w:t>允许偏离的幅度：</w:t>
            </w:r>
            <w:r>
              <w:rPr>
                <w:rFonts w:hint="eastAsia" w:ascii="仿宋" w:hAnsi="仿宋" w:eastAsia="仿宋" w:cs="仿宋"/>
                <w:iCs/>
                <w:color w:val="0000FF"/>
                <w:sz w:val="24"/>
                <w:highlight w:val="none"/>
              </w:rPr>
              <w:t>/</w:t>
            </w:r>
          </w:p>
        </w:tc>
      </w:tr>
      <w:tr w14:paraId="1DA652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75" w:type="dxa"/>
            <w:noWrap w:val="0"/>
            <w:vAlign w:val="top"/>
          </w:tcPr>
          <w:p w14:paraId="05B8CCD9">
            <w:pPr>
              <w:pStyle w:val="93"/>
              <w:keepNext w:val="0"/>
              <w:keepLines w:val="0"/>
              <w:suppressLineNumbers w:val="0"/>
              <w:spacing w:before="0" w:beforeAutospacing="0" w:after="0" w:afterAutospacing="0" w:line="360" w:lineRule="auto"/>
              <w:ind w:left="0" w:right="0" w:firstLine="0" w:firstLineChars="0"/>
              <w:jc w:val="center"/>
              <w:rPr>
                <w:rFonts w:hint="default" w:ascii="宋体" w:hAnsi="宋体" w:eastAsia="仿宋" w:cs="Times New Roman"/>
                <w:sz w:val="24"/>
                <w:highlight w:val="none"/>
              </w:rPr>
            </w:pPr>
            <w:r>
              <w:rPr>
                <w:rFonts w:hint="eastAsia" w:ascii="宋体" w:hAnsi="宋体" w:eastAsia="仿宋" w:cs="Calibri"/>
                <w:sz w:val="24"/>
                <w:highlight w:val="none"/>
              </w:rPr>
              <w:t>质量保证期</w:t>
            </w:r>
          </w:p>
        </w:tc>
        <w:tc>
          <w:tcPr>
            <w:tcW w:w="7479" w:type="dxa"/>
            <w:noWrap w:val="0"/>
            <w:vAlign w:val="top"/>
          </w:tcPr>
          <w:p w14:paraId="649FCC2C">
            <w:pPr>
              <w:keepNext w:val="0"/>
              <w:keepLines w:val="0"/>
              <w:widowControl/>
              <w:suppressLineNumbers w:val="0"/>
              <w:adjustRightInd w:val="0"/>
              <w:snapToGrid w:val="0"/>
              <w:spacing w:before="0" w:beforeAutospacing="0" w:after="0" w:afterAutospacing="0" w:line="360" w:lineRule="auto"/>
              <w:ind w:left="0" w:right="0"/>
              <w:rPr>
                <w:rFonts w:hint="default" w:ascii="宋体" w:hAnsi="宋体" w:eastAsia="仿宋" w:cs="Calibri"/>
                <w:sz w:val="24"/>
                <w:highlight w:val="none"/>
              </w:rPr>
            </w:pPr>
            <w:r>
              <w:rPr>
                <w:rFonts w:hint="eastAsia" w:ascii="宋体" w:hAnsi="宋体" w:eastAsia="仿宋" w:cs="Calibri"/>
                <w:sz w:val="24"/>
                <w:highlight w:val="none"/>
              </w:rPr>
              <w:t>质量保证期：</w:t>
            </w:r>
            <w:r>
              <w:rPr>
                <w:rFonts w:hint="eastAsia" w:ascii="宋体" w:hAnsi="宋体" w:eastAsia="仿宋" w:cs="Calibri"/>
                <w:sz w:val="24"/>
                <w:highlight w:val="none"/>
                <w:lang w:val="en-US" w:eastAsia="zh-CN"/>
              </w:rPr>
              <w:t>整机（含易损件，如探头等）</w:t>
            </w:r>
            <w:r>
              <w:rPr>
                <w:rFonts w:hint="eastAsia" w:ascii="宋体" w:hAnsi="宋体" w:eastAsia="仿宋" w:cs="Calibri"/>
                <w:sz w:val="24"/>
                <w:highlight w:val="none"/>
              </w:rPr>
              <w:t>自验收合格之日起</w:t>
            </w:r>
            <w:r>
              <w:rPr>
                <w:rFonts w:hint="eastAsia" w:ascii="仿宋" w:hAnsi="仿宋" w:eastAsia="仿宋" w:cs="仿宋"/>
                <w:iCs/>
                <w:sz w:val="24"/>
                <w:highlight w:val="none"/>
                <w:lang w:val="en-US" w:eastAsia="zh-CN"/>
              </w:rPr>
              <w:t>5</w:t>
            </w:r>
            <w:r>
              <w:rPr>
                <w:rFonts w:hint="eastAsia" w:ascii="仿宋" w:hAnsi="仿宋" w:eastAsia="仿宋" w:cs="仿宋"/>
                <w:iCs/>
                <w:sz w:val="24"/>
                <w:highlight w:val="none"/>
              </w:rPr>
              <w:t>年</w:t>
            </w:r>
            <w:r>
              <w:rPr>
                <w:rFonts w:hint="eastAsia" w:ascii="仿宋" w:hAnsi="仿宋" w:eastAsia="仿宋" w:cs="仿宋"/>
                <w:iCs/>
                <w:sz w:val="24"/>
                <w:highlight w:val="none"/>
                <w:lang w:eastAsia="zh-CN"/>
              </w:rPr>
              <w:t>，</w:t>
            </w:r>
            <w:r>
              <w:rPr>
                <w:rFonts w:hint="eastAsia" w:ascii="仿宋" w:hAnsi="仿宋" w:eastAsia="仿宋" w:cs="仿宋"/>
                <w:iCs/>
                <w:sz w:val="24"/>
                <w:highlight w:val="none"/>
                <w:lang w:val="en-US" w:eastAsia="zh-CN"/>
              </w:rPr>
              <w:t>更换后的零部件质保期为3年（从更换之日起计算）</w:t>
            </w:r>
            <w:r>
              <w:rPr>
                <w:rFonts w:hint="eastAsia" w:ascii="宋体" w:hAnsi="宋体" w:eastAsia="仿宋" w:cs="Calibri"/>
                <w:b/>
                <w:bCs/>
                <w:sz w:val="24"/>
                <w:highlight w:val="none"/>
              </w:rPr>
              <w:t>。（如本招标文件第三章采购需求部分关于质量保证期的要求与本处不一致，则以采购需求部分规定为准。）</w:t>
            </w:r>
          </w:p>
          <w:p w14:paraId="330930BD">
            <w:pPr>
              <w:keepNext w:val="0"/>
              <w:keepLines w:val="0"/>
              <w:widowControl/>
              <w:suppressLineNumbers w:val="0"/>
              <w:adjustRightInd w:val="0"/>
              <w:snapToGrid w:val="0"/>
              <w:spacing w:before="0" w:beforeAutospacing="0" w:after="0" w:afterAutospacing="0" w:line="360" w:lineRule="auto"/>
              <w:ind w:left="0" w:right="0"/>
              <w:rPr>
                <w:rFonts w:hint="eastAsia" w:ascii="楷体" w:hAnsi="楷体" w:eastAsia="仿宋" w:cs="Calibri"/>
                <w:sz w:val="24"/>
                <w:highlight w:val="none"/>
              </w:rPr>
            </w:pPr>
            <w:r>
              <w:rPr>
                <w:rFonts w:hint="eastAsia" w:ascii="宋体" w:hAnsi="宋体" w:eastAsia="仿宋" w:cs="Calibri"/>
                <w:sz w:val="24"/>
                <w:highlight w:val="none"/>
              </w:rPr>
              <w:t>是否接受负偏离：</w:t>
            </w:r>
            <w:r>
              <w:rPr>
                <w:rFonts w:hint="eastAsia" w:ascii="楷体" w:hAnsi="楷体" w:eastAsia="仿宋" w:cs="Calibri"/>
                <w:sz w:val="24"/>
                <w:highlight w:val="none"/>
              </w:rPr>
              <w:t>☑不接受</w:t>
            </w:r>
          </w:p>
          <w:p w14:paraId="75714552">
            <w:pPr>
              <w:pStyle w:val="93"/>
              <w:keepNext w:val="0"/>
              <w:keepLines w:val="0"/>
              <w:suppressLineNumbers w:val="0"/>
              <w:spacing w:before="0" w:beforeAutospacing="0" w:after="0" w:afterAutospacing="0" w:line="360" w:lineRule="auto"/>
              <w:ind w:left="0" w:right="0" w:firstLine="480"/>
              <w:rPr>
                <w:rFonts w:hint="eastAsia" w:ascii="楷体" w:hAnsi="楷体" w:eastAsia="仿宋" w:cs="Calibri"/>
                <w:sz w:val="24"/>
                <w:highlight w:val="none"/>
              </w:rPr>
            </w:pPr>
            <w:r>
              <w:rPr>
                <w:rFonts w:hint="eastAsia" w:ascii="楷体" w:hAnsi="楷体" w:eastAsia="仿宋" w:cs="Calibri"/>
                <w:sz w:val="24"/>
                <w:highlight w:val="none"/>
              </w:rPr>
              <w:t xml:space="preserve">            □接受：</w:t>
            </w:r>
          </w:p>
          <w:p w14:paraId="66DE8F66">
            <w:pPr>
              <w:pStyle w:val="93"/>
              <w:keepNext w:val="0"/>
              <w:keepLines w:val="0"/>
              <w:suppressLineNumbers w:val="0"/>
              <w:spacing w:before="0" w:beforeAutospacing="0" w:after="0" w:afterAutospacing="0" w:line="360" w:lineRule="auto"/>
              <w:ind w:left="0" w:right="0" w:firstLine="1920" w:firstLineChars="800"/>
              <w:rPr>
                <w:rFonts w:hint="default" w:ascii="宋体" w:hAnsi="宋体" w:eastAsia="仿宋" w:cs="Times New Roman"/>
                <w:sz w:val="24"/>
                <w:highlight w:val="none"/>
              </w:rPr>
            </w:pPr>
            <w:r>
              <w:rPr>
                <w:rFonts w:hint="eastAsia" w:ascii="楷体" w:hAnsi="楷体" w:eastAsia="仿宋" w:cs="Calibri"/>
                <w:sz w:val="24"/>
                <w:highlight w:val="none"/>
              </w:rPr>
              <w:t>允许偏离的幅度：</w:t>
            </w:r>
            <w:r>
              <w:rPr>
                <w:rFonts w:hint="eastAsia" w:ascii="仿宋" w:hAnsi="仿宋" w:eastAsia="仿宋" w:cs="仿宋"/>
                <w:iCs/>
                <w:color w:val="0000FF"/>
                <w:sz w:val="24"/>
                <w:highlight w:val="none"/>
              </w:rPr>
              <w:t>/</w:t>
            </w:r>
          </w:p>
        </w:tc>
      </w:tr>
    </w:tbl>
    <w:p w14:paraId="5F2B8AA5">
      <w:pPr>
        <w:pStyle w:val="93"/>
        <w:spacing w:line="360" w:lineRule="auto"/>
        <w:ind w:firstLine="480"/>
        <w:rPr>
          <w:rFonts w:ascii="宋体" w:hAnsi="宋体" w:eastAsia="仿宋"/>
          <w:color w:val="FF0000"/>
          <w:sz w:val="24"/>
          <w:highlight w:val="none"/>
        </w:rPr>
      </w:pPr>
    </w:p>
    <w:bookmarkEnd w:id="770"/>
    <w:p w14:paraId="2F620595">
      <w:pPr>
        <w:pStyle w:val="25"/>
        <w:widowControl/>
        <w:snapToGrid w:val="0"/>
        <w:spacing w:line="360" w:lineRule="auto"/>
        <w:outlineLvl w:val="1"/>
        <w:rPr>
          <w:rStyle w:val="107"/>
          <w:rFonts w:hint="eastAsia" w:ascii="宋体" w:hAnsi="宋体" w:eastAsia="仿宋"/>
          <w:sz w:val="24"/>
          <w:szCs w:val="24"/>
          <w:highlight w:val="none"/>
        </w:rPr>
      </w:pPr>
      <w:r>
        <w:rPr>
          <w:rFonts w:hint="eastAsia" w:hAnsi="宋体" w:eastAsia="仿宋"/>
          <w:sz w:val="24"/>
          <w:szCs w:val="24"/>
          <w:highlight w:val="none"/>
        </w:rPr>
        <w:br w:type="page"/>
      </w:r>
      <w:bookmarkStart w:id="774" w:name="_Toc445554749"/>
      <w:bookmarkStart w:id="775" w:name="_Toc466024558"/>
      <w:bookmarkStart w:id="776" w:name="_Toc455587275"/>
      <w:bookmarkStart w:id="777" w:name="_Toc455587091"/>
      <w:r>
        <w:rPr>
          <w:rStyle w:val="107"/>
          <w:rFonts w:hint="eastAsia" w:ascii="宋体" w:hAnsi="宋体" w:eastAsia="仿宋"/>
          <w:sz w:val="24"/>
          <w:szCs w:val="24"/>
          <w:highlight w:val="none"/>
        </w:rPr>
        <w:t>4. 技术要求</w:t>
      </w:r>
      <w:bookmarkEnd w:id="774"/>
      <w:bookmarkEnd w:id="775"/>
      <w:bookmarkEnd w:id="776"/>
      <w:bookmarkEnd w:id="777"/>
    </w:p>
    <w:p w14:paraId="493202CE">
      <w:pPr>
        <w:pStyle w:val="25"/>
        <w:widowControl/>
        <w:snapToGrid w:val="0"/>
        <w:spacing w:line="360" w:lineRule="auto"/>
        <w:ind w:firstLine="482" w:firstLineChars="200"/>
        <w:outlineLvl w:val="2"/>
        <w:rPr>
          <w:rFonts w:hint="eastAsia" w:hAnsi="宋体" w:eastAsia="仿宋"/>
          <w:b/>
          <w:bCs/>
          <w:sz w:val="24"/>
          <w:szCs w:val="24"/>
          <w:highlight w:val="none"/>
        </w:rPr>
      </w:pPr>
      <w:r>
        <w:rPr>
          <w:rFonts w:hint="eastAsia" w:hAnsi="宋体" w:eastAsia="仿宋"/>
          <w:b/>
          <w:bCs/>
          <w:sz w:val="24"/>
          <w:szCs w:val="24"/>
          <w:highlight w:val="none"/>
        </w:rPr>
        <w:t>4.1标识符号</w:t>
      </w:r>
    </w:p>
    <w:tbl>
      <w:tblPr>
        <w:tblStyle w:val="48"/>
        <w:tblW w:w="494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50"/>
        <w:gridCol w:w="1391"/>
        <w:gridCol w:w="6203"/>
      </w:tblGrid>
      <w:tr w14:paraId="262678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3" w:type="pct"/>
            <w:noWrap w:val="0"/>
            <w:vAlign w:val="center"/>
          </w:tcPr>
          <w:p w14:paraId="13FACC74">
            <w:pPr>
              <w:keepNext w:val="0"/>
              <w:keepLines w:val="0"/>
              <w:suppressLineNumbers w:val="0"/>
              <w:spacing w:before="0" w:beforeAutospacing="0" w:after="0" w:afterAutospacing="0"/>
              <w:ind w:left="0" w:right="0"/>
              <w:jc w:val="center"/>
              <w:rPr>
                <w:rFonts w:hint="eastAsia" w:ascii="仿宋" w:hAnsi="仿宋" w:eastAsia="仿宋" w:cs="仿宋"/>
                <w:b/>
                <w:color w:val="000000"/>
                <w:sz w:val="24"/>
                <w:highlight w:val="none"/>
              </w:rPr>
            </w:pPr>
            <w:r>
              <w:rPr>
                <w:rFonts w:hint="eastAsia" w:ascii="仿宋" w:hAnsi="仿宋" w:eastAsia="仿宋" w:cs="仿宋"/>
                <w:b/>
                <w:color w:val="000000"/>
                <w:sz w:val="24"/>
                <w:highlight w:val="none"/>
              </w:rPr>
              <w:t>标识类型</w:t>
            </w:r>
          </w:p>
        </w:tc>
        <w:tc>
          <w:tcPr>
            <w:tcW w:w="714" w:type="pct"/>
            <w:noWrap w:val="0"/>
            <w:vAlign w:val="center"/>
          </w:tcPr>
          <w:p w14:paraId="746A602B">
            <w:pPr>
              <w:keepNext w:val="0"/>
              <w:keepLines w:val="0"/>
              <w:suppressLineNumbers w:val="0"/>
              <w:spacing w:before="0" w:beforeAutospacing="0" w:after="0" w:afterAutospacing="0"/>
              <w:ind w:left="0" w:right="0"/>
              <w:jc w:val="center"/>
              <w:rPr>
                <w:rFonts w:hint="eastAsia" w:ascii="仿宋" w:hAnsi="仿宋" w:eastAsia="仿宋" w:cs="仿宋"/>
                <w:b/>
                <w:color w:val="000000"/>
                <w:sz w:val="24"/>
                <w:highlight w:val="none"/>
              </w:rPr>
            </w:pPr>
            <w:r>
              <w:rPr>
                <w:rFonts w:hint="eastAsia" w:ascii="仿宋" w:hAnsi="仿宋" w:eastAsia="仿宋" w:cs="仿宋"/>
                <w:b/>
                <w:color w:val="000000"/>
                <w:sz w:val="24"/>
                <w:highlight w:val="none"/>
              </w:rPr>
              <w:t>标识符号</w:t>
            </w:r>
          </w:p>
        </w:tc>
        <w:tc>
          <w:tcPr>
            <w:tcW w:w="3181" w:type="pct"/>
            <w:noWrap w:val="0"/>
            <w:vAlign w:val="center"/>
          </w:tcPr>
          <w:p w14:paraId="2731160F">
            <w:pPr>
              <w:keepNext w:val="0"/>
              <w:keepLines w:val="0"/>
              <w:suppressLineNumbers w:val="0"/>
              <w:spacing w:before="0" w:beforeAutospacing="0" w:after="0" w:afterAutospacing="0"/>
              <w:ind w:left="0" w:right="0"/>
              <w:jc w:val="center"/>
              <w:rPr>
                <w:rFonts w:hint="eastAsia" w:ascii="仿宋" w:hAnsi="仿宋" w:eastAsia="仿宋" w:cs="仿宋"/>
                <w:b/>
                <w:color w:val="000000"/>
                <w:sz w:val="24"/>
                <w:highlight w:val="none"/>
              </w:rPr>
            </w:pPr>
            <w:r>
              <w:rPr>
                <w:rFonts w:hint="eastAsia" w:ascii="仿宋" w:hAnsi="仿宋" w:eastAsia="仿宋" w:cs="仿宋"/>
                <w:b/>
                <w:color w:val="000000"/>
                <w:sz w:val="24"/>
                <w:highlight w:val="none"/>
              </w:rPr>
              <w:t>标识符号含义</w:t>
            </w:r>
          </w:p>
        </w:tc>
      </w:tr>
      <w:tr w14:paraId="18B139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1103" w:type="pct"/>
            <w:noWrap w:val="0"/>
            <w:vAlign w:val="center"/>
          </w:tcPr>
          <w:p w14:paraId="2E339998">
            <w:pPr>
              <w:keepNext w:val="0"/>
              <w:keepLines w:val="0"/>
              <w:suppressLineNumbers w:val="0"/>
              <w:spacing w:before="0" w:beforeAutospacing="0" w:after="0" w:afterAutospacing="0"/>
              <w:ind w:left="0" w:right="0"/>
              <w:jc w:val="center"/>
              <w:rPr>
                <w:rFonts w:hint="default" w:ascii="仿宋" w:hAnsi="仿宋" w:eastAsia="仿宋" w:cs="仿宋"/>
                <w:color w:val="000000"/>
                <w:sz w:val="24"/>
                <w:highlight w:val="none"/>
              </w:rPr>
            </w:pPr>
            <w:r>
              <w:rPr>
                <w:rFonts w:hint="eastAsia" w:ascii="仿宋" w:hAnsi="仿宋" w:eastAsia="仿宋" w:cs="仿宋"/>
                <w:color w:val="000000"/>
                <w:sz w:val="24"/>
                <w:highlight w:val="none"/>
              </w:rPr>
              <w:t>核心产品</w:t>
            </w:r>
          </w:p>
        </w:tc>
        <w:tc>
          <w:tcPr>
            <w:tcW w:w="714" w:type="pct"/>
            <w:noWrap w:val="0"/>
            <w:vAlign w:val="center"/>
          </w:tcPr>
          <w:p w14:paraId="417D69C7">
            <w:pPr>
              <w:keepNext w:val="0"/>
              <w:keepLines w:val="0"/>
              <w:suppressLineNumbers w:val="0"/>
              <w:spacing w:before="0" w:beforeAutospacing="0" w:after="0" w:afterAutospacing="0"/>
              <w:ind w:left="0" w:right="0"/>
              <w:jc w:val="center"/>
              <w:rPr>
                <w:rFonts w:hint="eastAsia" w:ascii="仿宋" w:hAnsi="仿宋" w:eastAsia="仿宋" w:cs="仿宋"/>
                <w:color w:val="000000"/>
                <w:sz w:val="24"/>
                <w:highlight w:val="none"/>
              </w:rPr>
            </w:pPr>
            <w:r>
              <w:rPr>
                <w:rFonts w:hint="eastAsia" w:ascii="仿宋" w:hAnsi="仿宋" w:eastAsia="仿宋" w:cs="仿宋"/>
                <w:color w:val="000000"/>
                <w:sz w:val="24"/>
                <w:highlight w:val="none"/>
              </w:rPr>
              <w:t>▲</w:t>
            </w:r>
          </w:p>
        </w:tc>
        <w:tc>
          <w:tcPr>
            <w:tcW w:w="3181" w:type="pct"/>
            <w:noWrap w:val="0"/>
            <w:vAlign w:val="center"/>
          </w:tcPr>
          <w:p w14:paraId="3F5DD6DA">
            <w:pPr>
              <w:keepNext w:val="0"/>
              <w:keepLines w:val="0"/>
              <w:suppressLineNumbers w:val="0"/>
              <w:spacing w:before="0" w:beforeAutospacing="0" w:after="0" w:afterAutospacing="0"/>
              <w:ind w:left="0" w:right="0"/>
              <w:jc w:val="center"/>
              <w:rPr>
                <w:rFonts w:hint="default" w:ascii="仿宋" w:hAnsi="仿宋" w:eastAsia="仿宋" w:cs="仿宋"/>
                <w:b/>
                <w:bCs/>
                <w:color w:val="000000"/>
                <w:sz w:val="24"/>
                <w:highlight w:val="none"/>
              </w:rPr>
            </w:pPr>
            <w:r>
              <w:rPr>
                <w:rFonts w:hint="eastAsia" w:ascii="仿宋" w:hAnsi="仿宋" w:eastAsia="仿宋" w:cs="仿宋"/>
                <w:b/>
                <w:bCs/>
                <w:color w:val="000000"/>
                <w:sz w:val="24"/>
                <w:highlight w:val="none"/>
              </w:rPr>
              <w:t>标的属于核心产品</w:t>
            </w:r>
          </w:p>
        </w:tc>
      </w:tr>
      <w:tr w14:paraId="043940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1103" w:type="pct"/>
            <w:noWrap w:val="0"/>
            <w:vAlign w:val="center"/>
          </w:tcPr>
          <w:p w14:paraId="0809F9F3">
            <w:pPr>
              <w:keepNext w:val="0"/>
              <w:keepLines w:val="0"/>
              <w:suppressLineNumbers w:val="0"/>
              <w:spacing w:before="0" w:beforeAutospacing="0" w:after="0" w:afterAutospacing="0"/>
              <w:ind w:left="0" w:right="0"/>
              <w:jc w:val="center"/>
              <w:rPr>
                <w:rFonts w:hint="eastAsia" w:ascii="仿宋" w:hAnsi="仿宋" w:eastAsia="仿宋" w:cs="仿宋"/>
                <w:color w:val="000000"/>
                <w:sz w:val="24"/>
                <w:highlight w:val="none"/>
                <w:lang w:eastAsia="zh-CN"/>
              </w:rPr>
            </w:pPr>
            <w:r>
              <w:rPr>
                <w:rFonts w:hint="eastAsia" w:ascii="仿宋" w:hAnsi="仿宋" w:eastAsia="仿宋" w:cs="仿宋"/>
                <w:color w:val="000000"/>
                <w:sz w:val="24"/>
                <w:highlight w:val="none"/>
              </w:rPr>
              <w:t>实质性参数</w:t>
            </w:r>
          </w:p>
        </w:tc>
        <w:tc>
          <w:tcPr>
            <w:tcW w:w="714" w:type="pct"/>
            <w:noWrap w:val="0"/>
            <w:vAlign w:val="center"/>
          </w:tcPr>
          <w:p w14:paraId="5AAEBD6F">
            <w:pPr>
              <w:keepNext w:val="0"/>
              <w:keepLines w:val="0"/>
              <w:suppressLineNumbers w:val="0"/>
              <w:spacing w:before="0" w:beforeAutospacing="0" w:after="0" w:afterAutospacing="0"/>
              <w:ind w:left="0" w:right="0"/>
              <w:jc w:val="center"/>
              <w:rPr>
                <w:rFonts w:hint="eastAsia" w:ascii="仿宋" w:hAnsi="仿宋" w:eastAsia="仿宋" w:cs="仿宋"/>
                <w:color w:val="000000"/>
                <w:sz w:val="24"/>
                <w:highlight w:val="none"/>
              </w:rPr>
            </w:pPr>
            <w:r>
              <w:rPr>
                <w:rFonts w:hint="eastAsia" w:ascii="仿宋" w:hAnsi="仿宋" w:eastAsia="仿宋" w:cs="仿宋"/>
                <w:color w:val="000000"/>
                <w:sz w:val="24"/>
                <w:highlight w:val="none"/>
              </w:rPr>
              <w:t>★</w:t>
            </w:r>
          </w:p>
        </w:tc>
        <w:tc>
          <w:tcPr>
            <w:tcW w:w="3181" w:type="pct"/>
            <w:noWrap w:val="0"/>
            <w:vAlign w:val="center"/>
          </w:tcPr>
          <w:p w14:paraId="391DD2C3">
            <w:pPr>
              <w:keepNext w:val="0"/>
              <w:keepLines w:val="0"/>
              <w:suppressLineNumbers w:val="0"/>
              <w:spacing w:before="0" w:beforeAutospacing="0" w:after="0" w:afterAutospacing="0"/>
              <w:ind w:left="0" w:right="0"/>
              <w:jc w:val="center"/>
              <w:rPr>
                <w:rFonts w:hint="eastAsia" w:ascii="仿宋" w:hAnsi="仿宋" w:eastAsia="仿宋" w:cs="仿宋"/>
                <w:b/>
                <w:bCs/>
                <w:color w:val="000000"/>
                <w:sz w:val="24"/>
                <w:highlight w:val="none"/>
              </w:rPr>
            </w:pPr>
            <w:r>
              <w:rPr>
                <w:rFonts w:hint="eastAsia" w:ascii="仿宋" w:hAnsi="仿宋" w:eastAsia="仿宋" w:cs="仿宋"/>
                <w:b/>
                <w:bCs/>
                <w:color w:val="000000"/>
                <w:sz w:val="24"/>
                <w:highlight w:val="none"/>
              </w:rPr>
              <w:t>负偏离或未响应视为实质性不响应招标文件要求</w:t>
            </w:r>
          </w:p>
        </w:tc>
      </w:tr>
      <w:tr w14:paraId="7270DA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1103" w:type="pct"/>
            <w:noWrap w:val="0"/>
            <w:vAlign w:val="center"/>
          </w:tcPr>
          <w:p w14:paraId="0D1895FD">
            <w:pPr>
              <w:keepNext w:val="0"/>
              <w:keepLines w:val="0"/>
              <w:suppressLineNumbers w:val="0"/>
              <w:spacing w:before="0" w:beforeAutospacing="0" w:after="0" w:afterAutospacing="0"/>
              <w:ind w:left="0" w:right="0"/>
              <w:jc w:val="center"/>
              <w:rPr>
                <w:rFonts w:hint="eastAsia" w:ascii="仿宋" w:hAnsi="仿宋" w:eastAsia="仿宋" w:cs="仿宋"/>
                <w:color w:val="000000"/>
                <w:sz w:val="24"/>
                <w:highlight w:val="none"/>
              </w:rPr>
            </w:pPr>
            <w:r>
              <w:rPr>
                <w:rFonts w:hint="eastAsia" w:ascii="仿宋" w:hAnsi="仿宋" w:eastAsia="仿宋" w:cs="仿宋"/>
                <w:color w:val="000000"/>
                <w:sz w:val="24"/>
                <w:highlight w:val="none"/>
              </w:rPr>
              <w:t>重要参数</w:t>
            </w:r>
          </w:p>
        </w:tc>
        <w:tc>
          <w:tcPr>
            <w:tcW w:w="714" w:type="pct"/>
            <w:noWrap w:val="0"/>
            <w:vAlign w:val="center"/>
          </w:tcPr>
          <w:p w14:paraId="1CD70CE8">
            <w:pPr>
              <w:keepNext w:val="0"/>
              <w:keepLines w:val="0"/>
              <w:suppressLineNumbers w:val="0"/>
              <w:spacing w:before="0" w:beforeAutospacing="0" w:after="0" w:afterAutospacing="0"/>
              <w:ind w:left="0" w:right="0"/>
              <w:jc w:val="center"/>
              <w:rPr>
                <w:rFonts w:hint="eastAsia" w:ascii="仿宋" w:hAnsi="仿宋" w:eastAsia="仿宋" w:cs="仿宋"/>
                <w:color w:val="000000"/>
                <w:sz w:val="24"/>
                <w:highlight w:val="none"/>
              </w:rPr>
            </w:pPr>
            <w:r>
              <w:rPr>
                <w:rFonts w:hint="eastAsia" w:ascii="仿宋" w:hAnsi="仿宋" w:eastAsia="仿宋" w:cs="仿宋"/>
                <w:color w:val="000000"/>
                <w:sz w:val="24"/>
                <w:highlight w:val="none"/>
              </w:rPr>
              <w:t>●</w:t>
            </w:r>
          </w:p>
        </w:tc>
        <w:tc>
          <w:tcPr>
            <w:tcW w:w="3181" w:type="pct"/>
            <w:noWrap w:val="0"/>
            <w:vAlign w:val="center"/>
          </w:tcPr>
          <w:p w14:paraId="5A665DA3">
            <w:pPr>
              <w:keepNext w:val="0"/>
              <w:keepLines w:val="0"/>
              <w:suppressLineNumbers w:val="0"/>
              <w:spacing w:before="0" w:beforeAutospacing="0" w:after="0" w:afterAutospacing="0"/>
              <w:ind w:left="0" w:right="0"/>
              <w:jc w:val="center"/>
              <w:rPr>
                <w:rFonts w:hint="eastAsia" w:ascii="仿宋" w:hAnsi="仿宋" w:eastAsia="仿宋" w:cs="仿宋"/>
                <w:color w:val="000000"/>
                <w:sz w:val="24"/>
                <w:highlight w:val="none"/>
              </w:rPr>
            </w:pPr>
            <w:r>
              <w:rPr>
                <w:rFonts w:hint="eastAsia" w:ascii="仿宋" w:hAnsi="仿宋" w:eastAsia="仿宋" w:cs="仿宋"/>
                <w:color w:val="000000"/>
                <w:sz w:val="24"/>
                <w:highlight w:val="none"/>
              </w:rPr>
              <w:t>评分项</w:t>
            </w:r>
          </w:p>
        </w:tc>
      </w:tr>
      <w:tr w14:paraId="016CB5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jc w:val="center"/>
        </w:trPr>
        <w:tc>
          <w:tcPr>
            <w:tcW w:w="1103" w:type="pct"/>
            <w:vMerge w:val="restart"/>
            <w:noWrap w:val="0"/>
            <w:vAlign w:val="center"/>
          </w:tcPr>
          <w:p w14:paraId="52A8069D">
            <w:pPr>
              <w:keepNext w:val="0"/>
              <w:keepLines w:val="0"/>
              <w:suppressLineNumbers w:val="0"/>
              <w:spacing w:before="0" w:beforeAutospacing="0" w:after="0" w:afterAutospacing="0"/>
              <w:ind w:left="0" w:right="0"/>
              <w:jc w:val="center"/>
              <w:rPr>
                <w:rFonts w:hint="eastAsia" w:ascii="仿宋" w:hAnsi="仿宋" w:eastAsia="仿宋" w:cs="仿宋"/>
                <w:color w:val="000000"/>
                <w:sz w:val="24"/>
                <w:highlight w:val="none"/>
              </w:rPr>
            </w:pPr>
            <w:r>
              <w:rPr>
                <w:rFonts w:hint="eastAsia" w:ascii="仿宋" w:hAnsi="仿宋" w:eastAsia="仿宋" w:cs="仿宋"/>
                <w:color w:val="000000"/>
                <w:sz w:val="24"/>
                <w:highlight w:val="none"/>
              </w:rPr>
              <w:t>一般参数</w:t>
            </w:r>
          </w:p>
        </w:tc>
        <w:tc>
          <w:tcPr>
            <w:tcW w:w="714" w:type="pct"/>
            <w:vMerge w:val="restart"/>
            <w:noWrap w:val="0"/>
            <w:vAlign w:val="center"/>
          </w:tcPr>
          <w:p w14:paraId="32C279EB">
            <w:pPr>
              <w:keepNext w:val="0"/>
              <w:keepLines w:val="0"/>
              <w:suppressLineNumbers w:val="0"/>
              <w:spacing w:before="0" w:beforeAutospacing="0" w:after="0" w:afterAutospacing="0"/>
              <w:ind w:left="0" w:right="0"/>
              <w:jc w:val="center"/>
              <w:rPr>
                <w:rFonts w:hint="eastAsia" w:ascii="仿宋" w:hAnsi="仿宋" w:eastAsia="仿宋" w:cs="仿宋"/>
                <w:color w:val="000000"/>
                <w:sz w:val="24"/>
                <w:highlight w:val="none"/>
              </w:rPr>
            </w:pPr>
            <w:r>
              <w:rPr>
                <w:rFonts w:hint="eastAsia" w:ascii="仿宋" w:hAnsi="仿宋" w:eastAsia="仿宋" w:cs="仿宋"/>
                <w:color w:val="000000"/>
                <w:sz w:val="24"/>
                <w:highlight w:val="none"/>
              </w:rPr>
              <w:t>无标识</w:t>
            </w:r>
          </w:p>
        </w:tc>
        <w:tc>
          <w:tcPr>
            <w:tcW w:w="3181" w:type="pct"/>
            <w:noWrap w:val="0"/>
            <w:vAlign w:val="center"/>
          </w:tcPr>
          <w:p w14:paraId="78579BCC">
            <w:pPr>
              <w:keepNext w:val="0"/>
              <w:keepLines w:val="0"/>
              <w:suppressLineNumbers w:val="0"/>
              <w:spacing w:before="0" w:beforeAutospacing="0" w:after="0" w:afterAutospacing="0"/>
              <w:ind w:left="0" w:right="0"/>
              <w:jc w:val="left"/>
              <w:rPr>
                <w:rFonts w:hint="eastAsia" w:ascii="Times New Roman" w:hAnsi="Times New Roman" w:cs="Times New Roman"/>
                <w:color w:val="000000"/>
                <w:highlight w:val="none"/>
              </w:rPr>
            </w:pPr>
            <w:r>
              <w:rPr>
                <w:rFonts w:hint="default" w:ascii="Times New Roman" w:hAnsi="Times New Roman" w:cs="Times New Roman"/>
                <w:color w:val="000000"/>
                <w:highlight w:val="none"/>
              </w:rPr>
              <w:sym w:font="Wingdings 2" w:char="0052"/>
            </w:r>
            <w:r>
              <w:rPr>
                <w:rFonts w:hint="eastAsia" w:ascii="仿宋" w:hAnsi="仿宋" w:eastAsia="仿宋" w:cs="仿宋"/>
                <w:color w:val="000000"/>
                <w:sz w:val="24"/>
                <w:highlight w:val="none"/>
              </w:rPr>
              <w:t>评分项</w:t>
            </w:r>
          </w:p>
        </w:tc>
      </w:tr>
      <w:tr w14:paraId="1A1FD6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1103" w:type="pct"/>
            <w:vMerge w:val="continue"/>
            <w:noWrap w:val="0"/>
            <w:vAlign w:val="center"/>
          </w:tcPr>
          <w:p w14:paraId="1600EBB1">
            <w:pPr>
              <w:keepNext w:val="0"/>
              <w:keepLines w:val="0"/>
              <w:suppressLineNumbers w:val="0"/>
              <w:spacing w:before="0" w:beforeAutospacing="0" w:after="0" w:afterAutospacing="0"/>
              <w:ind w:left="0" w:right="0"/>
              <w:jc w:val="left"/>
              <w:rPr>
                <w:rFonts w:hint="default" w:ascii="Calibri" w:hAnsi="Calibri" w:cs="Times New Roman"/>
                <w:color w:val="000000"/>
                <w:highlight w:val="none"/>
              </w:rPr>
            </w:pPr>
          </w:p>
        </w:tc>
        <w:tc>
          <w:tcPr>
            <w:tcW w:w="714" w:type="pct"/>
            <w:vMerge w:val="continue"/>
            <w:noWrap w:val="0"/>
            <w:vAlign w:val="center"/>
          </w:tcPr>
          <w:p w14:paraId="55CC6AF8">
            <w:pPr>
              <w:keepNext w:val="0"/>
              <w:keepLines w:val="0"/>
              <w:suppressLineNumbers w:val="0"/>
              <w:spacing w:before="0" w:beforeAutospacing="0" w:after="0" w:afterAutospacing="0"/>
              <w:ind w:left="0" w:right="0"/>
              <w:jc w:val="left"/>
              <w:rPr>
                <w:rFonts w:hint="default" w:ascii="Calibri" w:hAnsi="Calibri" w:cs="Times New Roman"/>
                <w:color w:val="000000"/>
                <w:highlight w:val="none"/>
              </w:rPr>
            </w:pPr>
          </w:p>
        </w:tc>
        <w:tc>
          <w:tcPr>
            <w:tcW w:w="3181" w:type="pct"/>
            <w:noWrap w:val="0"/>
            <w:vAlign w:val="center"/>
          </w:tcPr>
          <w:p w14:paraId="256572BC">
            <w:pPr>
              <w:keepNext w:val="0"/>
              <w:keepLines w:val="0"/>
              <w:suppressLineNumbers w:val="0"/>
              <w:spacing w:before="0" w:beforeAutospacing="0" w:after="0" w:afterAutospacing="0"/>
              <w:ind w:left="0" w:right="0"/>
              <w:jc w:val="left"/>
              <w:rPr>
                <w:rFonts w:hint="default" w:ascii="Times New Roman" w:hAnsi="Times New Roman" w:eastAsia="仿宋" w:cs="Times New Roman"/>
                <w:color w:val="000000"/>
                <w:highlight w:val="none"/>
              </w:rPr>
            </w:pPr>
            <w:r>
              <w:rPr>
                <w:rFonts w:hint="default" w:ascii="Times New Roman" w:hAnsi="Times New Roman" w:cs="Times New Roman"/>
                <w:color w:val="000000"/>
                <w:highlight w:val="none"/>
              </w:rPr>
              <w:sym w:font="Wingdings 2" w:char="00A3"/>
            </w:r>
            <w:r>
              <w:rPr>
                <w:rFonts w:hint="eastAsia" w:ascii="宋体" w:hAnsi="宋体" w:eastAsia="仿宋" w:cs="Calibri"/>
                <w:color w:val="000000"/>
                <w:sz w:val="24"/>
                <w:highlight w:val="none"/>
              </w:rPr>
              <w:t>...</w:t>
            </w:r>
          </w:p>
        </w:tc>
      </w:tr>
      <w:tr w14:paraId="47176D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5000" w:type="pct"/>
            <w:gridSpan w:val="3"/>
            <w:noWrap w:val="0"/>
            <w:vAlign w:val="center"/>
          </w:tcPr>
          <w:p w14:paraId="1B61FBA0">
            <w:pPr>
              <w:keepNext w:val="0"/>
              <w:keepLines w:val="0"/>
              <w:suppressLineNumbers w:val="0"/>
              <w:spacing w:before="0" w:beforeAutospacing="0" w:after="0" w:afterAutospacing="0" w:line="360" w:lineRule="auto"/>
              <w:ind w:left="0" w:right="0"/>
              <w:jc w:val="left"/>
              <w:rPr>
                <w:rFonts w:hint="eastAsia" w:ascii="仿宋" w:hAnsi="仿宋" w:eastAsia="仿宋" w:cs="仿宋"/>
                <w:b/>
                <w:sz w:val="24"/>
                <w:szCs w:val="18"/>
                <w:highlight w:val="none"/>
              </w:rPr>
            </w:pPr>
            <w:r>
              <w:rPr>
                <w:rFonts w:hint="eastAsia" w:ascii="仿宋" w:hAnsi="仿宋" w:eastAsia="仿宋" w:cs="仿宋"/>
                <w:b/>
                <w:sz w:val="24"/>
                <w:szCs w:val="18"/>
                <w:highlight w:val="none"/>
              </w:rPr>
              <w:t>注：</w:t>
            </w:r>
          </w:p>
          <w:p w14:paraId="0D7C82D2">
            <w:pPr>
              <w:keepNext w:val="0"/>
              <w:keepLines w:val="0"/>
              <w:numPr>
                <w:ilvl w:val="0"/>
                <w:numId w:val="2"/>
              </w:numPr>
              <w:suppressLineNumbers w:val="0"/>
              <w:spacing w:before="0" w:beforeAutospacing="0" w:after="0" w:afterAutospacing="0" w:line="360" w:lineRule="auto"/>
              <w:ind w:left="0" w:right="0"/>
              <w:jc w:val="left"/>
              <w:rPr>
                <w:rFonts w:hint="eastAsia" w:ascii="仿宋" w:hAnsi="仿宋" w:eastAsia="仿宋" w:cs="仿宋"/>
                <w:b/>
                <w:sz w:val="24"/>
                <w:szCs w:val="18"/>
                <w:highlight w:val="none"/>
              </w:rPr>
            </w:pPr>
            <w:r>
              <w:rPr>
                <w:rFonts w:hint="eastAsia" w:ascii="仿宋" w:hAnsi="仿宋" w:eastAsia="仿宋" w:cs="仿宋"/>
                <w:b/>
                <w:sz w:val="24"/>
                <w:szCs w:val="18"/>
                <w:highlight w:val="none"/>
              </w:rPr>
              <w:t>对于标注“★”、“●”号项技术性能参数的响应情况，以招标文件明确要求的材料为准，若招标文件未明确要求则以所投产品制造商公开发布的资料或产品技术白皮书或产品彩页或检测机构出具的检测报告或功能界面截图或官网功能截图或评标委员会认可的其他证明材料为准。若所投产品制造商公开发布的资料与检测机构出具的检测报告不一致，以检测机构出具的检测报告为准。为便于评审，投标人对证明材料中的关键参数进行标注并标注页码。</w:t>
            </w:r>
          </w:p>
          <w:p w14:paraId="6ED40923">
            <w:pPr>
              <w:keepNext w:val="0"/>
              <w:keepLines w:val="0"/>
              <w:suppressLineNumbers w:val="0"/>
              <w:spacing w:before="0" w:beforeAutospacing="0" w:after="0" w:afterAutospacing="0" w:line="360" w:lineRule="auto"/>
              <w:ind w:left="0" w:right="0"/>
              <w:jc w:val="left"/>
              <w:rPr>
                <w:rFonts w:hint="eastAsia" w:ascii="仿宋" w:hAnsi="仿宋" w:eastAsia="仿宋" w:cs="仿宋"/>
                <w:b/>
                <w:sz w:val="24"/>
                <w:szCs w:val="18"/>
                <w:highlight w:val="none"/>
              </w:rPr>
            </w:pPr>
            <w:r>
              <w:rPr>
                <w:rFonts w:hint="eastAsia" w:ascii="仿宋" w:hAnsi="仿宋" w:eastAsia="仿宋" w:cs="仿宋"/>
                <w:b/>
                <w:sz w:val="24"/>
                <w:szCs w:val="18"/>
                <w:highlight w:val="none"/>
              </w:rPr>
              <w:t>2）所有技术参数及要求使用单位验收时将逐条核对，如发现与实际情况不符、虚假响应等，使用单位有权终止合同并报相关监管部门，由此产生的责任与后果均由中标人承担。</w:t>
            </w:r>
          </w:p>
          <w:p w14:paraId="12DE53E4">
            <w:pPr>
              <w:keepNext w:val="0"/>
              <w:keepLines w:val="0"/>
              <w:suppressLineNumbers w:val="0"/>
              <w:spacing w:before="0" w:beforeAutospacing="0" w:after="0" w:afterAutospacing="0" w:line="360" w:lineRule="auto"/>
              <w:ind w:left="0" w:right="0"/>
              <w:jc w:val="left"/>
              <w:rPr>
                <w:rFonts w:hint="eastAsia" w:ascii="仿宋" w:hAnsi="仿宋" w:cs="仿宋"/>
                <w:color w:val="0000FF"/>
                <w:sz w:val="24"/>
                <w:highlight w:val="none"/>
              </w:rPr>
            </w:pPr>
            <w:r>
              <w:rPr>
                <w:rFonts w:hint="eastAsia" w:ascii="仿宋" w:hAnsi="仿宋" w:eastAsia="仿宋" w:cs="仿宋"/>
                <w:b/>
                <w:bCs/>
                <w:color w:val="000000"/>
                <w:kern w:val="0"/>
                <w:sz w:val="24"/>
                <w:highlight w:val="none"/>
                <w:lang w:bidi="ar"/>
              </w:rPr>
              <w:t>3）标识条款中如包含多条子项技术参数或要求，则需满足或优于该标识条款内所有子项技术参数或要求方为响应。</w:t>
            </w:r>
          </w:p>
        </w:tc>
      </w:tr>
    </w:tbl>
    <w:p w14:paraId="20C86584">
      <w:pPr>
        <w:pStyle w:val="25"/>
        <w:widowControl/>
        <w:snapToGrid w:val="0"/>
        <w:spacing w:line="360" w:lineRule="auto"/>
        <w:ind w:firstLine="480" w:firstLineChars="200"/>
        <w:rPr>
          <w:rFonts w:hint="eastAsia" w:hAnsi="宋体" w:eastAsia="仿宋"/>
          <w:color w:val="FF0000"/>
          <w:sz w:val="24"/>
          <w:szCs w:val="24"/>
          <w:highlight w:val="none"/>
        </w:rPr>
      </w:pPr>
    </w:p>
    <w:p w14:paraId="303FCD21">
      <w:pPr>
        <w:pStyle w:val="25"/>
        <w:widowControl/>
        <w:snapToGrid w:val="0"/>
        <w:spacing w:line="360" w:lineRule="auto"/>
        <w:ind w:firstLine="482" w:firstLineChars="200"/>
        <w:outlineLvl w:val="2"/>
        <w:rPr>
          <w:rFonts w:hint="eastAsia" w:hAnsi="宋体" w:eastAsia="仿宋"/>
          <w:b/>
          <w:bCs/>
          <w:sz w:val="24"/>
          <w:szCs w:val="24"/>
          <w:highlight w:val="none"/>
        </w:rPr>
      </w:pPr>
      <w:r>
        <w:rPr>
          <w:rFonts w:hint="eastAsia" w:hAnsi="宋体" w:eastAsia="仿宋"/>
          <w:b/>
          <w:bCs/>
          <w:sz w:val="24"/>
          <w:szCs w:val="24"/>
          <w:highlight w:val="none"/>
        </w:rPr>
        <w:t>4.2技术要求表</w:t>
      </w:r>
    </w:p>
    <w:p w14:paraId="77C25F53">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eastAsia" w:ascii="Times New Roman" w:hAnsi="宋体" w:eastAsia="仿宋" w:cs="Times New Roman"/>
          <w:b w:val="0"/>
          <w:bCs w:val="0"/>
          <w:color w:val="auto"/>
          <w:sz w:val="24"/>
          <w:szCs w:val="24"/>
          <w:highlight w:val="none"/>
          <w:lang w:val="en-US" w:eastAsia="zh-CN"/>
        </w:rPr>
      </w:pPr>
      <w:r>
        <w:rPr>
          <w:rFonts w:hint="eastAsia" w:ascii="Times New Roman" w:hAnsi="宋体" w:eastAsia="仿宋" w:cs="Times New Roman"/>
          <w:b w:val="0"/>
          <w:bCs w:val="0"/>
          <w:color w:val="auto"/>
          <w:sz w:val="24"/>
          <w:szCs w:val="24"/>
          <w:highlight w:val="none"/>
          <w:lang w:val="en-US" w:eastAsia="zh-CN"/>
        </w:rPr>
        <w:t>说明：以下技术要求均为单台（套）设备技术要求及配置。</w:t>
      </w:r>
    </w:p>
    <w:p w14:paraId="254545C3">
      <w:pPr>
        <w:keepNext w:val="0"/>
        <w:keepLines w:val="0"/>
        <w:pageBreakBefore w:val="0"/>
        <w:widowControl w:val="0"/>
        <w:kinsoku/>
        <w:wordWrap/>
        <w:overflowPunct/>
        <w:topLinePunct w:val="0"/>
        <w:autoSpaceDE/>
        <w:autoSpaceDN/>
        <w:bidi w:val="0"/>
        <w:adjustRightInd/>
        <w:snapToGrid/>
        <w:spacing w:line="360" w:lineRule="auto"/>
        <w:ind w:left="0" w:firstLine="482" w:firstLineChars="200"/>
        <w:textAlignment w:val="auto"/>
        <w:rPr>
          <w:rFonts w:hint="eastAsia" w:ascii="Times New Roman" w:hAnsi="宋体" w:eastAsia="仿宋" w:cs="Times New Roman"/>
          <w:b/>
          <w:bCs/>
          <w:color w:val="auto"/>
          <w:sz w:val="24"/>
          <w:szCs w:val="24"/>
          <w:highlight w:val="none"/>
          <w:lang w:val="en-US" w:eastAsia="zh-CN"/>
        </w:rPr>
      </w:pPr>
      <w:r>
        <w:rPr>
          <w:rFonts w:hint="eastAsia" w:ascii="Times New Roman" w:hAnsi="宋体" w:eastAsia="仿宋" w:cs="Times New Roman"/>
          <w:b/>
          <w:bCs/>
          <w:color w:val="auto"/>
          <w:sz w:val="24"/>
          <w:szCs w:val="24"/>
          <w:highlight w:val="none"/>
          <w:lang w:val="en-US" w:eastAsia="zh-CN"/>
        </w:rPr>
        <w:t>（一）货物需求</w:t>
      </w:r>
    </w:p>
    <w:tbl>
      <w:tblPr>
        <w:tblStyle w:val="4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0"/>
        <w:gridCol w:w="2730"/>
        <w:gridCol w:w="1971"/>
        <w:gridCol w:w="1971"/>
        <w:gridCol w:w="1971"/>
      </w:tblGrid>
      <w:tr w14:paraId="174FC9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900" w:type="dxa"/>
            <w:noWrap w:val="0"/>
            <w:vAlign w:val="center"/>
          </w:tcPr>
          <w:p w14:paraId="781F8CB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en-US"/>
              </w:rPr>
              <w:t>序号</w:t>
            </w:r>
          </w:p>
        </w:tc>
        <w:tc>
          <w:tcPr>
            <w:tcW w:w="2730" w:type="dxa"/>
            <w:noWrap w:val="0"/>
            <w:vAlign w:val="center"/>
          </w:tcPr>
          <w:p w14:paraId="13B6CCD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en-US"/>
              </w:rPr>
              <w:t>设备名称</w:t>
            </w:r>
          </w:p>
        </w:tc>
        <w:tc>
          <w:tcPr>
            <w:tcW w:w="1971" w:type="dxa"/>
            <w:noWrap w:val="0"/>
            <w:vAlign w:val="center"/>
          </w:tcPr>
          <w:p w14:paraId="534389A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en-US"/>
              </w:rPr>
              <w:t>数量</w:t>
            </w:r>
          </w:p>
        </w:tc>
        <w:tc>
          <w:tcPr>
            <w:tcW w:w="1971" w:type="dxa"/>
            <w:noWrap w:val="0"/>
            <w:vAlign w:val="center"/>
          </w:tcPr>
          <w:p w14:paraId="5480749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en-US"/>
              </w:rPr>
              <w:t>单位</w:t>
            </w:r>
          </w:p>
        </w:tc>
        <w:tc>
          <w:tcPr>
            <w:tcW w:w="1971" w:type="dxa"/>
            <w:noWrap w:val="0"/>
            <w:vAlign w:val="center"/>
          </w:tcPr>
          <w:p w14:paraId="02C43B3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核心产品</w:t>
            </w:r>
          </w:p>
        </w:tc>
      </w:tr>
      <w:tr w14:paraId="478F3D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0" w:type="dxa"/>
            <w:noWrap w:val="0"/>
            <w:vAlign w:val="center"/>
          </w:tcPr>
          <w:p w14:paraId="08A1C13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eastAsia="en-US"/>
              </w:rPr>
              <w:t>1</w:t>
            </w:r>
          </w:p>
        </w:tc>
        <w:tc>
          <w:tcPr>
            <w:tcW w:w="2730" w:type="dxa"/>
            <w:noWrap w:val="0"/>
            <w:vAlign w:val="center"/>
          </w:tcPr>
          <w:p w14:paraId="6F6A3AD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彩超(高端心脏机)</w:t>
            </w:r>
          </w:p>
        </w:tc>
        <w:tc>
          <w:tcPr>
            <w:tcW w:w="1971" w:type="dxa"/>
            <w:noWrap w:val="0"/>
            <w:vAlign w:val="center"/>
          </w:tcPr>
          <w:p w14:paraId="274DB92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14</w:t>
            </w:r>
          </w:p>
        </w:tc>
        <w:tc>
          <w:tcPr>
            <w:tcW w:w="1971" w:type="dxa"/>
            <w:noWrap w:val="0"/>
            <w:vAlign w:val="center"/>
          </w:tcPr>
          <w:p w14:paraId="1CC7715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eastAsia="en-US"/>
              </w:rPr>
              <w:t>套</w:t>
            </w:r>
          </w:p>
        </w:tc>
        <w:tc>
          <w:tcPr>
            <w:tcW w:w="1971" w:type="dxa"/>
            <w:noWrap w:val="0"/>
            <w:vAlign w:val="center"/>
          </w:tcPr>
          <w:p w14:paraId="7939935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仿宋" w:hAnsi="仿宋" w:eastAsia="仿宋" w:cs="仿宋"/>
                <w:color w:val="auto"/>
                <w:sz w:val="24"/>
                <w:szCs w:val="24"/>
                <w:highlight w:val="none"/>
                <w:lang w:eastAsia="en-US"/>
              </w:rPr>
            </w:pPr>
            <w:r>
              <w:rPr>
                <w:rFonts w:hint="eastAsia" w:ascii="仿宋" w:hAnsi="仿宋" w:eastAsia="仿宋" w:cs="仿宋"/>
                <w:color w:val="auto"/>
                <w:sz w:val="24"/>
                <w:szCs w:val="24"/>
                <w:highlight w:val="none"/>
                <w:lang w:eastAsia="en-US"/>
              </w:rPr>
              <w:t>▲</w:t>
            </w:r>
          </w:p>
        </w:tc>
      </w:tr>
    </w:tbl>
    <w:p w14:paraId="1246F7AE">
      <w:pPr>
        <w:keepNext w:val="0"/>
        <w:keepLines w:val="0"/>
        <w:pageBreakBefore w:val="0"/>
        <w:widowControl w:val="0"/>
        <w:kinsoku/>
        <w:wordWrap/>
        <w:overflowPunct/>
        <w:topLinePunct w:val="0"/>
        <w:autoSpaceDE/>
        <w:autoSpaceDN/>
        <w:bidi w:val="0"/>
        <w:adjustRightInd/>
        <w:snapToGrid/>
        <w:spacing w:line="360" w:lineRule="auto"/>
        <w:ind w:left="0" w:firstLine="482" w:firstLineChars="200"/>
        <w:textAlignment w:val="auto"/>
        <w:rPr>
          <w:rFonts w:hint="eastAsia" w:ascii="Times New Roman" w:hAnsi="宋体" w:eastAsia="仿宋" w:cs="Times New Roman"/>
          <w:b/>
          <w:bCs/>
          <w:color w:val="auto"/>
          <w:sz w:val="24"/>
          <w:szCs w:val="24"/>
          <w:highlight w:val="none"/>
          <w:lang w:val="en-US" w:eastAsia="zh-CN"/>
        </w:rPr>
      </w:pPr>
      <w:r>
        <w:rPr>
          <w:rFonts w:hint="eastAsia" w:ascii="Times New Roman" w:hAnsi="宋体" w:eastAsia="仿宋" w:cs="Times New Roman"/>
          <w:b/>
          <w:bCs/>
          <w:color w:val="auto"/>
          <w:sz w:val="24"/>
          <w:szCs w:val="24"/>
          <w:highlight w:val="none"/>
          <w:lang w:val="en-US" w:eastAsia="zh-CN"/>
        </w:rPr>
        <w:t>（二）技术参数及要求</w:t>
      </w:r>
    </w:p>
    <w:tbl>
      <w:tblPr>
        <w:tblStyle w:val="48"/>
        <w:tblW w:w="8839"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8839"/>
      </w:tblGrid>
      <w:tr w14:paraId="5B07E65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88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D44131">
            <w:pPr>
              <w:keepNext w:val="0"/>
              <w:keepLines w:val="0"/>
              <w:widowControl/>
              <w:suppressLineNumbers w:val="0"/>
              <w:spacing w:before="0" w:beforeAutospacing="0" w:after="0" w:afterAutospacing="0"/>
              <w:ind w:left="0" w:right="0"/>
              <w:jc w:val="both"/>
              <w:textAlignment w:val="center"/>
              <w:rPr>
                <w:rFonts w:hint="eastAsia" w:ascii="仿宋" w:hAnsi="仿宋" w:eastAsia="仿宋" w:cs="仿宋"/>
                <w:b/>
                <w:bCs/>
                <w:i w:val="0"/>
                <w:iCs w:val="0"/>
                <w:color w:val="auto"/>
                <w:sz w:val="24"/>
                <w:szCs w:val="24"/>
                <w:highlight w:val="none"/>
                <w:u w:val="none"/>
              </w:rPr>
            </w:pPr>
            <w:r>
              <w:rPr>
                <w:rFonts w:hint="eastAsia" w:ascii="仿宋" w:hAnsi="仿宋" w:eastAsia="仿宋" w:cs="仿宋"/>
                <w:b/>
                <w:bCs/>
                <w:i w:val="0"/>
                <w:iCs w:val="0"/>
                <w:color w:val="auto"/>
                <w:kern w:val="0"/>
                <w:sz w:val="24"/>
                <w:szCs w:val="24"/>
                <w:highlight w:val="none"/>
                <w:u w:val="none"/>
                <w:lang w:val="en-US" w:eastAsia="zh-CN" w:bidi="ar"/>
              </w:rPr>
              <w:t>1.用途：</w:t>
            </w:r>
            <w:r>
              <w:rPr>
                <w:rStyle w:val="188"/>
                <w:rFonts w:hint="eastAsia" w:ascii="仿宋" w:hAnsi="仿宋" w:eastAsia="仿宋" w:cs="仿宋"/>
                <w:color w:val="auto"/>
                <w:highlight w:val="none"/>
                <w:lang w:val="en-US" w:eastAsia="zh-CN" w:bidi="ar"/>
              </w:rPr>
              <w:t>以成人心脏、小儿心脏、新生儿心脏和胎儿心脏超声临床诊断应为主，支持成人实时四维经胸和实时四维经食道超声心动图成像;覆盖外周血管、腹部、妇产科/盆腔、泌尿系统和前列腺、浅表组织与小器官、儿科、经颅超声、肌骨、体腔超声等检查全面应用，并具备有效的三类注册证</w:t>
            </w:r>
          </w:p>
        </w:tc>
      </w:tr>
      <w:tr w14:paraId="5CF964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88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09546C">
            <w:pPr>
              <w:keepNext w:val="0"/>
              <w:keepLines w:val="0"/>
              <w:widowControl/>
              <w:suppressLineNumbers w:val="0"/>
              <w:spacing w:before="0" w:beforeAutospacing="0" w:after="0" w:afterAutospacing="0"/>
              <w:ind w:left="0" w:right="0"/>
              <w:jc w:val="both"/>
              <w:textAlignment w:val="center"/>
              <w:rPr>
                <w:rFonts w:hint="eastAsia" w:ascii="仿宋" w:hAnsi="仿宋" w:eastAsia="仿宋" w:cs="仿宋"/>
                <w:b/>
                <w:bCs/>
                <w:i w:val="0"/>
                <w:iCs w:val="0"/>
                <w:color w:val="auto"/>
                <w:sz w:val="24"/>
                <w:szCs w:val="24"/>
                <w:highlight w:val="none"/>
                <w:u w:val="none"/>
              </w:rPr>
            </w:pPr>
            <w:r>
              <w:rPr>
                <w:rFonts w:hint="eastAsia" w:ascii="仿宋" w:hAnsi="仿宋" w:eastAsia="仿宋" w:cs="仿宋"/>
                <w:b/>
                <w:bCs/>
                <w:i w:val="0"/>
                <w:iCs w:val="0"/>
                <w:color w:val="auto"/>
                <w:kern w:val="0"/>
                <w:sz w:val="24"/>
                <w:szCs w:val="24"/>
                <w:highlight w:val="none"/>
                <w:u w:val="none"/>
                <w:lang w:val="en-US" w:eastAsia="zh-CN" w:bidi="ar"/>
              </w:rPr>
              <w:t>2.物理规格：</w:t>
            </w:r>
          </w:p>
        </w:tc>
      </w:tr>
      <w:tr w14:paraId="40F66B9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88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9F520B">
            <w:pPr>
              <w:keepNext w:val="0"/>
              <w:keepLines w:val="0"/>
              <w:widowControl/>
              <w:suppressLineNumbers w:val="0"/>
              <w:spacing w:before="0" w:beforeAutospacing="0" w:after="0" w:afterAutospacing="0"/>
              <w:ind w:left="0" w:right="0"/>
              <w:jc w:val="both"/>
              <w:textAlignment w:val="center"/>
              <w:rPr>
                <w:rFonts w:hint="eastAsia" w:ascii="仿宋" w:hAnsi="仿宋" w:eastAsia="仿宋" w:cs="仿宋"/>
                <w:i w:val="0"/>
                <w:iCs w:val="0"/>
                <w:color w:val="auto"/>
                <w:sz w:val="24"/>
                <w:szCs w:val="24"/>
                <w:highlight w:val="none"/>
                <w:u w:val="none"/>
              </w:rPr>
            </w:pPr>
            <w:r>
              <w:rPr>
                <w:rStyle w:val="188"/>
                <w:rFonts w:hint="eastAsia" w:ascii="仿宋" w:hAnsi="仿宋" w:eastAsia="仿宋" w:cs="仿宋"/>
                <w:color w:val="auto"/>
                <w:highlight w:val="none"/>
                <w:lang w:val="en-US" w:eastAsia="zh-CN" w:bidi="ar"/>
              </w:rPr>
              <w:t>2.1 ≥21.5英寸液晶显示器,具备亮度补偿功能，分辨率: 1920 x 1080</w:t>
            </w:r>
          </w:p>
        </w:tc>
      </w:tr>
      <w:tr w14:paraId="48ED48A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88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4DD947">
            <w:pPr>
              <w:keepNext w:val="0"/>
              <w:keepLines w:val="0"/>
              <w:widowControl/>
              <w:suppressLineNumbers w:val="0"/>
              <w:spacing w:before="0" w:beforeAutospacing="0" w:after="0" w:afterAutospacing="0"/>
              <w:ind w:left="0" w:right="0"/>
              <w:jc w:val="both"/>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2.2 ≥12英寸触摸屏</w:t>
            </w:r>
          </w:p>
        </w:tc>
      </w:tr>
      <w:tr w14:paraId="04B033D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88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3D8F12">
            <w:pPr>
              <w:keepNext w:val="0"/>
              <w:keepLines w:val="0"/>
              <w:widowControl/>
              <w:suppressLineNumbers w:val="0"/>
              <w:spacing w:before="0" w:beforeAutospacing="0" w:after="0" w:afterAutospacing="0"/>
              <w:ind w:left="0" w:right="0"/>
              <w:jc w:val="both"/>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2.3 探头接口数量≥4个全激活接口</w:t>
            </w:r>
          </w:p>
        </w:tc>
      </w:tr>
      <w:tr w14:paraId="74C3D7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88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DF68A9">
            <w:pPr>
              <w:keepNext w:val="0"/>
              <w:keepLines w:val="0"/>
              <w:widowControl/>
              <w:suppressLineNumbers w:val="0"/>
              <w:spacing w:before="0" w:beforeAutospacing="0" w:after="0" w:afterAutospacing="0"/>
              <w:ind w:left="0" w:right="0"/>
              <w:jc w:val="both"/>
              <w:textAlignment w:val="center"/>
              <w:rPr>
                <w:rFonts w:hint="eastAsia" w:ascii="仿宋" w:hAnsi="仿宋" w:eastAsia="仿宋" w:cs="仿宋"/>
                <w:b/>
                <w:bCs/>
                <w:i w:val="0"/>
                <w:iCs w:val="0"/>
                <w:color w:val="auto"/>
                <w:sz w:val="24"/>
                <w:szCs w:val="24"/>
                <w:highlight w:val="none"/>
                <w:u w:val="none"/>
              </w:rPr>
            </w:pPr>
            <w:r>
              <w:rPr>
                <w:rFonts w:hint="eastAsia" w:ascii="仿宋" w:hAnsi="仿宋" w:eastAsia="仿宋" w:cs="仿宋"/>
                <w:b/>
                <w:bCs/>
                <w:i w:val="0"/>
                <w:iCs w:val="0"/>
                <w:color w:val="auto"/>
                <w:kern w:val="0"/>
                <w:sz w:val="24"/>
                <w:szCs w:val="24"/>
                <w:highlight w:val="none"/>
                <w:u w:val="none"/>
                <w:lang w:val="en-US" w:eastAsia="zh-CN" w:bidi="ar"/>
              </w:rPr>
              <w:t>3.系统成像技术</w:t>
            </w:r>
          </w:p>
        </w:tc>
      </w:tr>
      <w:tr w14:paraId="131388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88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BD6AAD">
            <w:pPr>
              <w:keepNext w:val="0"/>
              <w:keepLines w:val="0"/>
              <w:widowControl/>
              <w:suppressLineNumbers w:val="0"/>
              <w:spacing w:before="0" w:beforeAutospacing="0" w:after="0" w:afterAutospacing="0"/>
              <w:ind w:left="0" w:right="0"/>
              <w:jc w:val="both"/>
              <w:textAlignment w:val="center"/>
              <w:rPr>
                <w:rFonts w:hint="eastAsia" w:ascii="仿宋" w:hAnsi="仿宋" w:eastAsia="仿宋" w:cs="仿宋"/>
                <w:i w:val="0"/>
                <w:iCs w:val="0"/>
                <w:color w:val="auto"/>
                <w:sz w:val="24"/>
                <w:szCs w:val="24"/>
                <w:highlight w:val="none"/>
                <w:u w:val="none"/>
              </w:rPr>
            </w:pPr>
            <w:r>
              <w:rPr>
                <w:rStyle w:val="189"/>
                <w:rFonts w:hint="eastAsia" w:ascii="仿宋" w:hAnsi="仿宋" w:eastAsia="仿宋" w:cs="仿宋"/>
                <w:color w:val="auto"/>
                <w:highlight w:val="none"/>
                <w:lang w:val="en-US" w:eastAsia="zh-CN" w:bidi="ar"/>
              </w:rPr>
              <w:t>3.1 具备二维灰阶、</w:t>
            </w:r>
            <w:r>
              <w:rPr>
                <w:rStyle w:val="188"/>
                <w:rFonts w:hint="eastAsia" w:ascii="仿宋" w:hAnsi="仿宋" w:eastAsia="仿宋" w:cs="仿宋"/>
                <w:color w:val="auto"/>
                <w:highlight w:val="none"/>
                <w:lang w:val="en-US" w:eastAsia="zh-CN" w:bidi="ar"/>
              </w:rPr>
              <w:t>M型模式、彩色多普勒成像、频谱多普勒成像，连续多普勒成像单元</w:t>
            </w:r>
          </w:p>
        </w:tc>
      </w:tr>
      <w:tr w14:paraId="752829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88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89B813">
            <w:pPr>
              <w:keepNext w:val="0"/>
              <w:keepLines w:val="0"/>
              <w:widowControl/>
              <w:suppressLineNumbers w:val="0"/>
              <w:spacing w:before="0" w:beforeAutospacing="0" w:after="0" w:afterAutospacing="0"/>
              <w:ind w:left="0" w:right="0"/>
              <w:jc w:val="both"/>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3.2具备左心室心肌应变分析或心肌应变定量类似技术</w:t>
            </w:r>
          </w:p>
        </w:tc>
      </w:tr>
      <w:tr w14:paraId="383D79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88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D41560">
            <w:pPr>
              <w:keepNext w:val="0"/>
              <w:keepLines w:val="0"/>
              <w:widowControl/>
              <w:suppressLineNumbers w:val="0"/>
              <w:spacing w:before="0" w:beforeAutospacing="0" w:after="0" w:afterAutospacing="0"/>
              <w:ind w:left="0" w:right="0"/>
              <w:jc w:val="both"/>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3.3 具备空间复合成像技术、扩展成像、宽景成像，支持一键自动优化</w:t>
            </w:r>
          </w:p>
        </w:tc>
      </w:tr>
      <w:tr w14:paraId="11D2FC6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88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D31A41">
            <w:pPr>
              <w:keepNext w:val="0"/>
              <w:keepLines w:val="0"/>
              <w:widowControl/>
              <w:suppressLineNumbers w:val="0"/>
              <w:spacing w:before="0" w:beforeAutospacing="0" w:after="0" w:afterAutospacing="0"/>
              <w:ind w:left="0" w:right="0"/>
              <w:jc w:val="both"/>
              <w:textAlignment w:val="center"/>
              <w:rPr>
                <w:rFonts w:hint="eastAsia" w:ascii="仿宋" w:hAnsi="仿宋" w:eastAsia="仿宋" w:cs="仿宋"/>
                <w:i w:val="0"/>
                <w:iCs w:val="0"/>
                <w:color w:val="auto"/>
                <w:sz w:val="24"/>
                <w:szCs w:val="24"/>
                <w:highlight w:val="none"/>
                <w:u w:val="none"/>
              </w:rPr>
            </w:pPr>
            <w:r>
              <w:rPr>
                <w:rStyle w:val="188"/>
                <w:rFonts w:hint="eastAsia" w:ascii="仿宋" w:hAnsi="仿宋" w:eastAsia="仿宋" w:cs="仿宋"/>
                <w:color w:val="auto"/>
                <w:highlight w:val="none"/>
                <w:lang w:val="en-US" w:eastAsia="zh-CN" w:bidi="ar"/>
              </w:rPr>
              <w:t xml:space="preserve">3.4 </w:t>
            </w:r>
            <w:r>
              <w:rPr>
                <w:rStyle w:val="190"/>
                <w:rFonts w:hint="eastAsia" w:ascii="仿宋" w:hAnsi="仿宋" w:eastAsia="仿宋" w:cs="仿宋"/>
                <w:color w:val="auto"/>
                <w:highlight w:val="none"/>
                <w:lang w:val="en-US" w:eastAsia="zh-CN" w:bidi="ar"/>
              </w:rPr>
              <w:t>具备解剖M型和曲线解剖M型</w:t>
            </w:r>
          </w:p>
        </w:tc>
      </w:tr>
      <w:tr w14:paraId="74004F8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88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E1F7DB">
            <w:pPr>
              <w:keepNext w:val="0"/>
              <w:keepLines w:val="0"/>
              <w:widowControl/>
              <w:suppressLineNumbers w:val="0"/>
              <w:spacing w:before="0" w:beforeAutospacing="0" w:after="0" w:afterAutospacing="0"/>
              <w:ind w:left="0" w:right="0"/>
              <w:jc w:val="both"/>
              <w:textAlignment w:val="center"/>
              <w:rPr>
                <w:rFonts w:hint="eastAsia" w:ascii="仿宋" w:hAnsi="仿宋" w:eastAsia="仿宋" w:cs="仿宋"/>
                <w:i w:val="0"/>
                <w:iCs w:val="0"/>
                <w:color w:val="auto"/>
                <w:sz w:val="24"/>
                <w:szCs w:val="24"/>
                <w:highlight w:val="none"/>
                <w:u w:val="none"/>
              </w:rPr>
            </w:pPr>
            <w:r>
              <w:rPr>
                <w:rStyle w:val="188"/>
                <w:rFonts w:hint="eastAsia" w:ascii="仿宋" w:hAnsi="仿宋" w:eastAsia="仿宋" w:cs="仿宋"/>
                <w:color w:val="auto"/>
                <w:highlight w:val="none"/>
                <w:lang w:val="en-US" w:eastAsia="zh-CN" w:bidi="ar"/>
              </w:rPr>
              <w:t xml:space="preserve">3.5 </w:t>
            </w:r>
            <w:r>
              <w:rPr>
                <w:rStyle w:val="191"/>
                <w:rFonts w:hint="eastAsia" w:ascii="仿宋" w:hAnsi="仿宋" w:eastAsia="仿宋" w:cs="仿宋"/>
                <w:color w:val="auto"/>
                <w:highlight w:val="none"/>
                <w:lang w:val="en-US" w:eastAsia="zh-CN" w:bidi="ar"/>
              </w:rPr>
              <w:t>具备全域聚焦成像或类似技</w:t>
            </w:r>
            <w:r>
              <w:rPr>
                <w:rStyle w:val="188"/>
                <w:rFonts w:hint="eastAsia" w:ascii="仿宋" w:hAnsi="仿宋" w:eastAsia="仿宋" w:cs="仿宋"/>
                <w:color w:val="auto"/>
                <w:highlight w:val="none"/>
                <w:lang w:val="en-US" w:eastAsia="zh-CN" w:bidi="ar"/>
              </w:rPr>
              <w:t>术</w:t>
            </w:r>
          </w:p>
        </w:tc>
      </w:tr>
      <w:tr w14:paraId="626243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88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061ADF">
            <w:pPr>
              <w:keepNext w:val="0"/>
              <w:keepLines w:val="0"/>
              <w:widowControl/>
              <w:suppressLineNumbers w:val="0"/>
              <w:spacing w:before="0" w:beforeAutospacing="0" w:after="0" w:afterAutospacing="0"/>
              <w:ind w:left="0" w:right="0"/>
              <w:jc w:val="both"/>
              <w:textAlignment w:val="center"/>
              <w:rPr>
                <w:rFonts w:hint="eastAsia" w:ascii="仿宋" w:hAnsi="仿宋" w:eastAsia="仿宋" w:cs="仿宋"/>
                <w:i w:val="0"/>
                <w:iCs w:val="0"/>
                <w:color w:val="auto"/>
                <w:sz w:val="24"/>
                <w:szCs w:val="24"/>
                <w:highlight w:val="none"/>
                <w:u w:val="none"/>
              </w:rPr>
            </w:pPr>
            <w:r>
              <w:rPr>
                <w:rStyle w:val="188"/>
                <w:rFonts w:hint="eastAsia" w:ascii="仿宋" w:hAnsi="仿宋" w:eastAsia="仿宋" w:cs="仿宋"/>
                <w:color w:val="auto"/>
                <w:highlight w:val="none"/>
                <w:lang w:val="en-US" w:eastAsia="zh-CN" w:bidi="ar"/>
              </w:rPr>
              <w:t xml:space="preserve">3.6 </w:t>
            </w:r>
            <w:r>
              <w:rPr>
                <w:rStyle w:val="192"/>
                <w:rFonts w:hint="eastAsia" w:ascii="仿宋" w:hAnsi="仿宋" w:eastAsia="仿宋" w:cs="仿宋"/>
                <w:color w:val="auto"/>
                <w:highlight w:val="none"/>
                <w:lang w:val="en-US" w:eastAsia="zh-CN" w:bidi="ar"/>
              </w:rPr>
              <w:t>心脏舒张功能自动测量</w:t>
            </w:r>
          </w:p>
        </w:tc>
      </w:tr>
      <w:tr w14:paraId="2DB5B68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88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CD9DA5">
            <w:pPr>
              <w:keepNext w:val="0"/>
              <w:keepLines w:val="0"/>
              <w:widowControl/>
              <w:suppressLineNumbers w:val="0"/>
              <w:spacing w:before="0" w:beforeAutospacing="0" w:after="0" w:afterAutospacing="0"/>
              <w:ind w:left="0" w:right="0"/>
              <w:jc w:val="both"/>
              <w:textAlignment w:val="center"/>
              <w:rPr>
                <w:rFonts w:hint="eastAsia" w:ascii="仿宋" w:hAnsi="仿宋" w:eastAsia="仿宋" w:cs="仿宋"/>
                <w:i w:val="0"/>
                <w:iCs w:val="0"/>
                <w:color w:val="auto"/>
                <w:sz w:val="24"/>
                <w:szCs w:val="24"/>
                <w:highlight w:val="none"/>
                <w:u w:val="none"/>
              </w:rPr>
            </w:pPr>
            <w:r>
              <w:rPr>
                <w:rStyle w:val="189"/>
                <w:rFonts w:hint="eastAsia" w:ascii="仿宋" w:hAnsi="仿宋" w:eastAsia="仿宋" w:cs="仿宋"/>
                <w:color w:val="auto"/>
                <w:highlight w:val="none"/>
                <w:lang w:val="en-US" w:eastAsia="zh-CN" w:bidi="ar"/>
              </w:rPr>
              <w:t xml:space="preserve">3.7 </w:t>
            </w:r>
            <w:r>
              <w:rPr>
                <w:rStyle w:val="188"/>
                <w:rFonts w:hint="eastAsia" w:ascii="仿宋" w:hAnsi="仿宋" w:eastAsia="仿宋" w:cs="仿宋"/>
                <w:color w:val="auto"/>
                <w:highlight w:val="none"/>
                <w:lang w:val="en-US" w:eastAsia="zh-CN" w:bidi="ar"/>
              </w:rPr>
              <w:t>具备宽景成像技术</w:t>
            </w:r>
          </w:p>
        </w:tc>
      </w:tr>
      <w:tr w14:paraId="48E9A0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88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9D7DFA">
            <w:pPr>
              <w:keepNext w:val="0"/>
              <w:keepLines w:val="0"/>
              <w:widowControl/>
              <w:suppressLineNumbers w:val="0"/>
              <w:spacing w:before="0" w:beforeAutospacing="0" w:after="0" w:afterAutospacing="0"/>
              <w:ind w:left="0" w:right="0"/>
              <w:jc w:val="both"/>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3.8 具备负荷超声成像或心脏结构自动识别功能</w:t>
            </w:r>
          </w:p>
        </w:tc>
      </w:tr>
      <w:tr w14:paraId="06B912C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88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058490">
            <w:pPr>
              <w:keepNext w:val="0"/>
              <w:keepLines w:val="0"/>
              <w:widowControl/>
              <w:suppressLineNumbers w:val="0"/>
              <w:spacing w:before="0" w:beforeAutospacing="0" w:after="0" w:afterAutospacing="0"/>
              <w:ind w:left="0" w:right="0"/>
              <w:jc w:val="both"/>
              <w:textAlignment w:val="center"/>
              <w:rPr>
                <w:rFonts w:hint="eastAsia" w:ascii="仿宋" w:hAnsi="仿宋" w:eastAsia="仿宋" w:cs="仿宋"/>
                <w:b/>
                <w:bCs/>
                <w:i w:val="0"/>
                <w:iCs w:val="0"/>
                <w:color w:val="auto"/>
                <w:sz w:val="24"/>
                <w:szCs w:val="24"/>
                <w:highlight w:val="none"/>
                <w:u w:val="none"/>
              </w:rPr>
            </w:pPr>
            <w:r>
              <w:rPr>
                <w:rStyle w:val="193"/>
                <w:rFonts w:hint="eastAsia" w:ascii="仿宋" w:hAnsi="仿宋" w:eastAsia="仿宋" w:cs="仿宋"/>
                <w:color w:val="auto"/>
                <w:highlight w:val="none"/>
                <w:lang w:val="en-US" w:eastAsia="zh-CN" w:bidi="ar"/>
              </w:rPr>
              <w:t>4.</w:t>
            </w:r>
            <w:r>
              <w:rPr>
                <w:rStyle w:val="194"/>
                <w:rFonts w:hint="eastAsia" w:ascii="仿宋" w:hAnsi="仿宋" w:eastAsia="仿宋" w:cs="仿宋"/>
                <w:color w:val="auto"/>
                <w:highlight w:val="none"/>
                <w:lang w:val="en-US" w:eastAsia="zh-CN" w:bidi="ar"/>
              </w:rPr>
              <w:t xml:space="preserve"> </w:t>
            </w:r>
            <w:r>
              <w:rPr>
                <w:rStyle w:val="193"/>
                <w:rFonts w:hint="eastAsia" w:ascii="仿宋" w:hAnsi="仿宋" w:eastAsia="仿宋" w:cs="仿宋"/>
                <w:color w:val="auto"/>
                <w:highlight w:val="none"/>
                <w:lang w:val="en-US" w:eastAsia="zh-CN" w:bidi="ar"/>
              </w:rPr>
              <w:t>高级成像功能</w:t>
            </w:r>
          </w:p>
        </w:tc>
      </w:tr>
      <w:tr w14:paraId="38A54F6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88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2235A6">
            <w:pPr>
              <w:keepNext w:val="0"/>
              <w:keepLines w:val="0"/>
              <w:widowControl/>
              <w:suppressLineNumbers w:val="0"/>
              <w:spacing w:before="0" w:beforeAutospacing="0" w:after="0" w:afterAutospacing="0"/>
              <w:ind w:left="0" w:right="0"/>
              <w:jc w:val="both"/>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4.1造影成像：支持心肌及心腔造影，支持腹部、浅表、心脏探头或心脏容积探头</w:t>
            </w:r>
          </w:p>
        </w:tc>
      </w:tr>
      <w:tr w14:paraId="1DD7EFE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88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042740">
            <w:pPr>
              <w:keepNext w:val="0"/>
              <w:keepLines w:val="0"/>
              <w:widowControl/>
              <w:suppressLineNumbers w:val="0"/>
              <w:spacing w:before="0" w:beforeAutospacing="0" w:after="0" w:afterAutospacing="0"/>
              <w:ind w:left="0" w:right="0"/>
              <w:jc w:val="both"/>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4.2具备实时三平面造影和实时三维造影</w:t>
            </w:r>
          </w:p>
        </w:tc>
      </w:tr>
      <w:tr w14:paraId="68CBB23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88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90999E">
            <w:pPr>
              <w:keepNext w:val="0"/>
              <w:keepLines w:val="0"/>
              <w:widowControl/>
              <w:suppressLineNumbers w:val="0"/>
              <w:spacing w:before="0" w:beforeAutospacing="0" w:after="0" w:afterAutospacing="0"/>
              <w:ind w:left="0" w:right="0"/>
              <w:jc w:val="both"/>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4.3具备心血管成像：</w:t>
            </w:r>
          </w:p>
        </w:tc>
      </w:tr>
      <w:tr w14:paraId="50A1F61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88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711FB2">
            <w:pPr>
              <w:keepNext w:val="0"/>
              <w:keepLines w:val="0"/>
              <w:widowControl/>
              <w:suppressLineNumbers w:val="0"/>
              <w:spacing w:before="0" w:beforeAutospacing="0" w:after="0" w:afterAutospacing="0"/>
              <w:ind w:left="0" w:right="0"/>
              <w:jc w:val="both"/>
              <w:textAlignment w:val="center"/>
              <w:rPr>
                <w:rFonts w:hint="eastAsia" w:ascii="仿宋" w:hAnsi="仿宋" w:eastAsia="仿宋" w:cs="仿宋"/>
                <w:i w:val="0"/>
                <w:iCs w:val="0"/>
                <w:color w:val="auto"/>
                <w:sz w:val="24"/>
                <w:szCs w:val="24"/>
                <w:highlight w:val="none"/>
                <w:u w:val="none"/>
              </w:rPr>
            </w:pPr>
            <w:r>
              <w:rPr>
                <w:rStyle w:val="188"/>
                <w:rFonts w:hint="eastAsia" w:ascii="仿宋" w:hAnsi="仿宋" w:eastAsia="仿宋" w:cs="仿宋"/>
                <w:color w:val="auto"/>
                <w:highlight w:val="none"/>
                <w:lang w:val="en-US" w:eastAsia="zh-CN" w:bidi="ar"/>
              </w:rPr>
              <w:t>4.3.1</w:t>
            </w:r>
            <w:r>
              <w:rPr>
                <w:rStyle w:val="191"/>
                <w:rFonts w:hint="eastAsia" w:ascii="仿宋" w:hAnsi="仿宋" w:eastAsia="仿宋" w:cs="仿宋"/>
                <w:color w:val="auto"/>
                <w:highlight w:val="none"/>
                <w:lang w:val="en-US" w:eastAsia="zh-CN" w:bidi="ar"/>
              </w:rPr>
              <w:t>具备颈动脉血流矢量分析技术或超分辨率微血管成像或灰阶血流成像技术或血流斑点追踪成像：支持用具有方向的箭头/线条/颜色来描述血管内的血流动力学特征；具备血流成像定量技术或血管壁剪切应力的测量</w:t>
            </w:r>
            <w:r>
              <w:rPr>
                <w:rStyle w:val="188"/>
                <w:rFonts w:hint="eastAsia" w:ascii="仿宋" w:hAnsi="仿宋" w:eastAsia="仿宋" w:cs="仿宋"/>
                <w:color w:val="auto"/>
                <w:highlight w:val="none"/>
                <w:lang w:val="en-US" w:eastAsia="zh-CN" w:bidi="ar"/>
              </w:rPr>
              <w:t>。</w:t>
            </w:r>
          </w:p>
        </w:tc>
      </w:tr>
      <w:tr w14:paraId="65259C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88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CBC261">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4.3.2具备心肌二维斑点追踪技术,可自动识别切面并选择三个质量最佳的心动周期进行心肌斑点信号的追踪,并进行定量分析</w:t>
            </w:r>
          </w:p>
        </w:tc>
      </w:tr>
      <w:tr w14:paraId="7C67A6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88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8210E8">
            <w:pPr>
              <w:keepNext w:val="0"/>
              <w:keepLines w:val="0"/>
              <w:widowControl/>
              <w:suppressLineNumbers w:val="0"/>
              <w:spacing w:before="0" w:beforeAutospacing="0" w:after="0" w:afterAutospacing="0"/>
              <w:ind w:left="0" w:right="0"/>
              <w:jc w:val="both"/>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4.3.3 具备心肌灌注造影成像</w:t>
            </w:r>
          </w:p>
        </w:tc>
      </w:tr>
      <w:tr w14:paraId="24A835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883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0ECE063">
            <w:pPr>
              <w:keepNext w:val="0"/>
              <w:keepLines w:val="0"/>
              <w:widowControl/>
              <w:suppressLineNumbers w:val="0"/>
              <w:spacing w:before="0" w:beforeAutospacing="0" w:after="0" w:afterAutospacing="0"/>
              <w:ind w:left="0" w:right="0"/>
              <w:jc w:val="both"/>
              <w:textAlignment w:val="center"/>
              <w:rPr>
                <w:rFonts w:hint="eastAsia" w:ascii="仿宋" w:hAnsi="仿宋" w:eastAsia="仿宋" w:cs="仿宋"/>
                <w:i w:val="0"/>
                <w:iCs w:val="0"/>
                <w:color w:val="auto"/>
                <w:sz w:val="24"/>
                <w:szCs w:val="24"/>
                <w:highlight w:val="none"/>
                <w:u w:val="none"/>
              </w:rPr>
            </w:pPr>
            <w:r>
              <w:rPr>
                <w:rStyle w:val="188"/>
                <w:rFonts w:hint="eastAsia" w:ascii="仿宋" w:hAnsi="仿宋" w:eastAsia="仿宋" w:cs="仿宋"/>
                <w:color w:val="auto"/>
                <w:highlight w:val="none"/>
                <w:lang w:val="en-US" w:eastAsia="zh-CN" w:bidi="ar"/>
              </w:rPr>
              <w:t>4.3.4 具备</w:t>
            </w:r>
            <w:r>
              <w:rPr>
                <w:rStyle w:val="191"/>
                <w:rFonts w:hint="eastAsia" w:ascii="仿宋" w:hAnsi="仿宋" w:eastAsia="仿宋" w:cs="仿宋"/>
                <w:color w:val="auto"/>
                <w:highlight w:val="none"/>
                <w:lang w:val="en-US" w:eastAsia="zh-CN" w:bidi="ar"/>
              </w:rPr>
              <w:t>基于人工智能，自动识别心脏标准切面并存图或自动识别标准切面并选择图像质量最佳的心动周期进行心内膜运动轨迹的追踪</w:t>
            </w:r>
          </w:p>
        </w:tc>
      </w:tr>
      <w:tr w14:paraId="22E407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88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62D3EF">
            <w:pPr>
              <w:keepNext w:val="0"/>
              <w:keepLines w:val="0"/>
              <w:widowControl/>
              <w:suppressLineNumbers w:val="0"/>
              <w:spacing w:before="0" w:beforeAutospacing="0" w:after="0" w:afterAutospacing="0"/>
              <w:ind w:left="0" w:right="0"/>
              <w:jc w:val="both"/>
              <w:textAlignment w:val="center"/>
              <w:rPr>
                <w:rFonts w:hint="eastAsia" w:ascii="仿宋" w:hAnsi="仿宋" w:eastAsia="仿宋" w:cs="仿宋"/>
                <w:b/>
                <w:bCs/>
                <w:i w:val="0"/>
                <w:iCs w:val="0"/>
                <w:color w:val="auto"/>
                <w:sz w:val="24"/>
                <w:szCs w:val="24"/>
                <w:highlight w:val="none"/>
                <w:u w:val="none"/>
              </w:rPr>
            </w:pPr>
            <w:r>
              <w:rPr>
                <w:rStyle w:val="195"/>
                <w:rFonts w:hint="eastAsia" w:ascii="仿宋" w:hAnsi="仿宋" w:eastAsia="仿宋" w:cs="仿宋"/>
                <w:color w:val="auto"/>
                <w:highlight w:val="none"/>
                <w:lang w:val="en-US" w:eastAsia="zh-CN" w:bidi="ar"/>
              </w:rPr>
              <w:t>★</w:t>
            </w:r>
            <w:r>
              <w:rPr>
                <w:rStyle w:val="188"/>
                <w:rFonts w:hint="eastAsia" w:ascii="仿宋" w:hAnsi="仿宋" w:eastAsia="仿宋" w:cs="仿宋"/>
                <w:color w:val="auto"/>
                <w:highlight w:val="none"/>
                <w:lang w:val="en-US" w:eastAsia="zh-CN" w:bidi="ar"/>
              </w:rPr>
              <w:t>4.3.</w:t>
            </w:r>
            <w:r>
              <w:rPr>
                <w:rStyle w:val="191"/>
                <w:rFonts w:hint="eastAsia" w:ascii="仿宋" w:hAnsi="仿宋" w:eastAsia="仿宋" w:cs="仿宋"/>
                <w:color w:val="auto"/>
                <w:highlight w:val="none"/>
                <w:lang w:val="en-US" w:eastAsia="zh-CN" w:bidi="ar"/>
              </w:rPr>
              <w:t xml:space="preserve">5 具备主机内置适用于国人心脏测量的参考值范围或四维模式下的左室定量分析或三平面心肌斑点追踪技术   </w:t>
            </w:r>
          </w:p>
        </w:tc>
      </w:tr>
      <w:tr w14:paraId="2AF7C8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88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7F9E1E">
            <w:pPr>
              <w:keepNext w:val="0"/>
              <w:keepLines w:val="0"/>
              <w:widowControl/>
              <w:suppressLineNumbers w:val="0"/>
              <w:spacing w:before="0" w:beforeAutospacing="0" w:after="0" w:afterAutospacing="0"/>
              <w:ind w:left="0" w:right="0"/>
              <w:jc w:val="both"/>
              <w:textAlignment w:val="center"/>
              <w:rPr>
                <w:rFonts w:hint="eastAsia" w:ascii="仿宋" w:hAnsi="仿宋" w:eastAsia="仿宋" w:cs="仿宋"/>
                <w:i w:val="0"/>
                <w:iCs w:val="0"/>
                <w:color w:val="auto"/>
                <w:sz w:val="24"/>
                <w:szCs w:val="24"/>
                <w:highlight w:val="none"/>
                <w:u w:val="none"/>
              </w:rPr>
            </w:pPr>
            <w:r>
              <w:rPr>
                <w:rStyle w:val="191"/>
                <w:rFonts w:hint="eastAsia" w:ascii="仿宋" w:hAnsi="仿宋" w:eastAsia="仿宋" w:cs="仿宋"/>
                <w:color w:val="auto"/>
                <w:highlight w:val="none"/>
                <w:lang w:val="en-US" w:eastAsia="zh-CN" w:bidi="ar"/>
              </w:rPr>
              <w:t xml:space="preserve">4.4 </w:t>
            </w:r>
            <w:r>
              <w:rPr>
                <w:rStyle w:val="188"/>
                <w:rFonts w:hint="eastAsia" w:ascii="仿宋" w:hAnsi="仿宋" w:eastAsia="仿宋" w:cs="仿宋"/>
                <w:color w:val="auto"/>
                <w:highlight w:val="none"/>
                <w:lang w:val="en-US" w:eastAsia="zh-CN" w:bidi="ar"/>
              </w:rPr>
              <w:t>心脏四维成像</w:t>
            </w:r>
          </w:p>
        </w:tc>
      </w:tr>
      <w:tr w14:paraId="3466BF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88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848098">
            <w:pPr>
              <w:keepNext w:val="0"/>
              <w:keepLines w:val="0"/>
              <w:widowControl/>
              <w:suppressLineNumbers w:val="0"/>
              <w:spacing w:before="0" w:beforeAutospacing="0" w:after="0" w:afterAutospacing="0"/>
              <w:ind w:left="0" w:right="0"/>
              <w:jc w:val="both"/>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★4.4.1 具备心脏四维成像支持经胸容积成像探头（4D TTE）及经食道容积成像探头（4D TEE）</w:t>
            </w:r>
          </w:p>
        </w:tc>
      </w:tr>
      <w:tr w14:paraId="1A8DB28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88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9C1099">
            <w:pPr>
              <w:keepNext w:val="0"/>
              <w:keepLines w:val="0"/>
              <w:widowControl/>
              <w:suppressLineNumbers w:val="0"/>
              <w:spacing w:before="0" w:beforeAutospacing="0" w:after="0" w:afterAutospacing="0"/>
              <w:ind w:left="0" w:right="0"/>
              <w:jc w:val="both"/>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4.4.2  单心动周期全容积成像模式:一个心动周期的≥90x90度实时全容积成像</w:t>
            </w:r>
          </w:p>
        </w:tc>
      </w:tr>
      <w:tr w14:paraId="13C31CC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88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77E14C">
            <w:pPr>
              <w:keepNext w:val="0"/>
              <w:keepLines w:val="0"/>
              <w:widowControl/>
              <w:suppressLineNumbers w:val="0"/>
              <w:spacing w:before="0" w:beforeAutospacing="0" w:after="0" w:afterAutospacing="0"/>
              <w:ind w:left="0" w:right="0"/>
              <w:jc w:val="both"/>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4.4.3 具备系统支持二维三维成像模式任意切换或智能切面显示功能</w:t>
            </w:r>
          </w:p>
        </w:tc>
      </w:tr>
      <w:tr w14:paraId="5EE7382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88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E6EC9B">
            <w:pPr>
              <w:keepNext w:val="0"/>
              <w:keepLines w:val="0"/>
              <w:widowControl/>
              <w:suppressLineNumbers w:val="0"/>
              <w:spacing w:before="0" w:beforeAutospacing="0" w:after="0" w:afterAutospacing="0"/>
              <w:ind w:left="0" w:right="0"/>
              <w:jc w:val="both"/>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4.4.4 支持三维成像直接测量功能</w:t>
            </w:r>
          </w:p>
        </w:tc>
      </w:tr>
      <w:tr w14:paraId="0DDDCAD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88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537C8F">
            <w:pPr>
              <w:keepNext w:val="0"/>
              <w:keepLines w:val="0"/>
              <w:widowControl/>
              <w:suppressLineNumbers w:val="0"/>
              <w:spacing w:before="0" w:beforeAutospacing="0" w:after="0" w:afterAutospacing="0"/>
              <w:ind w:left="0" w:right="0"/>
              <w:jc w:val="both"/>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4.4.5具备实时双容积视野成像或实时双平面成像或多心动周期全容积成像</w:t>
            </w:r>
          </w:p>
        </w:tc>
      </w:tr>
      <w:tr w14:paraId="49D76C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88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9A53A8">
            <w:pPr>
              <w:keepNext w:val="0"/>
              <w:keepLines w:val="0"/>
              <w:widowControl/>
              <w:suppressLineNumbers w:val="0"/>
              <w:spacing w:before="0" w:beforeAutospacing="0" w:after="0" w:afterAutospacing="0"/>
              <w:ind w:left="0" w:right="0"/>
              <w:jc w:val="both"/>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4.4.6 具备任意切片技术或自动显示四维各标准切面图像</w:t>
            </w:r>
          </w:p>
        </w:tc>
      </w:tr>
      <w:tr w14:paraId="4A5FA6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88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C8EF84">
            <w:pPr>
              <w:keepNext w:val="0"/>
              <w:keepLines w:val="0"/>
              <w:widowControl/>
              <w:suppressLineNumbers w:val="0"/>
              <w:spacing w:before="0" w:beforeAutospacing="0" w:after="0" w:afterAutospacing="0"/>
              <w:ind w:left="0" w:right="0"/>
              <w:jc w:val="both"/>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4.4.7 具备实时三维局部容积成像或具备断层超声成像</w:t>
            </w:r>
          </w:p>
        </w:tc>
      </w:tr>
      <w:tr w14:paraId="3B0A91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88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02C622">
            <w:pPr>
              <w:keepNext w:val="0"/>
              <w:keepLines w:val="0"/>
              <w:widowControl/>
              <w:suppressLineNumbers w:val="0"/>
              <w:spacing w:before="0" w:beforeAutospacing="0" w:after="0" w:afterAutospacing="0"/>
              <w:ind w:left="0" w:right="0"/>
              <w:jc w:val="both"/>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4.4.8 立体光影成像或立体成像</w:t>
            </w:r>
          </w:p>
        </w:tc>
      </w:tr>
      <w:tr w14:paraId="678D7F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88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77F831">
            <w:pPr>
              <w:keepNext w:val="0"/>
              <w:keepLines w:val="0"/>
              <w:widowControl/>
              <w:suppressLineNumbers w:val="0"/>
              <w:spacing w:before="0" w:beforeAutospacing="0" w:after="0" w:afterAutospacing="0"/>
              <w:ind w:left="0" w:right="0"/>
              <w:jc w:val="both"/>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4.4.9 支持三维辅助面/辅助点显示或智能四维视野或QuickVue技术</w:t>
            </w:r>
          </w:p>
        </w:tc>
      </w:tr>
      <w:tr w14:paraId="2EBEAD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88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15FF9E">
            <w:pPr>
              <w:keepNext w:val="0"/>
              <w:keepLines w:val="0"/>
              <w:widowControl/>
              <w:suppressLineNumbers w:val="0"/>
              <w:spacing w:before="0" w:beforeAutospacing="0" w:after="0" w:afterAutospacing="0"/>
              <w:ind w:left="0" w:right="0"/>
              <w:jc w:val="both"/>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4.4.10 心脏四维成像预设值</w:t>
            </w:r>
          </w:p>
        </w:tc>
      </w:tr>
      <w:tr w14:paraId="425ED21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88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166FBB">
            <w:pPr>
              <w:keepNext w:val="0"/>
              <w:keepLines w:val="0"/>
              <w:widowControl/>
              <w:suppressLineNumbers w:val="0"/>
              <w:spacing w:before="0" w:beforeAutospacing="0" w:after="0" w:afterAutospacing="0"/>
              <w:ind w:left="0" w:right="0"/>
              <w:jc w:val="both"/>
              <w:textAlignment w:val="center"/>
              <w:rPr>
                <w:rFonts w:hint="eastAsia" w:ascii="仿宋" w:hAnsi="仿宋" w:eastAsia="仿宋" w:cs="仿宋"/>
                <w:b/>
                <w:bCs/>
                <w:i w:val="0"/>
                <w:iCs w:val="0"/>
                <w:color w:val="auto"/>
                <w:sz w:val="24"/>
                <w:szCs w:val="24"/>
                <w:highlight w:val="none"/>
                <w:u w:val="none"/>
              </w:rPr>
            </w:pPr>
            <w:r>
              <w:rPr>
                <w:rStyle w:val="193"/>
                <w:rFonts w:hint="eastAsia" w:ascii="仿宋" w:hAnsi="仿宋" w:eastAsia="仿宋" w:cs="仿宋"/>
                <w:color w:val="auto"/>
                <w:highlight w:val="none"/>
                <w:lang w:val="en-US" w:eastAsia="zh-CN" w:bidi="ar"/>
              </w:rPr>
              <w:t>5.</w:t>
            </w:r>
            <w:r>
              <w:rPr>
                <w:rStyle w:val="194"/>
                <w:rFonts w:hint="eastAsia" w:ascii="仿宋" w:hAnsi="仿宋" w:eastAsia="仿宋" w:cs="仿宋"/>
                <w:color w:val="auto"/>
                <w:highlight w:val="none"/>
                <w:lang w:val="en-US" w:eastAsia="zh-CN" w:bidi="ar"/>
              </w:rPr>
              <w:t xml:space="preserve"> </w:t>
            </w:r>
            <w:r>
              <w:rPr>
                <w:rStyle w:val="193"/>
                <w:rFonts w:hint="eastAsia" w:ascii="仿宋" w:hAnsi="仿宋" w:eastAsia="仿宋" w:cs="仿宋"/>
                <w:color w:val="auto"/>
                <w:highlight w:val="none"/>
                <w:lang w:val="en-US" w:eastAsia="zh-CN" w:bidi="ar"/>
              </w:rPr>
              <w:t>测量分析和报告</w:t>
            </w:r>
          </w:p>
        </w:tc>
      </w:tr>
      <w:tr w14:paraId="3911DD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88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640CAC">
            <w:pPr>
              <w:keepNext w:val="0"/>
              <w:keepLines w:val="0"/>
              <w:widowControl/>
              <w:suppressLineNumbers w:val="0"/>
              <w:spacing w:before="0" w:beforeAutospacing="0" w:after="0" w:afterAutospacing="0"/>
              <w:ind w:left="0" w:right="0"/>
              <w:jc w:val="both"/>
              <w:textAlignment w:val="center"/>
              <w:rPr>
                <w:rFonts w:hint="eastAsia" w:ascii="仿宋" w:hAnsi="仿宋" w:eastAsia="仿宋" w:cs="仿宋"/>
                <w:i w:val="0"/>
                <w:iCs w:val="0"/>
                <w:color w:val="auto"/>
                <w:sz w:val="24"/>
                <w:szCs w:val="24"/>
                <w:highlight w:val="none"/>
                <w:u w:val="none"/>
              </w:rPr>
            </w:pPr>
            <w:r>
              <w:rPr>
                <w:rStyle w:val="188"/>
                <w:rFonts w:hint="eastAsia" w:ascii="仿宋" w:hAnsi="仿宋" w:eastAsia="仿宋" w:cs="仿宋"/>
                <w:color w:val="auto"/>
                <w:highlight w:val="none"/>
                <w:lang w:val="en-US" w:eastAsia="zh-CN" w:bidi="ar"/>
              </w:rPr>
              <w:t xml:space="preserve">5.1 </w:t>
            </w:r>
            <w:r>
              <w:rPr>
                <w:rStyle w:val="189"/>
                <w:rFonts w:hint="eastAsia" w:ascii="仿宋" w:hAnsi="仿宋" w:eastAsia="仿宋" w:cs="仿宋"/>
                <w:color w:val="auto"/>
                <w:highlight w:val="none"/>
                <w:lang w:val="en-US" w:eastAsia="zh-CN" w:bidi="ar"/>
              </w:rPr>
              <w:t>全科测</w:t>
            </w:r>
            <w:r>
              <w:rPr>
                <w:rStyle w:val="188"/>
                <w:rFonts w:hint="eastAsia" w:ascii="仿宋" w:hAnsi="仿宋" w:eastAsia="仿宋" w:cs="仿宋"/>
                <w:color w:val="auto"/>
                <w:highlight w:val="none"/>
                <w:lang w:val="en-US" w:eastAsia="zh-CN" w:bidi="ar"/>
              </w:rPr>
              <w:t>量包</w:t>
            </w:r>
          </w:p>
        </w:tc>
      </w:tr>
      <w:tr w14:paraId="30883E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88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8FAB6D">
            <w:pPr>
              <w:keepNext w:val="0"/>
              <w:keepLines w:val="0"/>
              <w:widowControl/>
              <w:suppressLineNumbers w:val="0"/>
              <w:spacing w:before="0" w:beforeAutospacing="0" w:after="0" w:afterAutospacing="0"/>
              <w:ind w:left="0" w:right="0"/>
              <w:jc w:val="both"/>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5.2支持射血分数自动测量技术</w:t>
            </w:r>
          </w:p>
        </w:tc>
      </w:tr>
      <w:tr w14:paraId="6AFF95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88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CC13C4">
            <w:pPr>
              <w:keepNext w:val="0"/>
              <w:keepLines w:val="0"/>
              <w:widowControl/>
              <w:suppressLineNumbers w:val="0"/>
              <w:spacing w:before="0" w:beforeAutospacing="0" w:after="0" w:afterAutospacing="0"/>
              <w:ind w:left="0" w:right="0"/>
              <w:jc w:val="both"/>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5.3具备左房自动评估技术或二维自动左心房定量分析</w:t>
            </w:r>
          </w:p>
        </w:tc>
      </w:tr>
      <w:tr w14:paraId="7B6EA7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88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E25FF3">
            <w:pPr>
              <w:keepNext w:val="0"/>
              <w:keepLines w:val="0"/>
              <w:widowControl/>
              <w:suppressLineNumbers w:val="0"/>
              <w:spacing w:before="0" w:beforeAutospacing="0" w:after="0" w:afterAutospacing="0"/>
              <w:ind w:left="0" w:right="0"/>
              <w:jc w:val="both"/>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5.4具备舒张功能自动测量技术或心脏频谱自动测量功能</w:t>
            </w:r>
          </w:p>
        </w:tc>
      </w:tr>
      <w:tr w14:paraId="2939B9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88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B264C4">
            <w:pPr>
              <w:keepNext w:val="0"/>
              <w:keepLines w:val="0"/>
              <w:widowControl/>
              <w:suppressLineNumbers w:val="0"/>
              <w:spacing w:before="0" w:beforeAutospacing="0" w:after="0" w:afterAutospacing="0"/>
              <w:ind w:left="0" w:right="0"/>
              <w:jc w:val="both"/>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5.5具备血管内中膜自动测量技术</w:t>
            </w:r>
          </w:p>
        </w:tc>
      </w:tr>
      <w:tr w14:paraId="6B8FDB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88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AB7FDD">
            <w:pPr>
              <w:keepNext w:val="0"/>
              <w:keepLines w:val="0"/>
              <w:widowControl/>
              <w:suppressLineNumbers w:val="0"/>
              <w:spacing w:before="0" w:beforeAutospacing="0" w:after="0" w:afterAutospacing="0"/>
              <w:ind w:left="0" w:right="0"/>
              <w:jc w:val="both"/>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5.6具备心脏实时三维（四维）自动定量分析,包括以下功能:</w:t>
            </w:r>
          </w:p>
        </w:tc>
      </w:tr>
      <w:tr w14:paraId="415EFC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88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C7AD64">
            <w:pPr>
              <w:keepNext w:val="0"/>
              <w:keepLines w:val="0"/>
              <w:widowControl/>
              <w:suppressLineNumbers w:val="0"/>
              <w:spacing w:before="0" w:beforeAutospacing="0" w:after="0" w:afterAutospacing="0"/>
              <w:ind w:left="0" w:right="0"/>
              <w:jc w:val="both"/>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●5.6.1 三维自动二尖瓣定量</w:t>
            </w:r>
          </w:p>
        </w:tc>
      </w:tr>
      <w:tr w14:paraId="755D35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88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3248DB">
            <w:pPr>
              <w:keepNext w:val="0"/>
              <w:keepLines w:val="0"/>
              <w:widowControl/>
              <w:suppressLineNumbers w:val="0"/>
              <w:spacing w:before="0" w:beforeAutospacing="0" w:after="0" w:afterAutospacing="0"/>
              <w:ind w:left="0" w:right="0"/>
              <w:jc w:val="both"/>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●5.6.2三维自动左心耳定量或实时自动三尖瓣定量</w:t>
            </w:r>
          </w:p>
        </w:tc>
      </w:tr>
      <w:tr w14:paraId="66A495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88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8BC77D">
            <w:pPr>
              <w:keepNext w:val="0"/>
              <w:keepLines w:val="0"/>
              <w:widowControl/>
              <w:suppressLineNumbers w:val="0"/>
              <w:spacing w:before="0" w:beforeAutospacing="0" w:after="0" w:afterAutospacing="0"/>
              <w:ind w:left="0" w:right="0"/>
              <w:jc w:val="both"/>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●5.6.3 实时动态三维自动左心功能定量</w:t>
            </w:r>
          </w:p>
        </w:tc>
      </w:tr>
      <w:tr w14:paraId="695AF72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88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745DE0">
            <w:pPr>
              <w:keepNext w:val="0"/>
              <w:keepLines w:val="0"/>
              <w:widowControl/>
              <w:suppressLineNumbers w:val="0"/>
              <w:spacing w:before="0" w:beforeAutospacing="0" w:after="0" w:afterAutospacing="0"/>
              <w:ind w:left="0" w:right="0"/>
              <w:jc w:val="both"/>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●5.6.4 右心实时自动三维定量</w:t>
            </w:r>
          </w:p>
        </w:tc>
      </w:tr>
      <w:tr w14:paraId="5D2C6FC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88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7D4DA9">
            <w:pPr>
              <w:keepNext w:val="0"/>
              <w:keepLines w:val="0"/>
              <w:widowControl/>
              <w:suppressLineNumbers w:val="0"/>
              <w:spacing w:before="0" w:beforeAutospacing="0" w:after="0" w:afterAutospacing="0"/>
              <w:ind w:left="0" w:right="0"/>
              <w:jc w:val="both"/>
              <w:textAlignment w:val="center"/>
              <w:rPr>
                <w:rFonts w:hint="eastAsia" w:ascii="仿宋" w:hAnsi="仿宋" w:eastAsia="仿宋" w:cs="仿宋"/>
                <w:b/>
                <w:bCs/>
                <w:i w:val="0"/>
                <w:iCs w:val="0"/>
                <w:color w:val="auto"/>
                <w:sz w:val="24"/>
                <w:szCs w:val="24"/>
                <w:highlight w:val="none"/>
                <w:u w:val="none"/>
              </w:rPr>
            </w:pPr>
            <w:r>
              <w:rPr>
                <w:rStyle w:val="193"/>
                <w:rFonts w:hint="eastAsia" w:ascii="仿宋" w:hAnsi="仿宋" w:eastAsia="仿宋" w:cs="仿宋"/>
                <w:color w:val="auto"/>
                <w:highlight w:val="none"/>
                <w:lang w:val="en-US" w:eastAsia="zh-CN" w:bidi="ar"/>
              </w:rPr>
              <w:t>6.</w:t>
            </w:r>
            <w:r>
              <w:rPr>
                <w:rStyle w:val="194"/>
                <w:rFonts w:hint="eastAsia" w:ascii="仿宋" w:hAnsi="仿宋" w:eastAsia="仿宋" w:cs="仿宋"/>
                <w:color w:val="auto"/>
                <w:highlight w:val="none"/>
                <w:lang w:val="en-US" w:eastAsia="zh-CN" w:bidi="ar"/>
              </w:rPr>
              <w:t xml:space="preserve"> </w:t>
            </w:r>
            <w:r>
              <w:rPr>
                <w:rStyle w:val="193"/>
                <w:rFonts w:hint="eastAsia" w:ascii="仿宋" w:hAnsi="仿宋" w:eastAsia="仿宋" w:cs="仿宋"/>
                <w:color w:val="auto"/>
                <w:highlight w:val="none"/>
                <w:lang w:val="en-US" w:eastAsia="zh-CN" w:bidi="ar"/>
              </w:rPr>
              <w:t>电影回放、原始数据处理和检查存储管理系统</w:t>
            </w:r>
          </w:p>
        </w:tc>
      </w:tr>
      <w:tr w14:paraId="79127A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88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F585A2">
            <w:pPr>
              <w:keepNext w:val="0"/>
              <w:keepLines w:val="0"/>
              <w:widowControl/>
              <w:suppressLineNumbers w:val="0"/>
              <w:spacing w:before="0" w:beforeAutospacing="0" w:after="0" w:afterAutospacing="0"/>
              <w:ind w:left="0" w:right="0"/>
              <w:jc w:val="both"/>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6.1.内置固态硬盘≥1TB或双硬盘设计(128G固态+1TB机械硬盘)</w:t>
            </w:r>
          </w:p>
        </w:tc>
      </w:tr>
      <w:tr w14:paraId="73AA84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88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84F4D2">
            <w:pPr>
              <w:keepNext w:val="0"/>
              <w:keepLines w:val="0"/>
              <w:widowControl/>
              <w:suppressLineNumbers w:val="0"/>
              <w:spacing w:before="0" w:beforeAutospacing="0" w:after="0" w:afterAutospacing="0"/>
              <w:ind w:left="0" w:right="0"/>
              <w:jc w:val="both"/>
              <w:textAlignment w:val="center"/>
              <w:rPr>
                <w:rFonts w:hint="eastAsia" w:ascii="仿宋" w:hAnsi="仿宋" w:eastAsia="仿宋" w:cs="仿宋"/>
                <w:b/>
                <w:bCs/>
                <w:i w:val="0"/>
                <w:iCs w:val="0"/>
                <w:color w:val="auto"/>
                <w:sz w:val="24"/>
                <w:szCs w:val="24"/>
                <w:highlight w:val="none"/>
                <w:u w:val="none"/>
              </w:rPr>
            </w:pPr>
            <w:r>
              <w:rPr>
                <w:rStyle w:val="193"/>
                <w:rFonts w:hint="eastAsia" w:ascii="仿宋" w:hAnsi="仿宋" w:eastAsia="仿宋" w:cs="仿宋"/>
                <w:color w:val="auto"/>
                <w:highlight w:val="none"/>
                <w:lang w:val="en-US" w:eastAsia="zh-CN" w:bidi="ar"/>
              </w:rPr>
              <w:t>7.</w:t>
            </w:r>
            <w:r>
              <w:rPr>
                <w:rStyle w:val="194"/>
                <w:rFonts w:hint="eastAsia" w:ascii="仿宋" w:hAnsi="仿宋" w:eastAsia="仿宋" w:cs="仿宋"/>
                <w:color w:val="auto"/>
                <w:highlight w:val="none"/>
                <w:lang w:val="en-US" w:eastAsia="zh-CN" w:bidi="ar"/>
              </w:rPr>
              <w:t xml:space="preserve"> </w:t>
            </w:r>
            <w:r>
              <w:rPr>
                <w:rStyle w:val="193"/>
                <w:rFonts w:hint="eastAsia" w:ascii="仿宋" w:hAnsi="仿宋" w:eastAsia="仿宋" w:cs="仿宋"/>
                <w:color w:val="auto"/>
                <w:highlight w:val="none"/>
                <w:lang w:val="en-US" w:eastAsia="zh-CN" w:bidi="ar"/>
              </w:rPr>
              <w:t>系统技术参数及要求</w:t>
            </w:r>
          </w:p>
        </w:tc>
      </w:tr>
      <w:tr w14:paraId="549979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88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4B4974">
            <w:pPr>
              <w:keepNext w:val="0"/>
              <w:keepLines w:val="0"/>
              <w:widowControl/>
              <w:suppressLineNumbers w:val="0"/>
              <w:spacing w:before="0" w:beforeAutospacing="0" w:after="0" w:afterAutospacing="0"/>
              <w:ind w:left="0" w:right="0"/>
              <w:jc w:val="both"/>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7.1具备二维灰阶模式：最大显示深度≥40 cm（提供临床实际图片或技术白皮书证明）</w:t>
            </w:r>
          </w:p>
        </w:tc>
      </w:tr>
      <w:tr w14:paraId="58C73E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88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AC73A1">
            <w:pPr>
              <w:keepNext w:val="0"/>
              <w:keepLines w:val="0"/>
              <w:widowControl/>
              <w:suppressLineNumbers w:val="0"/>
              <w:spacing w:before="0" w:beforeAutospacing="0" w:after="0" w:afterAutospacing="0"/>
              <w:ind w:left="0" w:right="0"/>
              <w:jc w:val="both"/>
              <w:textAlignment w:val="center"/>
              <w:rPr>
                <w:rFonts w:hint="eastAsia" w:ascii="仿宋" w:hAnsi="仿宋" w:eastAsia="仿宋" w:cs="仿宋"/>
                <w:i w:val="0"/>
                <w:iCs w:val="0"/>
                <w:color w:val="auto"/>
                <w:sz w:val="24"/>
                <w:szCs w:val="24"/>
                <w:highlight w:val="none"/>
                <w:u w:val="none"/>
              </w:rPr>
            </w:pPr>
            <w:r>
              <w:rPr>
                <w:rStyle w:val="188"/>
                <w:rFonts w:hint="eastAsia" w:ascii="仿宋" w:hAnsi="仿宋" w:eastAsia="仿宋" w:cs="仿宋"/>
                <w:color w:val="auto"/>
                <w:highlight w:val="none"/>
                <w:lang w:val="en-US" w:eastAsia="zh-CN" w:bidi="ar"/>
              </w:rPr>
              <w:t xml:space="preserve">7.2 </w:t>
            </w:r>
            <w:r>
              <w:rPr>
                <w:rStyle w:val="189"/>
                <w:rFonts w:hint="eastAsia" w:ascii="仿宋" w:hAnsi="仿宋" w:eastAsia="仿宋" w:cs="仿宋"/>
                <w:color w:val="auto"/>
                <w:highlight w:val="none"/>
                <w:lang w:val="en-US" w:eastAsia="zh-CN" w:bidi="ar"/>
              </w:rPr>
              <w:t>彩色多普勒成像：</w:t>
            </w:r>
            <w:r>
              <w:rPr>
                <w:rStyle w:val="188"/>
                <w:rFonts w:hint="eastAsia" w:ascii="仿宋" w:hAnsi="仿宋" w:eastAsia="仿宋" w:cs="仿宋"/>
                <w:color w:val="auto"/>
                <w:highlight w:val="none"/>
                <w:lang w:val="en-US" w:eastAsia="zh-CN" w:bidi="ar"/>
              </w:rPr>
              <w:t xml:space="preserve">相控阵扇扫探头、90°角，18cm深，彩色显示帧频≥6帧/s </w:t>
            </w:r>
          </w:p>
        </w:tc>
      </w:tr>
      <w:tr w14:paraId="40CC34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88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D25745">
            <w:pPr>
              <w:keepNext w:val="0"/>
              <w:keepLines w:val="0"/>
              <w:widowControl/>
              <w:suppressLineNumbers w:val="0"/>
              <w:spacing w:before="0" w:beforeAutospacing="0" w:after="0" w:afterAutospacing="0"/>
              <w:ind w:left="0" w:right="0"/>
              <w:jc w:val="both"/>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7.3 频谱多普勒模式：取样容积: 1-16mm</w:t>
            </w:r>
          </w:p>
        </w:tc>
      </w:tr>
      <w:tr w14:paraId="51026B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88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C7039E">
            <w:pPr>
              <w:keepNext w:val="0"/>
              <w:keepLines w:val="0"/>
              <w:widowControl/>
              <w:suppressLineNumbers w:val="0"/>
              <w:spacing w:before="0" w:beforeAutospacing="0" w:after="0" w:afterAutospacing="0"/>
              <w:ind w:left="0" w:right="0"/>
              <w:jc w:val="both"/>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7.4 显示位置调整：线阵扫描感兴趣的图像范围： -20°- +20°</w:t>
            </w:r>
          </w:p>
        </w:tc>
      </w:tr>
      <w:tr w14:paraId="2BCB94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88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63990C">
            <w:pPr>
              <w:keepNext w:val="0"/>
              <w:keepLines w:val="0"/>
              <w:widowControl/>
              <w:suppressLineNumbers w:val="0"/>
              <w:spacing w:before="0" w:beforeAutospacing="0" w:after="0" w:afterAutospacing="0"/>
              <w:ind w:left="0" w:right="0"/>
              <w:jc w:val="both"/>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8.探头配置</w:t>
            </w:r>
          </w:p>
        </w:tc>
      </w:tr>
      <w:tr w14:paraId="754E60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88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B5F14A">
            <w:pPr>
              <w:keepNext w:val="0"/>
              <w:keepLines w:val="0"/>
              <w:widowControl/>
              <w:suppressLineNumbers w:val="0"/>
              <w:spacing w:before="0" w:beforeAutospacing="0" w:after="0" w:afterAutospacing="0"/>
              <w:ind w:left="0" w:right="0"/>
              <w:jc w:val="both"/>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8.1凸阵探头，频宽1.2-4.9MHz（单晶体、纯净波或类似技术）</w:t>
            </w:r>
          </w:p>
        </w:tc>
      </w:tr>
      <w:tr w14:paraId="3C0B7A4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88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33C6F9">
            <w:pPr>
              <w:keepNext w:val="0"/>
              <w:keepLines w:val="0"/>
              <w:widowControl/>
              <w:suppressLineNumbers w:val="0"/>
              <w:spacing w:before="0" w:beforeAutospacing="0" w:after="0" w:afterAutospacing="0"/>
              <w:ind w:left="0" w:right="0"/>
              <w:jc w:val="both"/>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8.2线阵探头，频宽4-12MHz</w:t>
            </w:r>
          </w:p>
        </w:tc>
      </w:tr>
      <w:tr w14:paraId="4929DE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88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B4C72E">
            <w:pPr>
              <w:keepNext w:val="0"/>
              <w:keepLines w:val="0"/>
              <w:widowControl/>
              <w:suppressLineNumbers w:val="0"/>
              <w:spacing w:before="0" w:beforeAutospacing="0" w:after="0" w:afterAutospacing="0"/>
              <w:ind w:left="0" w:right="0"/>
              <w:jc w:val="both"/>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●8.3相控阵探头，频宽1.5-4.5MHz,≥120理阵元（单晶体、纯净波或类似技术），提供技术白皮书证明</w:t>
            </w:r>
          </w:p>
        </w:tc>
      </w:tr>
      <w:tr w14:paraId="027582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88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4047D1">
            <w:pPr>
              <w:keepNext w:val="0"/>
              <w:keepLines w:val="0"/>
              <w:widowControl/>
              <w:suppressLineNumbers w:val="0"/>
              <w:spacing w:before="0" w:beforeAutospacing="0" w:after="0" w:afterAutospacing="0"/>
              <w:ind w:left="0" w:right="0"/>
              <w:jc w:val="both"/>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8.4经胸容积相控阵探头，频宽1.5-4.5MHz或2-7MHz,≥2000物理阵元</w:t>
            </w:r>
          </w:p>
        </w:tc>
      </w:tr>
      <w:tr w14:paraId="177B1D2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88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F19413">
            <w:pPr>
              <w:keepNext w:val="0"/>
              <w:keepLines w:val="0"/>
              <w:widowControl/>
              <w:suppressLineNumbers w:val="0"/>
              <w:spacing w:before="0" w:beforeAutospacing="0" w:after="0" w:afterAutospacing="0"/>
              <w:ind w:left="0" w:right="0"/>
              <w:jc w:val="both"/>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9.外设和附件及其他要求:配置耦合剂加热器(内置或外置)</w:t>
            </w:r>
          </w:p>
        </w:tc>
      </w:tr>
      <w:tr w14:paraId="5027F2E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88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2626BD">
            <w:pPr>
              <w:keepNext w:val="0"/>
              <w:keepLines w:val="0"/>
              <w:widowControl/>
              <w:suppressLineNumbers w:val="0"/>
              <w:spacing w:before="0" w:beforeAutospacing="0" w:after="0" w:afterAutospacing="0"/>
              <w:ind w:left="0" w:right="0"/>
              <w:jc w:val="both"/>
              <w:textAlignment w:val="center"/>
              <w:rPr>
                <w:rFonts w:hint="eastAsia" w:ascii="仿宋" w:hAnsi="仿宋" w:eastAsia="仿宋" w:cs="仿宋"/>
                <w:b/>
                <w:bCs/>
                <w:i w:val="0"/>
                <w:iCs w:val="0"/>
                <w:color w:val="auto"/>
                <w:sz w:val="24"/>
                <w:szCs w:val="24"/>
                <w:highlight w:val="none"/>
                <w:u w:val="none"/>
              </w:rPr>
            </w:pPr>
            <w:r>
              <w:rPr>
                <w:rStyle w:val="193"/>
                <w:rFonts w:hint="eastAsia" w:ascii="仿宋" w:hAnsi="仿宋" w:eastAsia="仿宋" w:cs="仿宋"/>
                <w:color w:val="auto"/>
                <w:highlight w:val="none"/>
                <w:lang w:val="en-US" w:eastAsia="zh-CN" w:bidi="ar"/>
              </w:rPr>
              <w:t>10.所配探头分项报价</w:t>
            </w:r>
          </w:p>
        </w:tc>
      </w:tr>
    </w:tbl>
    <w:p w14:paraId="71B196FC">
      <w:pPr>
        <w:widowControl/>
        <w:snapToGrid w:val="0"/>
        <w:spacing w:line="360" w:lineRule="auto"/>
        <w:rPr>
          <w:rFonts w:hint="eastAsia" w:eastAsia="仿宋"/>
          <w:sz w:val="24"/>
          <w:highlight w:val="none"/>
        </w:rPr>
      </w:pPr>
    </w:p>
    <w:p w14:paraId="39AB10A8">
      <w:pPr>
        <w:pStyle w:val="25"/>
        <w:widowControl/>
        <w:snapToGrid w:val="0"/>
        <w:spacing w:line="360" w:lineRule="auto"/>
        <w:ind w:firstLine="482" w:firstLineChars="200"/>
        <w:outlineLvl w:val="2"/>
        <w:rPr>
          <w:rFonts w:hint="default" w:hAnsi="宋体" w:eastAsia="仿宋"/>
          <w:b/>
          <w:bCs/>
          <w:sz w:val="24"/>
          <w:szCs w:val="24"/>
          <w:highlight w:val="none"/>
          <w:lang w:val="en-US" w:eastAsia="zh-CN"/>
        </w:rPr>
      </w:pPr>
      <w:bookmarkStart w:id="778" w:name="_Toc512544433"/>
      <w:bookmarkStart w:id="779" w:name="_Toc526265690"/>
      <w:bookmarkStart w:id="780" w:name="_Toc525819966"/>
      <w:bookmarkStart w:id="781" w:name="_Toc493432669"/>
      <w:bookmarkStart w:id="782" w:name="_Toc515539871"/>
      <w:bookmarkStart w:id="783" w:name="_Toc493440974"/>
      <w:bookmarkStart w:id="784" w:name="_Toc512611688"/>
      <w:bookmarkStart w:id="785" w:name="_Toc517011813"/>
      <w:bookmarkStart w:id="786" w:name="_Toc493440806"/>
      <w:r>
        <w:rPr>
          <w:rFonts w:hint="eastAsia" w:hAnsi="宋体" w:eastAsia="仿宋"/>
          <w:b/>
          <w:bCs/>
          <w:sz w:val="24"/>
          <w:szCs w:val="24"/>
          <w:highlight w:val="none"/>
        </w:rPr>
        <w:t>4.3 须单独报价配件（或附件）一览表</w:t>
      </w:r>
    </w:p>
    <w:p w14:paraId="0ACB3959">
      <w:pPr>
        <w:adjustRightInd w:val="0"/>
        <w:snapToGrid w:val="0"/>
        <w:spacing w:before="120" w:after="120" w:line="360" w:lineRule="auto"/>
        <w:ind w:firstLine="482" w:firstLineChars="200"/>
        <w:rPr>
          <w:rFonts w:hint="default" w:ascii="Times New Roman" w:hAnsi="Times New Roman" w:eastAsia="仿宋" w:cs="Times New Roman"/>
          <w:b/>
          <w:bCs/>
          <w:color w:val="000000"/>
          <w:sz w:val="22"/>
          <w:szCs w:val="22"/>
          <w:highlight w:val="none"/>
          <w:lang w:val="en-US" w:eastAsia="zh-CN"/>
        </w:rPr>
      </w:pPr>
      <w:r>
        <w:rPr>
          <w:rFonts w:hint="eastAsia" w:hAnsi="宋体" w:eastAsia="仿宋"/>
          <w:b/>
          <w:bCs/>
          <w:sz w:val="24"/>
          <w:szCs w:val="24"/>
          <w:highlight w:val="none"/>
          <w:lang w:val="en-US" w:eastAsia="zh-CN"/>
        </w:rPr>
        <w:t>说明：</w:t>
      </w:r>
      <w:r>
        <w:rPr>
          <w:rFonts w:hint="eastAsia" w:hAnsi="宋体" w:eastAsia="仿宋"/>
          <w:b/>
          <w:bCs/>
          <w:sz w:val="24"/>
          <w:szCs w:val="24"/>
          <w:highlight w:val="none"/>
        </w:rPr>
        <w:t>以下配件为单台(套)设备</w:t>
      </w:r>
      <w:r>
        <w:rPr>
          <w:rFonts w:hint="eastAsia" w:hAnsi="宋体" w:eastAsia="仿宋"/>
          <w:b/>
          <w:bCs/>
          <w:sz w:val="24"/>
          <w:szCs w:val="24"/>
          <w:highlight w:val="none"/>
          <w:lang w:val="en-US" w:eastAsia="zh-CN"/>
        </w:rPr>
        <w:t>配置要求</w:t>
      </w:r>
    </w:p>
    <w:tbl>
      <w:tblPr>
        <w:tblStyle w:val="48"/>
        <w:tblW w:w="9538" w:type="dxa"/>
        <w:jc w:val="right"/>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92"/>
        <w:gridCol w:w="3123"/>
        <w:gridCol w:w="870"/>
        <w:gridCol w:w="2527"/>
        <w:gridCol w:w="2126"/>
      </w:tblGrid>
      <w:tr w14:paraId="71AC20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5" w:hRule="atLeast"/>
          <w:jc w:val="right"/>
        </w:trPr>
        <w:tc>
          <w:tcPr>
            <w:tcW w:w="892" w:type="dxa"/>
            <w:noWrap w:val="0"/>
            <w:vAlign w:val="center"/>
          </w:tcPr>
          <w:p w14:paraId="3F79C5C5">
            <w:pPr>
              <w:keepNext w:val="0"/>
              <w:keepLines w:val="0"/>
              <w:widowControl/>
              <w:suppressLineNumbers w:val="0"/>
              <w:adjustRightInd w:val="0"/>
              <w:snapToGrid w:val="0"/>
              <w:spacing w:before="0" w:beforeAutospacing="0" w:after="0" w:afterAutospacing="0"/>
              <w:ind w:left="0" w:right="0"/>
              <w:jc w:val="right"/>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序号</w:t>
            </w:r>
          </w:p>
        </w:tc>
        <w:tc>
          <w:tcPr>
            <w:tcW w:w="3123" w:type="dxa"/>
            <w:noWrap w:val="0"/>
            <w:vAlign w:val="center"/>
          </w:tcPr>
          <w:p w14:paraId="79103874">
            <w:pPr>
              <w:keepNext w:val="0"/>
              <w:keepLines w:val="0"/>
              <w:widowControl/>
              <w:suppressLineNumbers w:val="0"/>
              <w:adjustRightInd w:val="0"/>
              <w:snapToGrid w:val="0"/>
              <w:spacing w:before="0" w:beforeAutospacing="0" w:after="0" w:afterAutospacing="0"/>
              <w:ind w:left="0" w:right="0"/>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配件（或附件）名称</w:t>
            </w:r>
          </w:p>
        </w:tc>
        <w:tc>
          <w:tcPr>
            <w:tcW w:w="870" w:type="dxa"/>
            <w:noWrap w:val="0"/>
            <w:vAlign w:val="center"/>
          </w:tcPr>
          <w:p w14:paraId="78556E5F">
            <w:pPr>
              <w:keepNext w:val="0"/>
              <w:keepLines w:val="0"/>
              <w:widowControl/>
              <w:suppressLineNumbers w:val="0"/>
              <w:adjustRightInd w:val="0"/>
              <w:snapToGrid w:val="0"/>
              <w:spacing w:before="0" w:beforeAutospacing="0" w:after="0" w:afterAutospacing="0"/>
              <w:ind w:left="0" w:right="0"/>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单位</w:t>
            </w:r>
          </w:p>
        </w:tc>
        <w:tc>
          <w:tcPr>
            <w:tcW w:w="2527" w:type="dxa"/>
            <w:noWrap w:val="0"/>
            <w:vAlign w:val="center"/>
          </w:tcPr>
          <w:p w14:paraId="390748C5">
            <w:pPr>
              <w:keepNext w:val="0"/>
              <w:keepLines w:val="0"/>
              <w:widowControl/>
              <w:suppressLineNumbers w:val="0"/>
              <w:adjustRightInd w:val="0"/>
              <w:snapToGrid w:val="0"/>
              <w:spacing w:before="0" w:beforeAutospacing="0" w:after="0" w:afterAutospacing="0"/>
              <w:ind w:left="0" w:right="0"/>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是否需要计入本次投标总价</w:t>
            </w:r>
          </w:p>
        </w:tc>
        <w:tc>
          <w:tcPr>
            <w:tcW w:w="2126" w:type="dxa"/>
            <w:noWrap w:val="0"/>
            <w:vAlign w:val="center"/>
          </w:tcPr>
          <w:p w14:paraId="79E89FB7">
            <w:pPr>
              <w:keepNext w:val="0"/>
              <w:keepLines w:val="0"/>
              <w:widowControl/>
              <w:suppressLineNumbers w:val="0"/>
              <w:adjustRightInd w:val="0"/>
              <w:snapToGrid w:val="0"/>
              <w:spacing w:before="0" w:beforeAutospacing="0" w:after="0" w:afterAutospacing="0"/>
              <w:ind w:left="0" w:right="0"/>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计入本次投标总价的数量</w:t>
            </w:r>
          </w:p>
        </w:tc>
      </w:tr>
      <w:tr w14:paraId="40D68E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91" w:hRule="atLeast"/>
          <w:jc w:val="right"/>
        </w:trPr>
        <w:tc>
          <w:tcPr>
            <w:tcW w:w="892" w:type="dxa"/>
            <w:noWrap w:val="0"/>
            <w:vAlign w:val="center"/>
          </w:tcPr>
          <w:p w14:paraId="5528E228">
            <w:pPr>
              <w:keepNext w:val="0"/>
              <w:keepLines w:val="0"/>
              <w:widowControl/>
              <w:suppressLineNumbers w:val="0"/>
              <w:adjustRightInd w:val="0"/>
              <w:snapToGrid w:val="0"/>
              <w:spacing w:before="0" w:beforeAutospacing="0" w:after="0" w:afterAutospacing="0"/>
              <w:ind w:left="0" w:right="0"/>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1</w:t>
            </w:r>
          </w:p>
        </w:tc>
        <w:tc>
          <w:tcPr>
            <w:tcW w:w="3123" w:type="dxa"/>
            <w:noWrap w:val="0"/>
            <w:vAlign w:val="center"/>
          </w:tcPr>
          <w:p w14:paraId="3C5E269B">
            <w:pPr>
              <w:keepNext w:val="0"/>
              <w:keepLines w:val="0"/>
              <w:widowControl/>
              <w:suppressLineNumbers w:val="0"/>
              <w:adjustRightInd w:val="0"/>
              <w:snapToGrid w:val="0"/>
              <w:spacing w:before="0" w:beforeAutospacing="0" w:after="0" w:afterAutospacing="0"/>
              <w:ind w:left="0" w:right="0"/>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凸阵探头</w:t>
            </w:r>
          </w:p>
        </w:tc>
        <w:tc>
          <w:tcPr>
            <w:tcW w:w="870" w:type="dxa"/>
            <w:noWrap w:val="0"/>
            <w:vAlign w:val="center"/>
          </w:tcPr>
          <w:p w14:paraId="0C55C8B0">
            <w:pPr>
              <w:keepNext w:val="0"/>
              <w:keepLines w:val="0"/>
              <w:widowControl/>
              <w:suppressLineNumbers w:val="0"/>
              <w:adjustRightInd w:val="0"/>
              <w:snapToGrid w:val="0"/>
              <w:spacing w:before="0" w:beforeAutospacing="0" w:after="0" w:afterAutospacing="0"/>
              <w:ind w:left="0" w:right="0"/>
              <w:jc w:val="center"/>
              <w:rPr>
                <w:rFonts w:hint="eastAsia" w:ascii="仿宋" w:hAnsi="仿宋" w:eastAsia="仿宋" w:cs="仿宋"/>
                <w:kern w:val="0"/>
                <w:sz w:val="24"/>
                <w:szCs w:val="24"/>
                <w:highlight w:val="none"/>
              </w:rPr>
            </w:pPr>
            <w:r>
              <w:rPr>
                <w:rFonts w:hint="eastAsia" w:ascii="仿宋" w:hAnsi="仿宋" w:eastAsia="仿宋" w:cs="仿宋"/>
                <w:color w:val="000000"/>
                <w:sz w:val="24"/>
                <w:szCs w:val="24"/>
                <w:highlight w:val="none"/>
                <w:lang w:val="en-US" w:eastAsia="zh-CN"/>
              </w:rPr>
              <w:t>把</w:t>
            </w:r>
          </w:p>
        </w:tc>
        <w:tc>
          <w:tcPr>
            <w:tcW w:w="2527" w:type="dxa"/>
            <w:noWrap w:val="0"/>
            <w:vAlign w:val="center"/>
          </w:tcPr>
          <w:p w14:paraId="03DBD8B1">
            <w:pPr>
              <w:keepNext w:val="0"/>
              <w:keepLines w:val="0"/>
              <w:widowControl/>
              <w:suppressLineNumbers w:val="0"/>
              <w:adjustRightInd w:val="0"/>
              <w:snapToGrid w:val="0"/>
              <w:spacing w:before="0" w:beforeAutospacing="0" w:after="0" w:afterAutospacing="0"/>
              <w:ind w:left="0" w:right="0"/>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是</w:t>
            </w:r>
          </w:p>
        </w:tc>
        <w:tc>
          <w:tcPr>
            <w:tcW w:w="2126" w:type="dxa"/>
            <w:noWrap w:val="0"/>
            <w:vAlign w:val="center"/>
          </w:tcPr>
          <w:p w14:paraId="76DC2740">
            <w:pPr>
              <w:keepNext w:val="0"/>
              <w:keepLines w:val="0"/>
              <w:widowControl/>
              <w:suppressLineNumbers w:val="0"/>
              <w:adjustRightInd w:val="0"/>
              <w:snapToGrid w:val="0"/>
              <w:spacing w:before="0" w:beforeAutospacing="0" w:after="0" w:afterAutospacing="0"/>
              <w:ind w:left="0" w:right="0"/>
              <w:jc w:val="center"/>
              <w:rPr>
                <w:rFonts w:hint="eastAsia" w:ascii="仿宋" w:hAnsi="仿宋" w:eastAsia="仿宋" w:cs="仿宋"/>
                <w:kern w:val="0"/>
                <w:sz w:val="24"/>
                <w:szCs w:val="24"/>
                <w:highlight w:val="none"/>
                <w:lang w:val="en-US" w:eastAsia="zh-CN"/>
              </w:rPr>
            </w:pPr>
            <w:r>
              <w:rPr>
                <w:rFonts w:hint="eastAsia" w:ascii="仿宋" w:hAnsi="仿宋" w:eastAsia="仿宋" w:cs="仿宋"/>
                <w:kern w:val="0"/>
                <w:sz w:val="24"/>
                <w:szCs w:val="24"/>
                <w:highlight w:val="none"/>
                <w:lang w:val="en-US" w:eastAsia="zh-CN"/>
              </w:rPr>
              <w:t>1</w:t>
            </w:r>
          </w:p>
        </w:tc>
      </w:tr>
      <w:tr w14:paraId="3FF5FD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0" w:hRule="atLeast"/>
          <w:jc w:val="right"/>
        </w:trPr>
        <w:tc>
          <w:tcPr>
            <w:tcW w:w="892" w:type="dxa"/>
            <w:noWrap w:val="0"/>
            <w:vAlign w:val="center"/>
          </w:tcPr>
          <w:p w14:paraId="60BC6A20">
            <w:pPr>
              <w:keepNext w:val="0"/>
              <w:keepLines w:val="0"/>
              <w:widowControl/>
              <w:suppressLineNumbers w:val="0"/>
              <w:adjustRightInd w:val="0"/>
              <w:snapToGrid w:val="0"/>
              <w:spacing w:before="0" w:beforeAutospacing="0" w:after="0" w:afterAutospacing="0"/>
              <w:ind w:left="0" w:right="0"/>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2</w:t>
            </w:r>
          </w:p>
        </w:tc>
        <w:tc>
          <w:tcPr>
            <w:tcW w:w="3123" w:type="dxa"/>
            <w:noWrap w:val="0"/>
            <w:vAlign w:val="center"/>
          </w:tcPr>
          <w:p w14:paraId="076630DB">
            <w:pPr>
              <w:keepNext w:val="0"/>
              <w:keepLines w:val="0"/>
              <w:widowControl/>
              <w:suppressLineNumbers w:val="0"/>
              <w:adjustRightInd w:val="0"/>
              <w:snapToGrid w:val="0"/>
              <w:spacing w:before="0" w:beforeAutospacing="0" w:after="0" w:afterAutospacing="0"/>
              <w:ind w:left="0" w:right="0"/>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线阵探头</w:t>
            </w:r>
          </w:p>
        </w:tc>
        <w:tc>
          <w:tcPr>
            <w:tcW w:w="870" w:type="dxa"/>
            <w:noWrap w:val="0"/>
            <w:vAlign w:val="center"/>
          </w:tcPr>
          <w:p w14:paraId="4BAA56D0">
            <w:pPr>
              <w:keepNext w:val="0"/>
              <w:keepLines w:val="0"/>
              <w:widowControl/>
              <w:suppressLineNumbers w:val="0"/>
              <w:adjustRightInd w:val="0"/>
              <w:snapToGrid w:val="0"/>
              <w:spacing w:before="0" w:beforeAutospacing="0" w:after="0" w:afterAutospacing="0"/>
              <w:ind w:left="0" w:right="0"/>
              <w:jc w:val="center"/>
              <w:rPr>
                <w:rFonts w:hint="eastAsia" w:ascii="仿宋" w:hAnsi="仿宋" w:eastAsia="仿宋" w:cs="仿宋"/>
                <w:kern w:val="0"/>
                <w:sz w:val="24"/>
                <w:szCs w:val="24"/>
                <w:highlight w:val="none"/>
              </w:rPr>
            </w:pPr>
            <w:r>
              <w:rPr>
                <w:rFonts w:hint="eastAsia" w:ascii="仿宋" w:hAnsi="仿宋" w:eastAsia="仿宋" w:cs="仿宋"/>
                <w:color w:val="000000"/>
                <w:sz w:val="24"/>
                <w:szCs w:val="24"/>
                <w:highlight w:val="none"/>
                <w:lang w:val="en-US" w:eastAsia="zh-CN"/>
              </w:rPr>
              <w:t>把</w:t>
            </w:r>
          </w:p>
        </w:tc>
        <w:tc>
          <w:tcPr>
            <w:tcW w:w="2527" w:type="dxa"/>
            <w:noWrap w:val="0"/>
            <w:vAlign w:val="center"/>
          </w:tcPr>
          <w:p w14:paraId="62CFDEAC">
            <w:pPr>
              <w:keepNext w:val="0"/>
              <w:keepLines w:val="0"/>
              <w:widowControl/>
              <w:suppressLineNumbers w:val="0"/>
              <w:adjustRightInd w:val="0"/>
              <w:snapToGrid w:val="0"/>
              <w:spacing w:before="0" w:beforeAutospacing="0" w:after="0" w:afterAutospacing="0"/>
              <w:ind w:left="0" w:right="0"/>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是</w:t>
            </w:r>
          </w:p>
        </w:tc>
        <w:tc>
          <w:tcPr>
            <w:tcW w:w="2126" w:type="dxa"/>
            <w:noWrap w:val="0"/>
            <w:vAlign w:val="center"/>
          </w:tcPr>
          <w:p w14:paraId="5F0F928D">
            <w:pPr>
              <w:keepNext w:val="0"/>
              <w:keepLines w:val="0"/>
              <w:widowControl/>
              <w:suppressLineNumbers w:val="0"/>
              <w:adjustRightInd w:val="0"/>
              <w:snapToGrid w:val="0"/>
              <w:spacing w:before="0" w:beforeAutospacing="0" w:after="0" w:afterAutospacing="0"/>
              <w:ind w:left="0" w:right="0"/>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lang w:val="en-US" w:eastAsia="zh-CN"/>
              </w:rPr>
              <w:t>1</w:t>
            </w:r>
          </w:p>
        </w:tc>
      </w:tr>
      <w:tr w14:paraId="197101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0" w:hRule="atLeast"/>
          <w:jc w:val="right"/>
        </w:trPr>
        <w:tc>
          <w:tcPr>
            <w:tcW w:w="892" w:type="dxa"/>
            <w:noWrap w:val="0"/>
            <w:vAlign w:val="center"/>
          </w:tcPr>
          <w:p w14:paraId="6BB555CF">
            <w:pPr>
              <w:keepNext w:val="0"/>
              <w:keepLines w:val="0"/>
              <w:widowControl/>
              <w:suppressLineNumbers w:val="0"/>
              <w:adjustRightInd w:val="0"/>
              <w:snapToGrid w:val="0"/>
              <w:spacing w:before="0" w:beforeAutospacing="0" w:after="0" w:afterAutospacing="0"/>
              <w:ind w:left="0" w:right="0"/>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3</w:t>
            </w:r>
          </w:p>
        </w:tc>
        <w:tc>
          <w:tcPr>
            <w:tcW w:w="3123" w:type="dxa"/>
            <w:noWrap w:val="0"/>
            <w:vAlign w:val="center"/>
          </w:tcPr>
          <w:p w14:paraId="2970C932">
            <w:pPr>
              <w:keepNext w:val="0"/>
              <w:keepLines w:val="0"/>
              <w:widowControl/>
              <w:suppressLineNumbers w:val="0"/>
              <w:adjustRightInd w:val="0"/>
              <w:snapToGrid w:val="0"/>
              <w:spacing w:before="0" w:beforeAutospacing="0" w:after="0" w:afterAutospacing="0"/>
              <w:ind w:left="0" w:right="0"/>
              <w:jc w:val="center"/>
              <w:rPr>
                <w:rFonts w:hint="eastAsia" w:ascii="仿宋" w:hAnsi="仿宋" w:eastAsia="仿宋" w:cs="仿宋"/>
                <w:kern w:val="0"/>
                <w:sz w:val="24"/>
                <w:szCs w:val="24"/>
                <w:highlight w:val="none"/>
                <w:lang w:val="en-US" w:eastAsia="zh-CN"/>
              </w:rPr>
            </w:pPr>
            <w:r>
              <w:rPr>
                <w:rFonts w:hint="eastAsia" w:ascii="仿宋" w:hAnsi="仿宋" w:eastAsia="仿宋" w:cs="仿宋"/>
                <w:kern w:val="0"/>
                <w:sz w:val="24"/>
                <w:szCs w:val="24"/>
                <w:highlight w:val="none"/>
              </w:rPr>
              <w:t>相控阵探头</w:t>
            </w:r>
          </w:p>
        </w:tc>
        <w:tc>
          <w:tcPr>
            <w:tcW w:w="870" w:type="dxa"/>
            <w:noWrap w:val="0"/>
            <w:vAlign w:val="center"/>
          </w:tcPr>
          <w:p w14:paraId="3A8FAE96">
            <w:pPr>
              <w:keepNext w:val="0"/>
              <w:keepLines w:val="0"/>
              <w:widowControl/>
              <w:suppressLineNumbers w:val="0"/>
              <w:adjustRightInd w:val="0"/>
              <w:snapToGrid w:val="0"/>
              <w:spacing w:before="0" w:beforeAutospacing="0" w:after="0" w:afterAutospacing="0"/>
              <w:ind w:left="0" w:right="0"/>
              <w:jc w:val="center"/>
              <w:rPr>
                <w:rFonts w:hint="eastAsia" w:ascii="仿宋" w:hAnsi="仿宋" w:eastAsia="仿宋" w:cs="仿宋"/>
                <w:kern w:val="0"/>
                <w:sz w:val="24"/>
                <w:szCs w:val="24"/>
                <w:highlight w:val="none"/>
              </w:rPr>
            </w:pPr>
            <w:r>
              <w:rPr>
                <w:rFonts w:hint="eastAsia" w:ascii="仿宋" w:hAnsi="仿宋" w:eastAsia="仿宋" w:cs="仿宋"/>
                <w:color w:val="000000"/>
                <w:sz w:val="24"/>
                <w:szCs w:val="24"/>
                <w:highlight w:val="none"/>
                <w:lang w:val="en-US" w:eastAsia="zh-CN"/>
              </w:rPr>
              <w:t>把</w:t>
            </w:r>
          </w:p>
        </w:tc>
        <w:tc>
          <w:tcPr>
            <w:tcW w:w="2527" w:type="dxa"/>
            <w:noWrap w:val="0"/>
            <w:vAlign w:val="center"/>
          </w:tcPr>
          <w:p w14:paraId="5E142820">
            <w:pPr>
              <w:keepNext w:val="0"/>
              <w:keepLines w:val="0"/>
              <w:widowControl/>
              <w:suppressLineNumbers w:val="0"/>
              <w:adjustRightInd w:val="0"/>
              <w:snapToGrid w:val="0"/>
              <w:spacing w:before="0" w:beforeAutospacing="0" w:after="0" w:afterAutospacing="0"/>
              <w:ind w:left="0" w:right="0"/>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是</w:t>
            </w:r>
          </w:p>
        </w:tc>
        <w:tc>
          <w:tcPr>
            <w:tcW w:w="2126" w:type="dxa"/>
            <w:noWrap w:val="0"/>
            <w:vAlign w:val="center"/>
          </w:tcPr>
          <w:p w14:paraId="79C6BCE2">
            <w:pPr>
              <w:keepNext w:val="0"/>
              <w:keepLines w:val="0"/>
              <w:widowControl/>
              <w:suppressLineNumbers w:val="0"/>
              <w:adjustRightInd w:val="0"/>
              <w:snapToGrid w:val="0"/>
              <w:spacing w:before="0" w:beforeAutospacing="0" w:after="0" w:afterAutospacing="0"/>
              <w:ind w:left="0" w:right="0"/>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lang w:val="en-US" w:eastAsia="zh-CN"/>
              </w:rPr>
              <w:t>1</w:t>
            </w:r>
          </w:p>
        </w:tc>
      </w:tr>
      <w:tr w14:paraId="461493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0" w:hRule="atLeast"/>
          <w:jc w:val="right"/>
        </w:trPr>
        <w:tc>
          <w:tcPr>
            <w:tcW w:w="892" w:type="dxa"/>
            <w:noWrap w:val="0"/>
            <w:vAlign w:val="center"/>
          </w:tcPr>
          <w:p w14:paraId="7FFA70AD">
            <w:pPr>
              <w:keepNext w:val="0"/>
              <w:keepLines w:val="0"/>
              <w:widowControl/>
              <w:suppressLineNumbers w:val="0"/>
              <w:adjustRightInd w:val="0"/>
              <w:snapToGrid w:val="0"/>
              <w:spacing w:before="0" w:beforeAutospacing="0" w:after="0" w:afterAutospacing="0"/>
              <w:ind w:left="0" w:right="0"/>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4</w:t>
            </w:r>
          </w:p>
        </w:tc>
        <w:tc>
          <w:tcPr>
            <w:tcW w:w="3123" w:type="dxa"/>
            <w:noWrap w:val="0"/>
            <w:vAlign w:val="center"/>
          </w:tcPr>
          <w:p w14:paraId="3F861AD0">
            <w:pPr>
              <w:keepNext w:val="0"/>
              <w:keepLines w:val="0"/>
              <w:widowControl/>
              <w:suppressLineNumbers w:val="0"/>
              <w:adjustRightInd w:val="0"/>
              <w:snapToGrid w:val="0"/>
              <w:spacing w:before="0" w:beforeAutospacing="0" w:after="0" w:afterAutospacing="0"/>
              <w:ind w:left="0" w:right="0"/>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经胸容积相控阵探头</w:t>
            </w:r>
          </w:p>
        </w:tc>
        <w:tc>
          <w:tcPr>
            <w:tcW w:w="870" w:type="dxa"/>
            <w:noWrap w:val="0"/>
            <w:vAlign w:val="center"/>
          </w:tcPr>
          <w:p w14:paraId="52CEAED6">
            <w:pPr>
              <w:keepNext w:val="0"/>
              <w:keepLines w:val="0"/>
              <w:widowControl/>
              <w:suppressLineNumbers w:val="0"/>
              <w:adjustRightInd w:val="0"/>
              <w:snapToGrid w:val="0"/>
              <w:spacing w:before="0" w:beforeAutospacing="0" w:after="0" w:afterAutospacing="0"/>
              <w:ind w:left="0" w:right="0"/>
              <w:jc w:val="center"/>
              <w:rPr>
                <w:rFonts w:hint="eastAsia" w:ascii="仿宋" w:hAnsi="仿宋" w:eastAsia="仿宋" w:cs="仿宋"/>
                <w:kern w:val="0"/>
                <w:sz w:val="24"/>
                <w:szCs w:val="24"/>
                <w:highlight w:val="none"/>
              </w:rPr>
            </w:pPr>
            <w:r>
              <w:rPr>
                <w:rFonts w:hint="eastAsia" w:ascii="仿宋" w:hAnsi="仿宋" w:eastAsia="仿宋" w:cs="仿宋"/>
                <w:color w:val="000000"/>
                <w:sz w:val="24"/>
                <w:szCs w:val="24"/>
                <w:highlight w:val="none"/>
                <w:lang w:val="en-US" w:eastAsia="zh-CN"/>
              </w:rPr>
              <w:t>把</w:t>
            </w:r>
          </w:p>
        </w:tc>
        <w:tc>
          <w:tcPr>
            <w:tcW w:w="2527" w:type="dxa"/>
            <w:noWrap w:val="0"/>
            <w:vAlign w:val="center"/>
          </w:tcPr>
          <w:p w14:paraId="4BCD8565">
            <w:pPr>
              <w:keepNext w:val="0"/>
              <w:keepLines w:val="0"/>
              <w:widowControl/>
              <w:suppressLineNumbers w:val="0"/>
              <w:adjustRightInd w:val="0"/>
              <w:snapToGrid w:val="0"/>
              <w:spacing w:before="0" w:beforeAutospacing="0" w:after="0" w:afterAutospacing="0"/>
              <w:ind w:left="0" w:right="0"/>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是</w:t>
            </w:r>
          </w:p>
        </w:tc>
        <w:tc>
          <w:tcPr>
            <w:tcW w:w="2126" w:type="dxa"/>
            <w:noWrap w:val="0"/>
            <w:vAlign w:val="center"/>
          </w:tcPr>
          <w:p w14:paraId="28589998">
            <w:pPr>
              <w:keepNext w:val="0"/>
              <w:keepLines w:val="0"/>
              <w:widowControl/>
              <w:suppressLineNumbers w:val="0"/>
              <w:adjustRightInd w:val="0"/>
              <w:snapToGrid w:val="0"/>
              <w:spacing w:before="0" w:beforeAutospacing="0" w:after="0" w:afterAutospacing="0"/>
              <w:ind w:left="0" w:right="0"/>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lang w:val="en-US" w:eastAsia="zh-CN"/>
              </w:rPr>
              <w:t>1</w:t>
            </w:r>
          </w:p>
        </w:tc>
      </w:tr>
    </w:tbl>
    <w:p w14:paraId="2FB67B64">
      <w:pPr>
        <w:pStyle w:val="25"/>
        <w:widowControl/>
        <w:snapToGrid w:val="0"/>
        <w:spacing w:line="360" w:lineRule="auto"/>
        <w:ind w:firstLine="482" w:firstLineChars="200"/>
        <w:outlineLvl w:val="2"/>
        <w:rPr>
          <w:rFonts w:hAnsi="宋体" w:eastAsia="仿宋"/>
          <w:b/>
          <w:bCs/>
          <w:sz w:val="24"/>
          <w:szCs w:val="24"/>
          <w:highlight w:val="none"/>
        </w:rPr>
      </w:pPr>
      <w:r>
        <w:rPr>
          <w:rFonts w:hint="eastAsia" w:hAnsi="宋体" w:eastAsia="仿宋"/>
          <w:b/>
          <w:bCs/>
          <w:sz w:val="24"/>
          <w:szCs w:val="24"/>
          <w:highlight w:val="none"/>
        </w:rPr>
        <w:t>4.4 试验检测</w:t>
      </w:r>
      <w:bookmarkEnd w:id="778"/>
      <w:bookmarkEnd w:id="779"/>
      <w:bookmarkEnd w:id="780"/>
      <w:bookmarkEnd w:id="781"/>
      <w:bookmarkEnd w:id="782"/>
      <w:bookmarkEnd w:id="783"/>
      <w:bookmarkEnd w:id="784"/>
      <w:bookmarkEnd w:id="785"/>
      <w:bookmarkEnd w:id="786"/>
      <w:r>
        <w:rPr>
          <w:rFonts w:hint="eastAsia" w:hAnsi="宋体" w:eastAsia="仿宋"/>
          <w:b/>
          <w:bCs/>
          <w:sz w:val="24"/>
          <w:szCs w:val="24"/>
          <w:highlight w:val="none"/>
        </w:rPr>
        <w:t>要求</w:t>
      </w:r>
    </w:p>
    <w:p w14:paraId="627A77E2">
      <w:pPr>
        <w:adjustRightInd w:val="0"/>
        <w:snapToGrid w:val="0"/>
        <w:spacing w:before="120" w:after="120" w:line="360" w:lineRule="auto"/>
        <w:ind w:firstLine="480" w:firstLineChars="200"/>
        <w:rPr>
          <w:rFonts w:eastAsia="仿宋"/>
          <w:color w:val="000000"/>
          <w:sz w:val="24"/>
          <w:highlight w:val="none"/>
        </w:rPr>
      </w:pPr>
      <w:r>
        <w:rPr>
          <w:rFonts w:hint="eastAsia" w:eastAsia="仿宋"/>
          <w:color w:val="000000"/>
          <w:sz w:val="24"/>
          <w:highlight w:val="none"/>
        </w:rPr>
        <w:t>无</w:t>
      </w:r>
    </w:p>
    <w:p w14:paraId="4DF76D1F">
      <w:pPr>
        <w:pStyle w:val="25"/>
        <w:widowControl/>
        <w:snapToGrid w:val="0"/>
        <w:spacing w:line="360" w:lineRule="auto"/>
        <w:ind w:firstLine="482" w:firstLineChars="200"/>
        <w:outlineLvl w:val="2"/>
        <w:rPr>
          <w:rFonts w:hint="eastAsia" w:hAnsi="宋体" w:eastAsia="仿宋"/>
          <w:b/>
          <w:bCs/>
          <w:sz w:val="24"/>
          <w:szCs w:val="24"/>
          <w:highlight w:val="none"/>
        </w:rPr>
      </w:pPr>
      <w:bookmarkStart w:id="787" w:name="_Toc493432670"/>
      <w:bookmarkStart w:id="788" w:name="_Toc512544434"/>
      <w:bookmarkStart w:id="789" w:name="_Toc512611689"/>
      <w:bookmarkStart w:id="790" w:name="_Toc526265691"/>
      <w:bookmarkStart w:id="791" w:name="_Toc515539872"/>
      <w:bookmarkStart w:id="792" w:name="_Toc525819967"/>
      <w:bookmarkStart w:id="793" w:name="_Toc517011814"/>
      <w:bookmarkStart w:id="794" w:name="_Toc493440975"/>
      <w:bookmarkStart w:id="795" w:name="_Toc493440807"/>
      <w:r>
        <w:rPr>
          <w:rFonts w:hint="eastAsia" w:hAnsi="宋体" w:eastAsia="仿宋"/>
          <w:b/>
          <w:bCs/>
          <w:sz w:val="24"/>
          <w:szCs w:val="24"/>
          <w:highlight w:val="none"/>
        </w:rPr>
        <w:t>4.5 质量要求与验收标准</w:t>
      </w:r>
      <w:bookmarkEnd w:id="787"/>
      <w:bookmarkEnd w:id="788"/>
      <w:bookmarkEnd w:id="789"/>
      <w:bookmarkEnd w:id="790"/>
      <w:bookmarkEnd w:id="791"/>
      <w:bookmarkEnd w:id="792"/>
      <w:bookmarkEnd w:id="793"/>
      <w:bookmarkEnd w:id="794"/>
      <w:bookmarkEnd w:id="795"/>
    </w:p>
    <w:p w14:paraId="132E948F">
      <w:pPr>
        <w:adjustRightInd w:val="0"/>
        <w:snapToGrid w:val="0"/>
        <w:spacing w:before="120" w:after="120" w:line="360" w:lineRule="auto"/>
        <w:ind w:firstLine="480" w:firstLineChars="200"/>
        <w:rPr>
          <w:rFonts w:eastAsia="仿宋"/>
          <w:sz w:val="24"/>
          <w:highlight w:val="none"/>
        </w:rPr>
      </w:pPr>
      <w:r>
        <w:rPr>
          <w:rFonts w:hint="eastAsia" w:eastAsia="仿宋"/>
          <w:sz w:val="24"/>
          <w:highlight w:val="none"/>
        </w:rPr>
        <w:t>符合国家、省、市法律法规及行业标准。</w:t>
      </w:r>
    </w:p>
    <w:p w14:paraId="1BE1C685">
      <w:pPr>
        <w:pStyle w:val="25"/>
        <w:widowControl/>
        <w:snapToGrid w:val="0"/>
        <w:spacing w:line="360" w:lineRule="auto"/>
        <w:ind w:firstLine="482" w:firstLineChars="200"/>
        <w:outlineLvl w:val="2"/>
        <w:rPr>
          <w:rFonts w:hint="eastAsia" w:hAnsi="宋体" w:eastAsia="仿宋"/>
          <w:b/>
          <w:bCs/>
          <w:sz w:val="24"/>
          <w:szCs w:val="24"/>
          <w:highlight w:val="none"/>
        </w:rPr>
      </w:pPr>
      <w:bookmarkStart w:id="796" w:name="_Toc493440976"/>
      <w:bookmarkStart w:id="797" w:name="_Toc525819968"/>
      <w:bookmarkStart w:id="798" w:name="_Toc493432671"/>
      <w:bookmarkStart w:id="799" w:name="_Toc515539873"/>
      <w:bookmarkStart w:id="800" w:name="_Toc512544435"/>
      <w:bookmarkStart w:id="801" w:name="_Toc526265692"/>
      <w:bookmarkStart w:id="802" w:name="_Toc512611690"/>
      <w:bookmarkStart w:id="803" w:name="_Toc493440808"/>
      <w:bookmarkStart w:id="804" w:name="_Toc517011815"/>
      <w:r>
        <w:rPr>
          <w:rFonts w:hint="eastAsia" w:hAnsi="宋体" w:eastAsia="仿宋"/>
          <w:b/>
          <w:bCs/>
          <w:sz w:val="24"/>
          <w:szCs w:val="24"/>
          <w:highlight w:val="none"/>
        </w:rPr>
        <w:t>4.</w:t>
      </w:r>
      <w:bookmarkEnd w:id="796"/>
      <w:bookmarkEnd w:id="797"/>
      <w:bookmarkEnd w:id="798"/>
      <w:bookmarkEnd w:id="799"/>
      <w:bookmarkEnd w:id="800"/>
      <w:bookmarkEnd w:id="801"/>
      <w:bookmarkEnd w:id="802"/>
      <w:bookmarkEnd w:id="803"/>
      <w:bookmarkEnd w:id="804"/>
      <w:bookmarkStart w:id="805" w:name="_Toc512544436"/>
      <w:bookmarkStart w:id="806" w:name="_Toc493432672"/>
      <w:bookmarkStart w:id="807" w:name="_Toc512611691"/>
      <w:bookmarkStart w:id="808" w:name="_Toc493440809"/>
      <w:bookmarkStart w:id="809" w:name="_Toc525819969"/>
      <w:bookmarkStart w:id="810" w:name="_Toc515539874"/>
      <w:bookmarkStart w:id="811" w:name="_Toc517011816"/>
      <w:bookmarkStart w:id="812" w:name="_Toc493440977"/>
      <w:bookmarkStart w:id="813" w:name="_Toc526265693"/>
      <w:r>
        <w:rPr>
          <w:rFonts w:hint="eastAsia" w:hAnsi="宋体" w:eastAsia="仿宋"/>
          <w:b/>
          <w:bCs/>
          <w:sz w:val="24"/>
          <w:szCs w:val="24"/>
          <w:highlight w:val="none"/>
        </w:rPr>
        <w:t>6 质量保证期服务要求</w:t>
      </w:r>
      <w:bookmarkEnd w:id="805"/>
      <w:bookmarkEnd w:id="806"/>
      <w:bookmarkEnd w:id="807"/>
      <w:bookmarkEnd w:id="808"/>
      <w:bookmarkEnd w:id="809"/>
      <w:bookmarkEnd w:id="810"/>
      <w:bookmarkEnd w:id="811"/>
      <w:bookmarkEnd w:id="812"/>
      <w:bookmarkEnd w:id="813"/>
    </w:p>
    <w:p w14:paraId="5DCE673B">
      <w:pPr>
        <w:adjustRightInd w:val="0"/>
        <w:snapToGrid w:val="0"/>
        <w:spacing w:line="360" w:lineRule="auto"/>
        <w:ind w:firstLine="480" w:firstLineChars="200"/>
        <w:rPr>
          <w:rFonts w:hint="eastAsia" w:ascii="Times New Roman" w:hAnsi="Times New Roman" w:eastAsia="仿宋" w:cs="Times New Roman"/>
          <w:sz w:val="24"/>
          <w:highlight w:val="none"/>
          <w:lang w:val="en-US" w:eastAsia="zh-CN"/>
        </w:rPr>
      </w:pPr>
      <w:r>
        <w:rPr>
          <w:rFonts w:hint="eastAsia" w:eastAsia="仿宋"/>
          <w:sz w:val="24"/>
          <w:highlight w:val="none"/>
        </w:rPr>
        <w:t>中标人</w:t>
      </w:r>
      <w:r>
        <w:rPr>
          <w:rFonts w:eastAsia="仿宋"/>
          <w:sz w:val="24"/>
          <w:highlight w:val="none"/>
        </w:rPr>
        <w:t>提供的技术人员、工具、备件和联系方式，质量保证期服务响应、到达现场和解决问题的时限</w:t>
      </w:r>
      <w:r>
        <w:rPr>
          <w:rFonts w:ascii="Times New Roman" w:hAnsi="Times New Roman" w:eastAsia="仿宋" w:cs="Times New Roman"/>
          <w:sz w:val="24"/>
          <w:highlight w:val="none"/>
        </w:rPr>
        <w:t>，</w:t>
      </w:r>
      <w:r>
        <w:rPr>
          <w:rFonts w:hint="eastAsia" w:ascii="Times New Roman" w:hAnsi="Times New Roman" w:eastAsia="仿宋" w:cs="Times New Roman"/>
          <w:sz w:val="24"/>
          <w:highlight w:val="none"/>
        </w:rPr>
        <w:t>中标人</w:t>
      </w:r>
      <w:r>
        <w:rPr>
          <w:rFonts w:ascii="Times New Roman" w:hAnsi="Times New Roman" w:eastAsia="仿宋" w:cs="Times New Roman"/>
          <w:sz w:val="24"/>
          <w:highlight w:val="none"/>
        </w:rPr>
        <w:t>技术人员的交通、食宿费用承担主体，</w:t>
      </w:r>
      <w:r>
        <w:rPr>
          <w:rFonts w:hint="eastAsia" w:ascii="Times New Roman" w:hAnsi="Times New Roman" w:eastAsia="仿宋" w:cs="Times New Roman"/>
          <w:sz w:val="24"/>
          <w:highlight w:val="none"/>
        </w:rPr>
        <w:t>中标人</w:t>
      </w:r>
      <w:r>
        <w:rPr>
          <w:rFonts w:ascii="Times New Roman" w:hAnsi="Times New Roman" w:eastAsia="仿宋" w:cs="Times New Roman"/>
          <w:sz w:val="24"/>
          <w:highlight w:val="none"/>
        </w:rPr>
        <w:t>技术人员撤换费用承担主体，质量保证期服务情况记录要求等。</w:t>
      </w:r>
    </w:p>
    <w:p w14:paraId="1DF12A6D">
      <w:pPr>
        <w:adjustRightInd w:val="0"/>
        <w:snapToGrid w:val="0"/>
        <w:spacing w:line="360" w:lineRule="auto"/>
        <w:ind w:firstLine="482" w:firstLineChars="200"/>
        <w:rPr>
          <w:rFonts w:hint="default" w:ascii="宋体" w:hAnsi="宋体" w:eastAsia="仿宋" w:cs="Times New Roman"/>
          <w:b w:val="0"/>
          <w:bCs w:val="0"/>
          <w:sz w:val="24"/>
          <w:szCs w:val="24"/>
          <w:highlight w:val="none"/>
          <w:lang w:val="en-US" w:eastAsia="zh-CN"/>
        </w:rPr>
      </w:pPr>
      <w:r>
        <w:rPr>
          <w:rFonts w:hint="eastAsia" w:ascii="宋体" w:hAnsi="宋体" w:eastAsia="仿宋" w:cs="Times New Roman"/>
          <w:b/>
          <w:bCs/>
          <w:sz w:val="24"/>
          <w:szCs w:val="24"/>
          <w:highlight w:val="none"/>
        </w:rPr>
        <w:t>4.</w:t>
      </w:r>
      <w:r>
        <w:rPr>
          <w:rFonts w:hint="eastAsia" w:ascii="宋体" w:hAnsi="宋体" w:eastAsia="仿宋" w:cs="Times New Roman"/>
          <w:b/>
          <w:bCs/>
          <w:sz w:val="24"/>
          <w:szCs w:val="24"/>
          <w:highlight w:val="none"/>
          <w:lang w:eastAsia="zh-CN"/>
        </w:rPr>
        <w:t>7</w:t>
      </w:r>
      <w:r>
        <w:rPr>
          <w:rFonts w:hint="eastAsia" w:ascii="宋体" w:hAnsi="宋体" w:eastAsia="仿宋" w:cs="Times New Roman"/>
          <w:b/>
          <w:bCs/>
          <w:sz w:val="24"/>
          <w:szCs w:val="24"/>
          <w:highlight w:val="none"/>
        </w:rPr>
        <w:t xml:space="preserve"> </w:t>
      </w:r>
      <w:r>
        <w:rPr>
          <w:rFonts w:hint="eastAsia" w:ascii="宋体" w:hAnsi="宋体" w:eastAsia="仿宋" w:cs="Times New Roman"/>
          <w:b/>
          <w:bCs/>
          <w:sz w:val="24"/>
          <w:szCs w:val="24"/>
          <w:highlight w:val="none"/>
          <w:lang w:val="en-US" w:eastAsia="zh-CN"/>
        </w:rPr>
        <w:t>技术培训</w:t>
      </w:r>
      <w:r>
        <w:rPr>
          <w:rFonts w:hint="eastAsia" w:ascii="宋体" w:hAnsi="宋体" w:eastAsia="仿宋" w:cs="Times New Roman"/>
          <w:b/>
          <w:bCs/>
          <w:sz w:val="24"/>
          <w:szCs w:val="24"/>
          <w:highlight w:val="none"/>
        </w:rPr>
        <w:t>要求</w:t>
      </w:r>
    </w:p>
    <w:p w14:paraId="621B4422">
      <w:pPr>
        <w:adjustRightInd w:val="0"/>
        <w:snapToGrid w:val="0"/>
        <w:spacing w:line="360" w:lineRule="auto"/>
        <w:ind w:firstLine="480" w:firstLineChars="200"/>
        <w:rPr>
          <w:rFonts w:hint="default" w:ascii="Times New Roman" w:hAnsi="Times New Roman" w:eastAsia="仿宋" w:cs="Times New Roman"/>
          <w:sz w:val="24"/>
          <w:highlight w:val="none"/>
          <w:lang w:val="en-US" w:eastAsia="zh-CN"/>
        </w:rPr>
      </w:pPr>
      <w:r>
        <w:rPr>
          <w:rFonts w:hint="eastAsia" w:ascii="Times New Roman" w:hAnsi="Times New Roman" w:eastAsia="仿宋" w:cs="Times New Roman"/>
          <w:sz w:val="24"/>
          <w:highlight w:val="none"/>
          <w:lang w:val="en-US" w:eastAsia="zh-CN"/>
        </w:rPr>
        <w:t>中标人应提供现场技术培训，及远程技术支持等，为使用人员提供技术指导，保证使用人员正常操作设备各种功能。</w:t>
      </w:r>
    </w:p>
    <w:p w14:paraId="54C5A6DA">
      <w:pPr>
        <w:pStyle w:val="3"/>
        <w:spacing w:line="360" w:lineRule="auto"/>
        <w:rPr>
          <w:rFonts w:hint="eastAsia" w:ascii="Times New Roman" w:hAnsi="Times New Roman" w:eastAsia="仿宋"/>
          <w:sz w:val="24"/>
          <w:szCs w:val="24"/>
          <w:highlight w:val="none"/>
        </w:rPr>
      </w:pPr>
      <w:bookmarkStart w:id="814" w:name="_Toc493440979"/>
      <w:bookmarkStart w:id="815" w:name="_Toc517011817"/>
      <w:bookmarkStart w:id="816" w:name="_Toc525819970"/>
      <w:bookmarkStart w:id="817" w:name="_Toc493432674"/>
      <w:bookmarkStart w:id="818" w:name="_Toc526265694"/>
      <w:bookmarkStart w:id="819" w:name="_Toc512611692"/>
      <w:bookmarkStart w:id="820" w:name="_Toc515539875"/>
      <w:bookmarkStart w:id="821" w:name="_Toc512544437"/>
      <w:bookmarkStart w:id="822" w:name="_Toc493440811"/>
      <w:r>
        <w:rPr>
          <w:rStyle w:val="107"/>
          <w:rFonts w:hint="eastAsia" w:ascii="宋体" w:hAnsi="宋体" w:eastAsia="仿宋"/>
          <w:b/>
          <w:bCs/>
          <w:sz w:val="24"/>
          <w:szCs w:val="24"/>
          <w:highlight w:val="none"/>
        </w:rPr>
        <w:t>5. 其他</w:t>
      </w:r>
      <w:bookmarkEnd w:id="814"/>
      <w:bookmarkEnd w:id="815"/>
      <w:bookmarkEnd w:id="816"/>
      <w:bookmarkEnd w:id="817"/>
      <w:bookmarkEnd w:id="818"/>
      <w:bookmarkEnd w:id="819"/>
      <w:bookmarkEnd w:id="820"/>
      <w:bookmarkEnd w:id="821"/>
      <w:bookmarkEnd w:id="822"/>
    </w:p>
    <w:p w14:paraId="20EECA6A">
      <w:pPr>
        <w:spacing w:line="360" w:lineRule="auto"/>
        <w:ind w:firstLine="482" w:firstLineChars="200"/>
        <w:jc w:val="left"/>
        <w:rPr>
          <w:rFonts w:hint="default" w:eastAsia="仿宋"/>
          <w:b/>
          <w:sz w:val="24"/>
          <w:highlight w:val="none"/>
          <w:u w:val="single"/>
          <w:lang w:val="en-US" w:eastAsia="zh-CN"/>
        </w:rPr>
      </w:pPr>
      <w:r>
        <w:rPr>
          <w:rFonts w:hint="eastAsia" w:eastAsia="仿宋"/>
          <w:b/>
          <w:sz w:val="24"/>
          <w:highlight w:val="none"/>
        </w:rPr>
        <w:t>5.1</w:t>
      </w:r>
      <w:bookmarkStart w:id="823" w:name="OLE_LINK16"/>
      <w:r>
        <w:rPr>
          <w:rFonts w:hint="eastAsia" w:eastAsia="仿宋"/>
          <w:b/>
          <w:sz w:val="24"/>
          <w:highlight w:val="none"/>
        </w:rPr>
        <w:t>投标文件中须提供由投标人负责所投产品售后维保工作的质保承诺函，明确</w:t>
      </w:r>
      <w:r>
        <w:rPr>
          <w:rFonts w:hint="eastAsia" w:eastAsia="仿宋"/>
          <w:b/>
          <w:sz w:val="24"/>
          <w:highlight w:val="none"/>
          <w:lang w:eastAsia="zh-CN"/>
        </w:rPr>
        <w:t>质量保证期</w:t>
      </w:r>
      <w:r>
        <w:rPr>
          <w:rFonts w:hint="eastAsia" w:eastAsia="仿宋"/>
          <w:b/>
          <w:sz w:val="24"/>
          <w:highlight w:val="none"/>
        </w:rPr>
        <w:t>时长</w:t>
      </w:r>
      <w:r>
        <w:rPr>
          <w:rFonts w:hint="eastAsia" w:eastAsia="仿宋"/>
          <w:b/>
          <w:sz w:val="24"/>
          <w:highlight w:val="none"/>
          <w:lang w:eastAsia="zh-CN"/>
        </w:rPr>
        <w:t>。</w:t>
      </w:r>
      <w:r>
        <w:rPr>
          <w:rFonts w:hint="eastAsia" w:eastAsia="仿宋"/>
          <w:b/>
          <w:sz w:val="24"/>
          <w:highlight w:val="none"/>
          <w:lang w:val="en-US" w:eastAsia="zh-CN"/>
        </w:rPr>
        <w:t>投标人在投标文件中提供</w:t>
      </w:r>
      <w:bookmarkEnd w:id="823"/>
      <w:r>
        <w:rPr>
          <w:rFonts w:hint="eastAsia" w:eastAsia="仿宋"/>
          <w:b/>
          <w:sz w:val="24"/>
          <w:highlight w:val="none"/>
          <w:lang w:eastAsia="zh-CN"/>
        </w:rPr>
        <w:t>质保期外备件及易损件</w:t>
      </w:r>
      <w:r>
        <w:rPr>
          <w:rFonts w:hint="eastAsia" w:eastAsia="仿宋"/>
          <w:b/>
          <w:sz w:val="24"/>
          <w:highlight w:val="none"/>
          <w:lang w:val="en-US" w:eastAsia="zh-CN"/>
        </w:rPr>
        <w:t>报价清单，并对</w:t>
      </w:r>
      <w:r>
        <w:rPr>
          <w:rFonts w:hint="eastAsia" w:eastAsia="仿宋"/>
          <w:b/>
          <w:sz w:val="24"/>
          <w:highlight w:val="none"/>
          <w:lang w:eastAsia="zh-CN"/>
        </w:rPr>
        <w:t>质保期满后每年的维保服务费用</w:t>
      </w:r>
      <w:r>
        <w:rPr>
          <w:rFonts w:hint="eastAsia" w:eastAsia="仿宋"/>
          <w:b/>
          <w:sz w:val="24"/>
          <w:highlight w:val="none"/>
          <w:lang w:val="en-US" w:eastAsia="zh-CN"/>
        </w:rPr>
        <w:t>进行报价，明确维保服务内容。</w:t>
      </w:r>
    </w:p>
    <w:p w14:paraId="688DFC7D">
      <w:pPr>
        <w:spacing w:line="360" w:lineRule="auto"/>
        <w:ind w:firstLine="480" w:firstLineChars="200"/>
        <w:jc w:val="left"/>
        <w:rPr>
          <w:rFonts w:eastAsia="仿宋"/>
          <w:sz w:val="24"/>
          <w:highlight w:val="none"/>
        </w:rPr>
      </w:pPr>
      <w:r>
        <w:rPr>
          <w:rFonts w:hint="eastAsia" w:eastAsia="仿宋"/>
          <w:sz w:val="24"/>
          <w:highlight w:val="none"/>
        </w:rPr>
        <w:t>5.2 本项目如涉及与使用单位在用信息系统（包含但不限于：HIS系统、PACS系统、电子病例系统、远程影像平台、外联平台等，相关接口信息可现场踏勘获悉）与本项目设备接入需求产生的系统改造、第三方系统对接所需等费用均已包含在本项目投标报价中，由中标人与相关第三方协商，采购人和使用单位不再为此支付任何费用。</w:t>
      </w:r>
    </w:p>
    <w:p w14:paraId="72117B5A">
      <w:pPr>
        <w:spacing w:line="360" w:lineRule="auto"/>
        <w:ind w:firstLine="480" w:firstLineChars="200"/>
        <w:jc w:val="left"/>
        <w:rPr>
          <w:rFonts w:hint="eastAsia" w:eastAsia="仿宋"/>
          <w:sz w:val="24"/>
          <w:highlight w:val="none"/>
        </w:rPr>
      </w:pPr>
      <w:r>
        <w:rPr>
          <w:rFonts w:hint="eastAsia" w:eastAsia="仿宋"/>
          <w:sz w:val="24"/>
          <w:highlight w:val="none"/>
        </w:rPr>
        <w:t>5.3 履约验收方式</w:t>
      </w:r>
    </w:p>
    <w:p w14:paraId="53D2683F">
      <w:pPr>
        <w:spacing w:line="360" w:lineRule="auto"/>
        <w:ind w:firstLine="480" w:firstLineChars="200"/>
        <w:jc w:val="left"/>
        <w:rPr>
          <w:rFonts w:eastAsia="仿宋"/>
          <w:sz w:val="24"/>
          <w:highlight w:val="none"/>
        </w:rPr>
      </w:pPr>
      <w:r>
        <w:rPr>
          <w:rFonts w:hint="eastAsia" w:eastAsia="仿宋"/>
          <w:sz w:val="24"/>
          <w:highlight w:val="none"/>
        </w:rPr>
        <w:t>5.3.1</w:t>
      </w:r>
      <w:r>
        <w:rPr>
          <w:rFonts w:eastAsia="仿宋"/>
          <w:sz w:val="24"/>
          <w:highlight w:val="none"/>
        </w:rPr>
        <w:t>履约验收主体：设备使用</w:t>
      </w:r>
      <w:r>
        <w:rPr>
          <w:rFonts w:hint="eastAsia" w:eastAsia="仿宋"/>
          <w:sz w:val="24"/>
          <w:highlight w:val="none"/>
        </w:rPr>
        <w:t>单位</w:t>
      </w:r>
      <w:r>
        <w:rPr>
          <w:rFonts w:eastAsia="仿宋"/>
          <w:sz w:val="24"/>
          <w:highlight w:val="none"/>
        </w:rPr>
        <w:t>、中标人。同时使用</w:t>
      </w:r>
      <w:r>
        <w:rPr>
          <w:rFonts w:hint="eastAsia" w:eastAsia="仿宋"/>
          <w:sz w:val="24"/>
          <w:highlight w:val="none"/>
        </w:rPr>
        <w:t>单位</w:t>
      </w:r>
      <w:r>
        <w:rPr>
          <w:rFonts w:eastAsia="仿宋"/>
          <w:sz w:val="24"/>
          <w:highlight w:val="none"/>
        </w:rPr>
        <w:t>可以视情况邀请参加本项目的其他投标人或者第三方专业机构及专家参与验收，相关验收意见作为验收的参考资料。</w:t>
      </w:r>
    </w:p>
    <w:p w14:paraId="569BF877">
      <w:pPr>
        <w:spacing w:line="360" w:lineRule="auto"/>
        <w:ind w:firstLine="480" w:firstLineChars="200"/>
        <w:jc w:val="left"/>
        <w:rPr>
          <w:rFonts w:eastAsia="仿宋"/>
          <w:sz w:val="24"/>
          <w:highlight w:val="none"/>
        </w:rPr>
      </w:pPr>
      <w:r>
        <w:rPr>
          <w:rFonts w:hint="eastAsia" w:eastAsia="仿宋"/>
          <w:sz w:val="24"/>
          <w:highlight w:val="none"/>
        </w:rPr>
        <w:t>5.3.2</w:t>
      </w:r>
      <w:r>
        <w:rPr>
          <w:rFonts w:eastAsia="仿宋"/>
          <w:sz w:val="24"/>
          <w:highlight w:val="none"/>
        </w:rPr>
        <w:t>履约验收时间及程序：</w:t>
      </w:r>
    </w:p>
    <w:p w14:paraId="4C15CC18">
      <w:pPr>
        <w:spacing w:line="360" w:lineRule="auto"/>
        <w:ind w:firstLine="480" w:firstLineChars="200"/>
        <w:jc w:val="left"/>
        <w:rPr>
          <w:rFonts w:eastAsia="仿宋"/>
          <w:sz w:val="24"/>
          <w:highlight w:val="none"/>
        </w:rPr>
      </w:pPr>
      <w:r>
        <w:rPr>
          <w:rFonts w:eastAsia="仿宋"/>
          <w:sz w:val="24"/>
          <w:highlight w:val="none"/>
        </w:rPr>
        <w:t>（1）到货检验：货物运抵使用</w:t>
      </w:r>
      <w:r>
        <w:rPr>
          <w:rFonts w:hint="eastAsia" w:eastAsia="仿宋"/>
          <w:sz w:val="24"/>
          <w:highlight w:val="none"/>
        </w:rPr>
        <w:t>单位所在地点或使用单位指定地点</w:t>
      </w:r>
      <w:r>
        <w:rPr>
          <w:rFonts w:eastAsia="仿宋"/>
          <w:sz w:val="24"/>
          <w:highlight w:val="none"/>
        </w:rPr>
        <w:t>后，由使用</w:t>
      </w:r>
      <w:r>
        <w:rPr>
          <w:rFonts w:hint="eastAsia" w:eastAsia="仿宋"/>
          <w:sz w:val="24"/>
          <w:highlight w:val="none"/>
        </w:rPr>
        <w:t>单位</w:t>
      </w:r>
      <w:r>
        <w:rPr>
          <w:rFonts w:eastAsia="仿宋"/>
          <w:sz w:val="24"/>
          <w:highlight w:val="none"/>
        </w:rPr>
        <w:t>及中标人共同开箱对照采购清单进行到货验收。</w:t>
      </w:r>
    </w:p>
    <w:p w14:paraId="136D845B">
      <w:pPr>
        <w:spacing w:line="360" w:lineRule="auto"/>
        <w:ind w:firstLine="480" w:firstLineChars="200"/>
        <w:jc w:val="left"/>
        <w:rPr>
          <w:rFonts w:eastAsia="仿宋"/>
          <w:sz w:val="24"/>
          <w:highlight w:val="none"/>
        </w:rPr>
      </w:pPr>
      <w:r>
        <w:rPr>
          <w:rFonts w:eastAsia="仿宋"/>
          <w:sz w:val="24"/>
          <w:highlight w:val="none"/>
        </w:rPr>
        <w:t>（2）安装调试检验：中标人将设备安装、调试完成后，由使用</w:t>
      </w:r>
      <w:r>
        <w:rPr>
          <w:rFonts w:hint="eastAsia" w:eastAsia="仿宋"/>
          <w:sz w:val="24"/>
          <w:highlight w:val="none"/>
        </w:rPr>
        <w:t>单位</w:t>
      </w:r>
      <w:r>
        <w:rPr>
          <w:rFonts w:eastAsia="仿宋"/>
          <w:sz w:val="24"/>
          <w:highlight w:val="none"/>
        </w:rPr>
        <w:t>组织验收人员对安装调试情况进行验收。</w:t>
      </w:r>
    </w:p>
    <w:p w14:paraId="0577D57C">
      <w:pPr>
        <w:spacing w:line="360" w:lineRule="auto"/>
        <w:ind w:firstLine="480" w:firstLineChars="200"/>
        <w:jc w:val="left"/>
        <w:rPr>
          <w:rFonts w:eastAsia="仿宋"/>
          <w:sz w:val="24"/>
          <w:highlight w:val="none"/>
        </w:rPr>
      </w:pPr>
      <w:r>
        <w:rPr>
          <w:rFonts w:eastAsia="仿宋"/>
          <w:sz w:val="24"/>
          <w:highlight w:val="none"/>
        </w:rPr>
        <w:t>（3）最终验收：由使用</w:t>
      </w:r>
      <w:r>
        <w:rPr>
          <w:rFonts w:hint="eastAsia" w:eastAsia="仿宋"/>
          <w:sz w:val="24"/>
          <w:highlight w:val="none"/>
        </w:rPr>
        <w:t>单位</w:t>
      </w:r>
      <w:r>
        <w:rPr>
          <w:rFonts w:eastAsia="仿宋"/>
          <w:sz w:val="24"/>
          <w:highlight w:val="none"/>
        </w:rPr>
        <w:t>组织验收人员进行最终验收。</w:t>
      </w:r>
    </w:p>
    <w:p w14:paraId="78BD0BC5">
      <w:pPr>
        <w:spacing w:line="360" w:lineRule="auto"/>
        <w:ind w:firstLine="480" w:firstLineChars="200"/>
        <w:jc w:val="left"/>
        <w:rPr>
          <w:rFonts w:eastAsia="仿宋"/>
          <w:sz w:val="24"/>
          <w:highlight w:val="none"/>
        </w:rPr>
      </w:pPr>
      <w:r>
        <w:rPr>
          <w:rFonts w:hint="eastAsia" w:eastAsia="仿宋"/>
          <w:sz w:val="24"/>
          <w:highlight w:val="none"/>
        </w:rPr>
        <w:t>5.3.3</w:t>
      </w:r>
      <w:r>
        <w:rPr>
          <w:rFonts w:eastAsia="仿宋"/>
          <w:sz w:val="24"/>
          <w:highlight w:val="none"/>
        </w:rPr>
        <w:t>履约验收内容</w:t>
      </w:r>
    </w:p>
    <w:p w14:paraId="0A5AE22C">
      <w:pPr>
        <w:spacing w:line="360" w:lineRule="auto"/>
        <w:ind w:firstLine="480" w:firstLineChars="200"/>
        <w:jc w:val="left"/>
        <w:rPr>
          <w:rFonts w:eastAsia="仿宋"/>
          <w:sz w:val="24"/>
          <w:highlight w:val="none"/>
        </w:rPr>
      </w:pPr>
      <w:r>
        <w:rPr>
          <w:rFonts w:eastAsia="仿宋"/>
          <w:sz w:val="24"/>
          <w:highlight w:val="none"/>
        </w:rPr>
        <w:t>验收内容包括招标文件中的每一项技术和商务要求的履约情况。</w:t>
      </w:r>
    </w:p>
    <w:p w14:paraId="623B03DB">
      <w:pPr>
        <w:spacing w:line="360" w:lineRule="auto"/>
        <w:ind w:firstLine="480" w:firstLineChars="200"/>
        <w:jc w:val="left"/>
        <w:rPr>
          <w:rFonts w:eastAsia="仿宋"/>
          <w:sz w:val="24"/>
          <w:highlight w:val="none"/>
        </w:rPr>
      </w:pPr>
      <w:r>
        <w:rPr>
          <w:rFonts w:hint="eastAsia" w:eastAsia="仿宋"/>
          <w:sz w:val="24"/>
          <w:highlight w:val="none"/>
        </w:rPr>
        <w:t>5.3.4</w:t>
      </w:r>
      <w:r>
        <w:rPr>
          <w:rFonts w:eastAsia="仿宋"/>
          <w:sz w:val="24"/>
          <w:highlight w:val="none"/>
        </w:rPr>
        <w:t>履约验收验收标准</w:t>
      </w:r>
    </w:p>
    <w:p w14:paraId="2EEC6809">
      <w:pPr>
        <w:spacing w:line="360" w:lineRule="auto"/>
        <w:ind w:firstLine="480" w:firstLineChars="200"/>
        <w:jc w:val="left"/>
        <w:rPr>
          <w:rFonts w:hint="eastAsia" w:eastAsia="仿宋"/>
          <w:sz w:val="24"/>
          <w:highlight w:val="none"/>
        </w:rPr>
      </w:pPr>
      <w:r>
        <w:rPr>
          <w:rFonts w:eastAsia="仿宋"/>
          <w:sz w:val="24"/>
          <w:highlight w:val="none"/>
        </w:rPr>
        <w:t>招标文件、中标人的投标文件、合同及国家有关的质量标准规定，均为验收标准及依据</w:t>
      </w:r>
      <w:r>
        <w:rPr>
          <w:rFonts w:hint="eastAsia" w:eastAsia="仿宋"/>
          <w:sz w:val="24"/>
          <w:highlight w:val="none"/>
        </w:rPr>
        <w:t>。</w:t>
      </w:r>
    </w:p>
    <w:p w14:paraId="3E964BA3">
      <w:pPr>
        <w:spacing w:line="360" w:lineRule="auto"/>
        <w:ind w:firstLine="480" w:firstLineChars="200"/>
        <w:jc w:val="left"/>
        <w:rPr>
          <w:rFonts w:eastAsia="仿宋"/>
          <w:sz w:val="24"/>
          <w:highlight w:val="none"/>
        </w:rPr>
      </w:pPr>
      <w:r>
        <w:rPr>
          <w:rFonts w:hint="eastAsia" w:eastAsia="仿宋"/>
          <w:sz w:val="24"/>
          <w:highlight w:val="none"/>
        </w:rPr>
        <w:t xml:space="preserve">5.4 </w:t>
      </w:r>
      <w:r>
        <w:rPr>
          <w:rFonts w:eastAsia="仿宋"/>
          <w:sz w:val="24"/>
          <w:highlight w:val="none"/>
        </w:rPr>
        <w:t>投标人需按招标文件要求，对要求单独报价的配件</w:t>
      </w:r>
      <w:r>
        <w:rPr>
          <w:rFonts w:hint="eastAsia" w:eastAsia="仿宋"/>
          <w:sz w:val="24"/>
          <w:highlight w:val="none"/>
        </w:rPr>
        <w:t>（或附件）</w:t>
      </w:r>
      <w:r>
        <w:rPr>
          <w:rFonts w:eastAsia="仿宋"/>
          <w:sz w:val="24"/>
          <w:highlight w:val="none"/>
        </w:rPr>
        <w:t>进行单独报价，计入投标</w:t>
      </w:r>
      <w:r>
        <w:rPr>
          <w:rFonts w:hint="eastAsia" w:eastAsia="仿宋"/>
          <w:sz w:val="24"/>
          <w:highlight w:val="none"/>
        </w:rPr>
        <w:t>报</w:t>
      </w:r>
      <w:r>
        <w:rPr>
          <w:rFonts w:eastAsia="仿宋"/>
          <w:sz w:val="24"/>
          <w:highlight w:val="none"/>
        </w:rPr>
        <w:t>价或不计入投标</w:t>
      </w:r>
      <w:r>
        <w:rPr>
          <w:rFonts w:hint="eastAsia" w:eastAsia="仿宋"/>
          <w:sz w:val="24"/>
          <w:highlight w:val="none"/>
        </w:rPr>
        <w:t>报</w:t>
      </w:r>
      <w:r>
        <w:rPr>
          <w:rFonts w:eastAsia="仿宋"/>
          <w:sz w:val="24"/>
          <w:highlight w:val="none"/>
        </w:rPr>
        <w:t>价（详见第六章投标文件格式表3-2《单独报价配件</w:t>
      </w:r>
      <w:r>
        <w:rPr>
          <w:rFonts w:hint="eastAsia" w:eastAsia="仿宋"/>
          <w:sz w:val="24"/>
          <w:highlight w:val="none"/>
        </w:rPr>
        <w:t>（或附件）</w:t>
      </w:r>
      <w:r>
        <w:rPr>
          <w:rFonts w:eastAsia="仿宋"/>
          <w:sz w:val="24"/>
          <w:highlight w:val="none"/>
        </w:rPr>
        <w:t>一览表》）。</w:t>
      </w:r>
    </w:p>
    <w:p w14:paraId="402DB164">
      <w:pPr>
        <w:spacing w:line="360" w:lineRule="auto"/>
        <w:ind w:firstLine="480" w:firstLineChars="200"/>
        <w:jc w:val="left"/>
        <w:rPr>
          <w:rFonts w:hint="eastAsia" w:eastAsia="仿宋"/>
          <w:sz w:val="24"/>
          <w:highlight w:val="none"/>
        </w:rPr>
      </w:pPr>
      <w:r>
        <w:rPr>
          <w:rFonts w:hint="eastAsia" w:eastAsia="仿宋"/>
          <w:sz w:val="24"/>
          <w:highlight w:val="none"/>
        </w:rPr>
        <w:t>在签订分合同时，各使用单位可根据临床适用需求决定选择性采购招标文件中列明须单独报价的配件（或附件），实际合同价格为相应标准配置设备中标价格与未选择采购配件（或附件）价格的相应价格之差，或实际合同价格为相应标准配置设备中标价格与选择多采购配件（或附件）价格的相应价格之和。选择采购内容的执行价格不得高于投标文件中承诺的价格。投标人不得以货物的实际供货数量有变化为理由要求对各种货物的单价进行变更或拒签合同。</w:t>
      </w:r>
    </w:p>
    <w:p w14:paraId="2D9720C1">
      <w:pPr>
        <w:spacing w:line="360" w:lineRule="auto"/>
        <w:ind w:firstLine="480" w:firstLineChars="200"/>
        <w:jc w:val="left"/>
        <w:rPr>
          <w:rFonts w:hint="default" w:eastAsia="仿宋"/>
          <w:sz w:val="24"/>
          <w:highlight w:val="none"/>
          <w:lang w:val="en-US" w:eastAsia="zh-CN"/>
        </w:rPr>
      </w:pPr>
      <w:r>
        <w:rPr>
          <w:rFonts w:hint="eastAsia" w:eastAsia="仿宋"/>
          <w:sz w:val="24"/>
          <w:highlight w:val="none"/>
        </w:rPr>
        <w:t>5.5</w:t>
      </w:r>
      <w:r>
        <w:rPr>
          <w:rFonts w:hint="eastAsia" w:eastAsia="仿宋"/>
          <w:sz w:val="24"/>
          <w:highlight w:val="none"/>
          <w:lang w:val="en-US" w:eastAsia="zh-CN"/>
        </w:rPr>
        <w:t>应急服务要求：中标人</w:t>
      </w:r>
      <w:r>
        <w:rPr>
          <w:rFonts w:hint="eastAsia" w:eastAsia="仿宋"/>
          <w:sz w:val="24"/>
          <w:highlight w:val="none"/>
        </w:rPr>
        <w:t>应在中国境内方便的地点设置备件库，存入必须的备件，保证10年</w:t>
      </w:r>
      <w:r>
        <w:rPr>
          <w:rFonts w:hint="eastAsia" w:eastAsia="仿宋"/>
          <w:sz w:val="24"/>
          <w:highlight w:val="none"/>
          <w:lang w:val="en-US" w:eastAsia="zh-CN"/>
        </w:rPr>
        <w:t>以上</w:t>
      </w:r>
      <w:r>
        <w:rPr>
          <w:rFonts w:hint="eastAsia" w:eastAsia="仿宋"/>
          <w:sz w:val="24"/>
          <w:highlight w:val="none"/>
        </w:rPr>
        <w:t>零部件供应期</w:t>
      </w:r>
      <w:r>
        <w:rPr>
          <w:rFonts w:hint="eastAsia" w:eastAsia="仿宋"/>
          <w:sz w:val="24"/>
          <w:highlight w:val="none"/>
          <w:lang w:eastAsia="zh-CN"/>
        </w:rPr>
        <w:t>，</w:t>
      </w:r>
      <w:r>
        <w:rPr>
          <w:rFonts w:hint="eastAsia" w:eastAsia="仿宋"/>
          <w:sz w:val="24"/>
          <w:highlight w:val="none"/>
          <w:lang w:val="en-US" w:eastAsia="zh-CN"/>
        </w:rPr>
        <w:t>中标人应对设备故障等突发状况及时响应。</w:t>
      </w:r>
      <w:r>
        <w:rPr>
          <w:rFonts w:hint="eastAsia" w:ascii="Times New Roman" w:hAnsi="Times New Roman" w:eastAsia="仿宋" w:cs="Times New Roman"/>
          <w:sz w:val="24"/>
          <w:highlight w:val="none"/>
        </w:rPr>
        <w:t>若24小时内未修复设备故障，提供备用设备</w:t>
      </w:r>
      <w:r>
        <w:rPr>
          <w:rFonts w:hint="eastAsia" w:ascii="Times New Roman" w:hAnsi="Times New Roman" w:eastAsia="仿宋" w:cs="Times New Roman"/>
          <w:sz w:val="24"/>
          <w:highlight w:val="none"/>
          <w:lang w:val="en-US" w:eastAsia="zh-CN"/>
        </w:rPr>
        <w:t>供院方使用。</w:t>
      </w:r>
    </w:p>
    <w:p w14:paraId="41973607">
      <w:pPr>
        <w:spacing w:line="360" w:lineRule="auto"/>
        <w:ind w:firstLine="480" w:firstLineChars="200"/>
        <w:jc w:val="left"/>
        <w:rPr>
          <w:rFonts w:hint="eastAsia" w:eastAsia="仿宋"/>
          <w:sz w:val="24"/>
          <w:highlight w:val="none"/>
        </w:rPr>
      </w:pPr>
      <w:r>
        <w:rPr>
          <w:rFonts w:hint="eastAsia" w:eastAsia="仿宋"/>
          <w:sz w:val="24"/>
          <w:highlight w:val="none"/>
          <w:lang w:val="en-US" w:eastAsia="zh-CN"/>
        </w:rPr>
        <w:t xml:space="preserve">5.6 </w:t>
      </w:r>
      <w:r>
        <w:rPr>
          <w:rFonts w:hint="eastAsia" w:eastAsia="仿宋"/>
          <w:sz w:val="24"/>
          <w:highlight w:val="none"/>
        </w:rPr>
        <w:t>安装调试、验收试验及质量保证</w:t>
      </w:r>
    </w:p>
    <w:p w14:paraId="7297D52F">
      <w:pPr>
        <w:spacing w:line="360" w:lineRule="auto"/>
        <w:ind w:firstLine="480" w:firstLineChars="200"/>
        <w:jc w:val="left"/>
        <w:rPr>
          <w:rFonts w:hint="eastAsia" w:eastAsia="仿宋"/>
          <w:sz w:val="24"/>
          <w:highlight w:val="none"/>
        </w:rPr>
      </w:pPr>
      <w:r>
        <w:rPr>
          <w:rFonts w:hint="eastAsia" w:eastAsia="仿宋"/>
          <w:sz w:val="24"/>
          <w:highlight w:val="none"/>
          <w:lang w:eastAsia="zh-CN"/>
        </w:rPr>
        <w:t>5</w:t>
      </w:r>
      <w:r>
        <w:rPr>
          <w:rFonts w:hint="eastAsia" w:eastAsia="仿宋"/>
          <w:sz w:val="24"/>
          <w:highlight w:val="none"/>
          <w:lang w:val="en-US" w:eastAsia="zh-CN"/>
        </w:rPr>
        <w:t>.6.1</w:t>
      </w:r>
      <w:r>
        <w:rPr>
          <w:rFonts w:hint="eastAsia" w:eastAsia="仿宋"/>
          <w:sz w:val="24"/>
          <w:highlight w:val="none"/>
        </w:rPr>
        <w:t>中标人在设备安装地点负责安装、调试。</w:t>
      </w:r>
    </w:p>
    <w:p w14:paraId="14F9DC90">
      <w:pPr>
        <w:spacing w:line="360" w:lineRule="auto"/>
        <w:ind w:firstLine="480" w:firstLineChars="200"/>
        <w:jc w:val="left"/>
        <w:rPr>
          <w:rFonts w:hint="eastAsia" w:eastAsia="仿宋"/>
          <w:sz w:val="24"/>
          <w:highlight w:val="none"/>
        </w:rPr>
      </w:pPr>
      <w:r>
        <w:rPr>
          <w:rFonts w:hint="eastAsia" w:eastAsia="仿宋"/>
          <w:sz w:val="24"/>
          <w:highlight w:val="none"/>
          <w:lang w:eastAsia="zh-CN"/>
        </w:rPr>
        <w:t>5</w:t>
      </w:r>
      <w:r>
        <w:rPr>
          <w:rFonts w:hint="eastAsia" w:eastAsia="仿宋"/>
          <w:sz w:val="24"/>
          <w:highlight w:val="none"/>
          <w:lang w:val="en-US" w:eastAsia="zh-CN"/>
        </w:rPr>
        <w:t>.6.2</w:t>
      </w:r>
      <w:r>
        <w:rPr>
          <w:rFonts w:hint="eastAsia" w:eastAsia="仿宋"/>
          <w:sz w:val="24"/>
          <w:highlight w:val="none"/>
        </w:rPr>
        <w:t>具体设备验收标准和程序按采购人要求执行，下列验收程序可参照执行：</w:t>
      </w:r>
    </w:p>
    <w:p w14:paraId="5F5DC514">
      <w:pPr>
        <w:spacing w:line="360" w:lineRule="auto"/>
        <w:ind w:firstLine="480" w:firstLineChars="200"/>
        <w:jc w:val="left"/>
        <w:rPr>
          <w:rFonts w:hint="eastAsia" w:eastAsia="仿宋"/>
          <w:sz w:val="24"/>
          <w:highlight w:val="none"/>
        </w:rPr>
      </w:pPr>
      <w:r>
        <w:rPr>
          <w:rFonts w:hint="eastAsia" w:eastAsia="仿宋"/>
          <w:sz w:val="24"/>
          <w:highlight w:val="none"/>
          <w:lang w:eastAsia="zh-CN"/>
        </w:rPr>
        <w:t>（</w:t>
      </w:r>
      <w:r>
        <w:rPr>
          <w:rFonts w:hint="eastAsia" w:eastAsia="仿宋"/>
          <w:sz w:val="24"/>
          <w:highlight w:val="none"/>
          <w:lang w:val="en-US" w:eastAsia="zh-CN"/>
        </w:rPr>
        <w:t>1）</w:t>
      </w:r>
      <w:r>
        <w:rPr>
          <w:rFonts w:hint="eastAsia" w:eastAsia="仿宋"/>
          <w:sz w:val="24"/>
          <w:highlight w:val="none"/>
        </w:rPr>
        <w:t>采购人和相关部门按照招标文件和投标文件承诺进行验收。招标文件没有规定和投标文件没有相应承诺的，按照下列原则进行验收：有国家标准的按照国家标准验收，没有国家标准的按行业标准验收，无行业标准的按地方或企业标准验收，中标人予以配合。涉及需要由质检或行业主管部门验收的项目，采购人须约请相关部门和专家参加项目验收。所有需要质检部门进行检测才能使用的设备，投标报价中必须包含首次检测费用。</w:t>
      </w:r>
    </w:p>
    <w:p w14:paraId="00CD48CB">
      <w:pPr>
        <w:spacing w:line="360" w:lineRule="auto"/>
        <w:ind w:firstLine="480" w:firstLineChars="200"/>
        <w:jc w:val="left"/>
        <w:rPr>
          <w:rFonts w:hint="eastAsia" w:eastAsia="仿宋"/>
          <w:sz w:val="24"/>
          <w:highlight w:val="none"/>
        </w:rPr>
      </w:pPr>
      <w:r>
        <w:rPr>
          <w:rFonts w:hint="eastAsia" w:eastAsia="仿宋"/>
          <w:sz w:val="24"/>
          <w:highlight w:val="none"/>
          <w:lang w:eastAsia="zh-CN"/>
        </w:rPr>
        <w:t>（</w:t>
      </w:r>
      <w:r>
        <w:rPr>
          <w:rFonts w:hint="eastAsia" w:eastAsia="仿宋"/>
          <w:sz w:val="24"/>
          <w:highlight w:val="none"/>
          <w:lang w:val="en-US" w:eastAsia="zh-CN"/>
        </w:rPr>
        <w:t>2）</w:t>
      </w:r>
      <w:r>
        <w:rPr>
          <w:rFonts w:hint="eastAsia" w:eastAsia="仿宋"/>
          <w:sz w:val="24"/>
          <w:highlight w:val="none"/>
        </w:rPr>
        <w:t>货物在验收时，中标人应提供发票、制造厂家出具的产品合格证书、装箱清单等,涉及进口的部件须提供中国海关进口货物报关单、完税证明及商检证明等材料；提供有关货物的保养修理所需的各种随机工具及全部有关技术文件（外文应提供中文翻译资料，下同）、操作使用说明书、质保书、保修证明、维护手册及技术性指导资料以及根据中国相关法律规定制造、销售报价货物（包括主要部件和材料）所必备的各种证书 (如产品质量检验报告、国家相关检测机构出具的检验报告等）等文件汇集成册交付采购人和应由中标人提供的必要文件。</w:t>
      </w:r>
    </w:p>
    <w:p w14:paraId="7AE48355">
      <w:pPr>
        <w:spacing w:line="360" w:lineRule="auto"/>
        <w:ind w:firstLine="480" w:firstLineChars="200"/>
        <w:jc w:val="left"/>
        <w:rPr>
          <w:rFonts w:hint="eastAsia" w:eastAsia="仿宋"/>
          <w:sz w:val="24"/>
          <w:highlight w:val="none"/>
        </w:rPr>
      </w:pPr>
      <w:r>
        <w:rPr>
          <w:rFonts w:hint="eastAsia" w:eastAsia="仿宋"/>
          <w:sz w:val="24"/>
          <w:highlight w:val="none"/>
          <w:lang w:eastAsia="zh-CN"/>
        </w:rPr>
        <w:t>（</w:t>
      </w:r>
      <w:r>
        <w:rPr>
          <w:rFonts w:hint="eastAsia" w:eastAsia="仿宋"/>
          <w:sz w:val="24"/>
          <w:highlight w:val="none"/>
          <w:lang w:val="en-US" w:eastAsia="zh-CN"/>
        </w:rPr>
        <w:t>3）</w:t>
      </w:r>
      <w:r>
        <w:rPr>
          <w:rFonts w:hint="eastAsia" w:eastAsia="仿宋"/>
          <w:sz w:val="24"/>
          <w:highlight w:val="none"/>
        </w:rPr>
        <w:t>中标人应根据采购人使用单位的技术要求提供相应的产品。由中标人所提供的设备部件间的连线和插接件均应视为设备内部器件，包含在相应的设备之中。</w:t>
      </w:r>
    </w:p>
    <w:p w14:paraId="6BB824B9">
      <w:pPr>
        <w:spacing w:line="360" w:lineRule="auto"/>
        <w:ind w:firstLine="480" w:firstLineChars="200"/>
        <w:jc w:val="left"/>
        <w:rPr>
          <w:rFonts w:hint="eastAsia" w:eastAsia="仿宋"/>
          <w:sz w:val="24"/>
          <w:highlight w:val="none"/>
        </w:rPr>
      </w:pPr>
      <w:r>
        <w:rPr>
          <w:rFonts w:hint="eastAsia" w:eastAsia="仿宋"/>
          <w:sz w:val="24"/>
          <w:highlight w:val="none"/>
          <w:lang w:eastAsia="zh-CN"/>
        </w:rPr>
        <w:t>（</w:t>
      </w:r>
      <w:r>
        <w:rPr>
          <w:rFonts w:hint="eastAsia" w:eastAsia="仿宋"/>
          <w:sz w:val="24"/>
          <w:highlight w:val="none"/>
          <w:lang w:val="en-US" w:eastAsia="zh-CN"/>
        </w:rPr>
        <w:t>4）</w:t>
      </w:r>
      <w:r>
        <w:rPr>
          <w:rFonts w:hint="eastAsia" w:eastAsia="仿宋"/>
          <w:sz w:val="24"/>
          <w:highlight w:val="none"/>
        </w:rPr>
        <w:t>运行测试及最终验收。在系统安装、调试结束后，采购人对其进行全面的测试，对测试中暴露出来的问题，中标人应及时进行整改，系统最终测试完毕经验收合格后，采购人应向中标人签发最终验收证明。</w:t>
      </w:r>
    </w:p>
    <w:p w14:paraId="522C261E">
      <w:pPr>
        <w:spacing w:line="360" w:lineRule="auto"/>
        <w:ind w:firstLine="480" w:firstLineChars="200"/>
        <w:jc w:val="left"/>
        <w:rPr>
          <w:rFonts w:hint="eastAsia" w:eastAsia="仿宋"/>
          <w:sz w:val="24"/>
          <w:highlight w:val="none"/>
        </w:rPr>
      </w:pPr>
      <w:r>
        <w:rPr>
          <w:rFonts w:hint="eastAsia" w:eastAsia="仿宋"/>
          <w:sz w:val="24"/>
          <w:highlight w:val="none"/>
          <w:lang w:eastAsia="zh-CN"/>
        </w:rPr>
        <w:t>（</w:t>
      </w:r>
      <w:r>
        <w:rPr>
          <w:rFonts w:hint="eastAsia" w:eastAsia="仿宋"/>
          <w:sz w:val="24"/>
          <w:highlight w:val="none"/>
          <w:lang w:val="en-US" w:eastAsia="zh-CN"/>
        </w:rPr>
        <w:t>5）</w:t>
      </w:r>
      <w:r>
        <w:rPr>
          <w:rFonts w:hint="eastAsia" w:eastAsia="仿宋"/>
          <w:sz w:val="24"/>
          <w:highlight w:val="none"/>
        </w:rPr>
        <w:t>中标人应向采购人提供安装调试过程中的各种文档资料,以便采购人今后能掌握操作和维护方法。依据合同与合同有关条件、本招标文件的技术规范、系统配置要求、设备技术文件和系统说明书，以及国家和省部级等要求进行验收。</w:t>
      </w:r>
    </w:p>
    <w:p w14:paraId="60F4D308">
      <w:pPr>
        <w:spacing w:line="360" w:lineRule="auto"/>
        <w:ind w:firstLine="480" w:firstLineChars="200"/>
        <w:jc w:val="left"/>
        <w:rPr>
          <w:rFonts w:hint="eastAsia" w:eastAsia="仿宋"/>
          <w:sz w:val="24"/>
          <w:highlight w:val="none"/>
        </w:rPr>
      </w:pPr>
      <w:r>
        <w:rPr>
          <w:rFonts w:hint="eastAsia" w:eastAsia="仿宋"/>
          <w:sz w:val="24"/>
          <w:highlight w:val="none"/>
          <w:lang w:eastAsia="zh-CN"/>
        </w:rPr>
        <w:t>5</w:t>
      </w:r>
      <w:r>
        <w:rPr>
          <w:rFonts w:hint="eastAsia" w:eastAsia="仿宋"/>
          <w:sz w:val="24"/>
          <w:highlight w:val="none"/>
          <w:lang w:val="en-US" w:eastAsia="zh-CN"/>
        </w:rPr>
        <w:t>.6.3</w:t>
      </w:r>
      <w:r>
        <w:rPr>
          <w:rFonts w:hint="eastAsia" w:eastAsia="仿宋"/>
          <w:sz w:val="24"/>
          <w:highlight w:val="none"/>
        </w:rPr>
        <w:t>如设备在验收时有一个或多个指标未能达到要求而属于中标人责任时，则中标人自费采取有效措施，在规定时间内使之达到保证指标。如在规定的时间内仍达不到合格标准时，则中标人应向采购人赔偿。</w:t>
      </w:r>
    </w:p>
    <w:p w14:paraId="0B289DEB">
      <w:pPr>
        <w:spacing w:line="360" w:lineRule="auto"/>
        <w:ind w:firstLine="480" w:firstLineChars="200"/>
        <w:jc w:val="left"/>
        <w:rPr>
          <w:rFonts w:hint="eastAsia" w:eastAsia="仿宋"/>
          <w:sz w:val="24"/>
          <w:highlight w:val="none"/>
        </w:rPr>
      </w:pPr>
      <w:r>
        <w:rPr>
          <w:rFonts w:hint="eastAsia" w:eastAsia="仿宋"/>
          <w:sz w:val="24"/>
          <w:highlight w:val="none"/>
          <w:lang w:eastAsia="zh-CN"/>
        </w:rPr>
        <w:t>5</w:t>
      </w:r>
      <w:r>
        <w:rPr>
          <w:rFonts w:hint="eastAsia" w:eastAsia="仿宋"/>
          <w:sz w:val="24"/>
          <w:highlight w:val="none"/>
          <w:lang w:val="en-US" w:eastAsia="zh-CN"/>
        </w:rPr>
        <w:t xml:space="preserve">.7 </w:t>
      </w:r>
      <w:r>
        <w:rPr>
          <w:rFonts w:hint="eastAsia" w:eastAsia="仿宋"/>
          <w:sz w:val="24"/>
          <w:highlight w:val="none"/>
        </w:rPr>
        <w:t>包装运输</w:t>
      </w:r>
    </w:p>
    <w:p w14:paraId="513C6659">
      <w:pPr>
        <w:spacing w:line="360" w:lineRule="auto"/>
        <w:ind w:firstLine="480" w:firstLineChars="200"/>
        <w:jc w:val="left"/>
        <w:rPr>
          <w:rFonts w:hint="eastAsia" w:eastAsia="仿宋"/>
          <w:sz w:val="24"/>
          <w:highlight w:val="none"/>
        </w:rPr>
      </w:pPr>
      <w:r>
        <w:rPr>
          <w:rFonts w:hint="eastAsia" w:eastAsia="仿宋"/>
          <w:sz w:val="24"/>
          <w:highlight w:val="none"/>
          <w:lang w:eastAsia="zh-CN"/>
        </w:rPr>
        <w:t>（</w:t>
      </w:r>
      <w:r>
        <w:rPr>
          <w:rFonts w:hint="eastAsia" w:eastAsia="仿宋"/>
          <w:sz w:val="24"/>
          <w:highlight w:val="none"/>
          <w:lang w:val="en-US" w:eastAsia="zh-CN"/>
        </w:rPr>
        <w:t>1）</w:t>
      </w:r>
      <w:r>
        <w:rPr>
          <w:rFonts w:hint="eastAsia" w:eastAsia="仿宋"/>
          <w:sz w:val="24"/>
          <w:highlight w:val="none"/>
        </w:rPr>
        <w:t>中标人负责设备包装、办理运输和保险，将设备安全运抵交货地点。</w:t>
      </w:r>
    </w:p>
    <w:p w14:paraId="1E4E93B8">
      <w:pPr>
        <w:spacing w:line="360" w:lineRule="auto"/>
        <w:ind w:firstLine="480" w:firstLineChars="200"/>
        <w:jc w:val="left"/>
        <w:rPr>
          <w:rFonts w:hint="eastAsia" w:eastAsia="仿宋"/>
          <w:sz w:val="24"/>
          <w:highlight w:val="none"/>
        </w:rPr>
      </w:pPr>
      <w:r>
        <w:rPr>
          <w:rFonts w:hint="eastAsia" w:eastAsia="仿宋"/>
          <w:sz w:val="24"/>
          <w:highlight w:val="none"/>
          <w:lang w:eastAsia="zh-CN"/>
        </w:rPr>
        <w:t>（</w:t>
      </w:r>
      <w:r>
        <w:rPr>
          <w:rFonts w:hint="eastAsia" w:eastAsia="仿宋"/>
          <w:sz w:val="24"/>
          <w:highlight w:val="none"/>
          <w:lang w:val="en-US" w:eastAsia="zh-CN"/>
        </w:rPr>
        <w:t>2）</w:t>
      </w:r>
      <w:r>
        <w:rPr>
          <w:rFonts w:hint="eastAsia" w:eastAsia="仿宋"/>
          <w:sz w:val="24"/>
          <w:highlight w:val="none"/>
        </w:rPr>
        <w:t>设备制造完成并通过试验后应及时包装，否则应得到切实的保护，确保其不受污损。</w:t>
      </w:r>
    </w:p>
    <w:p w14:paraId="479BE208">
      <w:pPr>
        <w:spacing w:line="360" w:lineRule="auto"/>
        <w:ind w:firstLine="480" w:firstLineChars="200"/>
        <w:jc w:val="left"/>
        <w:rPr>
          <w:rFonts w:hint="eastAsia" w:eastAsia="仿宋"/>
          <w:sz w:val="24"/>
          <w:highlight w:val="none"/>
        </w:rPr>
      </w:pPr>
      <w:r>
        <w:rPr>
          <w:rFonts w:hint="eastAsia" w:eastAsia="仿宋"/>
          <w:sz w:val="24"/>
          <w:highlight w:val="none"/>
          <w:lang w:eastAsia="zh-CN"/>
        </w:rPr>
        <w:t>（</w:t>
      </w:r>
      <w:r>
        <w:rPr>
          <w:rFonts w:hint="eastAsia" w:eastAsia="仿宋"/>
          <w:sz w:val="24"/>
          <w:highlight w:val="none"/>
          <w:lang w:val="en-US" w:eastAsia="zh-CN"/>
        </w:rPr>
        <w:t>3）</w:t>
      </w:r>
      <w:r>
        <w:rPr>
          <w:rFonts w:hint="eastAsia" w:eastAsia="仿宋"/>
          <w:sz w:val="24"/>
          <w:highlight w:val="none"/>
        </w:rPr>
        <w:t>在包装箱外应标明采购人的订货号、发货号。</w:t>
      </w:r>
    </w:p>
    <w:p w14:paraId="7D3D006A">
      <w:pPr>
        <w:spacing w:line="360" w:lineRule="auto"/>
        <w:ind w:firstLine="480" w:firstLineChars="200"/>
        <w:jc w:val="left"/>
        <w:rPr>
          <w:rFonts w:hint="eastAsia" w:eastAsia="仿宋"/>
          <w:sz w:val="24"/>
          <w:highlight w:val="none"/>
        </w:rPr>
      </w:pPr>
      <w:r>
        <w:rPr>
          <w:rFonts w:hint="eastAsia" w:eastAsia="仿宋"/>
          <w:sz w:val="24"/>
          <w:highlight w:val="none"/>
          <w:lang w:eastAsia="zh-CN"/>
        </w:rPr>
        <w:t>（</w:t>
      </w:r>
      <w:r>
        <w:rPr>
          <w:rFonts w:hint="eastAsia" w:eastAsia="仿宋"/>
          <w:sz w:val="24"/>
          <w:highlight w:val="none"/>
          <w:lang w:val="en-US" w:eastAsia="zh-CN"/>
        </w:rPr>
        <w:t>4）</w:t>
      </w:r>
      <w:r>
        <w:rPr>
          <w:rFonts w:hint="eastAsia" w:eastAsia="仿宋"/>
          <w:sz w:val="24"/>
          <w:highlight w:val="none"/>
        </w:rPr>
        <w:t>各种包装应能确保各零部件在运输过程中不致遭到损坏、丢失、变形、受潮和腐蚀。</w:t>
      </w:r>
    </w:p>
    <w:p w14:paraId="1D076C68">
      <w:pPr>
        <w:spacing w:line="360" w:lineRule="auto"/>
        <w:ind w:firstLine="480" w:firstLineChars="200"/>
        <w:jc w:val="left"/>
        <w:rPr>
          <w:rFonts w:hint="eastAsia" w:eastAsia="仿宋"/>
          <w:sz w:val="24"/>
          <w:highlight w:val="none"/>
        </w:rPr>
      </w:pPr>
      <w:r>
        <w:rPr>
          <w:rFonts w:hint="eastAsia" w:eastAsia="仿宋"/>
          <w:sz w:val="24"/>
          <w:highlight w:val="none"/>
          <w:lang w:eastAsia="zh-CN"/>
        </w:rPr>
        <w:t>（</w:t>
      </w:r>
      <w:r>
        <w:rPr>
          <w:rFonts w:hint="eastAsia" w:eastAsia="仿宋"/>
          <w:sz w:val="24"/>
          <w:highlight w:val="none"/>
          <w:lang w:val="en-US" w:eastAsia="zh-CN"/>
        </w:rPr>
        <w:t>5）</w:t>
      </w:r>
      <w:r>
        <w:rPr>
          <w:rFonts w:hint="eastAsia" w:eastAsia="仿宋"/>
          <w:sz w:val="24"/>
          <w:highlight w:val="none"/>
        </w:rPr>
        <w:t>包装箱上应有明显的包装储运图示标志。</w:t>
      </w:r>
    </w:p>
    <w:p w14:paraId="221FDDC8">
      <w:pPr>
        <w:spacing w:line="360" w:lineRule="auto"/>
        <w:ind w:firstLine="480" w:firstLineChars="200"/>
        <w:jc w:val="left"/>
        <w:rPr>
          <w:rFonts w:hint="eastAsia" w:eastAsia="仿宋"/>
          <w:sz w:val="24"/>
          <w:highlight w:val="none"/>
        </w:rPr>
      </w:pPr>
      <w:r>
        <w:rPr>
          <w:rFonts w:hint="eastAsia" w:eastAsia="仿宋"/>
          <w:sz w:val="24"/>
          <w:highlight w:val="none"/>
          <w:lang w:eastAsia="zh-CN"/>
        </w:rPr>
        <w:t>（</w:t>
      </w:r>
      <w:r>
        <w:rPr>
          <w:rFonts w:hint="eastAsia" w:eastAsia="仿宋"/>
          <w:sz w:val="24"/>
          <w:highlight w:val="none"/>
          <w:lang w:val="en-US" w:eastAsia="zh-CN"/>
        </w:rPr>
        <w:t>6）</w:t>
      </w:r>
      <w:r>
        <w:rPr>
          <w:rFonts w:hint="eastAsia" w:eastAsia="仿宋"/>
          <w:sz w:val="24"/>
          <w:highlight w:val="none"/>
        </w:rPr>
        <w:t>整体产品或分别运输的部件都要适应运输和装载的要求。</w:t>
      </w:r>
    </w:p>
    <w:p w14:paraId="059B3ED6">
      <w:pPr>
        <w:spacing w:line="360" w:lineRule="auto"/>
        <w:ind w:firstLine="480" w:firstLineChars="200"/>
        <w:jc w:val="left"/>
        <w:rPr>
          <w:rFonts w:hint="eastAsia" w:eastAsia="仿宋"/>
          <w:sz w:val="24"/>
          <w:highlight w:val="none"/>
        </w:rPr>
      </w:pPr>
      <w:r>
        <w:rPr>
          <w:rFonts w:hint="eastAsia" w:eastAsia="仿宋"/>
          <w:sz w:val="24"/>
          <w:highlight w:val="none"/>
          <w:lang w:eastAsia="zh-CN"/>
        </w:rPr>
        <w:t>（</w:t>
      </w:r>
      <w:r>
        <w:rPr>
          <w:rFonts w:hint="eastAsia" w:eastAsia="仿宋"/>
          <w:sz w:val="24"/>
          <w:highlight w:val="none"/>
          <w:lang w:val="en-US" w:eastAsia="zh-CN"/>
        </w:rPr>
        <w:t>7）</w:t>
      </w:r>
      <w:r>
        <w:rPr>
          <w:rFonts w:hint="eastAsia" w:eastAsia="仿宋"/>
          <w:sz w:val="24"/>
          <w:highlight w:val="none"/>
        </w:rPr>
        <w:t>随产品提供的技术资料应完整无缺。</w:t>
      </w:r>
    </w:p>
    <w:p w14:paraId="7CFABF8C">
      <w:pPr>
        <w:spacing w:line="360" w:lineRule="auto"/>
        <w:ind w:firstLine="480" w:firstLineChars="200"/>
        <w:jc w:val="left"/>
        <w:rPr>
          <w:rFonts w:hint="eastAsia" w:eastAsia="仿宋"/>
          <w:sz w:val="24"/>
          <w:highlight w:val="none"/>
          <w:lang w:val="en-US" w:eastAsia="zh-CN"/>
        </w:rPr>
      </w:pPr>
      <w:r>
        <w:rPr>
          <w:rFonts w:hint="eastAsia" w:eastAsia="仿宋"/>
          <w:sz w:val="24"/>
          <w:highlight w:val="none"/>
          <w:lang w:val="en-US" w:eastAsia="zh-CN"/>
        </w:rPr>
        <w:t>5.8 投标人所投产品应为性能稳定、安全的成熟设备，故障率低、维修便利，并在投标文件中针对所投产品技术先进性、设备性能、配置情况、设计等方面进行阐述说明，提供相应证明材料。</w:t>
      </w:r>
    </w:p>
    <w:p w14:paraId="2CFA7D1E">
      <w:pPr>
        <w:spacing w:line="360" w:lineRule="auto"/>
        <w:ind w:firstLine="480" w:firstLineChars="200"/>
        <w:jc w:val="left"/>
        <w:rPr>
          <w:rFonts w:hint="eastAsia" w:eastAsia="仿宋"/>
          <w:sz w:val="24"/>
          <w:highlight w:val="none"/>
        </w:rPr>
      </w:pPr>
    </w:p>
    <w:p w14:paraId="2F867C63">
      <w:pPr>
        <w:pStyle w:val="2"/>
        <w:widowControl/>
        <w:spacing w:before="0" w:after="0" w:line="240" w:lineRule="auto"/>
        <w:jc w:val="center"/>
        <w:rPr>
          <w:rFonts w:hint="eastAsia" w:ascii="宋体" w:hAnsi="宋体" w:eastAsia="仿宋"/>
          <w:highlight w:val="none"/>
        </w:rPr>
      </w:pPr>
      <w:bookmarkStart w:id="824" w:name="_Toc9357"/>
      <w:bookmarkStart w:id="825" w:name="_Toc466024564"/>
      <w:bookmarkStart w:id="826" w:name="_Toc445554765"/>
      <w:r>
        <w:rPr>
          <w:rFonts w:hint="eastAsia" w:ascii="宋体" w:hAnsi="宋体" w:eastAsia="仿宋"/>
          <w:highlight w:val="none"/>
        </w:rPr>
        <w:br w:type="page"/>
      </w:r>
      <w:r>
        <w:rPr>
          <w:rFonts w:hint="eastAsia" w:ascii="宋体" w:hAnsi="宋体" w:eastAsia="仿宋"/>
          <w:highlight w:val="none"/>
        </w:rPr>
        <w:t>第四章  资格审查和评标办法（综合评分法）</w:t>
      </w:r>
      <w:bookmarkEnd w:id="824"/>
    </w:p>
    <w:bookmarkEnd w:id="758"/>
    <w:bookmarkEnd w:id="759"/>
    <w:bookmarkEnd w:id="760"/>
    <w:bookmarkEnd w:id="761"/>
    <w:bookmarkEnd w:id="762"/>
    <w:bookmarkEnd w:id="763"/>
    <w:bookmarkEnd w:id="764"/>
    <w:bookmarkEnd w:id="765"/>
    <w:bookmarkEnd w:id="766"/>
    <w:bookmarkEnd w:id="825"/>
    <w:bookmarkEnd w:id="826"/>
    <w:p w14:paraId="290437A8">
      <w:pPr>
        <w:pStyle w:val="3"/>
        <w:jc w:val="center"/>
        <w:rPr>
          <w:rFonts w:hint="eastAsia" w:eastAsia="仿宋"/>
          <w:highlight w:val="none"/>
        </w:rPr>
      </w:pPr>
      <w:r>
        <w:rPr>
          <w:rFonts w:hint="eastAsia" w:eastAsia="仿宋"/>
          <w:highlight w:val="none"/>
        </w:rPr>
        <w:t>第一节  资格审查</w:t>
      </w:r>
    </w:p>
    <w:p w14:paraId="48AECCB3">
      <w:pPr>
        <w:spacing w:line="360" w:lineRule="auto"/>
        <w:jc w:val="center"/>
        <w:rPr>
          <w:rFonts w:hint="eastAsia" w:eastAsia="仿宋"/>
          <w:b/>
          <w:sz w:val="28"/>
          <w:szCs w:val="28"/>
          <w:highlight w:val="none"/>
        </w:rPr>
      </w:pPr>
      <w:r>
        <w:rPr>
          <w:rFonts w:hint="eastAsia" w:eastAsia="仿宋"/>
          <w:b/>
          <w:sz w:val="28"/>
          <w:szCs w:val="28"/>
          <w:highlight w:val="none"/>
        </w:rPr>
        <w:t>资格审查办法前附表</w:t>
      </w:r>
    </w:p>
    <w:p w14:paraId="2C7CB5E3">
      <w:pPr>
        <w:widowControl/>
        <w:adjustRightInd w:val="0"/>
        <w:snapToGrid w:val="0"/>
        <w:spacing w:before="240" w:beforeLines="100" w:after="120" w:afterLines="50" w:line="360" w:lineRule="auto"/>
        <w:ind w:firstLine="482" w:firstLineChars="200"/>
        <w:rPr>
          <w:rFonts w:hint="eastAsia" w:ascii="宋体" w:hAnsi="宋体" w:eastAsia="仿宋"/>
          <w:b/>
          <w:bCs/>
          <w:sz w:val="24"/>
          <w:highlight w:val="none"/>
        </w:rPr>
      </w:pPr>
      <w:r>
        <w:rPr>
          <w:rFonts w:hint="eastAsia" w:ascii="宋体" w:hAnsi="宋体" w:eastAsia="仿宋"/>
          <w:b/>
          <w:bCs/>
          <w:sz w:val="24"/>
          <w:highlight w:val="none"/>
        </w:rPr>
        <w:t>本《资格审查办法前附表》是对本节《资格审查》的具体补充和修改，如有不一致，以本《资格审查办法前附表》为准。</w:t>
      </w:r>
    </w:p>
    <w:tbl>
      <w:tblPr>
        <w:tblStyle w:val="48"/>
        <w:tblW w:w="508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7"/>
        <w:gridCol w:w="1496"/>
        <w:gridCol w:w="3800"/>
        <w:gridCol w:w="3998"/>
      </w:tblGrid>
      <w:tr w14:paraId="5A47F8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5000" w:type="pct"/>
            <w:gridSpan w:val="4"/>
            <w:tcBorders>
              <w:bottom w:val="single" w:color="auto" w:sz="4" w:space="0"/>
            </w:tcBorders>
            <w:noWrap w:val="0"/>
            <w:vAlign w:val="center"/>
          </w:tcPr>
          <w:p w14:paraId="461184AD">
            <w:pPr>
              <w:keepNext w:val="0"/>
              <w:keepLines w:val="0"/>
              <w:suppressLineNumbers w:val="0"/>
              <w:adjustRightInd w:val="0"/>
              <w:snapToGrid w:val="0"/>
              <w:spacing w:before="0" w:beforeAutospacing="0" w:after="0" w:afterAutospacing="0"/>
              <w:ind w:left="0" w:right="-10"/>
              <w:jc w:val="center"/>
              <w:rPr>
                <w:rFonts w:hint="eastAsia" w:ascii="宋体" w:hAnsi="宋体" w:cs="Times New Roman"/>
                <w:sz w:val="24"/>
                <w:highlight w:val="none"/>
              </w:rPr>
            </w:pPr>
            <w:r>
              <w:rPr>
                <w:rFonts w:hint="eastAsia" w:ascii="宋体" w:hAnsi="宋体" w:cs="Times New Roman"/>
                <w:b/>
                <w:sz w:val="24"/>
                <w:szCs w:val="22"/>
                <w:highlight w:val="none"/>
              </w:rPr>
              <w:t>资格审查办法前附表</w:t>
            </w:r>
          </w:p>
        </w:tc>
      </w:tr>
      <w:tr w14:paraId="1C6212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2" w:type="pct"/>
            <w:tcBorders>
              <w:bottom w:val="single" w:color="auto" w:sz="4" w:space="0"/>
            </w:tcBorders>
            <w:noWrap w:val="0"/>
            <w:vAlign w:val="center"/>
          </w:tcPr>
          <w:p w14:paraId="3A763E07">
            <w:pPr>
              <w:keepNext w:val="0"/>
              <w:keepLines w:val="0"/>
              <w:suppressLineNumbers w:val="0"/>
              <w:adjustRightInd w:val="0"/>
              <w:snapToGrid w:val="0"/>
              <w:spacing w:before="0" w:beforeAutospacing="0" w:after="0" w:afterAutospacing="0"/>
              <w:ind w:left="0" w:right="-10"/>
              <w:jc w:val="center"/>
              <w:rPr>
                <w:rFonts w:hint="default" w:ascii="宋体" w:hAnsi="宋体" w:cs="Times New Roman"/>
                <w:sz w:val="24"/>
                <w:highlight w:val="none"/>
              </w:rPr>
            </w:pPr>
            <w:r>
              <w:rPr>
                <w:rFonts w:hint="eastAsia" w:ascii="宋体" w:hAnsi="宋体" w:cs="Times New Roman"/>
                <w:sz w:val="24"/>
                <w:highlight w:val="none"/>
              </w:rPr>
              <w:t>序号</w:t>
            </w:r>
          </w:p>
        </w:tc>
        <w:tc>
          <w:tcPr>
            <w:tcW w:w="746" w:type="pct"/>
            <w:tcBorders>
              <w:bottom w:val="single" w:color="auto" w:sz="4" w:space="0"/>
            </w:tcBorders>
            <w:noWrap w:val="0"/>
            <w:vAlign w:val="center"/>
          </w:tcPr>
          <w:p w14:paraId="071DD112">
            <w:pPr>
              <w:pStyle w:val="182"/>
              <w:keepNext w:val="0"/>
              <w:keepLines w:val="0"/>
              <w:suppressLineNumbers w:val="0"/>
              <w:pBdr>
                <w:bottom w:val="none" w:color="auto" w:sz="0" w:space="0"/>
              </w:pBdr>
              <w:tabs>
                <w:tab w:val="clear" w:pos="4153"/>
                <w:tab w:val="clear" w:pos="8306"/>
              </w:tabs>
              <w:snapToGrid w:val="0"/>
              <w:spacing w:before="0" w:beforeAutospacing="0" w:after="0" w:afterAutospacing="0" w:line="240" w:lineRule="auto"/>
              <w:ind w:left="0" w:right="-10"/>
              <w:textAlignment w:val="auto"/>
              <w:rPr>
                <w:rFonts w:hint="default" w:ascii="宋体" w:hAnsi="宋体" w:cs="Times New Roman"/>
                <w:kern w:val="2"/>
                <w:szCs w:val="24"/>
                <w:highlight w:val="none"/>
              </w:rPr>
            </w:pPr>
            <w:r>
              <w:rPr>
                <w:rFonts w:hint="eastAsia" w:ascii="宋体" w:hAnsi="宋体" w:cs="Times New Roman"/>
                <w:kern w:val="2"/>
                <w:szCs w:val="24"/>
                <w:highlight w:val="none"/>
              </w:rPr>
              <w:t>审查因素</w:t>
            </w:r>
          </w:p>
        </w:tc>
        <w:tc>
          <w:tcPr>
            <w:tcW w:w="1896" w:type="pct"/>
            <w:tcBorders>
              <w:bottom w:val="single" w:color="auto" w:sz="4" w:space="0"/>
            </w:tcBorders>
            <w:noWrap w:val="0"/>
            <w:vAlign w:val="center"/>
          </w:tcPr>
          <w:p w14:paraId="1333B814">
            <w:pPr>
              <w:keepNext w:val="0"/>
              <w:keepLines w:val="0"/>
              <w:suppressLineNumbers w:val="0"/>
              <w:adjustRightInd w:val="0"/>
              <w:snapToGrid w:val="0"/>
              <w:spacing w:before="0" w:beforeAutospacing="0" w:after="0" w:afterAutospacing="0"/>
              <w:ind w:left="0" w:right="-10"/>
              <w:jc w:val="center"/>
              <w:rPr>
                <w:rFonts w:hint="default" w:ascii="宋体" w:hAnsi="宋体" w:cs="Times New Roman"/>
                <w:sz w:val="24"/>
                <w:highlight w:val="none"/>
              </w:rPr>
            </w:pPr>
            <w:r>
              <w:rPr>
                <w:rFonts w:hint="eastAsia" w:ascii="宋体" w:hAnsi="宋体" w:cs="Times New Roman"/>
                <w:sz w:val="24"/>
                <w:highlight w:val="none"/>
              </w:rPr>
              <w:t>审查标准</w:t>
            </w:r>
          </w:p>
        </w:tc>
        <w:tc>
          <w:tcPr>
            <w:tcW w:w="1994" w:type="pct"/>
            <w:tcBorders>
              <w:bottom w:val="single" w:color="auto" w:sz="4" w:space="0"/>
            </w:tcBorders>
            <w:noWrap w:val="0"/>
            <w:vAlign w:val="center"/>
          </w:tcPr>
          <w:p w14:paraId="067DDD97">
            <w:pPr>
              <w:keepNext w:val="0"/>
              <w:keepLines w:val="0"/>
              <w:suppressLineNumbers w:val="0"/>
              <w:adjustRightInd w:val="0"/>
              <w:snapToGrid w:val="0"/>
              <w:spacing w:before="0" w:beforeAutospacing="0" w:after="0" w:afterAutospacing="0"/>
              <w:ind w:left="0" w:right="-10"/>
              <w:jc w:val="center"/>
              <w:rPr>
                <w:rFonts w:hint="default" w:ascii="宋体" w:hAnsi="宋体" w:cs="Times New Roman"/>
                <w:sz w:val="24"/>
                <w:highlight w:val="none"/>
              </w:rPr>
            </w:pPr>
            <w:r>
              <w:rPr>
                <w:rFonts w:hint="eastAsia" w:ascii="宋体" w:hAnsi="宋体" w:cs="Times New Roman"/>
                <w:sz w:val="24"/>
                <w:highlight w:val="none"/>
              </w:rPr>
              <w:t>格式及材料要求</w:t>
            </w:r>
          </w:p>
        </w:tc>
      </w:tr>
      <w:tr w14:paraId="150FD8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5" w:hRule="atLeast"/>
          <w:jc w:val="center"/>
        </w:trPr>
        <w:tc>
          <w:tcPr>
            <w:tcW w:w="362" w:type="pct"/>
            <w:tcBorders>
              <w:bottom w:val="single" w:color="auto" w:sz="4" w:space="0"/>
            </w:tcBorders>
            <w:noWrap w:val="0"/>
            <w:vAlign w:val="center"/>
          </w:tcPr>
          <w:p w14:paraId="099ABC1E">
            <w:pPr>
              <w:keepNext w:val="0"/>
              <w:keepLines w:val="0"/>
              <w:suppressLineNumbers w:val="0"/>
              <w:spacing w:before="0" w:beforeAutospacing="0" w:after="50" w:afterAutospacing="0"/>
              <w:ind w:left="0" w:right="-10"/>
              <w:jc w:val="center"/>
              <w:rPr>
                <w:rFonts w:hint="eastAsia" w:ascii="仿宋" w:hAnsi="仿宋" w:eastAsia="仿宋" w:cs="仿宋"/>
                <w:sz w:val="24"/>
                <w:szCs w:val="28"/>
                <w:highlight w:val="none"/>
              </w:rPr>
            </w:pPr>
            <w:r>
              <w:rPr>
                <w:rFonts w:hint="eastAsia" w:ascii="仿宋" w:hAnsi="仿宋" w:eastAsia="仿宋" w:cs="仿宋"/>
                <w:sz w:val="24"/>
                <w:szCs w:val="28"/>
                <w:highlight w:val="none"/>
              </w:rPr>
              <w:t>1</w:t>
            </w:r>
          </w:p>
        </w:tc>
        <w:tc>
          <w:tcPr>
            <w:tcW w:w="746" w:type="pct"/>
            <w:tcBorders>
              <w:bottom w:val="single" w:color="auto" w:sz="4" w:space="0"/>
            </w:tcBorders>
            <w:noWrap w:val="0"/>
            <w:vAlign w:val="center"/>
          </w:tcPr>
          <w:p w14:paraId="57D5D87A">
            <w:pPr>
              <w:keepNext w:val="0"/>
              <w:keepLines w:val="0"/>
              <w:suppressLineNumbers w:val="0"/>
              <w:spacing w:before="0" w:beforeAutospacing="0" w:after="50" w:afterAutospacing="0"/>
              <w:ind w:left="0" w:right="-10"/>
              <w:jc w:val="center"/>
              <w:rPr>
                <w:rFonts w:hint="eastAsia" w:ascii="仿宋" w:hAnsi="仿宋" w:eastAsia="仿宋" w:cs="仿宋"/>
                <w:sz w:val="24"/>
                <w:szCs w:val="28"/>
                <w:highlight w:val="none"/>
              </w:rPr>
            </w:pPr>
            <w:r>
              <w:rPr>
                <w:rFonts w:hint="eastAsia" w:ascii="仿宋" w:hAnsi="仿宋" w:eastAsia="仿宋" w:cs="仿宋"/>
                <w:sz w:val="24"/>
                <w:szCs w:val="28"/>
                <w:highlight w:val="none"/>
              </w:rPr>
              <w:t>营业执照等证明材料</w:t>
            </w:r>
          </w:p>
        </w:tc>
        <w:tc>
          <w:tcPr>
            <w:tcW w:w="1896" w:type="pct"/>
            <w:tcBorders>
              <w:bottom w:val="single" w:color="auto" w:sz="4" w:space="0"/>
            </w:tcBorders>
            <w:noWrap w:val="0"/>
            <w:vAlign w:val="center"/>
          </w:tcPr>
          <w:p w14:paraId="33C44A5D">
            <w:pPr>
              <w:keepNext w:val="0"/>
              <w:keepLines w:val="0"/>
              <w:suppressLineNumbers w:val="0"/>
              <w:spacing w:before="0" w:beforeAutospacing="0" w:after="50" w:afterAutospacing="0"/>
              <w:ind w:left="0" w:right="-10"/>
              <w:jc w:val="left"/>
              <w:rPr>
                <w:rFonts w:hint="eastAsia" w:ascii="仿宋" w:hAnsi="仿宋" w:eastAsia="仿宋" w:cs="仿宋"/>
                <w:sz w:val="24"/>
                <w:szCs w:val="28"/>
                <w:highlight w:val="none"/>
              </w:rPr>
            </w:pPr>
            <w:r>
              <w:rPr>
                <w:rFonts w:hint="eastAsia" w:ascii="仿宋" w:hAnsi="仿宋" w:eastAsia="仿宋" w:cs="仿宋"/>
                <w:sz w:val="24"/>
                <w:szCs w:val="28"/>
                <w:highlight w:val="none"/>
              </w:rPr>
              <w:t>投标人为企业（包括公司、合伙企业、个人独资企业）的，提供有效的营业执照；</w:t>
            </w:r>
          </w:p>
          <w:p w14:paraId="122A9FD0">
            <w:pPr>
              <w:keepNext w:val="0"/>
              <w:keepLines w:val="0"/>
              <w:suppressLineNumbers w:val="0"/>
              <w:spacing w:before="0" w:beforeAutospacing="0" w:after="50" w:afterAutospacing="0"/>
              <w:ind w:left="0" w:right="-10"/>
              <w:jc w:val="left"/>
              <w:rPr>
                <w:rFonts w:hint="eastAsia" w:ascii="仿宋" w:hAnsi="仿宋" w:eastAsia="仿宋" w:cs="仿宋"/>
                <w:sz w:val="24"/>
                <w:szCs w:val="28"/>
                <w:highlight w:val="none"/>
              </w:rPr>
            </w:pPr>
            <w:r>
              <w:rPr>
                <w:rFonts w:hint="eastAsia" w:ascii="仿宋" w:hAnsi="仿宋" w:eastAsia="仿宋" w:cs="仿宋"/>
                <w:sz w:val="24"/>
                <w:szCs w:val="28"/>
                <w:highlight w:val="none"/>
              </w:rPr>
              <w:t>投标人为事业单位的，提供有效的事业单位法人证书；</w:t>
            </w:r>
          </w:p>
          <w:p w14:paraId="3EC3343B">
            <w:pPr>
              <w:keepNext w:val="0"/>
              <w:keepLines w:val="0"/>
              <w:suppressLineNumbers w:val="0"/>
              <w:spacing w:before="0" w:beforeAutospacing="0" w:after="50" w:afterAutospacing="0"/>
              <w:ind w:left="0" w:right="-10"/>
              <w:jc w:val="left"/>
              <w:rPr>
                <w:rFonts w:hint="eastAsia" w:ascii="仿宋" w:hAnsi="仿宋" w:eastAsia="仿宋" w:cs="仿宋"/>
                <w:sz w:val="24"/>
                <w:szCs w:val="28"/>
                <w:highlight w:val="none"/>
              </w:rPr>
            </w:pPr>
            <w:r>
              <w:rPr>
                <w:rFonts w:hint="eastAsia" w:ascii="仿宋" w:hAnsi="仿宋" w:eastAsia="仿宋" w:cs="仿宋"/>
                <w:sz w:val="24"/>
                <w:szCs w:val="28"/>
                <w:highlight w:val="none"/>
              </w:rPr>
              <w:t>投标人为社会团体的，提供有效的社会团体法人登记证书；</w:t>
            </w:r>
          </w:p>
          <w:p w14:paraId="7FC86BB2">
            <w:pPr>
              <w:keepNext w:val="0"/>
              <w:keepLines w:val="0"/>
              <w:suppressLineNumbers w:val="0"/>
              <w:spacing w:before="0" w:beforeAutospacing="0" w:after="50" w:afterAutospacing="0"/>
              <w:ind w:left="0" w:right="-10"/>
              <w:jc w:val="left"/>
              <w:rPr>
                <w:rFonts w:hint="eastAsia" w:ascii="仿宋" w:hAnsi="仿宋" w:eastAsia="仿宋" w:cs="仿宋"/>
                <w:sz w:val="24"/>
                <w:szCs w:val="28"/>
                <w:highlight w:val="none"/>
              </w:rPr>
            </w:pPr>
            <w:r>
              <w:rPr>
                <w:rFonts w:hint="eastAsia" w:ascii="仿宋" w:hAnsi="仿宋" w:eastAsia="仿宋" w:cs="仿宋"/>
                <w:sz w:val="24"/>
                <w:szCs w:val="28"/>
                <w:highlight w:val="none"/>
              </w:rPr>
              <w:t>投标人为个体工商户的，提供有效的营业执照；</w:t>
            </w:r>
          </w:p>
          <w:p w14:paraId="162C1922">
            <w:pPr>
              <w:keepNext w:val="0"/>
              <w:keepLines w:val="0"/>
              <w:suppressLineNumbers w:val="0"/>
              <w:spacing w:before="0" w:beforeAutospacing="0" w:after="50" w:afterAutospacing="0"/>
              <w:ind w:left="0" w:right="-10"/>
              <w:jc w:val="left"/>
              <w:rPr>
                <w:rFonts w:hint="eastAsia" w:ascii="仿宋" w:hAnsi="仿宋" w:eastAsia="仿宋" w:cs="仿宋"/>
                <w:sz w:val="24"/>
                <w:szCs w:val="28"/>
                <w:highlight w:val="none"/>
              </w:rPr>
            </w:pPr>
            <w:r>
              <w:rPr>
                <w:rFonts w:hint="eastAsia" w:ascii="仿宋" w:hAnsi="仿宋" w:eastAsia="仿宋" w:cs="仿宋"/>
                <w:sz w:val="24"/>
                <w:szCs w:val="28"/>
                <w:highlight w:val="none"/>
              </w:rPr>
              <w:t>投标人为不具法人资格的专业服务机构的，提供有效的执业许可证等证明材料；</w:t>
            </w:r>
          </w:p>
          <w:p w14:paraId="0E3E3CE3">
            <w:pPr>
              <w:keepNext w:val="0"/>
              <w:keepLines w:val="0"/>
              <w:suppressLineNumbers w:val="0"/>
              <w:spacing w:before="0" w:beforeAutospacing="0" w:after="50" w:afterAutospacing="0"/>
              <w:ind w:left="0" w:right="-10"/>
              <w:jc w:val="left"/>
              <w:rPr>
                <w:rFonts w:hint="eastAsia" w:ascii="仿宋" w:hAnsi="仿宋" w:eastAsia="仿宋" w:cs="仿宋"/>
                <w:sz w:val="24"/>
                <w:szCs w:val="28"/>
                <w:highlight w:val="none"/>
              </w:rPr>
            </w:pPr>
            <w:r>
              <w:rPr>
                <w:rFonts w:hint="eastAsia" w:ascii="仿宋" w:hAnsi="仿宋" w:eastAsia="仿宋" w:cs="仿宋"/>
                <w:sz w:val="24"/>
                <w:szCs w:val="28"/>
                <w:highlight w:val="none"/>
              </w:rPr>
              <w:t>投标人为自然人的，提供有效的自然人身份证明；</w:t>
            </w:r>
          </w:p>
          <w:p w14:paraId="0BC1EB42">
            <w:pPr>
              <w:keepNext w:val="0"/>
              <w:keepLines w:val="0"/>
              <w:suppressLineNumbers w:val="0"/>
              <w:spacing w:before="0" w:beforeAutospacing="0" w:after="50" w:afterAutospacing="0"/>
              <w:ind w:left="0" w:right="-10"/>
              <w:jc w:val="left"/>
              <w:rPr>
                <w:rFonts w:hint="eastAsia" w:ascii="仿宋" w:hAnsi="仿宋" w:eastAsia="仿宋" w:cs="仿宋"/>
                <w:sz w:val="24"/>
                <w:szCs w:val="28"/>
                <w:highlight w:val="none"/>
              </w:rPr>
            </w:pPr>
            <w:r>
              <w:rPr>
                <w:rFonts w:hint="eastAsia" w:ascii="仿宋" w:hAnsi="仿宋" w:eastAsia="仿宋" w:cs="仿宋"/>
                <w:sz w:val="24"/>
                <w:szCs w:val="28"/>
                <w:highlight w:val="none"/>
              </w:rPr>
              <w:t>其他投标人应按照有关法律、法规和规章规定，提供有效的相应证明材料。</w:t>
            </w:r>
          </w:p>
          <w:p w14:paraId="2DC0B2A7">
            <w:pPr>
              <w:pStyle w:val="4"/>
              <w:suppressLineNumbers w:val="0"/>
              <w:spacing w:before="0" w:beforeAutospacing="0" w:after="0" w:afterAutospacing="0" w:line="240" w:lineRule="auto"/>
              <w:ind w:left="0" w:right="0"/>
              <w:outlineLvl w:val="2"/>
              <w:rPr>
                <w:rFonts w:hint="default" w:cs="Times New Roman"/>
                <w:highlight w:val="none"/>
                <w:lang w:eastAsia="zh-CN"/>
              </w:rPr>
            </w:pPr>
            <w:r>
              <w:rPr>
                <w:rFonts w:hint="eastAsia" w:ascii="仿宋" w:hAnsi="仿宋" w:eastAsia="仿宋" w:cs="仿宋"/>
                <w:b w:val="0"/>
                <w:bCs w:val="0"/>
                <w:kern w:val="2"/>
                <w:sz w:val="24"/>
                <w:szCs w:val="28"/>
                <w:highlight w:val="none"/>
                <w:lang w:eastAsia="zh-CN" w:bidi="ar-SA"/>
              </w:rPr>
              <w:t>分支机构还应提供授权书或证明授权其独立开展业务的证明材料。</w:t>
            </w:r>
          </w:p>
        </w:tc>
        <w:tc>
          <w:tcPr>
            <w:tcW w:w="1994" w:type="pct"/>
            <w:noWrap w:val="0"/>
            <w:vAlign w:val="center"/>
          </w:tcPr>
          <w:p w14:paraId="19A3503E">
            <w:pPr>
              <w:keepNext w:val="0"/>
              <w:keepLines w:val="0"/>
              <w:suppressLineNumbers w:val="0"/>
              <w:spacing w:before="0" w:beforeAutospacing="0" w:after="50" w:afterAutospacing="0"/>
              <w:ind w:left="0" w:right="-10"/>
              <w:jc w:val="left"/>
              <w:rPr>
                <w:rFonts w:hint="eastAsia" w:ascii="宋体" w:hAnsi="宋体" w:eastAsia="仿宋" w:cs="Times New Roman"/>
                <w:sz w:val="24"/>
                <w:highlight w:val="none"/>
              </w:rPr>
            </w:pPr>
            <w:r>
              <w:rPr>
                <w:rFonts w:hint="eastAsia" w:ascii="仿宋" w:hAnsi="仿宋" w:eastAsia="仿宋" w:cs="仿宋"/>
                <w:sz w:val="24"/>
                <w:highlight w:val="none"/>
              </w:rPr>
              <w:t>提供扫描件或电子证照，</w:t>
            </w:r>
            <w:r>
              <w:rPr>
                <w:rFonts w:hint="eastAsia" w:ascii="宋体" w:hAnsi="宋体" w:eastAsia="仿宋" w:cs="Times New Roman"/>
                <w:sz w:val="24"/>
                <w:highlight w:val="none"/>
              </w:rPr>
              <w:t>详见第六章投标文件格式</w:t>
            </w:r>
            <w:r>
              <w:rPr>
                <w:rFonts w:hint="eastAsia" w:ascii="宋体" w:hAnsi="宋体" w:eastAsia="仿宋" w:cs="Times New Roman"/>
                <w:sz w:val="24"/>
                <w:highlight w:val="none"/>
                <w:lang w:val="en-US" w:eastAsia="zh-CN"/>
              </w:rPr>
              <w:t>七</w:t>
            </w:r>
            <w:r>
              <w:rPr>
                <w:rFonts w:hint="eastAsia" w:ascii="宋体" w:hAnsi="宋体" w:eastAsia="仿宋" w:cs="Times New Roman"/>
                <w:sz w:val="24"/>
                <w:highlight w:val="none"/>
              </w:rPr>
              <w:t>（一）</w:t>
            </w:r>
          </w:p>
        </w:tc>
      </w:tr>
      <w:tr w14:paraId="15D742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2" w:type="pct"/>
            <w:tcBorders>
              <w:bottom w:val="single" w:color="auto" w:sz="4" w:space="0"/>
            </w:tcBorders>
            <w:noWrap w:val="0"/>
            <w:vAlign w:val="center"/>
          </w:tcPr>
          <w:p w14:paraId="454CF883">
            <w:pPr>
              <w:keepNext w:val="0"/>
              <w:keepLines w:val="0"/>
              <w:suppressLineNumbers w:val="0"/>
              <w:adjustRightInd w:val="0"/>
              <w:snapToGrid w:val="0"/>
              <w:spacing w:before="0" w:beforeAutospacing="0" w:after="0" w:afterAutospacing="0"/>
              <w:ind w:left="0" w:right="-10"/>
              <w:jc w:val="center"/>
              <w:rPr>
                <w:rFonts w:hint="eastAsia" w:ascii="宋体" w:hAnsi="宋体" w:cs="Times New Roman"/>
                <w:sz w:val="24"/>
                <w:highlight w:val="none"/>
              </w:rPr>
            </w:pPr>
            <w:r>
              <w:rPr>
                <w:rFonts w:hint="eastAsia" w:ascii="宋体" w:hAnsi="宋体" w:cs="Times New Roman"/>
                <w:sz w:val="24"/>
                <w:highlight w:val="none"/>
              </w:rPr>
              <w:t>2</w:t>
            </w:r>
          </w:p>
        </w:tc>
        <w:tc>
          <w:tcPr>
            <w:tcW w:w="746" w:type="pct"/>
            <w:tcBorders>
              <w:bottom w:val="single" w:color="auto" w:sz="4" w:space="0"/>
            </w:tcBorders>
            <w:noWrap w:val="0"/>
            <w:vAlign w:val="center"/>
          </w:tcPr>
          <w:p w14:paraId="0C1E4096">
            <w:pPr>
              <w:keepNext w:val="0"/>
              <w:keepLines w:val="0"/>
              <w:suppressLineNumbers w:val="0"/>
              <w:spacing w:before="0" w:beforeAutospacing="0" w:after="50" w:afterAutospacing="0"/>
              <w:ind w:left="0" w:right="-10"/>
              <w:jc w:val="center"/>
              <w:rPr>
                <w:rFonts w:hint="default" w:ascii="宋体" w:hAnsi="宋体" w:cs="Times New Roman"/>
                <w:sz w:val="24"/>
                <w:szCs w:val="28"/>
                <w:highlight w:val="none"/>
              </w:rPr>
            </w:pPr>
            <w:r>
              <w:rPr>
                <w:rFonts w:hint="eastAsia" w:ascii="宋体" w:hAnsi="宋体" w:eastAsia="仿宋" w:cs="Times New Roman"/>
                <w:sz w:val="24"/>
                <w:highlight w:val="none"/>
              </w:rPr>
              <w:t>信用状况</w:t>
            </w:r>
          </w:p>
        </w:tc>
        <w:tc>
          <w:tcPr>
            <w:tcW w:w="1896" w:type="pct"/>
            <w:tcBorders>
              <w:bottom w:val="single" w:color="auto" w:sz="4" w:space="0"/>
            </w:tcBorders>
            <w:noWrap w:val="0"/>
            <w:vAlign w:val="center"/>
          </w:tcPr>
          <w:p w14:paraId="7E5FD36A">
            <w:pPr>
              <w:keepNext w:val="0"/>
              <w:keepLines w:val="0"/>
              <w:suppressLineNumbers w:val="0"/>
              <w:spacing w:before="0" w:beforeAutospacing="0" w:after="50" w:afterAutospacing="0"/>
              <w:ind w:left="0" w:right="-10"/>
              <w:jc w:val="left"/>
              <w:rPr>
                <w:rFonts w:hint="eastAsia" w:ascii="宋体" w:hAnsi="宋体" w:eastAsia="仿宋" w:cs="Times New Roman"/>
                <w:sz w:val="24"/>
                <w:highlight w:val="none"/>
              </w:rPr>
            </w:pPr>
            <w:r>
              <w:rPr>
                <w:rFonts w:hint="eastAsia" w:ascii="宋体" w:hAnsi="宋体" w:eastAsia="仿宋" w:cs="Times New Roman"/>
                <w:kern w:val="0"/>
                <w:sz w:val="24"/>
                <w:highlight w:val="none"/>
              </w:rPr>
              <w:t>符合第二章“投标人须知”正文第1.3.3项要求，</w:t>
            </w:r>
            <w:r>
              <w:rPr>
                <w:rFonts w:hint="eastAsia" w:ascii="宋体" w:hAnsi="宋体" w:eastAsia="仿宋" w:cs="Times New Roman"/>
                <w:sz w:val="24"/>
                <w:highlight w:val="none"/>
              </w:rPr>
              <w:t>信用状况只依据下述查询平台（网址）发布的信息：</w:t>
            </w:r>
          </w:p>
          <w:p w14:paraId="2BB823F3">
            <w:pPr>
              <w:pStyle w:val="156"/>
              <w:keepNext w:val="0"/>
              <w:keepLines w:val="0"/>
              <w:suppressLineNumbers w:val="0"/>
              <w:overflowPunct w:val="0"/>
              <w:autoSpaceDE w:val="0"/>
              <w:autoSpaceDN w:val="0"/>
              <w:adjustRightInd w:val="0"/>
              <w:spacing w:before="0" w:beforeAutospacing="0" w:after="0" w:afterAutospacing="0"/>
              <w:ind w:left="0" w:right="0"/>
              <w:rPr>
                <w:rFonts w:hint="default" w:ascii="Calibri" w:hAnsi="Calibri" w:eastAsia="仿宋" w:cs="Times New Roman"/>
                <w:sz w:val="24"/>
                <w:szCs w:val="24"/>
                <w:highlight w:val="none"/>
              </w:rPr>
            </w:pPr>
            <w:r>
              <w:rPr>
                <w:rFonts w:hint="eastAsia" w:ascii="宋体" w:hAnsi="宋体" w:eastAsia="仿宋" w:cs="Times New Roman"/>
                <w:sz w:val="24"/>
                <w:szCs w:val="24"/>
                <w:highlight w:val="none"/>
              </w:rPr>
              <w:t>（</w:t>
            </w:r>
            <w:r>
              <w:rPr>
                <w:rFonts w:hint="default" w:ascii="Calibri" w:hAnsi="Calibri" w:eastAsia="仿宋" w:cs="Times New Roman"/>
                <w:sz w:val="24"/>
                <w:szCs w:val="24"/>
                <w:highlight w:val="none"/>
              </w:rPr>
              <w:t>1</w:t>
            </w:r>
            <w:r>
              <w:rPr>
                <w:rFonts w:hint="eastAsia" w:ascii="宋体" w:hAnsi="宋体" w:eastAsia="仿宋" w:cs="Times New Roman"/>
                <w:sz w:val="24"/>
                <w:szCs w:val="24"/>
                <w:highlight w:val="none"/>
              </w:rPr>
              <w:t>）信用中国</w:t>
            </w:r>
            <w:r>
              <w:rPr>
                <w:rFonts w:hint="default" w:ascii="Calibri" w:hAnsi="Calibri" w:eastAsia="仿宋" w:cs="Times New Roman"/>
                <w:sz w:val="24"/>
                <w:szCs w:val="24"/>
                <w:highlight w:val="none"/>
              </w:rPr>
              <w:t>网站</w:t>
            </w:r>
          </w:p>
          <w:p w14:paraId="62F7C5D5">
            <w:pPr>
              <w:pStyle w:val="156"/>
              <w:keepNext w:val="0"/>
              <w:keepLines w:val="0"/>
              <w:suppressLineNumbers w:val="0"/>
              <w:overflowPunct w:val="0"/>
              <w:autoSpaceDE w:val="0"/>
              <w:autoSpaceDN w:val="0"/>
              <w:adjustRightInd w:val="0"/>
              <w:spacing w:before="0" w:beforeAutospacing="0" w:after="0" w:afterAutospacing="0"/>
              <w:ind w:left="0" w:right="0"/>
              <w:rPr>
                <w:rFonts w:hint="default" w:ascii="Calibri" w:hAnsi="Calibri" w:eastAsia="仿宋" w:cs="Times New Roman"/>
                <w:sz w:val="24"/>
                <w:szCs w:val="24"/>
                <w:highlight w:val="none"/>
              </w:rPr>
            </w:pPr>
            <w:r>
              <w:rPr>
                <w:rFonts w:hint="default" w:ascii="Calibri" w:hAnsi="Calibri" w:eastAsia="仿宋" w:cs="Times New Roman"/>
                <w:sz w:val="24"/>
                <w:szCs w:val="24"/>
                <w:highlight w:val="none"/>
              </w:rPr>
              <w:t>（www.creditchina.gov.cn）；</w:t>
            </w:r>
          </w:p>
          <w:p w14:paraId="24196826">
            <w:pPr>
              <w:pStyle w:val="156"/>
              <w:keepNext w:val="0"/>
              <w:keepLines w:val="0"/>
              <w:suppressLineNumbers w:val="0"/>
              <w:overflowPunct w:val="0"/>
              <w:autoSpaceDE w:val="0"/>
              <w:autoSpaceDN w:val="0"/>
              <w:adjustRightInd w:val="0"/>
              <w:spacing w:before="0" w:beforeAutospacing="0" w:after="0" w:afterAutospacing="0"/>
              <w:ind w:left="0" w:right="0"/>
              <w:rPr>
                <w:rFonts w:hint="default" w:ascii="Calibri" w:hAnsi="Calibri" w:eastAsia="仿宋" w:cs="Times New Roman"/>
                <w:sz w:val="24"/>
                <w:szCs w:val="24"/>
                <w:highlight w:val="none"/>
              </w:rPr>
            </w:pPr>
            <w:r>
              <w:rPr>
                <w:rFonts w:hint="default" w:ascii="Calibri" w:hAnsi="Calibri" w:eastAsia="仿宋" w:cs="Times New Roman"/>
                <w:sz w:val="24"/>
                <w:szCs w:val="24"/>
                <w:highlight w:val="none"/>
              </w:rPr>
              <w:t>（2）中国执行信息公开网</w:t>
            </w:r>
          </w:p>
          <w:p w14:paraId="5060E34A">
            <w:pPr>
              <w:pStyle w:val="156"/>
              <w:keepNext w:val="0"/>
              <w:keepLines w:val="0"/>
              <w:suppressLineNumbers w:val="0"/>
              <w:overflowPunct w:val="0"/>
              <w:autoSpaceDE w:val="0"/>
              <w:autoSpaceDN w:val="0"/>
              <w:adjustRightInd w:val="0"/>
              <w:spacing w:before="0" w:beforeAutospacing="0" w:after="0" w:afterAutospacing="0"/>
              <w:ind w:left="0" w:right="0"/>
              <w:rPr>
                <w:rFonts w:hint="default" w:ascii="Calibri" w:hAnsi="Calibri" w:eastAsia="仿宋" w:cs="Times New Roman"/>
                <w:sz w:val="24"/>
                <w:szCs w:val="24"/>
                <w:highlight w:val="none"/>
              </w:rPr>
            </w:pPr>
            <w:r>
              <w:rPr>
                <w:rFonts w:hint="default" w:ascii="Calibri" w:hAnsi="Calibri" w:eastAsia="仿宋" w:cs="Times New Roman"/>
                <w:sz w:val="24"/>
                <w:szCs w:val="24"/>
                <w:highlight w:val="none"/>
              </w:rPr>
              <w:t>（http://zxgk.court.gov.cn/）</w:t>
            </w:r>
            <w:r>
              <w:rPr>
                <w:rFonts w:hint="eastAsia" w:ascii="Calibri" w:hAnsi="Calibri" w:eastAsia="仿宋" w:cs="Times New Roman"/>
                <w:sz w:val="24"/>
                <w:szCs w:val="24"/>
                <w:highlight w:val="none"/>
              </w:rPr>
              <w:t>；</w:t>
            </w:r>
          </w:p>
          <w:p w14:paraId="166B9EA3">
            <w:pPr>
              <w:pStyle w:val="156"/>
              <w:keepNext w:val="0"/>
              <w:keepLines w:val="0"/>
              <w:suppressLineNumbers w:val="0"/>
              <w:overflowPunct w:val="0"/>
              <w:autoSpaceDE w:val="0"/>
              <w:autoSpaceDN w:val="0"/>
              <w:adjustRightInd w:val="0"/>
              <w:spacing w:before="0" w:beforeAutospacing="0" w:after="0" w:afterAutospacing="0"/>
              <w:ind w:left="0" w:right="0"/>
              <w:rPr>
                <w:rFonts w:hint="default" w:ascii="Calibri" w:hAnsi="Calibri" w:eastAsia="仿宋" w:cs="Times New Roman"/>
                <w:sz w:val="24"/>
                <w:szCs w:val="24"/>
                <w:highlight w:val="none"/>
              </w:rPr>
            </w:pPr>
            <w:r>
              <w:rPr>
                <w:rFonts w:hint="eastAsia" w:ascii="Calibri" w:hAnsi="Calibri" w:eastAsia="仿宋" w:cs="Times New Roman"/>
                <w:sz w:val="24"/>
                <w:szCs w:val="24"/>
                <w:highlight w:val="none"/>
              </w:rPr>
              <w:t>（3）</w:t>
            </w:r>
            <w:r>
              <w:rPr>
                <w:rFonts w:hint="default" w:ascii="Calibri" w:hAnsi="Calibri" w:eastAsia="仿宋" w:cs="Times New Roman"/>
                <w:sz w:val="24"/>
                <w:szCs w:val="24"/>
                <w:highlight w:val="none"/>
              </w:rPr>
              <w:t>中国政府采购网</w:t>
            </w:r>
          </w:p>
          <w:p w14:paraId="42548966">
            <w:pPr>
              <w:pStyle w:val="156"/>
              <w:keepNext w:val="0"/>
              <w:keepLines w:val="0"/>
              <w:suppressLineNumbers w:val="0"/>
              <w:overflowPunct w:val="0"/>
              <w:autoSpaceDE w:val="0"/>
              <w:autoSpaceDN w:val="0"/>
              <w:adjustRightInd w:val="0"/>
              <w:spacing w:before="0" w:beforeAutospacing="0" w:after="0" w:afterAutospacing="0"/>
              <w:ind w:left="0" w:right="0"/>
              <w:rPr>
                <w:rFonts w:hint="default" w:ascii="Calibri" w:hAnsi="Calibri" w:eastAsia="仿宋" w:cs="Times New Roman"/>
                <w:sz w:val="24"/>
                <w:szCs w:val="24"/>
                <w:highlight w:val="none"/>
              </w:rPr>
            </w:pPr>
            <w:r>
              <w:rPr>
                <w:rFonts w:hint="default" w:ascii="Calibri" w:hAnsi="Calibri" w:eastAsia="仿宋" w:cs="Times New Roman"/>
                <w:sz w:val="24"/>
                <w:szCs w:val="24"/>
                <w:highlight w:val="none"/>
              </w:rPr>
              <w:t>（http://www.ccgp.gov.cn/）</w:t>
            </w:r>
            <w:r>
              <w:rPr>
                <w:rFonts w:hint="eastAsia" w:ascii="Calibri" w:hAnsi="Calibri" w:eastAsia="仿宋" w:cs="Times New Roman"/>
                <w:sz w:val="24"/>
                <w:szCs w:val="24"/>
                <w:highlight w:val="none"/>
              </w:rPr>
              <w:t>；</w:t>
            </w:r>
          </w:p>
          <w:p w14:paraId="2702C8FB">
            <w:pPr>
              <w:pStyle w:val="156"/>
              <w:keepNext w:val="0"/>
              <w:keepLines w:val="0"/>
              <w:suppressLineNumbers w:val="0"/>
              <w:overflowPunct w:val="0"/>
              <w:autoSpaceDE w:val="0"/>
              <w:autoSpaceDN w:val="0"/>
              <w:adjustRightInd w:val="0"/>
              <w:spacing w:before="0" w:beforeAutospacing="0" w:after="0" w:afterAutospacing="0"/>
              <w:ind w:left="0" w:right="0"/>
              <w:rPr>
                <w:rFonts w:hint="default" w:ascii="Calibri" w:hAnsi="Calibri" w:eastAsia="仿宋" w:cs="Times New Roman"/>
                <w:sz w:val="24"/>
                <w:szCs w:val="24"/>
                <w:highlight w:val="none"/>
              </w:rPr>
            </w:pPr>
            <w:r>
              <w:rPr>
                <w:rFonts w:hint="default" w:ascii="Calibri" w:hAnsi="Calibri" w:eastAsia="仿宋" w:cs="Times New Roman"/>
                <w:sz w:val="24"/>
                <w:szCs w:val="24"/>
                <w:highlight w:val="none"/>
              </w:rPr>
              <w:t>（4）国家企业信用信息公示系统</w:t>
            </w:r>
          </w:p>
          <w:p w14:paraId="45C3EF15">
            <w:pPr>
              <w:pStyle w:val="4"/>
              <w:suppressLineNumbers w:val="0"/>
              <w:spacing w:before="0" w:beforeAutospacing="0" w:after="0" w:afterAutospacing="0" w:line="240" w:lineRule="auto"/>
              <w:ind w:left="0" w:right="0"/>
              <w:outlineLvl w:val="2"/>
              <w:rPr>
                <w:rFonts w:hint="default" w:cs="Times New Roman"/>
                <w:highlight w:val="none"/>
              </w:rPr>
            </w:pPr>
            <w:r>
              <w:rPr>
                <w:rFonts w:hint="default" w:ascii="Times New Roman" w:hAnsi="Times New Roman" w:eastAsia="仿宋" w:cs="Times New Roman"/>
                <w:b w:val="0"/>
                <w:bCs w:val="0"/>
                <w:sz w:val="24"/>
                <w:highlight w:val="none"/>
                <w:lang w:eastAsia="zh-CN" w:bidi="ar-SA"/>
              </w:rPr>
              <w:t>（http://www.gsxt.gov.cn/）</w:t>
            </w:r>
            <w:r>
              <w:rPr>
                <w:rFonts w:hint="eastAsia" w:ascii="Times New Roman" w:hAnsi="Times New Roman" w:eastAsia="仿宋" w:cs="Times New Roman"/>
                <w:b w:val="0"/>
                <w:bCs w:val="0"/>
                <w:sz w:val="24"/>
                <w:highlight w:val="none"/>
                <w:lang w:eastAsia="zh-CN" w:bidi="ar-SA"/>
              </w:rPr>
              <w:t>。</w:t>
            </w:r>
          </w:p>
        </w:tc>
        <w:tc>
          <w:tcPr>
            <w:tcW w:w="1994" w:type="pct"/>
            <w:tcBorders>
              <w:bottom w:val="single" w:color="auto" w:sz="4" w:space="0"/>
            </w:tcBorders>
            <w:noWrap w:val="0"/>
            <w:vAlign w:val="center"/>
          </w:tcPr>
          <w:p w14:paraId="3B881551">
            <w:pPr>
              <w:keepNext w:val="0"/>
              <w:keepLines w:val="0"/>
              <w:widowControl/>
              <w:suppressLineNumbers w:val="0"/>
              <w:adjustRightInd w:val="0"/>
              <w:snapToGrid w:val="0"/>
              <w:spacing w:before="0" w:beforeAutospacing="0" w:after="0" w:afterAutospacing="0"/>
              <w:ind w:left="0" w:right="0"/>
              <w:rPr>
                <w:rFonts w:hint="eastAsia" w:ascii="宋体" w:hAnsi="宋体" w:cs="Times New Roman"/>
                <w:sz w:val="24"/>
                <w:highlight w:val="none"/>
              </w:rPr>
            </w:pPr>
            <w:r>
              <w:rPr>
                <w:rFonts w:hint="eastAsia" w:ascii="宋体" w:hAnsi="宋体" w:eastAsia="仿宋" w:cs="宋体"/>
                <w:sz w:val="24"/>
                <w:highlight w:val="none"/>
              </w:rPr>
              <w:t>采购人或采购代理机构查询</w:t>
            </w:r>
          </w:p>
        </w:tc>
      </w:tr>
      <w:tr w14:paraId="7AF9A6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2" w:type="pct"/>
            <w:tcBorders>
              <w:bottom w:val="single" w:color="auto" w:sz="4" w:space="0"/>
            </w:tcBorders>
            <w:noWrap w:val="0"/>
            <w:vAlign w:val="center"/>
          </w:tcPr>
          <w:p w14:paraId="5AAED457">
            <w:pPr>
              <w:keepNext w:val="0"/>
              <w:keepLines w:val="0"/>
              <w:suppressLineNumbers w:val="0"/>
              <w:adjustRightInd w:val="0"/>
              <w:snapToGrid w:val="0"/>
              <w:spacing w:before="0" w:beforeAutospacing="0" w:after="0" w:afterAutospacing="0"/>
              <w:ind w:left="0" w:right="-10"/>
              <w:jc w:val="center"/>
              <w:rPr>
                <w:rFonts w:hint="eastAsia" w:ascii="宋体" w:hAnsi="宋体" w:cs="Times New Roman"/>
                <w:sz w:val="24"/>
                <w:highlight w:val="none"/>
              </w:rPr>
            </w:pPr>
            <w:r>
              <w:rPr>
                <w:rFonts w:hint="eastAsia" w:ascii="宋体" w:hAnsi="宋体" w:cs="Times New Roman"/>
                <w:sz w:val="24"/>
                <w:highlight w:val="none"/>
              </w:rPr>
              <w:t>3</w:t>
            </w:r>
          </w:p>
        </w:tc>
        <w:tc>
          <w:tcPr>
            <w:tcW w:w="746" w:type="pct"/>
            <w:tcBorders>
              <w:bottom w:val="single" w:color="auto" w:sz="4" w:space="0"/>
            </w:tcBorders>
            <w:noWrap w:val="0"/>
            <w:vAlign w:val="center"/>
          </w:tcPr>
          <w:p w14:paraId="71A880C2">
            <w:pPr>
              <w:keepNext w:val="0"/>
              <w:keepLines w:val="0"/>
              <w:suppressLineNumbers w:val="0"/>
              <w:spacing w:before="0" w:beforeAutospacing="0" w:after="50" w:afterAutospacing="0"/>
              <w:ind w:left="0" w:right="-10"/>
              <w:jc w:val="center"/>
              <w:rPr>
                <w:rFonts w:hint="default" w:ascii="宋体" w:hAnsi="宋体" w:cs="Times New Roman"/>
                <w:sz w:val="24"/>
                <w:szCs w:val="18"/>
                <w:highlight w:val="none"/>
              </w:rPr>
            </w:pPr>
            <w:r>
              <w:rPr>
                <w:rFonts w:hint="eastAsia" w:ascii="宋体" w:hAnsi="宋体" w:eastAsia="仿宋" w:cs="Times New Roman"/>
                <w:sz w:val="24"/>
                <w:highlight w:val="none"/>
              </w:rPr>
              <w:t>政府采购供应商资格承诺函</w:t>
            </w:r>
          </w:p>
        </w:tc>
        <w:tc>
          <w:tcPr>
            <w:tcW w:w="1896" w:type="pct"/>
            <w:tcBorders>
              <w:bottom w:val="single" w:color="auto" w:sz="4" w:space="0"/>
            </w:tcBorders>
            <w:noWrap w:val="0"/>
            <w:vAlign w:val="center"/>
          </w:tcPr>
          <w:p w14:paraId="54E415CD">
            <w:pPr>
              <w:keepNext w:val="0"/>
              <w:keepLines w:val="0"/>
              <w:suppressLineNumbers w:val="0"/>
              <w:spacing w:before="0" w:beforeAutospacing="0" w:after="50" w:afterAutospacing="0"/>
              <w:ind w:left="0" w:right="-10"/>
              <w:jc w:val="center"/>
              <w:rPr>
                <w:rFonts w:hint="eastAsia" w:ascii="宋体" w:hAnsi="宋体" w:eastAsia="仿宋" w:cs="Times New Roman"/>
                <w:sz w:val="24"/>
                <w:szCs w:val="28"/>
                <w:highlight w:val="none"/>
              </w:rPr>
            </w:pPr>
            <w:r>
              <w:rPr>
                <w:rFonts w:hint="eastAsia" w:ascii="宋体" w:hAnsi="宋体" w:eastAsia="仿宋" w:cs="Times New Roman"/>
                <w:sz w:val="24"/>
                <w:highlight w:val="none"/>
              </w:rPr>
              <w:t>格式、填写要求符合招标文件规定并加盖投标人电子签章。</w:t>
            </w:r>
          </w:p>
        </w:tc>
        <w:tc>
          <w:tcPr>
            <w:tcW w:w="1994" w:type="pct"/>
            <w:tcBorders>
              <w:bottom w:val="single" w:color="auto" w:sz="4" w:space="0"/>
            </w:tcBorders>
            <w:noWrap w:val="0"/>
            <w:vAlign w:val="center"/>
          </w:tcPr>
          <w:p w14:paraId="42649A58">
            <w:pPr>
              <w:keepNext w:val="0"/>
              <w:keepLines w:val="0"/>
              <w:suppressLineNumbers w:val="0"/>
              <w:adjustRightInd w:val="0"/>
              <w:snapToGrid w:val="0"/>
              <w:spacing w:before="0" w:beforeAutospacing="0" w:after="0" w:afterAutospacing="0"/>
              <w:ind w:left="0" w:right="-10"/>
              <w:jc w:val="left"/>
              <w:rPr>
                <w:rFonts w:hint="eastAsia" w:ascii="宋体" w:hAnsi="宋体" w:cs="Times New Roman"/>
                <w:sz w:val="24"/>
                <w:highlight w:val="none"/>
              </w:rPr>
            </w:pPr>
            <w:r>
              <w:rPr>
                <w:rFonts w:hint="eastAsia" w:ascii="宋体" w:hAnsi="宋体" w:eastAsia="仿宋" w:cs="Times New Roman"/>
                <w:sz w:val="24"/>
                <w:highlight w:val="none"/>
              </w:rPr>
              <w:t>详见第六章投标文件格式</w:t>
            </w:r>
            <w:r>
              <w:rPr>
                <w:rFonts w:hint="eastAsia" w:ascii="宋体" w:hAnsi="宋体" w:eastAsia="仿宋" w:cs="Times New Roman"/>
                <w:sz w:val="24"/>
                <w:highlight w:val="none"/>
                <w:lang w:val="en-US" w:eastAsia="zh-CN"/>
              </w:rPr>
              <w:t>七</w:t>
            </w:r>
            <w:r>
              <w:rPr>
                <w:rFonts w:hint="eastAsia" w:ascii="宋体" w:hAnsi="宋体" w:eastAsia="仿宋" w:cs="Times New Roman"/>
                <w:sz w:val="24"/>
                <w:highlight w:val="none"/>
              </w:rPr>
              <w:t>（二）</w:t>
            </w:r>
          </w:p>
        </w:tc>
      </w:tr>
      <w:tr w14:paraId="0853B8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2" w:type="pct"/>
            <w:noWrap w:val="0"/>
            <w:vAlign w:val="center"/>
          </w:tcPr>
          <w:p w14:paraId="21D3C5BD">
            <w:pPr>
              <w:keepNext w:val="0"/>
              <w:keepLines w:val="0"/>
              <w:suppressLineNumbers w:val="0"/>
              <w:adjustRightInd w:val="0"/>
              <w:snapToGrid w:val="0"/>
              <w:spacing w:before="0" w:beforeAutospacing="0" w:after="0" w:afterAutospacing="0"/>
              <w:ind w:left="0" w:right="-10"/>
              <w:jc w:val="center"/>
              <w:rPr>
                <w:rFonts w:hint="eastAsia" w:ascii="宋体" w:hAnsi="宋体" w:cs="Times New Roman"/>
                <w:sz w:val="24"/>
                <w:highlight w:val="none"/>
              </w:rPr>
            </w:pPr>
            <w:r>
              <w:rPr>
                <w:rFonts w:hint="eastAsia" w:ascii="宋体" w:hAnsi="宋体" w:cs="Times New Roman"/>
                <w:sz w:val="24"/>
                <w:highlight w:val="none"/>
              </w:rPr>
              <w:t>4</w:t>
            </w:r>
          </w:p>
        </w:tc>
        <w:tc>
          <w:tcPr>
            <w:tcW w:w="746" w:type="pct"/>
            <w:noWrap w:val="0"/>
            <w:vAlign w:val="center"/>
          </w:tcPr>
          <w:p w14:paraId="5CEFBB48">
            <w:pPr>
              <w:keepNext w:val="0"/>
              <w:keepLines w:val="0"/>
              <w:suppressLineNumbers w:val="0"/>
              <w:spacing w:before="0" w:beforeAutospacing="0" w:after="50" w:afterAutospacing="0"/>
              <w:ind w:left="0" w:right="-10"/>
              <w:jc w:val="center"/>
              <w:rPr>
                <w:rFonts w:hint="eastAsia" w:ascii="宋体" w:hAnsi="宋体" w:eastAsia="仿宋" w:cs="Times New Roman"/>
                <w:sz w:val="24"/>
                <w:highlight w:val="none"/>
              </w:rPr>
            </w:pPr>
            <w:r>
              <w:rPr>
                <w:rFonts w:hint="eastAsia" w:ascii="宋体" w:hAnsi="宋体" w:eastAsia="仿宋" w:cs="Times New Roman"/>
                <w:sz w:val="24"/>
                <w:highlight w:val="none"/>
              </w:rPr>
              <w:t>资质要求</w:t>
            </w:r>
          </w:p>
        </w:tc>
        <w:tc>
          <w:tcPr>
            <w:tcW w:w="1896" w:type="pct"/>
            <w:noWrap w:val="0"/>
            <w:vAlign w:val="center"/>
          </w:tcPr>
          <w:p w14:paraId="0E1D0B50">
            <w:pPr>
              <w:keepNext w:val="0"/>
              <w:keepLines w:val="0"/>
              <w:suppressLineNumbers w:val="0"/>
              <w:spacing w:before="0" w:beforeAutospacing="0" w:after="50" w:afterAutospacing="0"/>
              <w:ind w:left="0" w:right="-10"/>
              <w:jc w:val="both"/>
              <w:rPr>
                <w:rFonts w:hint="eastAsia" w:ascii="宋体" w:hAnsi="宋体" w:eastAsia="仿宋" w:cs="Times New Roman"/>
                <w:sz w:val="24"/>
                <w:highlight w:val="none"/>
              </w:rPr>
            </w:pPr>
            <w:r>
              <w:rPr>
                <w:rFonts w:hint="eastAsia" w:ascii="宋体" w:hAnsi="宋体" w:eastAsia="仿宋" w:cs="Times New Roman"/>
                <w:color w:val="auto"/>
                <w:sz w:val="24"/>
                <w:highlight w:val="none"/>
              </w:rPr>
              <w:t>符合招标公告中资格要求。</w:t>
            </w:r>
          </w:p>
        </w:tc>
        <w:tc>
          <w:tcPr>
            <w:tcW w:w="1994" w:type="pct"/>
            <w:noWrap w:val="0"/>
            <w:vAlign w:val="center"/>
          </w:tcPr>
          <w:p w14:paraId="7BB00411">
            <w:pPr>
              <w:keepNext w:val="0"/>
              <w:keepLines w:val="0"/>
              <w:suppressLineNumbers w:val="0"/>
              <w:spacing w:before="0" w:beforeAutospacing="0" w:after="50" w:afterAutospacing="0"/>
              <w:ind w:left="0" w:right="-10"/>
              <w:jc w:val="left"/>
              <w:rPr>
                <w:rFonts w:hint="eastAsia" w:ascii="宋体" w:hAnsi="宋体" w:eastAsia="仿宋" w:cs="Times New Roman"/>
                <w:sz w:val="24"/>
                <w:highlight w:val="none"/>
              </w:rPr>
            </w:pPr>
            <w:r>
              <w:rPr>
                <w:rFonts w:hint="eastAsia" w:ascii="宋体" w:hAnsi="宋体" w:eastAsia="仿宋" w:cs="Times New Roman"/>
                <w:sz w:val="24"/>
                <w:highlight w:val="none"/>
              </w:rPr>
              <w:t>投标人在投标文件中需提供以下资格审查材料：</w:t>
            </w:r>
          </w:p>
          <w:p w14:paraId="602AD5C8">
            <w:pPr>
              <w:keepNext w:val="0"/>
              <w:keepLines w:val="0"/>
              <w:suppressLineNumbers w:val="0"/>
              <w:spacing w:before="0" w:beforeAutospacing="0" w:after="50" w:afterAutospacing="0"/>
              <w:ind w:left="0" w:right="-10"/>
              <w:jc w:val="left"/>
              <w:rPr>
                <w:rFonts w:hint="eastAsia" w:ascii="宋体" w:hAnsi="宋体" w:eastAsia="仿宋" w:cs="Times New Roman"/>
                <w:sz w:val="24"/>
                <w:highlight w:val="none"/>
              </w:rPr>
            </w:pPr>
            <w:r>
              <w:rPr>
                <w:rFonts w:hint="eastAsia" w:ascii="宋体" w:hAnsi="宋体" w:eastAsia="仿宋" w:cs="Times New Roman"/>
                <w:sz w:val="24"/>
                <w:highlight w:val="none"/>
              </w:rPr>
              <w:t>1、投标主体证明材料</w:t>
            </w:r>
          </w:p>
          <w:p w14:paraId="4E41B1FA">
            <w:pPr>
              <w:keepNext w:val="0"/>
              <w:keepLines w:val="0"/>
              <w:suppressLineNumbers w:val="0"/>
              <w:spacing w:before="0" w:beforeAutospacing="0" w:after="50" w:afterAutospacing="0"/>
              <w:ind w:left="0" w:right="-10"/>
              <w:jc w:val="left"/>
              <w:rPr>
                <w:rFonts w:hint="eastAsia" w:ascii="宋体" w:hAnsi="宋体" w:eastAsia="仿宋" w:cs="Times New Roman"/>
                <w:sz w:val="24"/>
                <w:highlight w:val="none"/>
              </w:rPr>
            </w:pPr>
            <w:r>
              <w:rPr>
                <w:rFonts w:hint="eastAsia" w:ascii="宋体" w:hAnsi="宋体" w:eastAsia="仿宋" w:cs="Times New Roman"/>
                <w:sz w:val="24"/>
                <w:highlight w:val="none"/>
              </w:rPr>
              <w:t>(1)制造商（或制造商所在的集团公司）设立的贸易公司参与投标时须提供：</w:t>
            </w:r>
          </w:p>
          <w:p w14:paraId="3EC5EB8D">
            <w:pPr>
              <w:keepNext w:val="0"/>
              <w:keepLines w:val="0"/>
              <w:suppressLineNumbers w:val="0"/>
              <w:spacing w:before="0" w:beforeAutospacing="0" w:after="50" w:afterAutospacing="0"/>
              <w:ind w:left="0" w:right="-10"/>
              <w:jc w:val="left"/>
              <w:rPr>
                <w:rFonts w:hint="eastAsia" w:ascii="宋体" w:hAnsi="宋体" w:eastAsia="仿宋" w:cs="Times New Roman"/>
                <w:sz w:val="24"/>
                <w:highlight w:val="none"/>
              </w:rPr>
            </w:pPr>
            <w:r>
              <w:rPr>
                <w:rFonts w:hint="eastAsia" w:ascii="宋体" w:hAnsi="宋体" w:eastAsia="仿宋" w:cs="Times New Roman"/>
                <w:sz w:val="24"/>
                <w:highlight w:val="none"/>
              </w:rPr>
              <w:t>①制造商及贸易公司之间的关系证明（或：集团公司、制造商及贸易公司之间的关系证明），主要体现制造商及贸易公司之间股权关系（或：集团公司、制造商及贸易公司之间的股权关系），涉及的各方主体均须在证明上盖章。</w:t>
            </w:r>
          </w:p>
          <w:p w14:paraId="0F6A1A34">
            <w:pPr>
              <w:keepNext w:val="0"/>
              <w:keepLines w:val="0"/>
              <w:suppressLineNumbers w:val="0"/>
              <w:spacing w:before="0" w:beforeAutospacing="0" w:after="50" w:afterAutospacing="0"/>
              <w:ind w:left="0" w:right="-10"/>
              <w:jc w:val="left"/>
              <w:rPr>
                <w:rFonts w:hint="eastAsia" w:ascii="宋体" w:hAnsi="宋体" w:eastAsia="仿宋" w:cs="Times New Roman"/>
                <w:sz w:val="24"/>
                <w:highlight w:val="none"/>
              </w:rPr>
            </w:pPr>
            <w:r>
              <w:rPr>
                <w:rFonts w:hint="eastAsia" w:ascii="宋体" w:hAnsi="宋体" w:eastAsia="仿宋" w:cs="Times New Roman"/>
                <w:sz w:val="24"/>
                <w:highlight w:val="none"/>
                <w:lang w:val="en-US" w:eastAsia="zh-CN"/>
              </w:rPr>
              <w:t>②</w:t>
            </w:r>
            <w:r>
              <w:rPr>
                <w:rFonts w:hint="eastAsia" w:ascii="宋体" w:hAnsi="宋体" w:eastAsia="仿宋" w:cs="Times New Roman"/>
                <w:sz w:val="24"/>
                <w:highlight w:val="none"/>
              </w:rPr>
              <w:t>贸易公司仅销售本制造商（或制造商所在的集团公司）产品的承诺。</w:t>
            </w:r>
          </w:p>
          <w:p w14:paraId="28539100">
            <w:pPr>
              <w:keepNext w:val="0"/>
              <w:keepLines w:val="0"/>
              <w:suppressLineNumbers w:val="0"/>
              <w:spacing w:before="0" w:beforeAutospacing="0" w:after="50" w:afterAutospacing="0"/>
              <w:ind w:left="0" w:right="-10"/>
              <w:jc w:val="left"/>
              <w:rPr>
                <w:rFonts w:hint="eastAsia" w:ascii="宋体" w:hAnsi="宋体" w:eastAsia="仿宋" w:cs="Times New Roman"/>
                <w:sz w:val="24"/>
                <w:highlight w:val="none"/>
              </w:rPr>
            </w:pPr>
            <w:r>
              <w:rPr>
                <w:rFonts w:hint="eastAsia" w:ascii="宋体" w:hAnsi="宋体" w:eastAsia="仿宋" w:cs="Times New Roman"/>
                <w:sz w:val="24"/>
                <w:highlight w:val="none"/>
              </w:rPr>
              <w:t>2、资质证明材料：</w:t>
            </w:r>
          </w:p>
          <w:p w14:paraId="62253C8F">
            <w:pPr>
              <w:keepNext w:val="0"/>
              <w:keepLines w:val="0"/>
              <w:suppressLineNumbers w:val="0"/>
              <w:spacing w:before="0" w:beforeAutospacing="0" w:after="50" w:afterAutospacing="0"/>
              <w:ind w:left="0" w:right="-10"/>
              <w:jc w:val="left"/>
              <w:rPr>
                <w:rFonts w:hint="eastAsia" w:ascii="宋体" w:hAnsi="宋体" w:eastAsia="仿宋" w:cs="Times New Roman"/>
                <w:sz w:val="24"/>
                <w:highlight w:val="none"/>
              </w:rPr>
            </w:pPr>
            <w:r>
              <w:rPr>
                <w:rFonts w:hint="eastAsia" w:ascii="宋体" w:hAnsi="宋体" w:eastAsia="仿宋" w:cs="Times New Roman"/>
                <w:sz w:val="24"/>
                <w:highlight w:val="none"/>
              </w:rPr>
              <w:t>(1)有效的医疗器械生产许可证（或医疗器械生产备案证明材料或承诺函）；</w:t>
            </w:r>
          </w:p>
          <w:p w14:paraId="49E25BD6">
            <w:pPr>
              <w:keepNext w:val="0"/>
              <w:keepLines w:val="0"/>
              <w:suppressLineNumbers w:val="0"/>
              <w:spacing w:before="0" w:beforeAutospacing="0" w:after="50" w:afterAutospacing="0"/>
              <w:ind w:left="0" w:right="-10"/>
              <w:jc w:val="left"/>
              <w:rPr>
                <w:rFonts w:hint="eastAsia" w:ascii="宋体" w:hAnsi="宋体" w:eastAsia="仿宋" w:cs="Times New Roman"/>
                <w:sz w:val="24"/>
                <w:highlight w:val="none"/>
              </w:rPr>
            </w:pPr>
            <w:r>
              <w:rPr>
                <w:rFonts w:hint="eastAsia" w:ascii="宋体" w:hAnsi="宋体" w:eastAsia="仿宋" w:cs="Times New Roman"/>
                <w:sz w:val="24"/>
                <w:highlight w:val="none"/>
              </w:rPr>
              <w:t>(2)投标人资格要求第3.1.2条所述视同制造商的贸易公司参与投标时提供：医疗器械经营许可证（或医疗器械经营备案证明材料或承诺函，或投标产品免于经营备案的证明）。</w:t>
            </w:r>
          </w:p>
          <w:p w14:paraId="06BBE09B">
            <w:pPr>
              <w:keepNext w:val="0"/>
              <w:keepLines w:val="0"/>
              <w:suppressLineNumbers w:val="0"/>
              <w:spacing w:before="0" w:beforeAutospacing="0" w:after="50" w:afterAutospacing="0"/>
              <w:ind w:left="0" w:right="-10"/>
              <w:jc w:val="left"/>
              <w:rPr>
                <w:rFonts w:hint="eastAsia" w:ascii="宋体" w:hAnsi="宋体" w:eastAsia="仿宋" w:cs="Times New Roman"/>
                <w:sz w:val="24"/>
                <w:highlight w:val="none"/>
              </w:rPr>
            </w:pPr>
            <w:r>
              <w:rPr>
                <w:rFonts w:hint="eastAsia" w:ascii="宋体" w:hAnsi="宋体" w:eastAsia="仿宋" w:cs="Times New Roman"/>
                <w:sz w:val="24"/>
                <w:highlight w:val="none"/>
              </w:rPr>
              <w:t>(3)投标产品有效的医疗器械注册证（或医疗器械备案证明材料或承诺函）。</w:t>
            </w:r>
          </w:p>
          <w:p w14:paraId="418993A9">
            <w:pPr>
              <w:keepNext w:val="0"/>
              <w:keepLines w:val="0"/>
              <w:suppressLineNumbers w:val="0"/>
              <w:spacing w:before="0" w:beforeAutospacing="0" w:after="50" w:afterAutospacing="0"/>
              <w:ind w:left="0" w:right="-10"/>
              <w:jc w:val="left"/>
              <w:rPr>
                <w:rFonts w:hint="eastAsia" w:ascii="宋体" w:hAnsi="宋体" w:eastAsia="仿宋" w:cs="Times New Roman"/>
                <w:sz w:val="24"/>
                <w:highlight w:val="none"/>
              </w:rPr>
            </w:pPr>
            <w:r>
              <w:rPr>
                <w:rFonts w:hint="eastAsia" w:ascii="宋体" w:hAnsi="宋体" w:eastAsia="仿宋" w:cs="Times New Roman"/>
                <w:sz w:val="24"/>
                <w:highlight w:val="none"/>
              </w:rPr>
              <w:t>3、投标人认为需要提交的其他资格证明材料。</w:t>
            </w:r>
          </w:p>
        </w:tc>
      </w:tr>
    </w:tbl>
    <w:p w14:paraId="6B8EC828">
      <w:pPr>
        <w:pStyle w:val="157"/>
        <w:adjustRightInd w:val="0"/>
        <w:snapToGrid w:val="0"/>
        <w:spacing w:before="0" w:line="360" w:lineRule="auto"/>
        <w:ind w:firstLine="482" w:firstLineChars="200"/>
        <w:rPr>
          <w:rFonts w:hint="eastAsia" w:ascii="宋体" w:hAnsi="宋体" w:eastAsia="仿宋"/>
          <w:b/>
          <w:sz w:val="24"/>
          <w:szCs w:val="24"/>
          <w:highlight w:val="none"/>
        </w:rPr>
      </w:pPr>
    </w:p>
    <w:p w14:paraId="1C55405E">
      <w:pPr>
        <w:pStyle w:val="157"/>
        <w:adjustRightInd w:val="0"/>
        <w:snapToGrid w:val="0"/>
        <w:spacing w:before="0" w:line="360" w:lineRule="auto"/>
        <w:ind w:firstLine="482" w:firstLineChars="200"/>
        <w:jc w:val="center"/>
        <w:rPr>
          <w:rFonts w:ascii="宋体" w:hAnsi="宋体" w:eastAsia="仿宋"/>
          <w:b/>
          <w:sz w:val="24"/>
          <w:szCs w:val="24"/>
          <w:highlight w:val="none"/>
        </w:rPr>
        <w:sectPr>
          <w:footnotePr>
            <w:numFmt w:val="decimalEnclosedCircleChinese"/>
            <w:numRestart w:val="eachPage"/>
          </w:footnotePr>
          <w:pgSz w:w="11906" w:h="16838"/>
          <w:pgMar w:top="1134" w:right="1134" w:bottom="1134" w:left="1134" w:header="851" w:footer="851" w:gutter="0"/>
          <w:cols w:space="720" w:num="1"/>
          <w:docGrid w:linePitch="312" w:charSpace="0"/>
        </w:sectPr>
      </w:pPr>
    </w:p>
    <w:p w14:paraId="58053B85">
      <w:pPr>
        <w:pStyle w:val="3"/>
        <w:rPr>
          <w:rStyle w:val="107"/>
          <w:rFonts w:hint="eastAsia" w:ascii="宋体" w:hAnsi="宋体" w:eastAsia="仿宋"/>
          <w:b/>
          <w:bCs/>
          <w:sz w:val="24"/>
          <w:szCs w:val="24"/>
          <w:highlight w:val="none"/>
        </w:rPr>
      </w:pPr>
      <w:bookmarkStart w:id="827" w:name="_Toc417623587"/>
      <w:bookmarkStart w:id="828" w:name="_Toc324404867"/>
      <w:r>
        <w:rPr>
          <w:rStyle w:val="107"/>
          <w:rFonts w:hint="eastAsia" w:ascii="宋体" w:hAnsi="宋体" w:eastAsia="仿宋"/>
          <w:b/>
          <w:bCs/>
          <w:sz w:val="24"/>
          <w:szCs w:val="24"/>
          <w:highlight w:val="none"/>
        </w:rPr>
        <w:t>1. 资格审查办法</w:t>
      </w:r>
      <w:bookmarkEnd w:id="827"/>
      <w:bookmarkEnd w:id="828"/>
    </w:p>
    <w:p w14:paraId="5A70E318">
      <w:pPr>
        <w:snapToGrid w:val="0"/>
        <w:spacing w:line="360" w:lineRule="auto"/>
        <w:ind w:firstLine="480" w:firstLineChars="200"/>
        <w:rPr>
          <w:rFonts w:hint="eastAsia" w:ascii="宋体" w:hAnsi="宋体" w:eastAsia="仿宋"/>
          <w:sz w:val="24"/>
          <w:highlight w:val="none"/>
        </w:rPr>
      </w:pPr>
      <w:bookmarkStart w:id="829" w:name="_Hlk44246459"/>
      <w:r>
        <w:rPr>
          <w:rFonts w:hint="eastAsia" w:ascii="宋体" w:hAnsi="宋体" w:eastAsia="仿宋"/>
          <w:color w:val="000000"/>
          <w:sz w:val="24"/>
          <w:highlight w:val="none"/>
        </w:rPr>
        <w:t>公开招标采购项目开标结束后，采购人或者采购代理机构应当依法组建资格审查小组，按资格</w:t>
      </w:r>
      <w:r>
        <w:rPr>
          <w:rFonts w:hint="eastAsia" w:ascii="宋体" w:hAnsi="宋体" w:eastAsia="仿宋"/>
          <w:color w:val="auto"/>
          <w:sz w:val="24"/>
          <w:highlight w:val="none"/>
        </w:rPr>
        <w:t>审查办法前附表中的审查标准对投标人的资格进行审查。符合本章第一节第2条规定审查标准的投标人均通过资格审查</w:t>
      </w:r>
      <w:r>
        <w:rPr>
          <w:rFonts w:hint="eastAsia" w:ascii="宋体" w:hAnsi="宋体" w:eastAsia="仿宋"/>
          <w:sz w:val="24"/>
          <w:highlight w:val="none"/>
        </w:rPr>
        <w:t>。</w:t>
      </w:r>
    </w:p>
    <w:bookmarkEnd w:id="829"/>
    <w:p w14:paraId="5C451AC7">
      <w:pPr>
        <w:pStyle w:val="3"/>
        <w:rPr>
          <w:rStyle w:val="107"/>
          <w:rFonts w:hint="eastAsia" w:ascii="宋体" w:hAnsi="宋体" w:eastAsia="仿宋"/>
          <w:b/>
          <w:bCs/>
          <w:sz w:val="24"/>
          <w:szCs w:val="24"/>
          <w:highlight w:val="none"/>
        </w:rPr>
      </w:pPr>
      <w:r>
        <w:rPr>
          <w:rStyle w:val="107"/>
          <w:rFonts w:hint="eastAsia" w:ascii="宋体" w:hAnsi="宋体" w:eastAsia="仿宋"/>
          <w:b/>
          <w:bCs/>
          <w:sz w:val="24"/>
          <w:szCs w:val="24"/>
          <w:highlight w:val="none"/>
        </w:rPr>
        <w:t>2. 资格审查标准</w:t>
      </w:r>
    </w:p>
    <w:p w14:paraId="12B982C0">
      <w:pPr>
        <w:spacing w:line="360" w:lineRule="auto"/>
        <w:ind w:firstLine="480" w:firstLineChars="200"/>
        <w:rPr>
          <w:rFonts w:hint="eastAsia" w:ascii="宋体" w:hAnsi="宋体" w:eastAsia="仿宋"/>
          <w:sz w:val="24"/>
          <w:highlight w:val="none"/>
        </w:rPr>
      </w:pPr>
      <w:r>
        <w:rPr>
          <w:rFonts w:hint="eastAsia" w:ascii="宋体" w:hAnsi="宋体" w:eastAsia="仿宋"/>
          <w:sz w:val="24"/>
          <w:highlight w:val="none"/>
        </w:rPr>
        <w:t>审查标准：见资格审查办法前附表。</w:t>
      </w:r>
    </w:p>
    <w:p w14:paraId="1F2DFEB4">
      <w:pPr>
        <w:pStyle w:val="3"/>
        <w:rPr>
          <w:rStyle w:val="107"/>
          <w:rFonts w:hint="eastAsia" w:ascii="宋体" w:hAnsi="宋体" w:eastAsia="仿宋"/>
          <w:b/>
          <w:bCs/>
          <w:sz w:val="24"/>
          <w:szCs w:val="24"/>
          <w:highlight w:val="none"/>
        </w:rPr>
      </w:pPr>
      <w:r>
        <w:rPr>
          <w:rStyle w:val="107"/>
          <w:rFonts w:hint="eastAsia" w:ascii="宋体" w:hAnsi="宋体" w:eastAsia="仿宋"/>
          <w:b/>
          <w:bCs/>
          <w:sz w:val="24"/>
          <w:szCs w:val="24"/>
          <w:highlight w:val="none"/>
        </w:rPr>
        <w:t>3. 资格审查程序</w:t>
      </w:r>
    </w:p>
    <w:p w14:paraId="5B482D73">
      <w:pPr>
        <w:pStyle w:val="4"/>
        <w:adjustRightInd w:val="0"/>
        <w:ind w:firstLine="482" w:firstLineChars="200"/>
        <w:rPr>
          <w:rFonts w:hint="eastAsia" w:eastAsia="仿宋"/>
          <w:sz w:val="24"/>
          <w:highlight w:val="none"/>
          <w:lang w:eastAsia="zh-CN"/>
        </w:rPr>
      </w:pPr>
      <w:r>
        <w:rPr>
          <w:rFonts w:hint="eastAsia" w:eastAsia="仿宋"/>
          <w:sz w:val="24"/>
          <w:highlight w:val="none"/>
          <w:lang w:eastAsia="zh-CN"/>
        </w:rPr>
        <w:t>3.1 资格审查</w:t>
      </w:r>
    </w:p>
    <w:p w14:paraId="225B982E">
      <w:pPr>
        <w:snapToGrid w:val="0"/>
        <w:spacing w:line="360" w:lineRule="auto"/>
        <w:ind w:firstLine="480" w:firstLineChars="200"/>
        <w:rPr>
          <w:rFonts w:hint="eastAsia" w:ascii="宋体" w:hAnsi="宋体" w:eastAsia="仿宋"/>
          <w:sz w:val="24"/>
          <w:highlight w:val="none"/>
        </w:rPr>
      </w:pPr>
      <w:r>
        <w:rPr>
          <w:rFonts w:hint="eastAsia" w:ascii="宋体" w:hAnsi="宋体" w:eastAsia="仿宋"/>
          <w:sz w:val="24"/>
          <w:highlight w:val="none"/>
        </w:rPr>
        <w:t>3.1.1 资格审查小组按照规定的资格审查标准，对各投标人依次进行审查。有一项不符合审查标准的，资格审查不合格，其投标无效。</w:t>
      </w:r>
    </w:p>
    <w:p w14:paraId="73B92D20">
      <w:pPr>
        <w:snapToGrid w:val="0"/>
        <w:spacing w:line="360" w:lineRule="auto"/>
        <w:ind w:firstLine="480" w:firstLineChars="200"/>
        <w:rPr>
          <w:rFonts w:ascii="宋体" w:hAnsi="宋体" w:eastAsia="仿宋"/>
          <w:sz w:val="24"/>
          <w:highlight w:val="none"/>
        </w:rPr>
      </w:pPr>
      <w:r>
        <w:rPr>
          <w:rFonts w:ascii="宋体" w:hAnsi="宋体" w:eastAsia="仿宋"/>
          <w:sz w:val="24"/>
          <w:highlight w:val="none"/>
        </w:rPr>
        <w:t>3.</w:t>
      </w:r>
      <w:r>
        <w:rPr>
          <w:rFonts w:hint="eastAsia" w:ascii="宋体" w:hAnsi="宋体" w:eastAsia="仿宋"/>
          <w:sz w:val="24"/>
          <w:highlight w:val="none"/>
        </w:rPr>
        <w:t>1.</w:t>
      </w:r>
      <w:r>
        <w:rPr>
          <w:rFonts w:ascii="宋体" w:hAnsi="宋体" w:eastAsia="仿宋"/>
          <w:sz w:val="24"/>
          <w:highlight w:val="none"/>
        </w:rPr>
        <w:t>2</w:t>
      </w:r>
      <w:r>
        <w:rPr>
          <w:rFonts w:hint="eastAsia" w:ascii="宋体" w:hAnsi="宋体" w:eastAsia="仿宋"/>
          <w:sz w:val="24"/>
          <w:highlight w:val="none"/>
        </w:rPr>
        <w:t xml:space="preserve"> </w:t>
      </w:r>
      <w:r>
        <w:rPr>
          <w:rFonts w:ascii="宋体" w:hAnsi="宋体" w:eastAsia="仿宋"/>
          <w:sz w:val="24"/>
          <w:highlight w:val="none"/>
        </w:rPr>
        <w:t>投标人有以下情形之一的，</w:t>
      </w:r>
      <w:r>
        <w:rPr>
          <w:rFonts w:hint="eastAsia" w:ascii="宋体" w:hAnsi="宋体" w:eastAsia="仿宋"/>
          <w:sz w:val="24"/>
          <w:highlight w:val="none"/>
        </w:rPr>
        <w:t>资格审查不合格，其投标无效</w:t>
      </w:r>
      <w:r>
        <w:rPr>
          <w:rFonts w:ascii="宋体" w:hAnsi="宋体" w:eastAsia="仿宋"/>
          <w:sz w:val="24"/>
          <w:highlight w:val="none"/>
        </w:rPr>
        <w:t>：</w:t>
      </w:r>
    </w:p>
    <w:p w14:paraId="2058AF89">
      <w:pPr>
        <w:snapToGrid w:val="0"/>
        <w:spacing w:line="360" w:lineRule="auto"/>
        <w:ind w:firstLine="480" w:firstLineChars="200"/>
        <w:rPr>
          <w:rFonts w:hint="eastAsia" w:ascii="宋体" w:hAnsi="宋体" w:eastAsia="仿宋"/>
          <w:sz w:val="24"/>
          <w:highlight w:val="none"/>
        </w:rPr>
      </w:pPr>
      <w:r>
        <w:rPr>
          <w:rFonts w:ascii="宋体" w:hAnsi="宋体" w:eastAsia="仿宋"/>
          <w:sz w:val="24"/>
          <w:highlight w:val="none"/>
        </w:rPr>
        <w:t>（</w:t>
      </w:r>
      <w:r>
        <w:rPr>
          <w:rFonts w:hint="eastAsia" w:ascii="宋体" w:hAnsi="宋体" w:eastAsia="仿宋"/>
          <w:sz w:val="24"/>
          <w:highlight w:val="none"/>
        </w:rPr>
        <w:t>1</w:t>
      </w:r>
      <w:r>
        <w:rPr>
          <w:rFonts w:ascii="宋体" w:hAnsi="宋体" w:eastAsia="仿宋"/>
          <w:sz w:val="24"/>
          <w:highlight w:val="none"/>
        </w:rPr>
        <w:t>）有弄虚作假、</w:t>
      </w:r>
      <w:r>
        <w:rPr>
          <w:rFonts w:hint="eastAsia" w:ascii="宋体" w:hAnsi="宋体" w:eastAsia="仿宋"/>
          <w:sz w:val="24"/>
          <w:highlight w:val="none"/>
        </w:rPr>
        <w:t>向资格审查小组</w:t>
      </w:r>
      <w:r>
        <w:rPr>
          <w:rFonts w:ascii="宋体" w:hAnsi="宋体" w:eastAsia="仿宋"/>
          <w:sz w:val="24"/>
          <w:highlight w:val="none"/>
        </w:rPr>
        <w:t>行贿等违法行为</w:t>
      </w:r>
      <w:r>
        <w:rPr>
          <w:rFonts w:hint="eastAsia" w:ascii="宋体" w:hAnsi="宋体" w:eastAsia="仿宋"/>
          <w:sz w:val="24"/>
          <w:highlight w:val="none"/>
        </w:rPr>
        <w:t>；</w:t>
      </w:r>
    </w:p>
    <w:p w14:paraId="46F8E873">
      <w:pPr>
        <w:snapToGrid w:val="0"/>
        <w:spacing w:line="360" w:lineRule="auto"/>
        <w:ind w:firstLine="480" w:firstLineChars="200"/>
        <w:rPr>
          <w:rFonts w:ascii="宋体" w:hAnsi="宋体" w:eastAsia="仿宋"/>
          <w:sz w:val="24"/>
          <w:highlight w:val="none"/>
        </w:rPr>
      </w:pPr>
      <w:r>
        <w:rPr>
          <w:rFonts w:hint="eastAsia" w:ascii="宋体" w:hAnsi="宋体" w:eastAsia="仿宋"/>
          <w:sz w:val="24"/>
          <w:highlight w:val="none"/>
        </w:rPr>
        <w:t>（2）不按照资格审查小组要求澄清、补正的</w:t>
      </w:r>
      <w:r>
        <w:rPr>
          <w:rFonts w:ascii="宋体" w:hAnsi="宋体" w:eastAsia="仿宋"/>
          <w:sz w:val="24"/>
          <w:highlight w:val="none"/>
        </w:rPr>
        <w:t>。</w:t>
      </w:r>
    </w:p>
    <w:p w14:paraId="49E91487">
      <w:pPr>
        <w:pStyle w:val="4"/>
        <w:adjustRightInd w:val="0"/>
        <w:ind w:firstLine="482" w:firstLineChars="200"/>
        <w:rPr>
          <w:rFonts w:hint="eastAsia" w:eastAsia="仿宋"/>
          <w:sz w:val="24"/>
          <w:highlight w:val="none"/>
          <w:lang w:eastAsia="zh-CN"/>
        </w:rPr>
      </w:pPr>
      <w:r>
        <w:rPr>
          <w:rFonts w:hint="eastAsia" w:eastAsia="仿宋"/>
          <w:sz w:val="24"/>
          <w:highlight w:val="none"/>
          <w:lang w:eastAsia="zh-CN"/>
        </w:rPr>
        <w:t>3.2 投标文件澄清</w:t>
      </w:r>
    </w:p>
    <w:p w14:paraId="2EB14CED">
      <w:pPr>
        <w:snapToGrid w:val="0"/>
        <w:spacing w:line="360" w:lineRule="auto"/>
        <w:ind w:firstLine="480" w:firstLineChars="200"/>
        <w:rPr>
          <w:rFonts w:ascii="宋体" w:hAnsi="宋体" w:eastAsia="仿宋"/>
          <w:color w:val="000000"/>
          <w:sz w:val="24"/>
          <w:highlight w:val="none"/>
        </w:rPr>
      </w:pPr>
      <w:r>
        <w:rPr>
          <w:rFonts w:ascii="宋体" w:hAnsi="宋体" w:eastAsia="仿宋"/>
          <w:color w:val="000000"/>
          <w:sz w:val="24"/>
          <w:highlight w:val="none"/>
        </w:rPr>
        <w:t>3.</w:t>
      </w:r>
      <w:r>
        <w:rPr>
          <w:rFonts w:hint="eastAsia" w:ascii="宋体" w:hAnsi="宋体" w:eastAsia="仿宋"/>
          <w:color w:val="000000"/>
          <w:sz w:val="24"/>
          <w:highlight w:val="none"/>
        </w:rPr>
        <w:t>2</w:t>
      </w:r>
      <w:r>
        <w:rPr>
          <w:rFonts w:ascii="宋体" w:hAnsi="宋体" w:eastAsia="仿宋"/>
          <w:color w:val="000000"/>
          <w:sz w:val="24"/>
          <w:highlight w:val="none"/>
        </w:rPr>
        <w:t>.1</w:t>
      </w:r>
      <w:r>
        <w:rPr>
          <w:rFonts w:hint="eastAsia" w:ascii="宋体" w:hAnsi="宋体" w:eastAsia="仿宋"/>
          <w:color w:val="000000"/>
          <w:sz w:val="24"/>
          <w:highlight w:val="none"/>
        </w:rPr>
        <w:t xml:space="preserve"> </w:t>
      </w:r>
      <w:r>
        <w:rPr>
          <w:rFonts w:ascii="宋体" w:hAnsi="宋体" w:eastAsia="仿宋"/>
          <w:color w:val="000000"/>
          <w:sz w:val="24"/>
          <w:highlight w:val="none"/>
        </w:rPr>
        <w:t>在</w:t>
      </w:r>
      <w:r>
        <w:rPr>
          <w:rFonts w:hint="eastAsia" w:ascii="宋体" w:hAnsi="宋体" w:eastAsia="仿宋"/>
          <w:color w:val="000000"/>
          <w:sz w:val="24"/>
          <w:highlight w:val="none"/>
        </w:rPr>
        <w:t>资格审查</w:t>
      </w:r>
      <w:r>
        <w:rPr>
          <w:rFonts w:ascii="宋体" w:hAnsi="宋体" w:eastAsia="仿宋"/>
          <w:color w:val="000000"/>
          <w:sz w:val="24"/>
          <w:highlight w:val="none"/>
        </w:rPr>
        <w:t>过程中，</w:t>
      </w:r>
      <w:r>
        <w:rPr>
          <w:rFonts w:hint="eastAsia" w:ascii="宋体" w:hAnsi="宋体" w:eastAsia="仿宋"/>
          <w:color w:val="000000"/>
          <w:sz w:val="24"/>
          <w:highlight w:val="none"/>
        </w:rPr>
        <w:t>资格审查小组</w:t>
      </w:r>
      <w:r>
        <w:rPr>
          <w:rFonts w:ascii="宋体" w:hAnsi="宋体" w:eastAsia="仿宋"/>
          <w:color w:val="000000"/>
          <w:sz w:val="24"/>
          <w:highlight w:val="none"/>
        </w:rPr>
        <w:t>可以书面形式要求投标人对投标文件中含义不明确、对同类问题表述不一致或者有明显文字错误的内容作必要的澄清、说明或补正。澄清、说明或补正应以书面方式进行。</w:t>
      </w:r>
      <w:r>
        <w:rPr>
          <w:rFonts w:hint="eastAsia" w:ascii="宋体" w:hAnsi="宋体" w:eastAsia="仿宋"/>
          <w:color w:val="000000"/>
          <w:sz w:val="24"/>
          <w:highlight w:val="none"/>
        </w:rPr>
        <w:t>资格审查小组</w:t>
      </w:r>
      <w:r>
        <w:rPr>
          <w:rFonts w:ascii="宋体" w:hAnsi="宋体" w:eastAsia="仿宋"/>
          <w:color w:val="000000"/>
          <w:sz w:val="24"/>
          <w:highlight w:val="none"/>
        </w:rPr>
        <w:t>不接受投标人主动提出的澄清、说明或补正。</w:t>
      </w:r>
    </w:p>
    <w:p w14:paraId="13A2470C">
      <w:pPr>
        <w:snapToGrid w:val="0"/>
        <w:spacing w:line="360" w:lineRule="auto"/>
        <w:ind w:firstLine="480" w:firstLineChars="200"/>
        <w:rPr>
          <w:rFonts w:ascii="宋体" w:hAnsi="宋体" w:eastAsia="仿宋"/>
          <w:color w:val="000000"/>
          <w:sz w:val="24"/>
          <w:highlight w:val="none"/>
        </w:rPr>
      </w:pPr>
      <w:r>
        <w:rPr>
          <w:rFonts w:ascii="宋体" w:hAnsi="宋体" w:eastAsia="仿宋"/>
          <w:color w:val="000000"/>
          <w:sz w:val="24"/>
          <w:highlight w:val="none"/>
        </w:rPr>
        <w:t>3.</w:t>
      </w:r>
      <w:r>
        <w:rPr>
          <w:rFonts w:hint="eastAsia" w:ascii="宋体" w:hAnsi="宋体" w:eastAsia="仿宋"/>
          <w:color w:val="000000"/>
          <w:sz w:val="24"/>
          <w:highlight w:val="none"/>
        </w:rPr>
        <w:t>2</w:t>
      </w:r>
      <w:r>
        <w:rPr>
          <w:rFonts w:ascii="宋体" w:hAnsi="宋体" w:eastAsia="仿宋"/>
          <w:color w:val="000000"/>
          <w:sz w:val="24"/>
          <w:highlight w:val="none"/>
        </w:rPr>
        <w:t>.2</w:t>
      </w:r>
      <w:r>
        <w:rPr>
          <w:rFonts w:hint="eastAsia" w:ascii="宋体" w:hAnsi="宋体" w:eastAsia="仿宋"/>
          <w:color w:val="000000"/>
          <w:sz w:val="24"/>
          <w:highlight w:val="none"/>
        </w:rPr>
        <w:t xml:space="preserve"> </w:t>
      </w:r>
      <w:r>
        <w:rPr>
          <w:rFonts w:ascii="宋体" w:hAnsi="宋体" w:eastAsia="仿宋"/>
          <w:color w:val="000000"/>
          <w:sz w:val="24"/>
          <w:highlight w:val="none"/>
        </w:rPr>
        <w:t>澄清、说明或补正不得超出投标文件的范围且不得改变投标文件的实质性内容，并构成投标文件的组成部分。</w:t>
      </w:r>
    </w:p>
    <w:p w14:paraId="39B8F934">
      <w:pPr>
        <w:snapToGrid w:val="0"/>
        <w:spacing w:line="360" w:lineRule="auto"/>
        <w:ind w:firstLine="480" w:firstLineChars="200"/>
        <w:rPr>
          <w:rFonts w:ascii="宋体" w:hAnsi="宋体" w:eastAsia="仿宋"/>
          <w:color w:val="000000"/>
          <w:sz w:val="24"/>
          <w:highlight w:val="none"/>
        </w:rPr>
      </w:pPr>
      <w:r>
        <w:rPr>
          <w:rFonts w:ascii="宋体" w:hAnsi="宋体" w:eastAsia="仿宋"/>
          <w:color w:val="000000"/>
          <w:sz w:val="24"/>
          <w:highlight w:val="none"/>
        </w:rPr>
        <w:t>3.</w:t>
      </w:r>
      <w:r>
        <w:rPr>
          <w:rFonts w:hint="eastAsia" w:ascii="宋体" w:hAnsi="宋体" w:eastAsia="仿宋"/>
          <w:color w:val="000000"/>
          <w:sz w:val="24"/>
          <w:highlight w:val="none"/>
        </w:rPr>
        <w:t>2</w:t>
      </w:r>
      <w:r>
        <w:rPr>
          <w:rFonts w:ascii="宋体" w:hAnsi="宋体" w:eastAsia="仿宋"/>
          <w:color w:val="000000"/>
          <w:sz w:val="24"/>
          <w:highlight w:val="none"/>
        </w:rPr>
        <w:t>.3</w:t>
      </w:r>
      <w:r>
        <w:rPr>
          <w:rFonts w:hint="eastAsia" w:ascii="宋体" w:hAnsi="宋体" w:eastAsia="仿宋"/>
          <w:color w:val="000000"/>
          <w:sz w:val="24"/>
          <w:highlight w:val="none"/>
        </w:rPr>
        <w:t xml:space="preserve"> 资格审查小组</w:t>
      </w:r>
      <w:r>
        <w:rPr>
          <w:rFonts w:ascii="宋体" w:hAnsi="宋体" w:eastAsia="仿宋"/>
          <w:color w:val="000000"/>
          <w:sz w:val="24"/>
          <w:highlight w:val="none"/>
        </w:rPr>
        <w:t>对投标人提交的澄清、说明或补正有疑问的，可以要求投标人进一步澄清、说明或补正，直至满足</w:t>
      </w:r>
      <w:r>
        <w:rPr>
          <w:rFonts w:hint="eastAsia" w:ascii="宋体" w:hAnsi="宋体" w:eastAsia="仿宋"/>
          <w:color w:val="000000"/>
          <w:sz w:val="24"/>
          <w:highlight w:val="none"/>
        </w:rPr>
        <w:t>资格审查小组</w:t>
      </w:r>
      <w:r>
        <w:rPr>
          <w:rFonts w:ascii="宋体" w:hAnsi="宋体" w:eastAsia="仿宋"/>
          <w:color w:val="000000"/>
          <w:sz w:val="24"/>
          <w:highlight w:val="none"/>
        </w:rPr>
        <w:t>的要求。</w:t>
      </w:r>
    </w:p>
    <w:p w14:paraId="67F06E9E">
      <w:pPr>
        <w:pStyle w:val="4"/>
        <w:adjustRightInd w:val="0"/>
        <w:ind w:firstLine="482" w:firstLineChars="200"/>
        <w:rPr>
          <w:rFonts w:hint="eastAsia" w:eastAsia="仿宋"/>
          <w:sz w:val="24"/>
          <w:highlight w:val="none"/>
          <w:lang w:eastAsia="zh-CN"/>
        </w:rPr>
      </w:pPr>
      <w:r>
        <w:rPr>
          <w:rFonts w:hint="eastAsia" w:eastAsia="仿宋"/>
          <w:sz w:val="24"/>
          <w:highlight w:val="none"/>
          <w:lang w:eastAsia="zh-CN"/>
        </w:rPr>
        <w:t>3.3 资格审查结果</w:t>
      </w:r>
    </w:p>
    <w:p w14:paraId="0615EBB0">
      <w:pPr>
        <w:snapToGrid w:val="0"/>
        <w:spacing w:line="360" w:lineRule="auto"/>
        <w:ind w:firstLine="480" w:firstLineChars="200"/>
        <w:rPr>
          <w:rFonts w:ascii="宋体" w:hAnsi="宋体" w:eastAsia="仿宋"/>
          <w:color w:val="000000"/>
          <w:sz w:val="24"/>
          <w:highlight w:val="none"/>
        </w:rPr>
      </w:pPr>
      <w:r>
        <w:rPr>
          <w:rFonts w:ascii="宋体" w:hAnsi="宋体" w:eastAsia="仿宋"/>
          <w:color w:val="000000"/>
          <w:sz w:val="24"/>
          <w:highlight w:val="none"/>
        </w:rPr>
        <w:t>3.</w:t>
      </w:r>
      <w:r>
        <w:rPr>
          <w:rFonts w:hint="eastAsia" w:ascii="宋体" w:hAnsi="宋体" w:eastAsia="仿宋"/>
          <w:color w:val="000000"/>
          <w:sz w:val="24"/>
          <w:highlight w:val="none"/>
        </w:rPr>
        <w:t>3</w:t>
      </w:r>
      <w:r>
        <w:rPr>
          <w:rFonts w:ascii="宋体" w:hAnsi="宋体" w:eastAsia="仿宋"/>
          <w:color w:val="000000"/>
          <w:sz w:val="24"/>
          <w:highlight w:val="none"/>
        </w:rPr>
        <w:t>.1</w:t>
      </w:r>
      <w:r>
        <w:rPr>
          <w:rFonts w:hint="eastAsia" w:ascii="宋体" w:hAnsi="宋体" w:eastAsia="仿宋"/>
          <w:color w:val="000000"/>
          <w:sz w:val="24"/>
          <w:highlight w:val="none"/>
        </w:rPr>
        <w:t xml:space="preserve"> 资格审查完成后，资格审查小组应当出具各投标人资格审查结果的书面意见</w:t>
      </w:r>
      <w:r>
        <w:rPr>
          <w:rFonts w:ascii="宋体" w:hAnsi="宋体" w:eastAsia="仿宋"/>
          <w:color w:val="000000"/>
          <w:sz w:val="24"/>
          <w:highlight w:val="none"/>
        </w:rPr>
        <w:t>。</w:t>
      </w:r>
    </w:p>
    <w:p w14:paraId="608EAB31">
      <w:pPr>
        <w:snapToGrid w:val="0"/>
        <w:spacing w:line="360" w:lineRule="auto"/>
        <w:ind w:firstLine="480" w:firstLineChars="200"/>
        <w:rPr>
          <w:rFonts w:hint="eastAsia" w:ascii="宋体" w:hAnsi="宋体" w:eastAsia="仿宋"/>
          <w:color w:val="000000"/>
          <w:sz w:val="24"/>
          <w:highlight w:val="none"/>
        </w:rPr>
      </w:pPr>
      <w:r>
        <w:rPr>
          <w:rFonts w:ascii="宋体" w:hAnsi="宋体" w:eastAsia="仿宋"/>
          <w:color w:val="000000"/>
          <w:sz w:val="24"/>
          <w:highlight w:val="none"/>
        </w:rPr>
        <w:t>3.</w:t>
      </w:r>
      <w:r>
        <w:rPr>
          <w:rFonts w:hint="eastAsia" w:ascii="宋体" w:hAnsi="宋体" w:eastAsia="仿宋"/>
          <w:color w:val="000000"/>
          <w:sz w:val="24"/>
          <w:highlight w:val="none"/>
        </w:rPr>
        <w:t>3</w:t>
      </w:r>
      <w:r>
        <w:rPr>
          <w:rFonts w:ascii="宋体" w:hAnsi="宋体" w:eastAsia="仿宋"/>
          <w:color w:val="000000"/>
          <w:sz w:val="24"/>
          <w:highlight w:val="none"/>
        </w:rPr>
        <w:t>.2</w:t>
      </w:r>
      <w:r>
        <w:rPr>
          <w:rFonts w:hint="eastAsia" w:ascii="宋体" w:hAnsi="宋体" w:eastAsia="仿宋"/>
          <w:color w:val="000000"/>
          <w:sz w:val="24"/>
          <w:highlight w:val="none"/>
        </w:rPr>
        <w:t xml:space="preserve"> 只有通过资格审查的投标人才能进入下一步的评标程序</w:t>
      </w:r>
      <w:r>
        <w:rPr>
          <w:rFonts w:ascii="宋体" w:hAnsi="宋体" w:eastAsia="仿宋"/>
          <w:color w:val="000000"/>
          <w:sz w:val="24"/>
          <w:highlight w:val="none"/>
        </w:rPr>
        <w:t>。</w:t>
      </w:r>
    </w:p>
    <w:p w14:paraId="010F01F4">
      <w:pPr>
        <w:snapToGrid w:val="0"/>
        <w:spacing w:line="360" w:lineRule="auto"/>
        <w:ind w:firstLine="480" w:firstLineChars="200"/>
        <w:rPr>
          <w:rFonts w:hint="eastAsia" w:ascii="宋体" w:hAnsi="宋体" w:eastAsia="仿宋"/>
          <w:color w:val="000000"/>
          <w:sz w:val="24"/>
          <w:highlight w:val="none"/>
        </w:rPr>
      </w:pPr>
      <w:r>
        <w:rPr>
          <w:rFonts w:hint="eastAsia" w:ascii="宋体" w:hAnsi="宋体" w:eastAsia="仿宋"/>
          <w:color w:val="000000"/>
          <w:sz w:val="24"/>
          <w:highlight w:val="none"/>
        </w:rPr>
        <w:t>3.3.3 合格投标人不足3家的，按废标处理。</w:t>
      </w:r>
    </w:p>
    <w:p w14:paraId="20B2DCC0">
      <w:pPr>
        <w:pStyle w:val="157"/>
        <w:adjustRightInd w:val="0"/>
        <w:snapToGrid w:val="0"/>
        <w:spacing w:before="0" w:line="360" w:lineRule="auto"/>
        <w:ind w:firstLine="482" w:firstLineChars="200"/>
        <w:jc w:val="center"/>
        <w:rPr>
          <w:rFonts w:hint="eastAsia" w:ascii="宋体" w:hAnsi="宋体" w:eastAsia="仿宋"/>
          <w:b/>
          <w:sz w:val="24"/>
          <w:szCs w:val="24"/>
          <w:highlight w:val="none"/>
        </w:rPr>
      </w:pPr>
    </w:p>
    <w:p w14:paraId="34B2DA61">
      <w:pPr>
        <w:pStyle w:val="157"/>
        <w:adjustRightInd w:val="0"/>
        <w:snapToGrid w:val="0"/>
        <w:spacing w:before="0" w:line="360" w:lineRule="auto"/>
        <w:ind w:firstLine="482" w:firstLineChars="200"/>
        <w:jc w:val="center"/>
        <w:rPr>
          <w:rFonts w:ascii="宋体" w:hAnsi="宋体" w:eastAsia="仿宋"/>
          <w:b/>
          <w:sz w:val="24"/>
          <w:szCs w:val="24"/>
          <w:highlight w:val="none"/>
        </w:rPr>
        <w:sectPr>
          <w:footnotePr>
            <w:numFmt w:val="decimalEnclosedCircleChinese"/>
            <w:numRestart w:val="eachPage"/>
          </w:footnotePr>
          <w:pgSz w:w="11906" w:h="16838"/>
          <w:pgMar w:top="1134" w:right="1134" w:bottom="1134" w:left="1134" w:header="851" w:footer="851" w:gutter="0"/>
          <w:cols w:space="720" w:num="1"/>
          <w:docGrid w:linePitch="312" w:charSpace="0"/>
        </w:sectPr>
      </w:pPr>
    </w:p>
    <w:p w14:paraId="47A01E21">
      <w:pPr>
        <w:pStyle w:val="3"/>
        <w:jc w:val="center"/>
        <w:rPr>
          <w:rFonts w:hint="eastAsia" w:eastAsia="仿宋"/>
          <w:highlight w:val="none"/>
        </w:rPr>
      </w:pPr>
      <w:r>
        <w:rPr>
          <w:rFonts w:hint="eastAsia" w:eastAsia="仿宋"/>
          <w:highlight w:val="none"/>
        </w:rPr>
        <w:t>第二节  评标办法</w:t>
      </w:r>
    </w:p>
    <w:p w14:paraId="36344B7C">
      <w:pPr>
        <w:pStyle w:val="157"/>
        <w:adjustRightInd w:val="0"/>
        <w:snapToGrid w:val="0"/>
        <w:spacing w:before="0" w:line="360" w:lineRule="auto"/>
        <w:ind w:firstLine="562" w:firstLineChars="200"/>
        <w:jc w:val="center"/>
        <w:rPr>
          <w:rFonts w:hint="eastAsia" w:ascii="宋体" w:hAnsi="宋体" w:eastAsia="仿宋"/>
          <w:b/>
          <w:highlight w:val="none"/>
        </w:rPr>
      </w:pPr>
      <w:r>
        <w:rPr>
          <w:rFonts w:hint="eastAsia" w:ascii="宋体" w:hAnsi="宋体" w:eastAsia="仿宋"/>
          <w:b/>
          <w:highlight w:val="none"/>
        </w:rPr>
        <w:t>评标办法前附表</w:t>
      </w:r>
    </w:p>
    <w:p w14:paraId="42D8DA4F">
      <w:pPr>
        <w:widowControl/>
        <w:adjustRightInd w:val="0"/>
        <w:snapToGrid w:val="0"/>
        <w:spacing w:before="240" w:beforeLines="100" w:after="120" w:afterLines="50" w:line="360" w:lineRule="auto"/>
        <w:ind w:firstLine="482" w:firstLineChars="200"/>
        <w:rPr>
          <w:rFonts w:hint="eastAsia" w:ascii="宋体" w:hAnsi="宋体" w:eastAsia="仿宋"/>
          <w:b/>
          <w:sz w:val="28"/>
          <w:szCs w:val="28"/>
          <w:highlight w:val="none"/>
        </w:rPr>
      </w:pPr>
      <w:r>
        <w:rPr>
          <w:rFonts w:hint="eastAsia" w:ascii="宋体" w:hAnsi="宋体" w:eastAsia="仿宋"/>
          <w:b/>
          <w:bCs/>
          <w:sz w:val="24"/>
          <w:highlight w:val="none"/>
        </w:rPr>
        <w:t>本《评标办法前附表》是对本节《评标办法》的具体补充和修改，如有不一致，以本《评标办法前附表》为准。</w:t>
      </w:r>
    </w:p>
    <w:p w14:paraId="3C66E82D">
      <w:pPr>
        <w:pStyle w:val="157"/>
        <w:adjustRightInd w:val="0"/>
        <w:snapToGrid w:val="0"/>
        <w:spacing w:before="0" w:line="360" w:lineRule="auto"/>
        <w:ind w:firstLine="482" w:firstLineChars="200"/>
        <w:rPr>
          <w:rFonts w:hint="eastAsia" w:ascii="楷体_GB2312" w:hAnsi="宋体" w:eastAsia="楷体_GB2312"/>
          <w:b/>
          <w:i/>
          <w:color w:val="0000FF"/>
          <w:sz w:val="24"/>
          <w:szCs w:val="24"/>
          <w:highlight w:val="none"/>
        </w:rPr>
      </w:pPr>
      <w:r>
        <w:rPr>
          <w:rFonts w:hint="eastAsia" w:ascii="宋体" w:hAnsi="宋体" w:eastAsia="仿宋"/>
          <w:b/>
          <w:sz w:val="24"/>
          <w:szCs w:val="24"/>
          <w:highlight w:val="none"/>
        </w:rPr>
        <w:t>1. 符合性审查表</w:t>
      </w:r>
    </w:p>
    <w:tbl>
      <w:tblPr>
        <w:tblStyle w:val="48"/>
        <w:tblW w:w="9253" w:type="dxa"/>
        <w:tblInd w:w="22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77"/>
        <w:gridCol w:w="1843"/>
        <w:gridCol w:w="6533"/>
      </w:tblGrid>
      <w:tr w14:paraId="3971B9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877" w:type="dxa"/>
            <w:noWrap w:val="0"/>
            <w:vAlign w:val="center"/>
          </w:tcPr>
          <w:p w14:paraId="6EDAED6F">
            <w:pPr>
              <w:keepNext w:val="0"/>
              <w:keepLines w:val="0"/>
              <w:widowControl/>
              <w:suppressLineNumbers w:val="0"/>
              <w:spacing w:before="0" w:beforeAutospacing="0" w:after="0" w:afterAutospacing="0"/>
              <w:ind w:left="0" w:right="0"/>
              <w:jc w:val="center"/>
              <w:rPr>
                <w:rFonts w:hint="eastAsia" w:ascii="宋体" w:hAnsi="宋体" w:cs="Times New Roman"/>
                <w:b/>
                <w:kern w:val="0"/>
                <w:sz w:val="24"/>
                <w:highlight w:val="none"/>
              </w:rPr>
            </w:pPr>
            <w:r>
              <w:rPr>
                <w:rFonts w:hint="eastAsia" w:ascii="宋体" w:hAnsi="宋体" w:eastAsia="仿宋" w:cs="Times New Roman"/>
                <w:b/>
                <w:kern w:val="0"/>
                <w:sz w:val="24"/>
                <w:highlight w:val="none"/>
              </w:rPr>
              <w:t>条款号</w:t>
            </w:r>
          </w:p>
        </w:tc>
        <w:tc>
          <w:tcPr>
            <w:tcW w:w="1843" w:type="dxa"/>
            <w:noWrap w:val="0"/>
            <w:vAlign w:val="center"/>
          </w:tcPr>
          <w:p w14:paraId="2753B4B2">
            <w:pPr>
              <w:keepNext w:val="0"/>
              <w:keepLines w:val="0"/>
              <w:widowControl/>
              <w:suppressLineNumbers w:val="0"/>
              <w:spacing w:before="0" w:beforeAutospacing="0" w:after="0" w:afterAutospacing="0"/>
              <w:ind w:left="0" w:right="0"/>
              <w:jc w:val="center"/>
              <w:rPr>
                <w:rFonts w:hint="default" w:ascii="宋体" w:hAnsi="宋体" w:cs="Times New Roman"/>
                <w:b/>
                <w:kern w:val="0"/>
                <w:sz w:val="24"/>
                <w:highlight w:val="none"/>
              </w:rPr>
            </w:pPr>
            <w:r>
              <w:rPr>
                <w:rFonts w:hint="eastAsia" w:ascii="宋体" w:hAnsi="宋体" w:eastAsia="仿宋" w:cs="Times New Roman"/>
                <w:b/>
                <w:kern w:val="0"/>
                <w:sz w:val="24"/>
                <w:highlight w:val="none"/>
              </w:rPr>
              <w:t>审查因素</w:t>
            </w:r>
          </w:p>
        </w:tc>
        <w:tc>
          <w:tcPr>
            <w:tcW w:w="6533" w:type="dxa"/>
            <w:noWrap w:val="0"/>
            <w:vAlign w:val="center"/>
          </w:tcPr>
          <w:p w14:paraId="1E829B07">
            <w:pPr>
              <w:keepNext w:val="0"/>
              <w:keepLines w:val="0"/>
              <w:widowControl/>
              <w:suppressLineNumbers w:val="0"/>
              <w:spacing w:before="0" w:beforeAutospacing="0" w:after="0" w:afterAutospacing="0"/>
              <w:ind w:left="0" w:right="0"/>
              <w:jc w:val="center"/>
              <w:rPr>
                <w:rFonts w:hint="default" w:ascii="宋体" w:hAnsi="宋体" w:cs="Times New Roman"/>
                <w:b/>
                <w:kern w:val="0"/>
                <w:sz w:val="24"/>
                <w:highlight w:val="none"/>
              </w:rPr>
            </w:pPr>
            <w:r>
              <w:rPr>
                <w:rFonts w:hint="eastAsia" w:ascii="宋体" w:hAnsi="宋体" w:eastAsia="仿宋" w:cs="Times New Roman"/>
                <w:b/>
                <w:kern w:val="0"/>
                <w:sz w:val="24"/>
                <w:highlight w:val="none"/>
              </w:rPr>
              <w:t>审查标准</w:t>
            </w:r>
          </w:p>
        </w:tc>
      </w:tr>
      <w:tr w14:paraId="2A7476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877" w:type="dxa"/>
            <w:vMerge w:val="restart"/>
            <w:noWrap w:val="0"/>
            <w:vAlign w:val="center"/>
          </w:tcPr>
          <w:p w14:paraId="0DAEA4C8">
            <w:pPr>
              <w:keepNext w:val="0"/>
              <w:keepLines w:val="0"/>
              <w:widowControl/>
              <w:suppressLineNumbers w:val="0"/>
              <w:spacing w:before="0" w:beforeAutospacing="0" w:after="0" w:afterAutospacing="0"/>
              <w:ind w:left="0" w:right="0"/>
              <w:jc w:val="center"/>
              <w:rPr>
                <w:rFonts w:hint="default" w:ascii="宋体" w:hAnsi="宋体" w:eastAsia="仿宋" w:cs="Times New Roman"/>
                <w:kern w:val="0"/>
                <w:sz w:val="24"/>
                <w:highlight w:val="none"/>
              </w:rPr>
            </w:pPr>
            <w:r>
              <w:rPr>
                <w:rFonts w:hint="eastAsia" w:ascii="宋体" w:hAnsi="宋体" w:eastAsia="仿宋" w:cs="Times New Roman"/>
                <w:kern w:val="0"/>
                <w:sz w:val="24"/>
                <w:highlight w:val="none"/>
              </w:rPr>
              <w:t>3.1.2</w:t>
            </w:r>
          </w:p>
        </w:tc>
        <w:tc>
          <w:tcPr>
            <w:tcW w:w="1843" w:type="dxa"/>
            <w:noWrap w:val="0"/>
            <w:vAlign w:val="center"/>
          </w:tcPr>
          <w:p w14:paraId="1D3147AF">
            <w:pPr>
              <w:keepNext w:val="0"/>
              <w:keepLines w:val="0"/>
              <w:widowControl/>
              <w:suppressLineNumbers w:val="0"/>
              <w:spacing w:before="0" w:beforeAutospacing="0" w:after="0" w:afterAutospacing="0"/>
              <w:ind w:left="0" w:right="0"/>
              <w:jc w:val="left"/>
              <w:rPr>
                <w:rFonts w:hint="default" w:ascii="宋体" w:hAnsi="宋体" w:cs="Times New Roman"/>
                <w:kern w:val="0"/>
                <w:sz w:val="24"/>
                <w:highlight w:val="none"/>
              </w:rPr>
            </w:pPr>
            <w:r>
              <w:rPr>
                <w:rFonts w:hint="eastAsia" w:ascii="宋体" w:hAnsi="宋体" w:eastAsia="仿宋" w:cs="Times New Roman"/>
                <w:kern w:val="0"/>
                <w:sz w:val="24"/>
                <w:highlight w:val="none"/>
              </w:rPr>
              <w:t>投标人名称</w:t>
            </w:r>
          </w:p>
        </w:tc>
        <w:tc>
          <w:tcPr>
            <w:tcW w:w="6533" w:type="dxa"/>
            <w:noWrap w:val="0"/>
            <w:vAlign w:val="center"/>
          </w:tcPr>
          <w:p w14:paraId="4EAB635B">
            <w:pPr>
              <w:keepNext w:val="0"/>
              <w:keepLines w:val="0"/>
              <w:widowControl/>
              <w:suppressLineNumbers w:val="0"/>
              <w:spacing w:before="0" w:beforeAutospacing="0" w:after="0" w:afterAutospacing="0"/>
              <w:ind w:left="0" w:right="0"/>
              <w:jc w:val="left"/>
              <w:rPr>
                <w:rFonts w:hint="default" w:ascii="宋体" w:hAnsi="宋体" w:cs="Times New Roman"/>
                <w:kern w:val="0"/>
                <w:sz w:val="24"/>
                <w:highlight w:val="none"/>
              </w:rPr>
            </w:pPr>
            <w:r>
              <w:rPr>
                <w:rFonts w:hint="eastAsia" w:ascii="宋体" w:hAnsi="宋体" w:eastAsia="仿宋" w:cs="Times New Roman"/>
                <w:kern w:val="0"/>
                <w:sz w:val="24"/>
                <w:highlight w:val="none"/>
              </w:rPr>
              <w:t>与营业执照（或事业单位法人证书等证明材料）一致</w:t>
            </w:r>
          </w:p>
        </w:tc>
      </w:tr>
      <w:tr w14:paraId="259966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877" w:type="dxa"/>
            <w:vMerge w:val="continue"/>
            <w:noWrap w:val="0"/>
            <w:vAlign w:val="center"/>
          </w:tcPr>
          <w:p w14:paraId="2BB51150">
            <w:pPr>
              <w:keepNext w:val="0"/>
              <w:keepLines w:val="0"/>
              <w:widowControl/>
              <w:suppressLineNumbers w:val="0"/>
              <w:spacing w:before="0" w:beforeAutospacing="0" w:after="0" w:afterAutospacing="0"/>
              <w:ind w:left="0" w:right="0"/>
              <w:jc w:val="center"/>
              <w:rPr>
                <w:rFonts w:hint="eastAsia" w:ascii="宋体" w:hAnsi="宋体" w:cs="Times New Roman"/>
                <w:kern w:val="0"/>
                <w:sz w:val="24"/>
                <w:highlight w:val="none"/>
              </w:rPr>
            </w:pPr>
          </w:p>
        </w:tc>
        <w:tc>
          <w:tcPr>
            <w:tcW w:w="1843" w:type="dxa"/>
            <w:noWrap w:val="0"/>
            <w:vAlign w:val="center"/>
          </w:tcPr>
          <w:p w14:paraId="3901606F">
            <w:pPr>
              <w:keepNext w:val="0"/>
              <w:keepLines w:val="0"/>
              <w:widowControl/>
              <w:suppressLineNumbers w:val="0"/>
              <w:spacing w:before="0" w:beforeAutospacing="0" w:after="0" w:afterAutospacing="0"/>
              <w:ind w:left="0" w:right="0"/>
              <w:jc w:val="left"/>
              <w:rPr>
                <w:rFonts w:hint="default" w:ascii="宋体" w:hAnsi="宋体" w:cs="Times New Roman"/>
                <w:kern w:val="0"/>
                <w:sz w:val="24"/>
                <w:highlight w:val="none"/>
              </w:rPr>
            </w:pPr>
            <w:r>
              <w:rPr>
                <w:rFonts w:hint="eastAsia" w:ascii="宋体" w:hAnsi="宋体" w:eastAsia="仿宋" w:cs="Times New Roman"/>
                <w:kern w:val="0"/>
                <w:sz w:val="24"/>
                <w:highlight w:val="none"/>
              </w:rPr>
              <w:t>投标文件签署</w:t>
            </w:r>
          </w:p>
        </w:tc>
        <w:tc>
          <w:tcPr>
            <w:tcW w:w="6533" w:type="dxa"/>
            <w:noWrap w:val="0"/>
            <w:vAlign w:val="center"/>
          </w:tcPr>
          <w:p w14:paraId="4878BE09">
            <w:pPr>
              <w:keepNext w:val="0"/>
              <w:keepLines w:val="0"/>
              <w:widowControl/>
              <w:suppressLineNumbers w:val="0"/>
              <w:spacing w:before="0" w:beforeAutospacing="0" w:after="0" w:afterAutospacing="0"/>
              <w:ind w:left="0" w:right="0"/>
              <w:jc w:val="left"/>
              <w:rPr>
                <w:rFonts w:hint="default" w:ascii="宋体" w:hAnsi="宋体" w:cs="Times New Roman"/>
                <w:kern w:val="0"/>
                <w:sz w:val="24"/>
                <w:highlight w:val="none"/>
              </w:rPr>
            </w:pPr>
            <w:r>
              <w:rPr>
                <w:rFonts w:hint="eastAsia" w:ascii="宋体" w:hAnsi="宋体" w:eastAsia="仿宋" w:cs="Times New Roman"/>
                <w:kern w:val="0"/>
                <w:sz w:val="24"/>
                <w:highlight w:val="none"/>
              </w:rPr>
              <w:t>投标文件签字盖章符合招标文件规定</w:t>
            </w:r>
          </w:p>
        </w:tc>
      </w:tr>
      <w:tr w14:paraId="6F9D87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877" w:type="dxa"/>
            <w:vMerge w:val="continue"/>
            <w:noWrap w:val="0"/>
            <w:vAlign w:val="center"/>
          </w:tcPr>
          <w:p w14:paraId="5C3A129F">
            <w:pPr>
              <w:keepNext w:val="0"/>
              <w:keepLines w:val="0"/>
              <w:widowControl/>
              <w:suppressLineNumbers w:val="0"/>
              <w:spacing w:before="0" w:beforeAutospacing="0" w:after="0" w:afterAutospacing="0"/>
              <w:ind w:left="0" w:right="0"/>
              <w:jc w:val="center"/>
              <w:rPr>
                <w:rFonts w:hint="eastAsia" w:ascii="宋体" w:hAnsi="宋体" w:cs="Times New Roman"/>
                <w:kern w:val="0"/>
                <w:sz w:val="24"/>
                <w:highlight w:val="none"/>
              </w:rPr>
            </w:pPr>
          </w:p>
        </w:tc>
        <w:tc>
          <w:tcPr>
            <w:tcW w:w="1843" w:type="dxa"/>
            <w:noWrap w:val="0"/>
            <w:vAlign w:val="center"/>
          </w:tcPr>
          <w:p w14:paraId="18FB25CC">
            <w:pPr>
              <w:keepNext w:val="0"/>
              <w:keepLines w:val="0"/>
              <w:suppressLineNumbers w:val="0"/>
              <w:spacing w:before="0" w:beforeAutospacing="0" w:after="0" w:afterAutospacing="0" w:line="240" w:lineRule="exact"/>
              <w:ind w:left="0" w:right="0"/>
              <w:rPr>
                <w:rFonts w:hint="eastAsia" w:ascii="宋体" w:hAnsi="宋体" w:cs="Times New Roman"/>
                <w:sz w:val="24"/>
                <w:highlight w:val="none"/>
              </w:rPr>
            </w:pPr>
            <w:r>
              <w:rPr>
                <w:rFonts w:hint="eastAsia" w:ascii="宋体" w:hAnsi="宋体" w:eastAsia="仿宋" w:cs="Times New Roman"/>
                <w:sz w:val="24"/>
                <w:highlight w:val="none"/>
              </w:rPr>
              <w:t>法定代表人（单位负责人）身份证明及授权委托书</w:t>
            </w:r>
          </w:p>
        </w:tc>
        <w:tc>
          <w:tcPr>
            <w:tcW w:w="6533" w:type="dxa"/>
            <w:noWrap w:val="0"/>
            <w:vAlign w:val="center"/>
          </w:tcPr>
          <w:p w14:paraId="1B82E595">
            <w:pPr>
              <w:keepNext w:val="0"/>
              <w:keepLines w:val="0"/>
              <w:suppressLineNumbers w:val="0"/>
              <w:spacing w:before="0" w:beforeAutospacing="0" w:after="0" w:afterAutospacing="0" w:line="240" w:lineRule="exact"/>
              <w:ind w:left="0" w:right="0"/>
              <w:rPr>
                <w:rFonts w:hint="eastAsia" w:ascii="宋体" w:hAnsi="宋体" w:cs="Times New Roman"/>
                <w:sz w:val="24"/>
                <w:highlight w:val="none"/>
              </w:rPr>
            </w:pPr>
            <w:r>
              <w:rPr>
                <w:rFonts w:hint="eastAsia" w:ascii="宋体" w:hAnsi="宋体" w:eastAsia="仿宋" w:cs="Times New Roman"/>
                <w:sz w:val="24"/>
                <w:highlight w:val="none"/>
              </w:rPr>
              <w:t>法定代表人（单位负责人）身份证明及授权委托书符合招标文件规定的格式，按规定格式签字盖章</w:t>
            </w:r>
          </w:p>
        </w:tc>
      </w:tr>
      <w:tr w14:paraId="78935A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877" w:type="dxa"/>
            <w:vMerge w:val="continue"/>
            <w:noWrap w:val="0"/>
            <w:vAlign w:val="center"/>
          </w:tcPr>
          <w:p w14:paraId="41DC28F8">
            <w:pPr>
              <w:keepNext w:val="0"/>
              <w:keepLines w:val="0"/>
              <w:widowControl/>
              <w:suppressLineNumbers w:val="0"/>
              <w:spacing w:before="0" w:beforeAutospacing="0" w:after="0" w:afterAutospacing="0"/>
              <w:ind w:left="0" w:right="0"/>
              <w:jc w:val="center"/>
              <w:rPr>
                <w:rFonts w:hint="eastAsia" w:ascii="宋体" w:hAnsi="宋体" w:cs="Times New Roman"/>
                <w:kern w:val="0"/>
                <w:sz w:val="24"/>
                <w:highlight w:val="none"/>
              </w:rPr>
            </w:pPr>
          </w:p>
        </w:tc>
        <w:tc>
          <w:tcPr>
            <w:tcW w:w="1843" w:type="dxa"/>
            <w:noWrap w:val="0"/>
            <w:vAlign w:val="center"/>
          </w:tcPr>
          <w:p w14:paraId="610DA073">
            <w:pPr>
              <w:keepNext w:val="0"/>
              <w:keepLines w:val="0"/>
              <w:widowControl/>
              <w:suppressLineNumbers w:val="0"/>
              <w:spacing w:before="0" w:beforeAutospacing="0" w:after="0" w:afterAutospacing="0"/>
              <w:ind w:left="0" w:right="0"/>
              <w:jc w:val="left"/>
              <w:rPr>
                <w:rFonts w:hint="default" w:ascii="宋体" w:hAnsi="宋体" w:cs="Times New Roman"/>
                <w:kern w:val="0"/>
                <w:sz w:val="24"/>
                <w:highlight w:val="none"/>
              </w:rPr>
            </w:pPr>
            <w:r>
              <w:rPr>
                <w:rFonts w:hint="eastAsia" w:ascii="宋体" w:hAnsi="宋体" w:eastAsia="仿宋" w:cs="Times New Roman"/>
                <w:kern w:val="0"/>
                <w:sz w:val="24"/>
                <w:highlight w:val="none"/>
              </w:rPr>
              <w:t>投标文件格式</w:t>
            </w:r>
          </w:p>
        </w:tc>
        <w:tc>
          <w:tcPr>
            <w:tcW w:w="6533" w:type="dxa"/>
            <w:noWrap w:val="0"/>
            <w:vAlign w:val="center"/>
          </w:tcPr>
          <w:p w14:paraId="471C2092">
            <w:pPr>
              <w:keepNext w:val="0"/>
              <w:keepLines w:val="0"/>
              <w:widowControl/>
              <w:suppressLineNumbers w:val="0"/>
              <w:spacing w:before="0" w:beforeAutospacing="0" w:after="0" w:afterAutospacing="0"/>
              <w:ind w:left="0" w:right="0"/>
              <w:jc w:val="left"/>
              <w:rPr>
                <w:rFonts w:hint="default" w:ascii="宋体" w:hAnsi="宋体" w:cs="Times New Roman"/>
                <w:kern w:val="0"/>
                <w:sz w:val="24"/>
                <w:highlight w:val="none"/>
              </w:rPr>
            </w:pPr>
            <w:r>
              <w:rPr>
                <w:rFonts w:hint="eastAsia" w:ascii="宋体" w:hAnsi="宋体" w:eastAsia="仿宋" w:cs="Times New Roman"/>
                <w:kern w:val="0"/>
                <w:sz w:val="24"/>
                <w:highlight w:val="none"/>
              </w:rPr>
              <w:t>符合招标文件给定格式要求，实质性内容齐全，关键内容、字迹清晰可辨</w:t>
            </w:r>
          </w:p>
        </w:tc>
      </w:tr>
      <w:tr w14:paraId="02F657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877" w:type="dxa"/>
            <w:vMerge w:val="continue"/>
            <w:noWrap w:val="0"/>
            <w:vAlign w:val="center"/>
          </w:tcPr>
          <w:p w14:paraId="2D718FC7">
            <w:pPr>
              <w:keepNext w:val="0"/>
              <w:keepLines w:val="0"/>
              <w:widowControl/>
              <w:suppressLineNumbers w:val="0"/>
              <w:spacing w:before="0" w:beforeAutospacing="0" w:after="0" w:afterAutospacing="0"/>
              <w:ind w:left="0" w:right="0"/>
              <w:jc w:val="center"/>
              <w:rPr>
                <w:rFonts w:hint="eastAsia" w:ascii="宋体" w:hAnsi="宋体" w:cs="Times New Roman"/>
                <w:kern w:val="0"/>
                <w:sz w:val="24"/>
                <w:highlight w:val="none"/>
              </w:rPr>
            </w:pPr>
          </w:p>
        </w:tc>
        <w:tc>
          <w:tcPr>
            <w:tcW w:w="1843" w:type="dxa"/>
            <w:noWrap w:val="0"/>
            <w:vAlign w:val="center"/>
          </w:tcPr>
          <w:p w14:paraId="72156C64">
            <w:pPr>
              <w:keepNext w:val="0"/>
              <w:keepLines w:val="0"/>
              <w:widowControl/>
              <w:suppressLineNumbers w:val="0"/>
              <w:spacing w:before="0" w:beforeAutospacing="0" w:after="0" w:afterAutospacing="0"/>
              <w:ind w:left="0" w:right="0"/>
              <w:jc w:val="left"/>
              <w:rPr>
                <w:rFonts w:hint="eastAsia" w:ascii="宋体" w:hAnsi="宋体" w:eastAsia="仿宋" w:cs="Times New Roman"/>
                <w:kern w:val="0"/>
                <w:sz w:val="24"/>
                <w:highlight w:val="none"/>
              </w:rPr>
            </w:pPr>
            <w:r>
              <w:rPr>
                <w:rFonts w:hint="eastAsia" w:ascii="宋体" w:hAnsi="宋体" w:eastAsia="仿宋" w:cs="Times New Roman"/>
                <w:kern w:val="0"/>
                <w:sz w:val="24"/>
                <w:highlight w:val="none"/>
              </w:rPr>
              <w:t>联合体投标</w:t>
            </w:r>
          </w:p>
          <w:p w14:paraId="191A7C08">
            <w:pPr>
              <w:keepNext w:val="0"/>
              <w:keepLines w:val="0"/>
              <w:widowControl/>
              <w:suppressLineNumbers w:val="0"/>
              <w:spacing w:before="0" w:beforeAutospacing="0" w:after="0" w:afterAutospacing="0"/>
              <w:ind w:left="0" w:right="0"/>
              <w:jc w:val="left"/>
              <w:rPr>
                <w:rFonts w:hint="default" w:ascii="宋体" w:hAnsi="宋体" w:cs="Times New Roman"/>
                <w:kern w:val="0"/>
                <w:sz w:val="24"/>
                <w:highlight w:val="none"/>
              </w:rPr>
            </w:pPr>
            <w:r>
              <w:rPr>
                <w:rFonts w:hint="eastAsia" w:ascii="宋体" w:hAnsi="宋体" w:eastAsia="仿宋" w:cs="Times New Roman"/>
                <w:kern w:val="0"/>
                <w:sz w:val="24"/>
                <w:highlight w:val="none"/>
              </w:rPr>
              <w:t>（如适用）</w:t>
            </w:r>
          </w:p>
        </w:tc>
        <w:tc>
          <w:tcPr>
            <w:tcW w:w="6533" w:type="dxa"/>
            <w:noWrap w:val="0"/>
            <w:vAlign w:val="center"/>
          </w:tcPr>
          <w:p w14:paraId="23BC8A7A">
            <w:pPr>
              <w:keepNext w:val="0"/>
              <w:keepLines w:val="0"/>
              <w:widowControl/>
              <w:suppressLineNumbers w:val="0"/>
              <w:spacing w:before="0" w:beforeAutospacing="0" w:after="0" w:afterAutospacing="0"/>
              <w:ind w:left="0" w:right="0"/>
              <w:jc w:val="left"/>
              <w:rPr>
                <w:rFonts w:hint="default" w:ascii="宋体" w:hAnsi="宋体" w:cs="Times New Roman"/>
                <w:kern w:val="0"/>
                <w:sz w:val="24"/>
                <w:highlight w:val="none"/>
              </w:rPr>
            </w:pPr>
            <w:r>
              <w:rPr>
                <w:rFonts w:hint="eastAsia" w:ascii="宋体" w:hAnsi="宋体" w:eastAsia="仿宋" w:cs="Times New Roman"/>
                <w:kern w:val="0"/>
                <w:sz w:val="24"/>
                <w:highlight w:val="none"/>
              </w:rPr>
              <w:t>提供联合体协议书，并明确联合体牵头人</w:t>
            </w:r>
          </w:p>
        </w:tc>
      </w:tr>
      <w:tr w14:paraId="261807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877" w:type="dxa"/>
            <w:vMerge w:val="continue"/>
            <w:noWrap w:val="0"/>
            <w:vAlign w:val="center"/>
          </w:tcPr>
          <w:p w14:paraId="2E518C2F">
            <w:pPr>
              <w:keepNext w:val="0"/>
              <w:keepLines w:val="0"/>
              <w:widowControl/>
              <w:suppressLineNumbers w:val="0"/>
              <w:spacing w:before="0" w:beforeAutospacing="0" w:after="0" w:afterAutospacing="0"/>
              <w:ind w:left="0" w:right="0"/>
              <w:jc w:val="center"/>
              <w:rPr>
                <w:rFonts w:hint="eastAsia" w:ascii="宋体" w:hAnsi="宋体" w:cs="Times New Roman"/>
                <w:kern w:val="0"/>
                <w:sz w:val="24"/>
                <w:highlight w:val="none"/>
              </w:rPr>
            </w:pPr>
          </w:p>
        </w:tc>
        <w:tc>
          <w:tcPr>
            <w:tcW w:w="1843" w:type="dxa"/>
            <w:noWrap w:val="0"/>
            <w:vAlign w:val="center"/>
          </w:tcPr>
          <w:p w14:paraId="096019B3">
            <w:pPr>
              <w:keepNext w:val="0"/>
              <w:keepLines w:val="0"/>
              <w:widowControl/>
              <w:suppressLineNumbers w:val="0"/>
              <w:spacing w:before="0" w:beforeAutospacing="0" w:after="0" w:afterAutospacing="0"/>
              <w:ind w:left="0" w:right="0"/>
              <w:rPr>
                <w:rFonts w:hint="eastAsia" w:ascii="宋体" w:hAnsi="宋体" w:eastAsia="仿宋" w:cs="Times New Roman"/>
                <w:kern w:val="0"/>
                <w:sz w:val="24"/>
                <w:highlight w:val="none"/>
              </w:rPr>
            </w:pPr>
            <w:r>
              <w:rPr>
                <w:rFonts w:hint="eastAsia" w:ascii="宋体" w:hAnsi="宋体" w:eastAsia="仿宋" w:cs="Times New Roman"/>
                <w:kern w:val="0"/>
                <w:sz w:val="24"/>
                <w:highlight w:val="none"/>
              </w:rPr>
              <w:t>投标范围</w:t>
            </w:r>
          </w:p>
        </w:tc>
        <w:tc>
          <w:tcPr>
            <w:tcW w:w="6533" w:type="dxa"/>
            <w:noWrap w:val="0"/>
            <w:vAlign w:val="center"/>
          </w:tcPr>
          <w:p w14:paraId="2EC0F9CA">
            <w:pPr>
              <w:keepNext w:val="0"/>
              <w:keepLines w:val="0"/>
              <w:widowControl/>
              <w:suppressLineNumbers w:val="0"/>
              <w:spacing w:before="0" w:beforeAutospacing="0" w:after="0" w:afterAutospacing="0"/>
              <w:ind w:left="0" w:right="0"/>
              <w:jc w:val="left"/>
              <w:rPr>
                <w:rFonts w:hint="eastAsia" w:ascii="宋体" w:hAnsi="宋体" w:cs="Times New Roman"/>
                <w:kern w:val="0"/>
                <w:sz w:val="24"/>
                <w:highlight w:val="none"/>
              </w:rPr>
            </w:pPr>
            <w:r>
              <w:rPr>
                <w:rFonts w:hint="eastAsia" w:ascii="宋体" w:hAnsi="宋体" w:eastAsia="仿宋" w:cs="Times New Roman"/>
                <w:kern w:val="0"/>
                <w:sz w:val="24"/>
                <w:highlight w:val="none"/>
              </w:rPr>
              <w:t>符合招标文件要求</w:t>
            </w:r>
          </w:p>
        </w:tc>
      </w:tr>
      <w:tr w14:paraId="2DF809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877" w:type="dxa"/>
            <w:vMerge w:val="continue"/>
            <w:noWrap w:val="0"/>
            <w:vAlign w:val="center"/>
          </w:tcPr>
          <w:p w14:paraId="5801FD0F">
            <w:pPr>
              <w:keepNext w:val="0"/>
              <w:keepLines w:val="0"/>
              <w:widowControl/>
              <w:suppressLineNumbers w:val="0"/>
              <w:spacing w:before="0" w:beforeAutospacing="0" w:after="0" w:afterAutospacing="0"/>
              <w:ind w:left="0" w:right="0"/>
              <w:jc w:val="center"/>
              <w:rPr>
                <w:rFonts w:hint="eastAsia" w:ascii="宋体" w:hAnsi="宋体" w:cs="Times New Roman"/>
                <w:kern w:val="0"/>
                <w:sz w:val="24"/>
                <w:highlight w:val="none"/>
              </w:rPr>
            </w:pPr>
          </w:p>
        </w:tc>
        <w:tc>
          <w:tcPr>
            <w:tcW w:w="1843" w:type="dxa"/>
            <w:noWrap w:val="0"/>
            <w:vAlign w:val="center"/>
          </w:tcPr>
          <w:p w14:paraId="423C4324">
            <w:pPr>
              <w:keepNext w:val="0"/>
              <w:keepLines w:val="0"/>
              <w:widowControl/>
              <w:suppressLineNumbers w:val="0"/>
              <w:spacing w:before="0" w:beforeAutospacing="0" w:after="0" w:afterAutospacing="0"/>
              <w:ind w:left="0" w:right="0"/>
              <w:rPr>
                <w:rFonts w:hint="default" w:ascii="宋体" w:hAnsi="宋体" w:cs="Times New Roman"/>
                <w:kern w:val="0"/>
                <w:sz w:val="24"/>
                <w:highlight w:val="none"/>
              </w:rPr>
            </w:pPr>
            <w:r>
              <w:rPr>
                <w:rFonts w:hint="eastAsia" w:ascii="宋体" w:hAnsi="宋体" w:eastAsia="仿宋" w:cs="Times New Roman"/>
                <w:kern w:val="0"/>
                <w:sz w:val="24"/>
                <w:highlight w:val="none"/>
              </w:rPr>
              <w:t>投标报价</w:t>
            </w:r>
          </w:p>
        </w:tc>
        <w:tc>
          <w:tcPr>
            <w:tcW w:w="6533" w:type="dxa"/>
            <w:noWrap w:val="0"/>
            <w:vAlign w:val="top"/>
          </w:tcPr>
          <w:p w14:paraId="3C43DF4F">
            <w:pPr>
              <w:keepNext w:val="0"/>
              <w:keepLines w:val="0"/>
              <w:widowControl/>
              <w:suppressLineNumbers w:val="0"/>
              <w:spacing w:before="0" w:beforeAutospacing="0" w:after="0" w:afterAutospacing="0"/>
              <w:ind w:left="0" w:right="0"/>
              <w:jc w:val="left"/>
              <w:rPr>
                <w:rFonts w:hint="eastAsia" w:ascii="宋体" w:hAnsi="宋体" w:eastAsia="仿宋" w:cs="Times New Roman"/>
                <w:kern w:val="0"/>
                <w:sz w:val="24"/>
                <w:highlight w:val="none"/>
              </w:rPr>
            </w:pPr>
            <w:r>
              <w:rPr>
                <w:rFonts w:hint="eastAsia" w:ascii="宋体" w:hAnsi="宋体" w:eastAsia="仿宋" w:cs="仿宋_GB2312"/>
                <w:sz w:val="24"/>
                <w:highlight w:val="none"/>
                <w:lang w:val="zh-CN"/>
              </w:rPr>
              <w:t>投标报价不得超过</w:t>
            </w:r>
            <w:r>
              <w:rPr>
                <w:rFonts w:hint="eastAsia" w:ascii="宋体" w:hAnsi="宋体" w:eastAsia="仿宋" w:cs="仿宋_GB2312"/>
                <w:sz w:val="24"/>
                <w:highlight w:val="none"/>
              </w:rPr>
              <w:t>预算金额或</w:t>
            </w:r>
            <w:r>
              <w:rPr>
                <w:rFonts w:hint="eastAsia" w:ascii="宋体" w:hAnsi="宋体" w:eastAsia="仿宋" w:cs="仿宋_GB2312"/>
                <w:sz w:val="24"/>
                <w:highlight w:val="none"/>
                <w:lang w:val="zh-CN"/>
              </w:rPr>
              <w:t>最高限价，</w:t>
            </w:r>
            <w:r>
              <w:rPr>
                <w:rFonts w:hint="eastAsia" w:ascii="宋体" w:hAnsi="宋体" w:eastAsia="仿宋" w:cs="Times New Roman"/>
                <w:sz w:val="24"/>
                <w:highlight w:val="none"/>
              </w:rPr>
              <w:t>只能有一个有效报价，不得提交选择性报价（按招标文件规定提交备选投标方案的除外），</w:t>
            </w:r>
            <w:r>
              <w:rPr>
                <w:rFonts w:hint="eastAsia" w:ascii="宋体" w:hAnsi="宋体" w:eastAsia="仿宋" w:cs="Times New Roman"/>
                <w:sz w:val="24"/>
                <w:highlight w:val="none"/>
                <w:lang w:bidi="ar"/>
              </w:rPr>
              <w:t>符合第二章投标人须知第3.2款要求</w:t>
            </w:r>
          </w:p>
        </w:tc>
      </w:tr>
      <w:tr w14:paraId="1DB25C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877" w:type="dxa"/>
            <w:vMerge w:val="continue"/>
            <w:noWrap w:val="0"/>
            <w:vAlign w:val="center"/>
          </w:tcPr>
          <w:p w14:paraId="0237D94C">
            <w:pPr>
              <w:keepNext w:val="0"/>
              <w:keepLines w:val="0"/>
              <w:widowControl/>
              <w:suppressLineNumbers w:val="0"/>
              <w:spacing w:before="0" w:beforeAutospacing="0" w:after="0" w:afterAutospacing="0"/>
              <w:ind w:left="0" w:right="0"/>
              <w:jc w:val="center"/>
              <w:rPr>
                <w:rFonts w:hint="eastAsia" w:ascii="宋体" w:hAnsi="宋体" w:cs="Times New Roman"/>
                <w:kern w:val="0"/>
                <w:sz w:val="24"/>
                <w:highlight w:val="none"/>
              </w:rPr>
            </w:pPr>
          </w:p>
        </w:tc>
        <w:tc>
          <w:tcPr>
            <w:tcW w:w="1843" w:type="dxa"/>
            <w:noWrap w:val="0"/>
            <w:vAlign w:val="center"/>
          </w:tcPr>
          <w:p w14:paraId="4A8FCDA0">
            <w:pPr>
              <w:pStyle w:val="156"/>
              <w:keepNext w:val="0"/>
              <w:keepLines w:val="0"/>
              <w:suppressLineNumbers w:val="0"/>
              <w:spacing w:before="0" w:beforeAutospacing="0" w:after="0" w:afterAutospacing="0"/>
              <w:ind w:left="0" w:right="0"/>
              <w:rPr>
                <w:rFonts w:hint="default" w:ascii="宋体" w:hAnsi="宋体" w:eastAsia="仿宋" w:cs="Times New Roman"/>
                <w:sz w:val="24"/>
                <w:szCs w:val="24"/>
                <w:highlight w:val="none"/>
              </w:rPr>
            </w:pPr>
            <w:r>
              <w:rPr>
                <w:rFonts w:hint="eastAsia" w:ascii="宋体" w:hAnsi="宋体" w:eastAsia="仿宋" w:cs="Times New Roman"/>
                <w:sz w:val="24"/>
                <w:szCs w:val="24"/>
                <w:highlight w:val="none"/>
              </w:rPr>
              <w:t>商务要求</w:t>
            </w:r>
          </w:p>
        </w:tc>
        <w:tc>
          <w:tcPr>
            <w:tcW w:w="6533" w:type="dxa"/>
            <w:noWrap w:val="0"/>
            <w:vAlign w:val="center"/>
          </w:tcPr>
          <w:p w14:paraId="1F06C416">
            <w:pPr>
              <w:pStyle w:val="156"/>
              <w:keepNext w:val="0"/>
              <w:keepLines w:val="0"/>
              <w:suppressLineNumbers w:val="0"/>
              <w:spacing w:before="0" w:beforeAutospacing="0" w:after="0" w:afterAutospacing="0"/>
              <w:ind w:left="0" w:right="0"/>
              <w:rPr>
                <w:rFonts w:hint="default" w:ascii="宋体" w:hAnsi="宋体" w:eastAsia="仿宋" w:cs="Times New Roman"/>
                <w:sz w:val="24"/>
                <w:szCs w:val="24"/>
                <w:highlight w:val="none"/>
              </w:rPr>
            </w:pPr>
            <w:r>
              <w:rPr>
                <w:rFonts w:hint="eastAsia" w:ascii="宋体" w:hAnsi="宋体" w:eastAsia="仿宋" w:cs="Times New Roman"/>
                <w:sz w:val="24"/>
                <w:highlight w:val="none"/>
              </w:rPr>
              <w:t>符合实质性要求，偏离范围和项数符合招标文件规定</w:t>
            </w:r>
          </w:p>
        </w:tc>
      </w:tr>
      <w:tr w14:paraId="08C0B7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877" w:type="dxa"/>
            <w:vMerge w:val="continue"/>
            <w:noWrap w:val="0"/>
            <w:vAlign w:val="center"/>
          </w:tcPr>
          <w:p w14:paraId="4428836D">
            <w:pPr>
              <w:keepNext w:val="0"/>
              <w:keepLines w:val="0"/>
              <w:widowControl/>
              <w:suppressLineNumbers w:val="0"/>
              <w:spacing w:before="0" w:beforeAutospacing="0" w:after="0" w:afterAutospacing="0"/>
              <w:ind w:left="0" w:right="0"/>
              <w:jc w:val="center"/>
              <w:rPr>
                <w:rFonts w:hint="eastAsia" w:ascii="宋体" w:hAnsi="宋体" w:cs="Times New Roman"/>
                <w:kern w:val="0"/>
                <w:sz w:val="24"/>
                <w:highlight w:val="none"/>
              </w:rPr>
            </w:pPr>
          </w:p>
        </w:tc>
        <w:tc>
          <w:tcPr>
            <w:tcW w:w="1843" w:type="dxa"/>
            <w:noWrap w:val="0"/>
            <w:vAlign w:val="center"/>
          </w:tcPr>
          <w:p w14:paraId="305C5128">
            <w:pPr>
              <w:keepNext w:val="0"/>
              <w:keepLines w:val="0"/>
              <w:widowControl/>
              <w:suppressLineNumbers w:val="0"/>
              <w:spacing w:before="0" w:beforeAutospacing="0" w:after="0" w:afterAutospacing="0"/>
              <w:ind w:left="0" w:right="0"/>
              <w:rPr>
                <w:rFonts w:hint="eastAsia" w:ascii="宋体" w:hAnsi="宋体" w:eastAsia="仿宋" w:cs="Times New Roman"/>
                <w:kern w:val="0"/>
                <w:sz w:val="24"/>
                <w:highlight w:val="none"/>
              </w:rPr>
            </w:pPr>
            <w:r>
              <w:rPr>
                <w:rFonts w:hint="eastAsia" w:ascii="宋体" w:hAnsi="宋体" w:eastAsia="仿宋" w:cs="Times New Roman"/>
                <w:kern w:val="0"/>
                <w:sz w:val="24"/>
                <w:highlight w:val="none"/>
              </w:rPr>
              <w:t>技术要求</w:t>
            </w:r>
          </w:p>
        </w:tc>
        <w:tc>
          <w:tcPr>
            <w:tcW w:w="6533" w:type="dxa"/>
            <w:noWrap w:val="0"/>
            <w:vAlign w:val="center"/>
          </w:tcPr>
          <w:p w14:paraId="4DB993B7">
            <w:pPr>
              <w:keepNext w:val="0"/>
              <w:keepLines w:val="0"/>
              <w:widowControl/>
              <w:suppressLineNumbers w:val="0"/>
              <w:spacing w:before="0" w:beforeAutospacing="0" w:after="0" w:afterAutospacing="0"/>
              <w:ind w:left="0" w:right="0"/>
              <w:jc w:val="left"/>
              <w:rPr>
                <w:rFonts w:hint="default" w:ascii="宋体" w:hAnsi="宋体" w:cs="Times New Roman"/>
                <w:kern w:val="0"/>
                <w:sz w:val="24"/>
                <w:highlight w:val="none"/>
              </w:rPr>
            </w:pPr>
            <w:r>
              <w:rPr>
                <w:rFonts w:hint="eastAsia" w:ascii="宋体" w:hAnsi="宋体" w:eastAsia="仿宋" w:cs="Times New Roman"/>
                <w:kern w:val="0"/>
                <w:sz w:val="24"/>
                <w:highlight w:val="none"/>
              </w:rPr>
              <w:t>符合实质性要求，偏离范围和项数符合招标文件规定</w:t>
            </w:r>
          </w:p>
        </w:tc>
      </w:tr>
      <w:tr w14:paraId="64D941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877" w:type="dxa"/>
            <w:vMerge w:val="continue"/>
            <w:noWrap w:val="0"/>
            <w:vAlign w:val="center"/>
          </w:tcPr>
          <w:p w14:paraId="3170C59B">
            <w:pPr>
              <w:keepNext w:val="0"/>
              <w:keepLines w:val="0"/>
              <w:widowControl/>
              <w:suppressLineNumbers w:val="0"/>
              <w:spacing w:before="0" w:beforeAutospacing="0" w:after="0" w:afterAutospacing="0"/>
              <w:ind w:left="0" w:right="0"/>
              <w:jc w:val="center"/>
              <w:rPr>
                <w:rFonts w:hint="eastAsia" w:ascii="宋体" w:hAnsi="宋体" w:cs="Times New Roman"/>
                <w:kern w:val="0"/>
                <w:sz w:val="24"/>
                <w:highlight w:val="none"/>
              </w:rPr>
            </w:pPr>
          </w:p>
        </w:tc>
        <w:tc>
          <w:tcPr>
            <w:tcW w:w="1843" w:type="dxa"/>
            <w:noWrap w:val="0"/>
            <w:vAlign w:val="center"/>
          </w:tcPr>
          <w:p w14:paraId="26C2BB66">
            <w:pPr>
              <w:keepNext w:val="0"/>
              <w:keepLines w:val="0"/>
              <w:widowControl/>
              <w:suppressLineNumbers w:val="0"/>
              <w:spacing w:before="0" w:beforeAutospacing="0" w:after="0" w:afterAutospacing="0"/>
              <w:ind w:left="0" w:right="0"/>
              <w:rPr>
                <w:rFonts w:hint="default" w:ascii="宋体" w:hAnsi="宋体" w:cs="Times New Roman"/>
                <w:kern w:val="0"/>
                <w:sz w:val="24"/>
                <w:highlight w:val="none"/>
              </w:rPr>
            </w:pPr>
            <w:r>
              <w:rPr>
                <w:rFonts w:hint="eastAsia" w:ascii="宋体" w:hAnsi="宋体" w:eastAsia="仿宋" w:cs="Times New Roman"/>
                <w:kern w:val="0"/>
                <w:sz w:val="24"/>
                <w:highlight w:val="none"/>
              </w:rPr>
              <w:t>投标有效期</w:t>
            </w:r>
          </w:p>
        </w:tc>
        <w:tc>
          <w:tcPr>
            <w:tcW w:w="6533" w:type="dxa"/>
            <w:noWrap w:val="0"/>
            <w:vAlign w:val="center"/>
          </w:tcPr>
          <w:p w14:paraId="14440173">
            <w:pPr>
              <w:keepNext w:val="0"/>
              <w:keepLines w:val="0"/>
              <w:widowControl/>
              <w:suppressLineNumbers w:val="0"/>
              <w:spacing w:before="0" w:beforeAutospacing="0" w:after="0" w:afterAutospacing="0"/>
              <w:ind w:left="0" w:right="0"/>
              <w:jc w:val="left"/>
              <w:rPr>
                <w:rFonts w:hint="eastAsia" w:ascii="宋体" w:hAnsi="宋体" w:cs="Times New Roman"/>
                <w:kern w:val="0"/>
                <w:sz w:val="24"/>
                <w:highlight w:val="none"/>
              </w:rPr>
            </w:pPr>
            <w:r>
              <w:rPr>
                <w:rFonts w:hint="eastAsia" w:ascii="宋体" w:hAnsi="宋体" w:eastAsia="仿宋" w:cs="Times New Roman"/>
                <w:kern w:val="0"/>
                <w:sz w:val="24"/>
                <w:highlight w:val="none"/>
              </w:rPr>
              <w:t>符合招标文件要求</w:t>
            </w:r>
          </w:p>
        </w:tc>
      </w:tr>
      <w:tr w14:paraId="627120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877" w:type="dxa"/>
            <w:vMerge w:val="continue"/>
            <w:noWrap w:val="0"/>
            <w:vAlign w:val="top"/>
          </w:tcPr>
          <w:p w14:paraId="31EFAA9A">
            <w:pPr>
              <w:keepNext w:val="0"/>
              <w:keepLines w:val="0"/>
              <w:widowControl/>
              <w:suppressLineNumbers w:val="0"/>
              <w:spacing w:before="0" w:beforeAutospacing="0" w:after="0" w:afterAutospacing="0"/>
              <w:ind w:left="0" w:right="0"/>
              <w:jc w:val="center"/>
              <w:rPr>
                <w:rFonts w:hint="eastAsia" w:ascii="宋体" w:hAnsi="宋体" w:cs="Times New Roman"/>
                <w:kern w:val="0"/>
                <w:sz w:val="24"/>
                <w:highlight w:val="none"/>
              </w:rPr>
            </w:pPr>
          </w:p>
        </w:tc>
        <w:tc>
          <w:tcPr>
            <w:tcW w:w="1843" w:type="dxa"/>
            <w:noWrap w:val="0"/>
            <w:vAlign w:val="center"/>
          </w:tcPr>
          <w:p w14:paraId="1C2AC0D8">
            <w:pPr>
              <w:pStyle w:val="156"/>
              <w:keepNext w:val="0"/>
              <w:keepLines w:val="0"/>
              <w:suppressLineNumbers w:val="0"/>
              <w:adjustRightInd w:val="0"/>
              <w:spacing w:before="0" w:beforeAutospacing="0" w:after="0" w:afterAutospacing="0"/>
              <w:ind w:left="0" w:right="0"/>
              <w:rPr>
                <w:rFonts w:hint="eastAsia" w:ascii="宋体" w:hAnsi="宋体" w:cs="Times New Roman"/>
                <w:sz w:val="24"/>
                <w:szCs w:val="24"/>
                <w:highlight w:val="none"/>
              </w:rPr>
            </w:pPr>
            <w:r>
              <w:rPr>
                <w:rFonts w:hint="eastAsia" w:ascii="宋体" w:hAnsi="宋体" w:eastAsia="仿宋" w:cs="Times New Roman"/>
                <w:sz w:val="24"/>
                <w:szCs w:val="24"/>
                <w:highlight w:val="none"/>
              </w:rPr>
              <w:t>进口产品</w:t>
            </w:r>
          </w:p>
        </w:tc>
        <w:tc>
          <w:tcPr>
            <w:tcW w:w="6533" w:type="dxa"/>
            <w:noWrap w:val="0"/>
            <w:vAlign w:val="center"/>
          </w:tcPr>
          <w:p w14:paraId="2C01B1D7">
            <w:pPr>
              <w:pStyle w:val="156"/>
              <w:keepNext w:val="0"/>
              <w:keepLines w:val="0"/>
              <w:suppressLineNumbers w:val="0"/>
              <w:adjustRightInd w:val="0"/>
              <w:spacing w:before="0" w:beforeAutospacing="0" w:after="0" w:afterAutospacing="0"/>
              <w:ind w:left="0" w:right="0"/>
              <w:rPr>
                <w:rFonts w:hint="eastAsia" w:ascii="宋体" w:hAnsi="宋体" w:cs="Times New Roman"/>
                <w:sz w:val="24"/>
                <w:szCs w:val="24"/>
                <w:highlight w:val="none"/>
              </w:rPr>
            </w:pPr>
            <w:r>
              <w:rPr>
                <w:rFonts w:hint="eastAsia" w:ascii="宋体" w:hAnsi="宋体" w:eastAsia="仿宋" w:cs="Times New Roman"/>
                <w:sz w:val="24"/>
                <w:szCs w:val="24"/>
                <w:highlight w:val="none"/>
              </w:rPr>
              <w:t>不接受进口产品投标的，投标产品不得为进口产品（执行</w:t>
            </w:r>
            <w:r>
              <w:rPr>
                <w:rFonts w:hint="default" w:ascii="宋体" w:hAnsi="宋体" w:eastAsia="仿宋" w:cs="Times New Roman"/>
                <w:sz w:val="24"/>
                <w:szCs w:val="24"/>
                <w:highlight w:val="none"/>
              </w:rPr>
              <w:t>财办库</w:t>
            </w:r>
            <w:r>
              <w:rPr>
                <w:rFonts w:hint="eastAsia" w:ascii="宋体" w:hAnsi="宋体" w:eastAsia="仿宋" w:cs="Times New Roman"/>
                <w:sz w:val="24"/>
                <w:szCs w:val="24"/>
                <w:highlight w:val="none"/>
              </w:rPr>
              <w:t>〔2008〕</w:t>
            </w:r>
            <w:r>
              <w:rPr>
                <w:rFonts w:hint="default" w:ascii="宋体" w:hAnsi="宋体" w:eastAsia="仿宋" w:cs="Times New Roman"/>
                <w:sz w:val="24"/>
                <w:szCs w:val="24"/>
                <w:highlight w:val="none"/>
              </w:rPr>
              <w:t>248号</w:t>
            </w:r>
            <w:r>
              <w:rPr>
                <w:rFonts w:hint="eastAsia" w:ascii="宋体" w:hAnsi="宋体" w:eastAsia="仿宋" w:cs="Times New Roman"/>
                <w:sz w:val="24"/>
                <w:szCs w:val="24"/>
                <w:highlight w:val="none"/>
              </w:rPr>
              <w:t>文件规定）</w:t>
            </w:r>
          </w:p>
        </w:tc>
      </w:tr>
      <w:tr w14:paraId="7619DC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877" w:type="dxa"/>
            <w:vMerge w:val="continue"/>
            <w:noWrap w:val="0"/>
            <w:vAlign w:val="top"/>
          </w:tcPr>
          <w:p w14:paraId="00C78C57">
            <w:pPr>
              <w:keepNext w:val="0"/>
              <w:keepLines w:val="0"/>
              <w:widowControl/>
              <w:suppressLineNumbers w:val="0"/>
              <w:spacing w:before="0" w:beforeAutospacing="0" w:after="0" w:afterAutospacing="0"/>
              <w:ind w:left="0" w:right="0"/>
              <w:jc w:val="center"/>
              <w:rPr>
                <w:rFonts w:hint="eastAsia" w:ascii="宋体" w:hAnsi="宋体" w:cs="Times New Roman"/>
                <w:kern w:val="0"/>
                <w:sz w:val="24"/>
                <w:highlight w:val="none"/>
              </w:rPr>
            </w:pPr>
          </w:p>
        </w:tc>
        <w:tc>
          <w:tcPr>
            <w:tcW w:w="1843" w:type="dxa"/>
            <w:noWrap w:val="0"/>
            <w:vAlign w:val="center"/>
          </w:tcPr>
          <w:p w14:paraId="0233EC3F">
            <w:pPr>
              <w:pStyle w:val="156"/>
              <w:keepNext w:val="0"/>
              <w:keepLines w:val="0"/>
              <w:suppressLineNumbers w:val="0"/>
              <w:adjustRightInd w:val="0"/>
              <w:spacing w:before="0" w:beforeAutospacing="0" w:after="0" w:afterAutospacing="0"/>
              <w:ind w:left="0" w:right="0"/>
              <w:rPr>
                <w:rFonts w:hint="eastAsia" w:ascii="宋体" w:hAnsi="宋体" w:eastAsia="仿宋" w:cs="Times New Roman"/>
                <w:color w:val="FF0000"/>
                <w:sz w:val="24"/>
                <w:szCs w:val="24"/>
                <w:highlight w:val="none"/>
              </w:rPr>
            </w:pPr>
            <w:r>
              <w:rPr>
                <w:rFonts w:hint="eastAsia" w:ascii="宋体" w:hAnsi="宋体" w:eastAsia="仿宋" w:cs="Times New Roman"/>
                <w:sz w:val="24"/>
                <w:szCs w:val="24"/>
                <w:highlight w:val="none"/>
              </w:rPr>
              <w:t>强制采购节能产品</w:t>
            </w:r>
          </w:p>
        </w:tc>
        <w:tc>
          <w:tcPr>
            <w:tcW w:w="6533" w:type="dxa"/>
            <w:noWrap w:val="0"/>
            <w:vAlign w:val="center"/>
          </w:tcPr>
          <w:p w14:paraId="0C144E3D">
            <w:pPr>
              <w:pStyle w:val="156"/>
              <w:keepNext w:val="0"/>
              <w:keepLines w:val="0"/>
              <w:suppressLineNumbers w:val="0"/>
              <w:adjustRightInd w:val="0"/>
              <w:spacing w:before="0" w:beforeAutospacing="0" w:after="0" w:afterAutospacing="0"/>
              <w:ind w:left="0" w:right="0"/>
              <w:rPr>
                <w:rFonts w:hint="eastAsia" w:ascii="宋体" w:hAnsi="宋体" w:eastAsia="仿宋" w:cs="Times New Roman"/>
                <w:sz w:val="24"/>
                <w:szCs w:val="24"/>
                <w:highlight w:val="none"/>
              </w:rPr>
            </w:pPr>
            <w:r>
              <w:rPr>
                <w:rFonts w:hint="eastAsia" w:ascii="宋体" w:hAnsi="宋体" w:eastAsia="仿宋" w:cs="Times New Roman"/>
                <w:sz w:val="24"/>
                <w:szCs w:val="24"/>
                <w:highlight w:val="none"/>
              </w:rPr>
              <w:t>采购标的若属于《节能产品政府采购品目清单》范围中政府强制采购产品，则投标人提供产品须获得国家确定的认证机构出具的、处于有效期之内的节能（水）产品认证证书</w:t>
            </w:r>
          </w:p>
        </w:tc>
      </w:tr>
      <w:tr w14:paraId="41D68C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877" w:type="dxa"/>
            <w:vMerge w:val="continue"/>
            <w:noWrap w:val="0"/>
            <w:vAlign w:val="top"/>
          </w:tcPr>
          <w:p w14:paraId="6606E5D9">
            <w:pPr>
              <w:keepNext w:val="0"/>
              <w:keepLines w:val="0"/>
              <w:widowControl/>
              <w:suppressLineNumbers w:val="0"/>
              <w:spacing w:before="0" w:beforeAutospacing="0" w:after="0" w:afterAutospacing="0"/>
              <w:ind w:left="0" w:right="0"/>
              <w:jc w:val="center"/>
              <w:rPr>
                <w:rFonts w:hint="eastAsia" w:ascii="宋体" w:hAnsi="宋体" w:cs="Times New Roman"/>
                <w:kern w:val="0"/>
                <w:sz w:val="24"/>
                <w:highlight w:val="none"/>
              </w:rPr>
            </w:pPr>
          </w:p>
        </w:tc>
        <w:tc>
          <w:tcPr>
            <w:tcW w:w="1843" w:type="dxa"/>
            <w:noWrap w:val="0"/>
            <w:vAlign w:val="center"/>
          </w:tcPr>
          <w:p w14:paraId="639C30E2">
            <w:pPr>
              <w:pStyle w:val="156"/>
              <w:keepNext w:val="0"/>
              <w:keepLines w:val="0"/>
              <w:suppressLineNumbers w:val="0"/>
              <w:adjustRightInd w:val="0"/>
              <w:spacing w:before="0" w:beforeAutospacing="0" w:after="0" w:afterAutospacing="0"/>
              <w:ind w:left="0" w:right="0"/>
              <w:rPr>
                <w:rFonts w:hint="eastAsia" w:ascii="宋体" w:hAnsi="宋体" w:eastAsia="仿宋" w:cs="Times New Roman"/>
                <w:color w:val="FF0000"/>
                <w:sz w:val="24"/>
                <w:szCs w:val="24"/>
                <w:highlight w:val="none"/>
              </w:rPr>
            </w:pPr>
            <w:r>
              <w:rPr>
                <w:rFonts w:hint="eastAsia" w:ascii="宋体" w:hAnsi="宋体" w:eastAsia="仿宋" w:cs="Times New Roman"/>
                <w:sz w:val="24"/>
                <w:szCs w:val="24"/>
                <w:highlight w:val="none"/>
              </w:rPr>
              <w:t>投标文件制作机器识别码</w:t>
            </w:r>
          </w:p>
        </w:tc>
        <w:tc>
          <w:tcPr>
            <w:tcW w:w="6533" w:type="dxa"/>
            <w:noWrap w:val="0"/>
            <w:vAlign w:val="center"/>
          </w:tcPr>
          <w:p w14:paraId="060F309D">
            <w:pPr>
              <w:pStyle w:val="156"/>
              <w:keepNext w:val="0"/>
              <w:keepLines w:val="0"/>
              <w:suppressLineNumbers w:val="0"/>
              <w:adjustRightInd w:val="0"/>
              <w:spacing w:before="0" w:beforeAutospacing="0" w:after="0" w:afterAutospacing="0"/>
              <w:ind w:left="0" w:right="0"/>
              <w:rPr>
                <w:rFonts w:hint="eastAsia" w:ascii="宋体" w:hAnsi="宋体" w:eastAsia="仿宋" w:cs="Times New Roman"/>
                <w:sz w:val="24"/>
                <w:szCs w:val="24"/>
                <w:highlight w:val="none"/>
              </w:rPr>
            </w:pPr>
            <w:r>
              <w:rPr>
                <w:rFonts w:hint="eastAsia" w:ascii="宋体" w:hAnsi="宋体" w:eastAsia="仿宋" w:cs="Times New Roman"/>
                <w:sz w:val="24"/>
                <w:szCs w:val="24"/>
                <w:highlight w:val="none"/>
              </w:rPr>
              <w:t>不同投标人未出现使用相同的投标文件制作机器识别码进行投标的情形</w:t>
            </w:r>
          </w:p>
        </w:tc>
      </w:tr>
      <w:tr w14:paraId="1658F6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877" w:type="dxa"/>
            <w:vMerge w:val="continue"/>
            <w:noWrap w:val="0"/>
            <w:vAlign w:val="top"/>
          </w:tcPr>
          <w:p w14:paraId="37E8CD10">
            <w:pPr>
              <w:keepNext w:val="0"/>
              <w:keepLines w:val="0"/>
              <w:widowControl/>
              <w:suppressLineNumbers w:val="0"/>
              <w:spacing w:before="0" w:beforeAutospacing="0" w:after="0" w:afterAutospacing="0"/>
              <w:ind w:left="0" w:right="0"/>
              <w:jc w:val="center"/>
              <w:rPr>
                <w:rFonts w:hint="eastAsia" w:ascii="宋体" w:hAnsi="宋体" w:cs="Times New Roman"/>
                <w:kern w:val="0"/>
                <w:sz w:val="24"/>
                <w:highlight w:val="none"/>
              </w:rPr>
            </w:pPr>
          </w:p>
        </w:tc>
        <w:tc>
          <w:tcPr>
            <w:tcW w:w="1843" w:type="dxa"/>
            <w:noWrap w:val="0"/>
            <w:vAlign w:val="center"/>
          </w:tcPr>
          <w:p w14:paraId="273D9FA3">
            <w:pPr>
              <w:keepNext w:val="0"/>
              <w:keepLines w:val="0"/>
              <w:widowControl/>
              <w:suppressLineNumbers w:val="0"/>
              <w:spacing w:before="0" w:beforeAutospacing="0" w:after="0" w:afterAutospacing="0"/>
              <w:ind w:left="0" w:right="0"/>
              <w:rPr>
                <w:rFonts w:hint="default" w:ascii="宋体" w:hAnsi="宋体" w:cs="Times New Roman"/>
                <w:color w:val="auto"/>
                <w:kern w:val="0"/>
                <w:sz w:val="24"/>
                <w:highlight w:val="none"/>
              </w:rPr>
            </w:pPr>
            <w:r>
              <w:rPr>
                <w:rFonts w:hint="eastAsia" w:ascii="宋体" w:hAnsi="宋体" w:eastAsia="仿宋" w:cs="Times New Roman"/>
                <w:color w:val="auto"/>
                <w:kern w:val="0"/>
                <w:sz w:val="24"/>
                <w:highlight w:val="none"/>
              </w:rPr>
              <w:t>权利义务</w:t>
            </w:r>
          </w:p>
        </w:tc>
        <w:tc>
          <w:tcPr>
            <w:tcW w:w="6533" w:type="dxa"/>
            <w:noWrap w:val="0"/>
            <w:vAlign w:val="center"/>
          </w:tcPr>
          <w:p w14:paraId="40166A77">
            <w:pPr>
              <w:keepNext w:val="0"/>
              <w:keepLines w:val="0"/>
              <w:widowControl/>
              <w:suppressLineNumbers w:val="0"/>
              <w:spacing w:before="0" w:beforeAutospacing="0" w:after="0" w:afterAutospacing="0"/>
              <w:ind w:left="0" w:right="0"/>
              <w:jc w:val="left"/>
              <w:rPr>
                <w:rFonts w:hint="default" w:ascii="宋体" w:hAnsi="宋体" w:cs="Times New Roman"/>
                <w:color w:val="auto"/>
                <w:kern w:val="0"/>
                <w:sz w:val="24"/>
                <w:highlight w:val="none"/>
              </w:rPr>
            </w:pPr>
            <w:r>
              <w:rPr>
                <w:rFonts w:hint="eastAsia" w:ascii="宋体" w:hAnsi="宋体" w:eastAsia="仿宋" w:cs="Times New Roman"/>
                <w:color w:val="auto"/>
                <w:kern w:val="0"/>
                <w:sz w:val="24"/>
                <w:highlight w:val="none"/>
              </w:rPr>
              <w:t>符合招标文件合同条款要求，未另行设定采购人不能接受的采购人应承担的义务，未对投标人的义务予以削弱</w:t>
            </w:r>
          </w:p>
        </w:tc>
      </w:tr>
      <w:tr w14:paraId="00D4E8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877" w:type="dxa"/>
            <w:vMerge w:val="continue"/>
            <w:noWrap w:val="0"/>
            <w:vAlign w:val="top"/>
          </w:tcPr>
          <w:p w14:paraId="38B33541">
            <w:pPr>
              <w:keepNext w:val="0"/>
              <w:keepLines w:val="0"/>
              <w:widowControl/>
              <w:suppressLineNumbers w:val="0"/>
              <w:spacing w:before="0" w:beforeAutospacing="0" w:after="0" w:afterAutospacing="0"/>
              <w:ind w:left="0" w:right="0"/>
              <w:jc w:val="center"/>
              <w:rPr>
                <w:rFonts w:hint="eastAsia" w:ascii="宋体" w:hAnsi="宋体" w:cs="Times New Roman"/>
                <w:kern w:val="0"/>
                <w:sz w:val="24"/>
                <w:highlight w:val="none"/>
              </w:rPr>
            </w:pPr>
          </w:p>
        </w:tc>
        <w:tc>
          <w:tcPr>
            <w:tcW w:w="1843" w:type="dxa"/>
            <w:noWrap w:val="0"/>
            <w:vAlign w:val="center"/>
          </w:tcPr>
          <w:p w14:paraId="2B26EAB2">
            <w:pPr>
              <w:pStyle w:val="156"/>
              <w:keepNext w:val="0"/>
              <w:keepLines w:val="0"/>
              <w:suppressLineNumbers w:val="0"/>
              <w:spacing w:before="0" w:beforeAutospacing="0" w:after="0" w:afterAutospacing="0"/>
              <w:ind w:left="0" w:right="0"/>
              <w:rPr>
                <w:rFonts w:hint="eastAsia" w:ascii="宋体" w:hAnsi="宋体" w:eastAsia="仿宋" w:cs="Times New Roman"/>
                <w:color w:val="auto"/>
                <w:sz w:val="24"/>
                <w:szCs w:val="24"/>
                <w:highlight w:val="none"/>
              </w:rPr>
            </w:pPr>
            <w:r>
              <w:rPr>
                <w:rFonts w:hint="eastAsia" w:ascii="宋体" w:hAnsi="宋体" w:eastAsia="仿宋" w:cs="Times New Roman"/>
                <w:bCs/>
                <w:color w:val="auto"/>
                <w:sz w:val="24"/>
                <w:szCs w:val="24"/>
                <w:highlight w:val="none"/>
              </w:rPr>
              <w:t>提供同一品牌产品</w:t>
            </w:r>
          </w:p>
        </w:tc>
        <w:tc>
          <w:tcPr>
            <w:tcW w:w="6533" w:type="dxa"/>
            <w:noWrap w:val="0"/>
            <w:vAlign w:val="center"/>
          </w:tcPr>
          <w:p w14:paraId="2E737A46">
            <w:pPr>
              <w:pStyle w:val="156"/>
              <w:keepNext w:val="0"/>
              <w:keepLines w:val="0"/>
              <w:suppressLineNumbers w:val="0"/>
              <w:spacing w:before="0" w:beforeAutospacing="0" w:after="0" w:afterAutospacing="0"/>
              <w:ind w:left="0" w:right="0"/>
              <w:rPr>
                <w:rFonts w:hint="eastAsia" w:ascii="宋体" w:hAnsi="宋体" w:eastAsia="仿宋" w:cs="Times New Roman"/>
                <w:color w:val="auto"/>
                <w:sz w:val="24"/>
                <w:szCs w:val="24"/>
                <w:highlight w:val="none"/>
              </w:rPr>
            </w:pPr>
            <w:r>
              <w:rPr>
                <w:rFonts w:hint="eastAsia" w:ascii="宋体" w:hAnsi="宋体" w:eastAsia="仿宋" w:cs="Times New Roman"/>
                <w:bCs/>
                <w:color w:val="auto"/>
                <w:sz w:val="24"/>
                <w:szCs w:val="24"/>
                <w:highlight w:val="none"/>
              </w:rPr>
              <w:t>单一产品采购项目中，提供同一品牌产品的不同投标人参加同一包项下投标的，以一家投标人计算有效投标人数量。非单一产品采购项目中，提供任意核心产品为同一品牌且通过资格审查、符合性审查的不同投标人参加同一包项下投标的，以一家投标人计算有效投标人数量。若有效投标人不足三家，本项目废标</w:t>
            </w:r>
          </w:p>
        </w:tc>
      </w:tr>
      <w:tr w14:paraId="12BA44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54" w:hRule="atLeast"/>
        </w:trPr>
        <w:tc>
          <w:tcPr>
            <w:tcW w:w="877" w:type="dxa"/>
            <w:vMerge w:val="continue"/>
            <w:noWrap w:val="0"/>
            <w:vAlign w:val="top"/>
          </w:tcPr>
          <w:p w14:paraId="5AC257E1">
            <w:pPr>
              <w:keepNext w:val="0"/>
              <w:keepLines w:val="0"/>
              <w:widowControl/>
              <w:suppressLineNumbers w:val="0"/>
              <w:spacing w:before="0" w:beforeAutospacing="0" w:after="0" w:afterAutospacing="0"/>
              <w:ind w:left="0" w:right="0"/>
              <w:jc w:val="center"/>
              <w:rPr>
                <w:rFonts w:hint="eastAsia" w:ascii="宋体" w:hAnsi="宋体" w:cs="Times New Roman"/>
                <w:kern w:val="0"/>
                <w:sz w:val="24"/>
                <w:highlight w:val="none"/>
              </w:rPr>
            </w:pPr>
          </w:p>
        </w:tc>
        <w:tc>
          <w:tcPr>
            <w:tcW w:w="1843" w:type="dxa"/>
            <w:noWrap w:val="0"/>
            <w:vAlign w:val="center"/>
          </w:tcPr>
          <w:p w14:paraId="694D156B">
            <w:pPr>
              <w:pStyle w:val="156"/>
              <w:keepNext w:val="0"/>
              <w:keepLines w:val="0"/>
              <w:suppressLineNumbers w:val="0"/>
              <w:spacing w:before="0" w:beforeAutospacing="0" w:after="0" w:afterAutospacing="0"/>
              <w:ind w:left="0" w:right="0"/>
              <w:rPr>
                <w:rFonts w:hint="default" w:ascii="宋体" w:hAnsi="宋体" w:eastAsia="仿宋" w:cs="Times New Roman"/>
                <w:color w:val="auto"/>
                <w:sz w:val="24"/>
                <w:szCs w:val="24"/>
                <w:highlight w:val="none"/>
              </w:rPr>
            </w:pPr>
            <w:r>
              <w:rPr>
                <w:rFonts w:hint="eastAsia" w:ascii="宋体" w:hAnsi="宋体" w:eastAsia="仿宋" w:cs="Times New Roman"/>
                <w:color w:val="auto"/>
                <w:sz w:val="24"/>
                <w:szCs w:val="24"/>
                <w:highlight w:val="none"/>
              </w:rPr>
              <w:t>低价说明</w:t>
            </w:r>
          </w:p>
        </w:tc>
        <w:tc>
          <w:tcPr>
            <w:tcW w:w="6533" w:type="dxa"/>
            <w:noWrap w:val="0"/>
            <w:vAlign w:val="center"/>
          </w:tcPr>
          <w:p w14:paraId="547D1365">
            <w:pPr>
              <w:pStyle w:val="156"/>
              <w:keepNext w:val="0"/>
              <w:keepLines w:val="0"/>
              <w:suppressLineNumbers w:val="0"/>
              <w:spacing w:before="0" w:beforeAutospacing="0" w:after="0" w:afterAutospacing="0"/>
              <w:ind w:left="0" w:right="0"/>
              <w:rPr>
                <w:rFonts w:hint="eastAsia" w:ascii="宋体" w:hAnsi="宋体" w:eastAsia="仿宋" w:cs="Times New Roman"/>
                <w:color w:val="auto"/>
                <w:sz w:val="24"/>
                <w:szCs w:val="24"/>
                <w:highlight w:val="none"/>
              </w:rPr>
            </w:pPr>
            <w:r>
              <w:rPr>
                <w:rFonts w:hint="eastAsia" w:ascii="宋体" w:hAnsi="宋体" w:eastAsia="仿宋" w:cs="Times New Roman"/>
                <w:color w:val="auto"/>
                <w:sz w:val="24"/>
                <w:szCs w:val="24"/>
                <w:highlight w:val="none"/>
              </w:rPr>
              <w:t>投标人的报价明显低于其他通过符合性审查投标人的报价，评标委员会要求其提供书面说明时，投标人不能证明其报价合理性的，投标无效。</w:t>
            </w:r>
          </w:p>
        </w:tc>
      </w:tr>
      <w:tr w14:paraId="4E5B13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877" w:type="dxa"/>
            <w:vMerge w:val="continue"/>
            <w:noWrap w:val="0"/>
            <w:vAlign w:val="top"/>
          </w:tcPr>
          <w:p w14:paraId="48DFAC59">
            <w:pPr>
              <w:keepNext w:val="0"/>
              <w:keepLines w:val="0"/>
              <w:widowControl/>
              <w:suppressLineNumbers w:val="0"/>
              <w:spacing w:before="0" w:beforeAutospacing="0" w:after="0" w:afterAutospacing="0"/>
              <w:ind w:left="0" w:right="0"/>
              <w:jc w:val="center"/>
              <w:rPr>
                <w:rFonts w:hint="eastAsia" w:ascii="宋体" w:hAnsi="宋体" w:cs="Times New Roman"/>
                <w:kern w:val="0"/>
                <w:sz w:val="24"/>
                <w:highlight w:val="none"/>
              </w:rPr>
            </w:pPr>
          </w:p>
        </w:tc>
        <w:tc>
          <w:tcPr>
            <w:tcW w:w="1843" w:type="dxa"/>
            <w:noWrap w:val="0"/>
            <w:vAlign w:val="center"/>
          </w:tcPr>
          <w:p w14:paraId="339C2C71">
            <w:pPr>
              <w:pStyle w:val="156"/>
              <w:keepNext w:val="0"/>
              <w:keepLines w:val="0"/>
              <w:suppressLineNumbers w:val="0"/>
              <w:spacing w:before="0" w:beforeAutospacing="0" w:after="0" w:afterAutospacing="0"/>
              <w:ind w:left="0" w:right="0"/>
              <w:rPr>
                <w:rFonts w:hint="default" w:ascii="宋体" w:hAnsi="宋体" w:cs="Times New Roman"/>
                <w:sz w:val="24"/>
                <w:szCs w:val="24"/>
                <w:highlight w:val="none"/>
              </w:rPr>
            </w:pPr>
            <w:r>
              <w:rPr>
                <w:rFonts w:hint="eastAsia" w:ascii="宋体" w:hAnsi="宋体" w:eastAsia="仿宋" w:cs="Times New Roman"/>
                <w:sz w:val="24"/>
                <w:szCs w:val="24"/>
                <w:highlight w:val="none"/>
              </w:rPr>
              <w:t>其他</w:t>
            </w:r>
          </w:p>
        </w:tc>
        <w:tc>
          <w:tcPr>
            <w:tcW w:w="6533" w:type="dxa"/>
            <w:noWrap w:val="0"/>
            <w:vAlign w:val="center"/>
          </w:tcPr>
          <w:p w14:paraId="633721EB">
            <w:pPr>
              <w:pStyle w:val="156"/>
              <w:keepNext w:val="0"/>
              <w:keepLines w:val="0"/>
              <w:suppressLineNumbers w:val="0"/>
              <w:spacing w:before="0" w:beforeAutospacing="0" w:after="0" w:afterAutospacing="0"/>
              <w:ind w:left="0" w:right="0"/>
              <w:rPr>
                <w:rFonts w:hint="eastAsia" w:ascii="宋体" w:hAnsi="宋体" w:eastAsia="仿宋" w:cs="Times New Roman"/>
                <w:sz w:val="24"/>
                <w:szCs w:val="24"/>
                <w:highlight w:val="none"/>
              </w:rPr>
            </w:pPr>
            <w:r>
              <w:rPr>
                <w:rFonts w:hint="eastAsia" w:ascii="宋体" w:hAnsi="宋体" w:eastAsia="仿宋" w:cs="Times New Roman"/>
                <w:sz w:val="24"/>
                <w:szCs w:val="24"/>
                <w:highlight w:val="none"/>
              </w:rPr>
              <w:t>符合法律、行政法规规定的其他条件</w:t>
            </w:r>
          </w:p>
          <w:p w14:paraId="5C5FF04A">
            <w:pPr>
              <w:pStyle w:val="156"/>
              <w:keepNext w:val="0"/>
              <w:keepLines w:val="0"/>
              <w:suppressLineNumbers w:val="0"/>
              <w:spacing w:before="0" w:beforeAutospacing="0" w:after="0" w:afterAutospacing="0"/>
              <w:ind w:left="0" w:right="0"/>
              <w:rPr>
                <w:rFonts w:hint="eastAsia" w:ascii="宋体" w:hAnsi="宋体" w:eastAsia="仿宋" w:cs="Times New Roman"/>
                <w:sz w:val="24"/>
                <w:szCs w:val="24"/>
                <w:highlight w:val="none"/>
              </w:rPr>
            </w:pPr>
            <w:r>
              <w:rPr>
                <w:rFonts w:hint="eastAsia" w:ascii="宋体" w:hAnsi="宋体" w:eastAsia="仿宋" w:cs="Times New Roman"/>
                <w:sz w:val="24"/>
                <w:szCs w:val="24"/>
                <w:highlight w:val="none"/>
              </w:rPr>
              <w:t>不符合招标文件列明的其他投标无效的情形</w:t>
            </w:r>
          </w:p>
        </w:tc>
      </w:tr>
    </w:tbl>
    <w:p w14:paraId="6C259744">
      <w:pPr>
        <w:pStyle w:val="157"/>
        <w:numPr>
          <w:ilvl w:val="0"/>
          <w:numId w:val="3"/>
        </w:numPr>
        <w:adjustRightInd w:val="0"/>
        <w:snapToGrid w:val="0"/>
        <w:spacing w:before="0" w:line="360" w:lineRule="auto"/>
        <w:ind w:firstLine="482" w:firstLineChars="200"/>
        <w:rPr>
          <w:rFonts w:hint="eastAsia" w:ascii="宋体" w:hAnsi="宋体" w:eastAsia="仿宋"/>
          <w:b/>
          <w:sz w:val="24"/>
          <w:szCs w:val="24"/>
          <w:highlight w:val="none"/>
        </w:rPr>
      </w:pPr>
      <w:r>
        <w:rPr>
          <w:rFonts w:ascii="宋体" w:hAnsi="宋体" w:eastAsia="仿宋"/>
          <w:b/>
          <w:sz w:val="24"/>
          <w:szCs w:val="24"/>
          <w:highlight w:val="none"/>
        </w:rPr>
        <w:br w:type="page"/>
      </w:r>
      <w:r>
        <w:rPr>
          <w:rFonts w:hint="eastAsia" w:ascii="宋体" w:hAnsi="宋体" w:eastAsia="仿宋"/>
          <w:b/>
          <w:sz w:val="24"/>
          <w:szCs w:val="24"/>
          <w:highlight w:val="none"/>
        </w:rPr>
        <w:t>详细评审表</w:t>
      </w:r>
    </w:p>
    <w:tbl>
      <w:tblPr>
        <w:tblStyle w:val="48"/>
        <w:tblW w:w="9752"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00"/>
        <w:gridCol w:w="914"/>
        <w:gridCol w:w="1701"/>
        <w:gridCol w:w="4253"/>
        <w:gridCol w:w="1984"/>
      </w:tblGrid>
      <w:tr w14:paraId="62F3E3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1814" w:type="dxa"/>
            <w:gridSpan w:val="2"/>
            <w:noWrap w:val="0"/>
            <w:vAlign w:val="center"/>
          </w:tcPr>
          <w:p w14:paraId="176B1AD4">
            <w:pPr>
              <w:keepNext w:val="0"/>
              <w:keepLines w:val="0"/>
              <w:suppressLineNumbers w:val="0"/>
              <w:snapToGrid w:val="0"/>
              <w:spacing w:before="0" w:beforeAutospacing="0" w:after="0" w:afterAutospacing="0" w:line="288" w:lineRule="auto"/>
              <w:ind w:left="0" w:right="0"/>
              <w:jc w:val="center"/>
              <w:rPr>
                <w:rFonts w:hint="eastAsia" w:ascii="Calibri" w:hAnsi="Calibri" w:cs="Times New Roman"/>
                <w:b/>
                <w:color w:val="000000"/>
                <w:sz w:val="24"/>
                <w:highlight w:val="none"/>
              </w:rPr>
            </w:pPr>
            <w:bookmarkStart w:id="830" w:name="_Toc445554766"/>
            <w:r>
              <w:rPr>
                <w:rFonts w:hint="eastAsia" w:ascii="Calibri" w:hAnsi="Calibri" w:eastAsia="仿宋" w:cs="Times New Roman"/>
                <w:b/>
                <w:color w:val="000000"/>
                <w:sz w:val="24"/>
                <w:highlight w:val="none"/>
              </w:rPr>
              <w:t>条款号</w:t>
            </w:r>
          </w:p>
        </w:tc>
        <w:tc>
          <w:tcPr>
            <w:tcW w:w="1701" w:type="dxa"/>
            <w:noWrap w:val="0"/>
            <w:vAlign w:val="center"/>
          </w:tcPr>
          <w:p w14:paraId="780A299A">
            <w:pPr>
              <w:keepNext w:val="0"/>
              <w:keepLines w:val="0"/>
              <w:suppressLineNumbers w:val="0"/>
              <w:snapToGrid w:val="0"/>
              <w:spacing w:before="0" w:beforeAutospacing="0" w:after="0" w:afterAutospacing="0" w:line="288" w:lineRule="auto"/>
              <w:ind w:left="0" w:right="0"/>
              <w:jc w:val="center"/>
              <w:rPr>
                <w:rFonts w:hint="default" w:ascii="Calibri" w:hAnsi="Calibri" w:cs="Times New Roman"/>
                <w:b/>
                <w:color w:val="000000"/>
                <w:sz w:val="24"/>
                <w:highlight w:val="none"/>
              </w:rPr>
            </w:pPr>
            <w:r>
              <w:rPr>
                <w:rFonts w:hint="default" w:ascii="Calibri" w:hAnsi="Calibri" w:eastAsia="仿宋" w:cs="Times New Roman"/>
                <w:b/>
                <w:color w:val="000000"/>
                <w:sz w:val="24"/>
                <w:highlight w:val="none"/>
              </w:rPr>
              <w:t>条款内容</w:t>
            </w:r>
          </w:p>
        </w:tc>
        <w:tc>
          <w:tcPr>
            <w:tcW w:w="4253" w:type="dxa"/>
            <w:noWrap w:val="0"/>
            <w:vAlign w:val="center"/>
          </w:tcPr>
          <w:p w14:paraId="47E7ACC6">
            <w:pPr>
              <w:keepNext w:val="0"/>
              <w:keepLines w:val="0"/>
              <w:suppressLineNumbers w:val="0"/>
              <w:snapToGrid w:val="0"/>
              <w:spacing w:before="0" w:beforeAutospacing="0" w:after="0" w:afterAutospacing="0" w:line="288" w:lineRule="auto"/>
              <w:ind w:left="0" w:right="0"/>
              <w:jc w:val="center"/>
              <w:rPr>
                <w:rFonts w:hint="default" w:ascii="Calibri" w:hAnsi="Calibri" w:cs="Times New Roman"/>
                <w:b/>
                <w:color w:val="000000"/>
                <w:sz w:val="24"/>
                <w:highlight w:val="none"/>
              </w:rPr>
            </w:pPr>
            <w:r>
              <w:rPr>
                <w:rFonts w:hint="default" w:ascii="Calibri" w:hAnsi="Calibri" w:eastAsia="仿宋" w:cs="Times New Roman"/>
                <w:b/>
                <w:color w:val="000000"/>
                <w:sz w:val="24"/>
                <w:highlight w:val="none"/>
              </w:rPr>
              <w:t>编列内容</w:t>
            </w:r>
          </w:p>
        </w:tc>
        <w:tc>
          <w:tcPr>
            <w:tcW w:w="1984" w:type="dxa"/>
            <w:noWrap w:val="0"/>
            <w:vAlign w:val="center"/>
          </w:tcPr>
          <w:p w14:paraId="221002C3">
            <w:pPr>
              <w:keepNext w:val="0"/>
              <w:keepLines w:val="0"/>
              <w:widowControl/>
              <w:suppressLineNumbers w:val="0"/>
              <w:snapToGrid w:val="0"/>
              <w:spacing w:before="0" w:beforeAutospacing="0" w:after="0" w:afterAutospacing="0" w:line="288" w:lineRule="auto"/>
              <w:ind w:left="0" w:right="0"/>
              <w:jc w:val="center"/>
              <w:rPr>
                <w:rFonts w:hint="default" w:ascii="宋体" w:hAnsi="宋体" w:cs="Times New Roman"/>
                <w:b/>
                <w:kern w:val="0"/>
                <w:sz w:val="24"/>
                <w:highlight w:val="none"/>
              </w:rPr>
            </w:pPr>
            <w:r>
              <w:rPr>
                <w:rFonts w:hint="eastAsia" w:ascii="宋体" w:hAnsi="宋体" w:eastAsia="仿宋" w:cs="Times New Roman"/>
                <w:b/>
                <w:kern w:val="0"/>
                <w:sz w:val="24"/>
                <w:highlight w:val="none"/>
              </w:rPr>
              <w:t>备注</w:t>
            </w:r>
          </w:p>
        </w:tc>
      </w:tr>
      <w:tr w14:paraId="5452C8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1814" w:type="dxa"/>
            <w:gridSpan w:val="2"/>
            <w:noWrap w:val="0"/>
            <w:vAlign w:val="center"/>
          </w:tcPr>
          <w:p w14:paraId="6F01D683">
            <w:pPr>
              <w:keepNext w:val="0"/>
              <w:keepLines w:val="0"/>
              <w:widowControl/>
              <w:suppressLineNumbers w:val="0"/>
              <w:snapToGrid w:val="0"/>
              <w:spacing w:before="0" w:beforeAutospacing="0" w:after="0" w:afterAutospacing="0" w:line="288" w:lineRule="auto"/>
              <w:ind w:left="0" w:right="0"/>
              <w:jc w:val="center"/>
              <w:rPr>
                <w:rFonts w:hint="eastAsia" w:ascii="宋体" w:hAnsi="宋体" w:cs="Times New Roman"/>
                <w:kern w:val="0"/>
                <w:sz w:val="24"/>
                <w:highlight w:val="none"/>
              </w:rPr>
            </w:pPr>
            <w:r>
              <w:rPr>
                <w:rFonts w:hint="eastAsia" w:ascii="宋体" w:hAnsi="宋体" w:eastAsia="仿宋" w:cs="Times New Roman"/>
                <w:color w:val="000000"/>
                <w:sz w:val="24"/>
                <w:highlight w:val="none"/>
              </w:rPr>
              <w:t>3.2.1</w:t>
            </w:r>
          </w:p>
        </w:tc>
        <w:tc>
          <w:tcPr>
            <w:tcW w:w="1701" w:type="dxa"/>
            <w:noWrap w:val="0"/>
            <w:vAlign w:val="center"/>
          </w:tcPr>
          <w:p w14:paraId="06F107F1">
            <w:pPr>
              <w:keepNext w:val="0"/>
              <w:keepLines w:val="0"/>
              <w:suppressLineNumbers w:val="0"/>
              <w:snapToGrid w:val="0"/>
              <w:spacing w:before="0" w:beforeAutospacing="0" w:after="0" w:afterAutospacing="0" w:line="288" w:lineRule="auto"/>
              <w:ind w:left="0" w:right="0"/>
              <w:jc w:val="center"/>
              <w:rPr>
                <w:rFonts w:hint="default" w:ascii="宋体" w:hAnsi="宋体" w:eastAsia="仿宋" w:cs="Times New Roman"/>
                <w:color w:val="000000"/>
                <w:sz w:val="24"/>
                <w:highlight w:val="none"/>
              </w:rPr>
            </w:pPr>
            <w:r>
              <w:rPr>
                <w:rFonts w:hint="default" w:ascii="宋体" w:hAnsi="宋体" w:eastAsia="仿宋" w:cs="Times New Roman"/>
                <w:color w:val="000000"/>
                <w:sz w:val="24"/>
                <w:highlight w:val="none"/>
              </w:rPr>
              <w:t>分值构成</w:t>
            </w:r>
          </w:p>
          <w:p w14:paraId="43DB5A69">
            <w:pPr>
              <w:keepNext w:val="0"/>
              <w:keepLines w:val="0"/>
              <w:suppressLineNumbers w:val="0"/>
              <w:snapToGrid w:val="0"/>
              <w:spacing w:before="0" w:beforeAutospacing="0" w:after="0" w:afterAutospacing="0" w:line="288" w:lineRule="auto"/>
              <w:ind w:left="0" w:right="0"/>
              <w:jc w:val="center"/>
              <w:rPr>
                <w:rFonts w:hint="default" w:ascii="宋体" w:hAnsi="宋体" w:eastAsia="仿宋" w:cs="Times New Roman"/>
                <w:color w:val="000000"/>
                <w:sz w:val="24"/>
                <w:highlight w:val="none"/>
              </w:rPr>
            </w:pPr>
            <w:r>
              <w:rPr>
                <w:rFonts w:hint="eastAsia" w:ascii="宋体" w:hAnsi="宋体" w:eastAsia="仿宋" w:cs="Times New Roman"/>
                <w:color w:val="000000"/>
                <w:sz w:val="24"/>
                <w:highlight w:val="none"/>
              </w:rPr>
              <w:t>（</w:t>
            </w:r>
            <w:r>
              <w:rPr>
                <w:rFonts w:hint="default" w:ascii="宋体" w:hAnsi="宋体" w:eastAsia="仿宋" w:cs="Times New Roman"/>
                <w:color w:val="000000"/>
                <w:sz w:val="24"/>
                <w:highlight w:val="none"/>
              </w:rPr>
              <w:t>总分100分</w:t>
            </w:r>
            <w:r>
              <w:rPr>
                <w:rFonts w:hint="eastAsia" w:ascii="宋体" w:hAnsi="宋体" w:eastAsia="仿宋" w:cs="Times New Roman"/>
                <w:color w:val="000000"/>
                <w:sz w:val="24"/>
                <w:highlight w:val="none"/>
              </w:rPr>
              <w:t>）</w:t>
            </w:r>
          </w:p>
        </w:tc>
        <w:tc>
          <w:tcPr>
            <w:tcW w:w="4253" w:type="dxa"/>
            <w:noWrap w:val="0"/>
            <w:vAlign w:val="center"/>
          </w:tcPr>
          <w:p w14:paraId="70ED5BAB">
            <w:pPr>
              <w:keepNext w:val="0"/>
              <w:keepLines w:val="0"/>
              <w:suppressLineNumbers w:val="0"/>
              <w:snapToGrid w:val="0"/>
              <w:spacing w:before="0" w:beforeAutospacing="0" w:after="0" w:afterAutospacing="0" w:line="288" w:lineRule="auto"/>
              <w:ind w:left="0" w:right="0"/>
              <w:jc w:val="left"/>
              <w:rPr>
                <w:rFonts w:hint="default" w:ascii="宋体" w:hAnsi="宋体" w:eastAsia="仿宋" w:cs="Times New Roman"/>
                <w:color w:val="000000"/>
                <w:sz w:val="24"/>
                <w:highlight w:val="none"/>
              </w:rPr>
            </w:pPr>
            <w:r>
              <w:rPr>
                <w:rFonts w:hint="eastAsia" w:ascii="宋体" w:hAnsi="宋体" w:eastAsia="仿宋" w:cs="Times New Roman"/>
                <w:color w:val="000000"/>
                <w:sz w:val="24"/>
                <w:highlight w:val="none"/>
              </w:rPr>
              <w:t>商务部分：</w:t>
            </w:r>
            <w:r>
              <w:rPr>
                <w:rFonts w:hint="eastAsia" w:ascii="宋体" w:hAnsi="宋体" w:eastAsia="仿宋" w:cs="Times New Roman"/>
                <w:color w:val="000000"/>
                <w:sz w:val="24"/>
                <w:highlight w:val="none"/>
                <w:lang w:val="en-US" w:eastAsia="zh-CN"/>
              </w:rPr>
              <w:t>3</w:t>
            </w:r>
            <w:r>
              <w:rPr>
                <w:rFonts w:hint="eastAsia" w:ascii="宋体" w:hAnsi="宋体" w:eastAsia="仿宋" w:cs="Times New Roman"/>
                <w:color w:val="000000"/>
                <w:sz w:val="24"/>
                <w:highlight w:val="none"/>
              </w:rPr>
              <w:t>0分</w:t>
            </w:r>
          </w:p>
          <w:p w14:paraId="6DA39FD0">
            <w:pPr>
              <w:keepNext w:val="0"/>
              <w:keepLines w:val="0"/>
              <w:suppressLineNumbers w:val="0"/>
              <w:snapToGrid w:val="0"/>
              <w:spacing w:before="0" w:beforeAutospacing="0" w:after="0" w:afterAutospacing="0" w:line="288" w:lineRule="auto"/>
              <w:ind w:left="0" w:right="0"/>
              <w:jc w:val="left"/>
              <w:rPr>
                <w:rFonts w:hint="default" w:ascii="宋体" w:hAnsi="宋体" w:eastAsia="仿宋" w:cs="Times New Roman"/>
                <w:color w:val="000000"/>
                <w:sz w:val="24"/>
                <w:highlight w:val="none"/>
              </w:rPr>
            </w:pPr>
            <w:r>
              <w:rPr>
                <w:rFonts w:hint="eastAsia" w:ascii="宋体" w:hAnsi="宋体" w:eastAsia="仿宋" w:cs="Times New Roman"/>
                <w:color w:val="000000"/>
                <w:sz w:val="24"/>
                <w:highlight w:val="none"/>
              </w:rPr>
              <w:t>技术部分：</w:t>
            </w:r>
            <w:r>
              <w:rPr>
                <w:rFonts w:hint="eastAsia" w:ascii="宋体" w:hAnsi="宋体" w:eastAsia="仿宋" w:cs="Times New Roman"/>
                <w:color w:val="000000"/>
                <w:sz w:val="24"/>
                <w:highlight w:val="none"/>
                <w:lang w:val="en-US" w:eastAsia="zh-CN"/>
              </w:rPr>
              <w:t>4</w:t>
            </w:r>
            <w:r>
              <w:rPr>
                <w:rFonts w:hint="eastAsia" w:ascii="宋体" w:hAnsi="宋体" w:eastAsia="仿宋" w:cs="Times New Roman"/>
                <w:color w:val="000000"/>
                <w:sz w:val="24"/>
                <w:highlight w:val="none"/>
              </w:rPr>
              <w:t>0</w:t>
            </w:r>
            <w:r>
              <w:rPr>
                <w:rFonts w:hint="default" w:ascii="宋体" w:hAnsi="宋体" w:eastAsia="仿宋" w:cs="Times New Roman"/>
                <w:color w:val="000000"/>
                <w:sz w:val="24"/>
                <w:highlight w:val="none"/>
              </w:rPr>
              <w:t>分</w:t>
            </w:r>
          </w:p>
          <w:p w14:paraId="0B182DE2">
            <w:pPr>
              <w:keepNext w:val="0"/>
              <w:keepLines w:val="0"/>
              <w:suppressLineNumbers w:val="0"/>
              <w:snapToGrid w:val="0"/>
              <w:spacing w:before="0" w:beforeAutospacing="0" w:after="0" w:afterAutospacing="0" w:line="288" w:lineRule="auto"/>
              <w:ind w:left="0" w:right="0"/>
              <w:jc w:val="left"/>
              <w:rPr>
                <w:rFonts w:hint="default" w:ascii="宋体" w:hAnsi="宋体" w:eastAsia="仿宋" w:cs="Times New Roman"/>
                <w:color w:val="000000"/>
                <w:sz w:val="24"/>
                <w:highlight w:val="none"/>
              </w:rPr>
            </w:pPr>
            <w:r>
              <w:rPr>
                <w:rFonts w:hint="default" w:ascii="宋体" w:hAnsi="宋体" w:eastAsia="仿宋" w:cs="Times New Roman"/>
                <w:color w:val="000000"/>
                <w:sz w:val="24"/>
                <w:highlight w:val="none"/>
              </w:rPr>
              <w:t>投标报价：</w:t>
            </w:r>
            <w:r>
              <w:rPr>
                <w:rFonts w:hint="eastAsia" w:ascii="宋体" w:hAnsi="宋体" w:eastAsia="仿宋" w:cs="Times New Roman"/>
                <w:color w:val="000000"/>
                <w:sz w:val="24"/>
                <w:highlight w:val="none"/>
              </w:rPr>
              <w:t>30</w:t>
            </w:r>
            <w:r>
              <w:rPr>
                <w:rFonts w:hint="default" w:ascii="宋体" w:hAnsi="宋体" w:eastAsia="仿宋" w:cs="Times New Roman"/>
                <w:color w:val="000000"/>
                <w:sz w:val="24"/>
                <w:highlight w:val="none"/>
              </w:rPr>
              <w:t>分</w:t>
            </w:r>
            <w:r>
              <w:rPr>
                <w:rFonts w:hint="eastAsia" w:ascii="宋体" w:hAnsi="宋体" w:eastAsia="仿宋" w:cs="Times New Roman"/>
                <w:color w:val="000000"/>
                <w:sz w:val="24"/>
                <w:highlight w:val="none"/>
              </w:rPr>
              <w:t>（投标报价满分分值）</w:t>
            </w:r>
          </w:p>
        </w:tc>
        <w:tc>
          <w:tcPr>
            <w:tcW w:w="1984" w:type="dxa"/>
            <w:noWrap w:val="0"/>
            <w:vAlign w:val="top"/>
          </w:tcPr>
          <w:p w14:paraId="6A5C9DD8">
            <w:pPr>
              <w:keepNext w:val="0"/>
              <w:keepLines w:val="0"/>
              <w:widowControl/>
              <w:suppressLineNumbers w:val="0"/>
              <w:snapToGrid w:val="0"/>
              <w:spacing w:before="0" w:beforeAutospacing="0" w:after="0" w:afterAutospacing="0" w:line="288" w:lineRule="auto"/>
              <w:ind w:left="0" w:right="0"/>
              <w:jc w:val="left"/>
              <w:rPr>
                <w:rFonts w:hint="default" w:ascii="宋体" w:hAnsi="宋体" w:cs="Times New Roman"/>
                <w:kern w:val="0"/>
                <w:sz w:val="24"/>
                <w:highlight w:val="none"/>
              </w:rPr>
            </w:pPr>
          </w:p>
        </w:tc>
      </w:tr>
      <w:tr w14:paraId="51DED6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1814" w:type="dxa"/>
            <w:gridSpan w:val="2"/>
            <w:noWrap w:val="0"/>
            <w:vAlign w:val="center"/>
          </w:tcPr>
          <w:p w14:paraId="402293FB">
            <w:pPr>
              <w:keepNext w:val="0"/>
              <w:keepLines w:val="0"/>
              <w:widowControl/>
              <w:suppressLineNumbers w:val="0"/>
              <w:snapToGrid w:val="0"/>
              <w:spacing w:before="0" w:beforeAutospacing="0" w:after="0" w:afterAutospacing="0" w:line="288" w:lineRule="auto"/>
              <w:ind w:left="0" w:right="0"/>
              <w:jc w:val="center"/>
              <w:rPr>
                <w:rFonts w:hint="eastAsia" w:ascii="宋体" w:hAnsi="宋体" w:cs="Times New Roman"/>
                <w:color w:val="000000"/>
                <w:sz w:val="24"/>
                <w:highlight w:val="none"/>
              </w:rPr>
            </w:pPr>
            <w:r>
              <w:rPr>
                <w:rFonts w:hint="eastAsia" w:ascii="宋体" w:hAnsi="宋体" w:eastAsia="仿宋" w:cs="Times New Roman"/>
                <w:color w:val="000000"/>
                <w:sz w:val="24"/>
                <w:highlight w:val="none"/>
              </w:rPr>
              <w:t>3.2.2</w:t>
            </w:r>
          </w:p>
        </w:tc>
        <w:tc>
          <w:tcPr>
            <w:tcW w:w="1701" w:type="dxa"/>
            <w:noWrap w:val="0"/>
            <w:vAlign w:val="center"/>
          </w:tcPr>
          <w:p w14:paraId="68F4FEF9">
            <w:pPr>
              <w:keepNext w:val="0"/>
              <w:keepLines w:val="0"/>
              <w:suppressLineNumbers w:val="0"/>
              <w:snapToGrid w:val="0"/>
              <w:spacing w:before="0" w:beforeAutospacing="0" w:after="0" w:afterAutospacing="0" w:line="288" w:lineRule="auto"/>
              <w:ind w:left="0" w:right="0"/>
              <w:jc w:val="center"/>
              <w:rPr>
                <w:rFonts w:hint="default" w:ascii="Calibri" w:hAnsi="Calibri" w:cs="Times New Roman"/>
                <w:color w:val="000000"/>
                <w:sz w:val="24"/>
                <w:highlight w:val="none"/>
              </w:rPr>
            </w:pPr>
            <w:r>
              <w:rPr>
                <w:rFonts w:hint="eastAsia" w:ascii="Calibri" w:hAnsi="Calibri" w:eastAsia="仿宋" w:cs="Times New Roman"/>
                <w:color w:val="000000"/>
                <w:sz w:val="24"/>
                <w:highlight w:val="none"/>
              </w:rPr>
              <w:t>评标基准价计算方法</w:t>
            </w:r>
          </w:p>
        </w:tc>
        <w:tc>
          <w:tcPr>
            <w:tcW w:w="4253" w:type="dxa"/>
            <w:noWrap w:val="0"/>
            <w:vAlign w:val="center"/>
          </w:tcPr>
          <w:p w14:paraId="07A0A97E">
            <w:pPr>
              <w:keepNext w:val="0"/>
              <w:keepLines w:val="0"/>
              <w:suppressLineNumbers w:val="0"/>
              <w:snapToGrid w:val="0"/>
              <w:spacing w:before="0" w:beforeAutospacing="0" w:after="0" w:afterAutospacing="0" w:line="288" w:lineRule="auto"/>
              <w:ind w:left="0" w:right="0"/>
              <w:rPr>
                <w:rFonts w:hint="eastAsia" w:ascii="Times New Roman" w:hAnsi="Times New Roman" w:eastAsia="仿宋" w:cs="Times New Roman"/>
                <w:color w:val="000000"/>
                <w:sz w:val="24"/>
                <w:highlight w:val="none"/>
              </w:rPr>
            </w:pPr>
            <w:r>
              <w:rPr>
                <w:rFonts w:hint="eastAsia" w:ascii="Times New Roman" w:hAnsi="Times New Roman" w:eastAsia="仿宋" w:cs="Times New Roman"/>
                <w:color w:val="000000"/>
                <w:sz w:val="24"/>
                <w:highlight w:val="none"/>
              </w:rPr>
              <w:t>有效的投标报价中的最低价作为评标基准价</w:t>
            </w:r>
          </w:p>
        </w:tc>
        <w:tc>
          <w:tcPr>
            <w:tcW w:w="1984" w:type="dxa"/>
            <w:noWrap w:val="0"/>
            <w:vAlign w:val="center"/>
          </w:tcPr>
          <w:p w14:paraId="50B0A8E8">
            <w:pPr>
              <w:keepNext w:val="0"/>
              <w:keepLines w:val="0"/>
              <w:suppressLineNumbers w:val="0"/>
              <w:snapToGrid w:val="0"/>
              <w:spacing w:before="0" w:beforeAutospacing="0" w:after="0" w:afterAutospacing="0" w:line="288" w:lineRule="auto"/>
              <w:ind w:left="0" w:right="0"/>
              <w:rPr>
                <w:rFonts w:hint="eastAsia" w:ascii="Times New Roman" w:hAnsi="Times New Roman" w:eastAsia="仿宋" w:cs="Times New Roman"/>
                <w:color w:val="000000"/>
                <w:sz w:val="24"/>
                <w:highlight w:val="none"/>
              </w:rPr>
            </w:pPr>
            <w:r>
              <w:rPr>
                <w:rFonts w:hint="eastAsia" w:ascii="Times New Roman" w:hAnsi="Times New Roman" w:eastAsia="仿宋" w:cs="Times New Roman"/>
                <w:color w:val="000000"/>
                <w:sz w:val="24"/>
                <w:highlight w:val="none"/>
              </w:rPr>
              <w:t>符合价格扣除政策的，用扣除后的价格参与计算、评分</w:t>
            </w:r>
          </w:p>
        </w:tc>
      </w:tr>
      <w:tr w14:paraId="2DDE80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1814" w:type="dxa"/>
            <w:gridSpan w:val="2"/>
            <w:noWrap w:val="0"/>
            <w:vAlign w:val="center"/>
          </w:tcPr>
          <w:p w14:paraId="2F47342C">
            <w:pPr>
              <w:keepNext w:val="0"/>
              <w:keepLines w:val="0"/>
              <w:suppressLineNumbers w:val="0"/>
              <w:snapToGrid w:val="0"/>
              <w:spacing w:before="0" w:beforeAutospacing="0" w:after="0" w:afterAutospacing="0" w:line="288" w:lineRule="auto"/>
              <w:ind w:left="0" w:right="0"/>
              <w:jc w:val="center"/>
              <w:rPr>
                <w:rFonts w:hint="eastAsia" w:ascii="Calibri" w:hAnsi="Calibri" w:cs="Times New Roman"/>
                <w:b/>
                <w:color w:val="000000"/>
                <w:sz w:val="24"/>
                <w:highlight w:val="none"/>
              </w:rPr>
            </w:pPr>
            <w:r>
              <w:rPr>
                <w:rFonts w:hint="eastAsia" w:ascii="Calibri" w:hAnsi="Calibri" w:eastAsia="仿宋" w:cs="Times New Roman"/>
                <w:b/>
                <w:color w:val="000000"/>
                <w:sz w:val="24"/>
                <w:highlight w:val="none"/>
              </w:rPr>
              <w:t>条款号</w:t>
            </w:r>
          </w:p>
        </w:tc>
        <w:tc>
          <w:tcPr>
            <w:tcW w:w="1701" w:type="dxa"/>
            <w:noWrap w:val="0"/>
            <w:vAlign w:val="center"/>
          </w:tcPr>
          <w:p w14:paraId="6DF5677F">
            <w:pPr>
              <w:keepNext w:val="0"/>
              <w:keepLines w:val="0"/>
              <w:suppressLineNumbers w:val="0"/>
              <w:snapToGrid w:val="0"/>
              <w:spacing w:before="0" w:beforeAutospacing="0" w:after="0" w:afterAutospacing="0" w:line="288" w:lineRule="auto"/>
              <w:ind w:left="0" w:right="0"/>
              <w:jc w:val="center"/>
              <w:rPr>
                <w:rFonts w:hint="default" w:ascii="Calibri" w:hAnsi="Calibri" w:cs="Times New Roman"/>
                <w:b/>
                <w:color w:val="000000"/>
                <w:sz w:val="24"/>
                <w:highlight w:val="none"/>
              </w:rPr>
            </w:pPr>
            <w:r>
              <w:rPr>
                <w:rFonts w:hint="eastAsia" w:ascii="Calibri" w:hAnsi="Calibri" w:eastAsia="仿宋" w:cs="Times New Roman"/>
                <w:b/>
                <w:color w:val="000000"/>
                <w:sz w:val="24"/>
                <w:highlight w:val="none"/>
              </w:rPr>
              <w:t>评分因素</w:t>
            </w:r>
          </w:p>
        </w:tc>
        <w:tc>
          <w:tcPr>
            <w:tcW w:w="6237" w:type="dxa"/>
            <w:gridSpan w:val="2"/>
            <w:noWrap w:val="0"/>
            <w:vAlign w:val="center"/>
          </w:tcPr>
          <w:p w14:paraId="3ADF9D0D">
            <w:pPr>
              <w:keepNext w:val="0"/>
              <w:keepLines w:val="0"/>
              <w:widowControl/>
              <w:suppressLineNumbers w:val="0"/>
              <w:snapToGrid w:val="0"/>
              <w:spacing w:before="0" w:beforeAutospacing="0" w:after="0" w:afterAutospacing="0" w:line="288" w:lineRule="auto"/>
              <w:ind w:left="0" w:right="0"/>
              <w:jc w:val="center"/>
              <w:rPr>
                <w:rFonts w:hint="default" w:ascii="宋体" w:hAnsi="宋体" w:cs="Times New Roman"/>
                <w:b/>
                <w:kern w:val="0"/>
                <w:sz w:val="24"/>
                <w:highlight w:val="none"/>
              </w:rPr>
            </w:pPr>
            <w:r>
              <w:rPr>
                <w:rFonts w:hint="eastAsia" w:ascii="Calibri" w:hAnsi="Calibri" w:eastAsia="仿宋" w:cs="Times New Roman"/>
                <w:b/>
                <w:color w:val="000000"/>
                <w:sz w:val="24"/>
                <w:highlight w:val="none"/>
              </w:rPr>
              <w:t>评分标准</w:t>
            </w:r>
          </w:p>
        </w:tc>
      </w:tr>
      <w:tr w14:paraId="337205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116" w:hRule="atLeast"/>
        </w:trPr>
        <w:tc>
          <w:tcPr>
            <w:tcW w:w="900" w:type="dxa"/>
            <w:vMerge w:val="restart"/>
            <w:noWrap w:val="0"/>
            <w:vAlign w:val="center"/>
          </w:tcPr>
          <w:p w14:paraId="7CAB5BF1">
            <w:pPr>
              <w:keepNext w:val="0"/>
              <w:keepLines w:val="0"/>
              <w:widowControl/>
              <w:suppressLineNumbers w:val="0"/>
              <w:snapToGrid w:val="0"/>
              <w:spacing w:before="0" w:beforeAutospacing="0" w:after="0" w:afterAutospacing="0" w:line="288" w:lineRule="auto"/>
              <w:ind w:left="0" w:right="0"/>
              <w:jc w:val="center"/>
              <w:rPr>
                <w:rFonts w:hint="eastAsia" w:ascii="仿宋" w:hAnsi="仿宋" w:eastAsia="仿宋" w:cs="仿宋"/>
                <w:sz w:val="24"/>
                <w:highlight w:val="none"/>
              </w:rPr>
            </w:pPr>
            <w:r>
              <w:rPr>
                <w:rFonts w:hint="eastAsia" w:ascii="仿宋" w:hAnsi="仿宋" w:eastAsia="仿宋" w:cs="仿宋"/>
                <w:sz w:val="24"/>
                <w:highlight w:val="none"/>
              </w:rPr>
              <w:t>3.2.3（1）商务部分</w:t>
            </w:r>
          </w:p>
        </w:tc>
        <w:tc>
          <w:tcPr>
            <w:tcW w:w="914" w:type="dxa"/>
            <w:noWrap w:val="0"/>
            <w:vAlign w:val="center"/>
          </w:tcPr>
          <w:p w14:paraId="1F6BD212">
            <w:pPr>
              <w:keepNext w:val="0"/>
              <w:keepLines w:val="0"/>
              <w:widowControl/>
              <w:suppressLineNumbers w:val="0"/>
              <w:snapToGrid w:val="0"/>
              <w:spacing w:before="0" w:beforeAutospacing="0" w:after="0" w:afterAutospacing="0" w:line="288" w:lineRule="auto"/>
              <w:ind w:left="0" w:right="0"/>
              <w:jc w:val="center"/>
              <w:rPr>
                <w:rFonts w:hint="eastAsia" w:ascii="仿宋" w:hAnsi="仿宋" w:eastAsia="仿宋" w:cs="仿宋"/>
                <w:sz w:val="24"/>
                <w:highlight w:val="none"/>
              </w:rPr>
            </w:pPr>
            <w:r>
              <w:rPr>
                <w:rFonts w:hint="eastAsia" w:ascii="仿宋" w:hAnsi="仿宋" w:eastAsia="仿宋" w:cs="仿宋"/>
                <w:sz w:val="24"/>
                <w:highlight w:val="none"/>
              </w:rPr>
              <w:t>1</w:t>
            </w:r>
          </w:p>
        </w:tc>
        <w:tc>
          <w:tcPr>
            <w:tcW w:w="1701" w:type="dxa"/>
            <w:noWrap w:val="0"/>
            <w:vAlign w:val="center"/>
          </w:tcPr>
          <w:p w14:paraId="0E111F11">
            <w:pPr>
              <w:keepNext w:val="0"/>
              <w:keepLines w:val="0"/>
              <w:widowControl/>
              <w:suppressLineNumbers w:val="0"/>
              <w:snapToGrid w:val="0"/>
              <w:spacing w:before="0" w:beforeAutospacing="0" w:after="0" w:afterAutospacing="0" w:line="360" w:lineRule="auto"/>
              <w:ind w:left="0" w:right="0"/>
              <w:jc w:val="center"/>
              <w:rPr>
                <w:rFonts w:hint="default" w:ascii="楷体" w:hAnsi="楷体" w:eastAsia="楷体" w:cs="Times New Roman"/>
                <w:color w:val="auto"/>
                <w:sz w:val="24"/>
                <w:highlight w:val="none"/>
              </w:rPr>
            </w:pPr>
            <w:r>
              <w:rPr>
                <w:rFonts w:hint="eastAsia" w:ascii="仿宋" w:hAnsi="仿宋" w:eastAsia="仿宋" w:cs="仿宋"/>
                <w:color w:val="auto"/>
                <w:sz w:val="24"/>
                <w:highlight w:val="none"/>
              </w:rPr>
              <w:t>所投产品业绩（</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分）</w:t>
            </w:r>
          </w:p>
        </w:tc>
        <w:tc>
          <w:tcPr>
            <w:tcW w:w="6237" w:type="dxa"/>
            <w:gridSpan w:val="2"/>
            <w:noWrap w:val="0"/>
            <w:vAlign w:val="center"/>
          </w:tcPr>
          <w:p w14:paraId="47AE03B2">
            <w:pPr>
              <w:keepNext w:val="0"/>
              <w:keepLines w:val="0"/>
              <w:suppressLineNumbers w:val="0"/>
              <w:shd w:val="clear" w:color="auto" w:fill="auto"/>
              <w:snapToGrid w:val="0"/>
              <w:spacing w:before="0" w:beforeAutospacing="0" w:after="0" w:afterAutospacing="0" w:line="360" w:lineRule="auto"/>
              <w:ind w:left="0" w:right="0"/>
              <w:rPr>
                <w:rFonts w:hint="eastAsia" w:ascii="仿宋" w:hAnsi="仿宋" w:eastAsia="仿宋" w:cs="仿宋"/>
                <w:bCs/>
                <w:color w:val="auto"/>
                <w:sz w:val="24"/>
                <w:szCs w:val="20"/>
                <w:highlight w:val="none"/>
              </w:rPr>
            </w:pPr>
            <w:r>
              <w:rPr>
                <w:rFonts w:hint="eastAsia" w:ascii="仿宋" w:hAnsi="仿宋" w:eastAsia="仿宋" w:cs="仿宋"/>
                <w:bCs/>
                <w:sz w:val="24"/>
                <w:szCs w:val="20"/>
                <w:highlight w:val="none"/>
              </w:rPr>
              <w:t>自2022年1月1日以来（以合同签订时间为准），所投</w:t>
            </w:r>
            <w:r>
              <w:rPr>
                <w:rFonts w:hint="eastAsia" w:ascii="仿宋" w:hAnsi="仿宋" w:eastAsia="仿宋" w:cs="仿宋"/>
                <w:bCs/>
                <w:color w:val="000000"/>
                <w:sz w:val="24"/>
                <w:szCs w:val="20"/>
                <w:highlight w:val="none"/>
              </w:rPr>
              <w:t>同品牌同型号</w:t>
            </w:r>
            <w:r>
              <w:rPr>
                <w:rFonts w:hint="eastAsia" w:ascii="仿宋" w:hAnsi="仿宋" w:eastAsia="仿宋" w:cs="仿宋"/>
                <w:bCs/>
                <w:sz w:val="24"/>
                <w:szCs w:val="20"/>
                <w:highlight w:val="none"/>
              </w:rPr>
              <w:t>产品具有医疗机构供货业绩的，每提供一个业绩得</w:t>
            </w:r>
            <w:r>
              <w:rPr>
                <w:rFonts w:hint="eastAsia" w:ascii="仿宋" w:hAnsi="仿宋" w:eastAsia="仿宋" w:cs="仿宋"/>
                <w:bCs/>
                <w:sz w:val="24"/>
                <w:szCs w:val="20"/>
                <w:highlight w:val="none"/>
                <w:lang w:val="en-US" w:eastAsia="zh-CN"/>
              </w:rPr>
              <w:t>0.3</w:t>
            </w:r>
            <w:r>
              <w:rPr>
                <w:rFonts w:hint="eastAsia" w:ascii="仿宋" w:hAnsi="仿宋" w:eastAsia="仿宋" w:cs="仿宋"/>
                <w:bCs/>
                <w:sz w:val="24"/>
                <w:szCs w:val="20"/>
                <w:highlight w:val="none"/>
              </w:rPr>
              <w:t>分</w:t>
            </w:r>
            <w:r>
              <w:rPr>
                <w:rFonts w:hint="eastAsia" w:ascii="仿宋" w:hAnsi="仿宋" w:eastAsia="仿宋" w:cs="仿宋"/>
                <w:bCs/>
                <w:sz w:val="24"/>
                <w:szCs w:val="20"/>
                <w:highlight w:val="none"/>
                <w:lang w:eastAsia="zh-CN"/>
              </w:rPr>
              <w:t>，</w:t>
            </w:r>
            <w:r>
              <w:rPr>
                <w:rFonts w:hint="eastAsia" w:ascii="仿宋" w:hAnsi="仿宋" w:eastAsia="仿宋" w:cs="仿宋"/>
                <w:bCs/>
                <w:sz w:val="24"/>
                <w:szCs w:val="20"/>
                <w:highlight w:val="none"/>
                <w:lang w:val="en-US" w:eastAsia="zh-CN"/>
              </w:rPr>
              <w:t>以中标（成交）通知书计算业绩数量</w:t>
            </w:r>
            <w:r>
              <w:rPr>
                <w:rFonts w:hint="eastAsia" w:ascii="仿宋" w:hAnsi="仿宋" w:eastAsia="仿宋" w:cs="仿宋"/>
                <w:bCs/>
                <w:sz w:val="24"/>
                <w:szCs w:val="20"/>
                <w:highlight w:val="none"/>
              </w:rPr>
              <w:t>，最高得</w:t>
            </w:r>
            <w:r>
              <w:rPr>
                <w:rFonts w:hint="eastAsia" w:ascii="仿宋" w:hAnsi="仿宋" w:eastAsia="仿宋" w:cs="仿宋"/>
                <w:bCs/>
                <w:sz w:val="24"/>
                <w:szCs w:val="20"/>
                <w:highlight w:val="none"/>
                <w:lang w:val="en-US" w:eastAsia="zh-CN"/>
              </w:rPr>
              <w:t>3</w:t>
            </w:r>
            <w:r>
              <w:rPr>
                <w:rFonts w:hint="eastAsia" w:ascii="仿宋" w:hAnsi="仿宋" w:eastAsia="仿宋" w:cs="仿宋"/>
                <w:bCs/>
                <w:sz w:val="24"/>
                <w:szCs w:val="20"/>
                <w:highlight w:val="none"/>
              </w:rPr>
              <w:t>分</w:t>
            </w:r>
            <w:r>
              <w:rPr>
                <w:rFonts w:hint="eastAsia" w:ascii="仿宋" w:hAnsi="仿宋" w:eastAsia="仿宋" w:cs="仿宋"/>
                <w:bCs/>
                <w:color w:val="auto"/>
                <w:sz w:val="24"/>
                <w:szCs w:val="20"/>
                <w:highlight w:val="none"/>
              </w:rPr>
              <w:t>。</w:t>
            </w:r>
          </w:p>
          <w:p w14:paraId="103C0B99">
            <w:pPr>
              <w:keepNext w:val="0"/>
              <w:keepLines w:val="0"/>
              <w:suppressLineNumbers w:val="0"/>
              <w:spacing w:before="0" w:beforeAutospacing="0" w:after="0" w:afterAutospacing="0" w:line="360" w:lineRule="auto"/>
              <w:ind w:left="0" w:right="0"/>
              <w:rPr>
                <w:rFonts w:hint="default" w:ascii="仿宋" w:hAnsi="仿宋" w:eastAsia="仿宋" w:cs="仿宋"/>
                <w:b/>
                <w:bCs/>
                <w:color w:val="auto"/>
                <w:sz w:val="24"/>
                <w:highlight w:val="none"/>
              </w:rPr>
            </w:pPr>
            <w:r>
              <w:rPr>
                <w:rFonts w:hint="eastAsia" w:ascii="仿宋" w:hAnsi="仿宋" w:eastAsia="仿宋" w:cs="仿宋"/>
                <w:b/>
                <w:bCs/>
                <w:color w:val="auto"/>
                <w:sz w:val="24"/>
                <w:highlight w:val="none"/>
              </w:rPr>
              <w:t>注：</w:t>
            </w:r>
          </w:p>
          <w:p w14:paraId="3EA318B3">
            <w:pPr>
              <w:keepNext w:val="0"/>
              <w:keepLines w:val="0"/>
              <w:widowControl/>
              <w:suppressLineNumbers w:val="0"/>
              <w:snapToGrid w:val="0"/>
              <w:spacing w:before="0" w:beforeAutospacing="0" w:after="0" w:afterAutospacing="0" w:line="360" w:lineRule="auto"/>
              <w:ind w:left="0" w:right="0"/>
              <w:rPr>
                <w:rFonts w:hint="eastAsia" w:ascii="楷体" w:hAnsi="楷体" w:eastAsia="仿宋" w:cs="Times New Roman"/>
                <w:i/>
                <w:iCs/>
                <w:color w:val="auto"/>
                <w:kern w:val="0"/>
                <w:sz w:val="24"/>
                <w:highlight w:val="none"/>
              </w:rPr>
            </w:pPr>
            <w:r>
              <w:rPr>
                <w:rFonts w:hint="eastAsia" w:ascii="仿宋" w:hAnsi="仿宋" w:eastAsia="仿宋" w:cs="仿宋"/>
                <w:b/>
                <w:bCs/>
                <w:color w:val="auto"/>
                <w:sz w:val="24"/>
                <w:szCs w:val="20"/>
                <w:highlight w:val="none"/>
              </w:rPr>
              <w:t>注：（1）所投标包非单一产品时，本项以核心产品</w:t>
            </w:r>
            <w:r>
              <w:rPr>
                <w:rFonts w:hint="eastAsia" w:ascii="仿宋" w:hAnsi="仿宋" w:eastAsia="仿宋" w:cs="仿宋"/>
                <w:b/>
                <w:bCs/>
                <w:color w:val="auto"/>
                <w:sz w:val="24"/>
                <w:szCs w:val="20"/>
                <w:highlight w:val="none"/>
                <w:lang w:eastAsia="zh-CN"/>
              </w:rPr>
              <w:t>（</w:t>
            </w:r>
            <w:r>
              <w:rPr>
                <w:rFonts w:hint="eastAsia" w:ascii="仿宋" w:hAnsi="仿宋" w:eastAsia="仿宋" w:cs="仿宋"/>
                <w:b/>
                <w:bCs/>
                <w:color w:val="auto"/>
                <w:sz w:val="24"/>
                <w:szCs w:val="20"/>
                <w:highlight w:val="none"/>
                <w:lang w:val="en-US" w:eastAsia="zh-CN"/>
              </w:rPr>
              <w:t>主机）</w:t>
            </w:r>
            <w:r>
              <w:rPr>
                <w:rFonts w:hint="eastAsia" w:ascii="仿宋" w:hAnsi="仿宋" w:eastAsia="仿宋" w:cs="仿宋"/>
                <w:b/>
                <w:bCs/>
                <w:color w:val="auto"/>
                <w:sz w:val="24"/>
                <w:szCs w:val="20"/>
                <w:highlight w:val="none"/>
              </w:rPr>
              <w:t>业绩计分；（2）此处业绩系指产品业绩，不限合同签订的供货主体，但最终使用单位须为医疗机构；（3）投标文件中提供中标（成交）公告网站截图、中标（成交）通知书、合同和供货发票扫描件。提供的上述材料中所有内容均不得涂改、遮盖，发票中购买方名称须为最终使用单位或该项目招标人（或采购人）。如合同中无法体现签订时间、产品品牌型号、使用单位等评审因素的，须同时提供该项目的招标人（或采购人）或最终使用单位加盖公章的证明材料扫描件</w:t>
            </w:r>
            <w:r>
              <w:rPr>
                <w:rFonts w:hint="eastAsia" w:ascii="仿宋" w:hAnsi="仿宋" w:eastAsia="仿宋" w:cs="仿宋"/>
                <w:b/>
                <w:bCs/>
                <w:color w:val="auto"/>
                <w:sz w:val="24"/>
                <w:szCs w:val="20"/>
                <w:highlight w:val="none"/>
                <w:lang w:eastAsia="zh-CN"/>
              </w:rPr>
              <w:t>，</w:t>
            </w:r>
            <w:r>
              <w:rPr>
                <w:rFonts w:hint="eastAsia" w:ascii="仿宋" w:hAnsi="仿宋" w:eastAsia="仿宋" w:cs="仿宋"/>
                <w:b/>
                <w:bCs/>
                <w:color w:val="auto"/>
                <w:sz w:val="24"/>
                <w:szCs w:val="20"/>
                <w:highlight w:val="none"/>
              </w:rPr>
              <w:t>否则不计入业绩数量。</w:t>
            </w:r>
          </w:p>
        </w:tc>
      </w:tr>
      <w:tr w14:paraId="7719BE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900" w:type="dxa"/>
            <w:vMerge w:val="continue"/>
            <w:noWrap w:val="0"/>
            <w:vAlign w:val="center"/>
          </w:tcPr>
          <w:p w14:paraId="3EA63B90">
            <w:pPr>
              <w:keepNext w:val="0"/>
              <w:keepLines w:val="0"/>
              <w:widowControl/>
              <w:suppressLineNumbers w:val="0"/>
              <w:snapToGrid w:val="0"/>
              <w:spacing w:before="0" w:beforeAutospacing="0" w:after="0" w:afterAutospacing="0" w:line="288" w:lineRule="auto"/>
              <w:ind w:left="0" w:right="0"/>
              <w:rPr>
                <w:rFonts w:hint="eastAsia" w:ascii="仿宋" w:hAnsi="仿宋" w:eastAsia="仿宋" w:cs="仿宋"/>
                <w:sz w:val="24"/>
                <w:highlight w:val="none"/>
              </w:rPr>
            </w:pPr>
          </w:p>
        </w:tc>
        <w:tc>
          <w:tcPr>
            <w:tcW w:w="914" w:type="dxa"/>
            <w:noWrap w:val="0"/>
            <w:vAlign w:val="center"/>
          </w:tcPr>
          <w:p w14:paraId="78A5DF0C">
            <w:pPr>
              <w:keepNext w:val="0"/>
              <w:keepLines w:val="0"/>
              <w:widowControl/>
              <w:suppressLineNumbers w:val="0"/>
              <w:snapToGrid w:val="0"/>
              <w:spacing w:before="0" w:beforeAutospacing="0" w:after="0" w:afterAutospacing="0" w:line="288" w:lineRule="auto"/>
              <w:ind w:left="0" w:right="0"/>
              <w:jc w:val="center"/>
              <w:rPr>
                <w:rFonts w:hint="eastAsia" w:ascii="仿宋" w:hAnsi="仿宋" w:eastAsia="仿宋" w:cs="仿宋"/>
                <w:sz w:val="24"/>
                <w:highlight w:val="none"/>
              </w:rPr>
            </w:pPr>
            <w:r>
              <w:rPr>
                <w:rFonts w:hint="eastAsia" w:ascii="仿宋" w:hAnsi="仿宋" w:eastAsia="仿宋" w:cs="仿宋"/>
                <w:sz w:val="24"/>
                <w:highlight w:val="none"/>
              </w:rPr>
              <w:t>2</w:t>
            </w:r>
          </w:p>
        </w:tc>
        <w:tc>
          <w:tcPr>
            <w:tcW w:w="1701" w:type="dxa"/>
            <w:noWrap w:val="0"/>
            <w:vAlign w:val="center"/>
          </w:tcPr>
          <w:p w14:paraId="3AA0A4CE">
            <w:pPr>
              <w:keepNext w:val="0"/>
              <w:keepLines w:val="0"/>
              <w:widowControl/>
              <w:suppressLineNumbers w:val="0"/>
              <w:snapToGrid w:val="0"/>
              <w:spacing w:before="0" w:beforeAutospacing="0" w:after="0" w:afterAutospacing="0" w:line="360" w:lineRule="auto"/>
              <w:ind w:left="0" w:right="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体系认证</w:t>
            </w:r>
          </w:p>
          <w:p w14:paraId="78B61659">
            <w:pPr>
              <w:keepNext w:val="0"/>
              <w:keepLines w:val="0"/>
              <w:widowControl/>
              <w:suppressLineNumbers w:val="0"/>
              <w:snapToGrid w:val="0"/>
              <w:spacing w:before="0" w:beforeAutospacing="0" w:after="0" w:afterAutospacing="0" w:line="360" w:lineRule="auto"/>
              <w:ind w:left="0" w:right="0"/>
              <w:jc w:val="center"/>
              <w:rPr>
                <w:rFonts w:hint="default"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分）</w:t>
            </w:r>
          </w:p>
        </w:tc>
        <w:tc>
          <w:tcPr>
            <w:tcW w:w="6237" w:type="dxa"/>
            <w:gridSpan w:val="2"/>
            <w:noWrap w:val="0"/>
            <w:vAlign w:val="center"/>
          </w:tcPr>
          <w:p w14:paraId="2AB7E321">
            <w:pPr>
              <w:keepNext w:val="0"/>
              <w:keepLines w:val="0"/>
              <w:widowControl/>
              <w:numPr>
                <w:ilvl w:val="0"/>
                <w:numId w:val="0"/>
              </w:numPr>
              <w:suppressLineNumbers w:val="0"/>
              <w:tabs>
                <w:tab w:val="left" w:pos="312"/>
              </w:tabs>
              <w:snapToGrid w:val="0"/>
              <w:spacing w:before="0" w:beforeAutospacing="0" w:after="0" w:afterAutospacing="0" w:line="360" w:lineRule="auto"/>
              <w:ind w:left="0" w:right="0"/>
              <w:jc w:val="left"/>
              <w:rPr>
                <w:rFonts w:hint="eastAsia" w:ascii="仿宋" w:hAnsi="仿宋" w:eastAsia="仿宋" w:cs="仿宋"/>
                <w:bCs/>
                <w:color w:val="auto"/>
                <w:sz w:val="24"/>
                <w:szCs w:val="20"/>
                <w:highlight w:val="none"/>
              </w:rPr>
            </w:pPr>
            <w:r>
              <w:rPr>
                <w:rFonts w:hint="eastAsia" w:ascii="仿宋" w:hAnsi="仿宋" w:eastAsia="仿宋" w:cs="仿宋"/>
                <w:bCs/>
                <w:color w:val="auto"/>
                <w:sz w:val="24"/>
                <w:szCs w:val="20"/>
                <w:highlight w:val="none"/>
                <w:lang w:val="en-US" w:eastAsia="zh-CN"/>
              </w:rPr>
              <w:t>1.</w:t>
            </w:r>
            <w:r>
              <w:rPr>
                <w:rFonts w:hint="eastAsia" w:ascii="仿宋" w:hAnsi="仿宋" w:eastAsia="仿宋" w:cs="仿宋"/>
                <w:bCs/>
                <w:color w:val="auto"/>
                <w:sz w:val="24"/>
                <w:szCs w:val="20"/>
                <w:highlight w:val="none"/>
              </w:rPr>
              <w:t>投标人具有满足《商品售后服务评价体系》的售后服务认证证书的，五星级得3分，四星级得2分，三星级得1分，其他不得分。</w:t>
            </w:r>
          </w:p>
          <w:p w14:paraId="7603E922">
            <w:pPr>
              <w:keepNext w:val="0"/>
              <w:keepLines w:val="0"/>
              <w:widowControl/>
              <w:suppressLineNumbers w:val="0"/>
              <w:snapToGrid w:val="0"/>
              <w:spacing w:before="0" w:beforeAutospacing="0" w:after="0" w:afterAutospacing="0" w:line="360" w:lineRule="auto"/>
              <w:ind w:left="0" w:right="0"/>
              <w:jc w:val="left"/>
              <w:rPr>
                <w:rFonts w:hint="default" w:ascii="仿宋" w:hAnsi="仿宋" w:eastAsia="仿宋" w:cs="仿宋"/>
                <w:bCs/>
                <w:color w:val="auto"/>
                <w:sz w:val="24"/>
                <w:szCs w:val="20"/>
                <w:highlight w:val="none"/>
              </w:rPr>
            </w:pPr>
            <w:r>
              <w:rPr>
                <w:rFonts w:hint="eastAsia" w:ascii="仿宋" w:hAnsi="仿宋" w:eastAsia="仿宋" w:cs="仿宋"/>
                <w:b/>
                <w:color w:val="auto"/>
                <w:sz w:val="24"/>
                <w:szCs w:val="20"/>
                <w:highlight w:val="none"/>
              </w:rPr>
              <w:t>注：投标文件中提供上述证书扫描件及上述认证在全国认证认可信息公共服务平台认证信息查询截图。</w:t>
            </w:r>
          </w:p>
          <w:p w14:paraId="7D543E24">
            <w:pPr>
              <w:keepNext w:val="0"/>
              <w:keepLines w:val="0"/>
              <w:widowControl/>
              <w:suppressLineNumbers w:val="0"/>
              <w:snapToGrid w:val="0"/>
              <w:spacing w:before="0" w:beforeAutospacing="0" w:after="0" w:afterAutospacing="0" w:line="360" w:lineRule="auto"/>
              <w:ind w:left="0" w:right="0"/>
              <w:jc w:val="left"/>
              <w:rPr>
                <w:rFonts w:hint="eastAsia" w:ascii="仿宋" w:hAnsi="仿宋" w:eastAsia="仿宋" w:cs="仿宋"/>
                <w:bCs/>
                <w:color w:val="auto"/>
                <w:sz w:val="24"/>
                <w:szCs w:val="20"/>
                <w:highlight w:val="none"/>
              </w:rPr>
            </w:pPr>
            <w:r>
              <w:rPr>
                <w:rFonts w:hint="eastAsia" w:ascii="仿宋" w:hAnsi="仿宋" w:eastAsia="仿宋" w:cs="仿宋"/>
                <w:bCs/>
                <w:color w:val="auto"/>
                <w:sz w:val="24"/>
                <w:szCs w:val="20"/>
                <w:highlight w:val="none"/>
              </w:rPr>
              <w:t>2.投标人具有经中国国家认证认可监督管理委员会认可的认证机构颁发的有效期内的质量管理体系认证证书、职业健康与安全管理体系认证证书、环境管理体系认证证书的和医疗器械质量管理体系认证证书，每提供一个得0.5分，满分2分。</w:t>
            </w:r>
          </w:p>
          <w:p w14:paraId="39E63E36">
            <w:pPr>
              <w:keepNext w:val="0"/>
              <w:keepLines w:val="0"/>
              <w:widowControl/>
              <w:suppressLineNumbers w:val="0"/>
              <w:snapToGrid w:val="0"/>
              <w:spacing w:before="0" w:beforeAutospacing="0" w:after="0" w:afterAutospacing="0" w:line="360" w:lineRule="auto"/>
              <w:ind w:left="0" w:right="0"/>
              <w:jc w:val="left"/>
              <w:rPr>
                <w:rFonts w:hint="default" w:ascii="宋体" w:hAnsi="宋体" w:cs="Times New Roman"/>
                <w:color w:val="auto"/>
                <w:szCs w:val="22"/>
                <w:highlight w:val="none"/>
              </w:rPr>
            </w:pPr>
            <w:r>
              <w:rPr>
                <w:rFonts w:hint="eastAsia" w:ascii="仿宋" w:hAnsi="仿宋" w:eastAsia="仿宋" w:cs="仿宋"/>
                <w:b/>
                <w:color w:val="auto"/>
                <w:sz w:val="24"/>
                <w:szCs w:val="20"/>
                <w:highlight w:val="none"/>
              </w:rPr>
              <w:t>注：投标文件中提供上述证书扫描件及上述认证在全国认证认可信息公共服务平台认证信息查询截图。</w:t>
            </w:r>
          </w:p>
        </w:tc>
      </w:tr>
      <w:tr w14:paraId="3B1102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900" w:type="dxa"/>
            <w:vMerge w:val="continue"/>
            <w:noWrap w:val="0"/>
            <w:vAlign w:val="center"/>
          </w:tcPr>
          <w:p w14:paraId="5758C0EA">
            <w:pPr>
              <w:keepNext w:val="0"/>
              <w:keepLines w:val="0"/>
              <w:widowControl/>
              <w:suppressLineNumbers w:val="0"/>
              <w:snapToGrid w:val="0"/>
              <w:spacing w:before="0" w:beforeAutospacing="0" w:after="0" w:afterAutospacing="0" w:line="288" w:lineRule="auto"/>
              <w:ind w:left="0" w:right="0"/>
              <w:rPr>
                <w:rFonts w:hint="eastAsia" w:ascii="仿宋" w:hAnsi="仿宋" w:eastAsia="仿宋" w:cs="仿宋"/>
                <w:sz w:val="24"/>
                <w:highlight w:val="none"/>
              </w:rPr>
            </w:pPr>
          </w:p>
        </w:tc>
        <w:tc>
          <w:tcPr>
            <w:tcW w:w="914" w:type="dxa"/>
            <w:noWrap w:val="0"/>
            <w:vAlign w:val="center"/>
          </w:tcPr>
          <w:p w14:paraId="4FE684A0">
            <w:pPr>
              <w:keepNext w:val="0"/>
              <w:keepLines w:val="0"/>
              <w:widowControl/>
              <w:suppressLineNumbers w:val="0"/>
              <w:snapToGrid w:val="0"/>
              <w:spacing w:before="0" w:beforeAutospacing="0" w:after="0" w:afterAutospacing="0" w:line="288" w:lineRule="auto"/>
              <w:ind w:left="0" w:right="0"/>
              <w:jc w:val="center"/>
              <w:rPr>
                <w:rFonts w:hint="eastAsia" w:ascii="仿宋" w:hAnsi="仿宋" w:eastAsia="仿宋" w:cs="仿宋"/>
                <w:sz w:val="24"/>
                <w:highlight w:val="none"/>
              </w:rPr>
            </w:pPr>
            <w:r>
              <w:rPr>
                <w:rFonts w:hint="eastAsia" w:ascii="仿宋" w:hAnsi="仿宋" w:eastAsia="仿宋" w:cs="仿宋"/>
                <w:sz w:val="24"/>
                <w:highlight w:val="none"/>
              </w:rPr>
              <w:t>3</w:t>
            </w:r>
          </w:p>
        </w:tc>
        <w:tc>
          <w:tcPr>
            <w:tcW w:w="1701" w:type="dxa"/>
            <w:noWrap w:val="0"/>
            <w:vAlign w:val="center"/>
          </w:tcPr>
          <w:p w14:paraId="299D2376">
            <w:pPr>
              <w:keepNext w:val="0"/>
              <w:keepLines w:val="0"/>
              <w:suppressLineNumbers w:val="0"/>
              <w:snapToGrid w:val="0"/>
              <w:spacing w:before="0" w:beforeAutospacing="0" w:after="0" w:afterAutospacing="0" w:line="360" w:lineRule="auto"/>
              <w:ind w:left="0" w:right="0"/>
              <w:jc w:val="center"/>
              <w:rPr>
                <w:rFonts w:hint="default" w:ascii="楷体" w:hAnsi="楷体" w:eastAsia="楷体" w:cs="Times New Roman"/>
                <w:color w:val="auto"/>
                <w:sz w:val="24"/>
                <w:highlight w:val="none"/>
              </w:rPr>
            </w:pPr>
            <w:r>
              <w:rPr>
                <w:rFonts w:hint="eastAsia" w:ascii="仿宋" w:hAnsi="仿宋" w:eastAsia="仿宋" w:cs="仿宋"/>
                <w:color w:val="auto"/>
                <w:sz w:val="24"/>
                <w:highlight w:val="none"/>
              </w:rPr>
              <w:t>质量保证期（</w:t>
            </w: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rPr>
              <w:t>分）</w:t>
            </w:r>
          </w:p>
        </w:tc>
        <w:tc>
          <w:tcPr>
            <w:tcW w:w="6237" w:type="dxa"/>
            <w:gridSpan w:val="2"/>
            <w:noWrap w:val="0"/>
            <w:vAlign w:val="center"/>
          </w:tcPr>
          <w:p w14:paraId="69CD1BFB">
            <w:pPr>
              <w:keepNext w:val="0"/>
              <w:keepLines w:val="0"/>
              <w:suppressLineNumbers w:val="0"/>
              <w:snapToGrid w:val="0"/>
              <w:spacing w:before="0" w:beforeAutospacing="0" w:after="0" w:afterAutospacing="0" w:line="360" w:lineRule="auto"/>
              <w:ind w:left="0" w:right="0"/>
              <w:rPr>
                <w:rFonts w:hint="eastAsia" w:ascii="仿宋" w:hAnsi="仿宋" w:eastAsia="仿宋" w:cs="仿宋"/>
                <w:bCs/>
                <w:color w:val="auto"/>
                <w:sz w:val="24"/>
                <w:szCs w:val="20"/>
                <w:highlight w:val="none"/>
              </w:rPr>
            </w:pPr>
            <w:r>
              <w:rPr>
                <w:rFonts w:hint="eastAsia" w:ascii="仿宋" w:hAnsi="仿宋" w:eastAsia="仿宋" w:cs="仿宋"/>
                <w:bCs/>
                <w:color w:val="auto"/>
                <w:sz w:val="24"/>
                <w:szCs w:val="20"/>
                <w:highlight w:val="none"/>
              </w:rPr>
              <w:t>在招标文件规定的</w:t>
            </w:r>
            <w:r>
              <w:rPr>
                <w:rFonts w:hint="eastAsia" w:ascii="仿宋" w:hAnsi="仿宋" w:eastAsia="仿宋" w:cs="仿宋"/>
                <w:bCs/>
                <w:color w:val="auto"/>
                <w:sz w:val="24"/>
                <w:szCs w:val="20"/>
                <w:highlight w:val="none"/>
                <w:lang w:val="en-US" w:eastAsia="zh-CN"/>
              </w:rPr>
              <w:t>整机（含易损件，如探头）</w:t>
            </w:r>
            <w:r>
              <w:rPr>
                <w:rFonts w:hint="eastAsia" w:ascii="仿宋" w:hAnsi="仿宋" w:eastAsia="仿宋" w:cs="仿宋"/>
                <w:bCs/>
                <w:color w:val="auto"/>
                <w:sz w:val="24"/>
                <w:szCs w:val="20"/>
                <w:highlight w:val="none"/>
              </w:rPr>
              <w:t>质量保证期基础上，每延长1年得</w:t>
            </w:r>
            <w:r>
              <w:rPr>
                <w:rFonts w:hint="eastAsia" w:ascii="仿宋" w:hAnsi="仿宋" w:eastAsia="仿宋" w:cs="仿宋"/>
                <w:bCs/>
                <w:color w:val="auto"/>
                <w:sz w:val="24"/>
                <w:szCs w:val="20"/>
                <w:highlight w:val="none"/>
                <w:lang w:val="en-US" w:eastAsia="zh-CN"/>
              </w:rPr>
              <w:t>1</w:t>
            </w:r>
            <w:r>
              <w:rPr>
                <w:rFonts w:hint="eastAsia" w:ascii="仿宋" w:hAnsi="仿宋" w:eastAsia="仿宋" w:cs="仿宋"/>
                <w:bCs/>
                <w:color w:val="auto"/>
                <w:sz w:val="24"/>
                <w:szCs w:val="20"/>
                <w:highlight w:val="none"/>
              </w:rPr>
              <w:t>分，满分</w:t>
            </w:r>
            <w:r>
              <w:rPr>
                <w:rFonts w:hint="eastAsia" w:ascii="仿宋" w:hAnsi="仿宋" w:eastAsia="仿宋" w:cs="仿宋"/>
                <w:bCs/>
                <w:color w:val="auto"/>
                <w:sz w:val="24"/>
                <w:szCs w:val="20"/>
                <w:highlight w:val="none"/>
                <w:lang w:val="en-US" w:eastAsia="zh-CN"/>
              </w:rPr>
              <w:t>2</w:t>
            </w:r>
            <w:r>
              <w:rPr>
                <w:rFonts w:hint="eastAsia" w:ascii="仿宋" w:hAnsi="仿宋" w:eastAsia="仿宋" w:cs="仿宋"/>
                <w:bCs/>
                <w:color w:val="auto"/>
                <w:sz w:val="24"/>
                <w:szCs w:val="20"/>
                <w:highlight w:val="none"/>
              </w:rPr>
              <w:t>分。</w:t>
            </w:r>
          </w:p>
          <w:p w14:paraId="61B042A9">
            <w:pPr>
              <w:keepNext w:val="0"/>
              <w:keepLines w:val="0"/>
              <w:suppressLineNumbers w:val="0"/>
              <w:snapToGrid w:val="0"/>
              <w:spacing w:before="0" w:beforeAutospacing="0" w:after="0" w:afterAutospacing="0" w:line="360" w:lineRule="auto"/>
              <w:ind w:left="0" w:right="0"/>
              <w:rPr>
                <w:rFonts w:hint="eastAsia" w:ascii="仿宋" w:hAnsi="仿宋" w:eastAsia="仿宋" w:cs="仿宋"/>
                <w:b/>
                <w:color w:val="auto"/>
                <w:sz w:val="24"/>
                <w:szCs w:val="20"/>
                <w:highlight w:val="none"/>
              </w:rPr>
            </w:pPr>
            <w:r>
              <w:rPr>
                <w:rFonts w:hint="eastAsia" w:ascii="仿宋" w:hAnsi="仿宋" w:eastAsia="仿宋" w:cs="仿宋"/>
                <w:b/>
                <w:color w:val="auto"/>
                <w:sz w:val="24"/>
                <w:szCs w:val="20"/>
                <w:highlight w:val="none"/>
              </w:rPr>
              <w:t>注：</w:t>
            </w:r>
          </w:p>
          <w:p w14:paraId="299DD324">
            <w:pPr>
              <w:keepNext w:val="0"/>
              <w:keepLines w:val="0"/>
              <w:numPr>
                <w:ilvl w:val="0"/>
                <w:numId w:val="4"/>
              </w:numPr>
              <w:suppressLineNumbers w:val="0"/>
              <w:snapToGrid w:val="0"/>
              <w:spacing w:before="0" w:beforeAutospacing="0" w:after="0" w:afterAutospacing="0" w:line="360" w:lineRule="auto"/>
              <w:ind w:left="0" w:right="0"/>
              <w:rPr>
                <w:rFonts w:hint="eastAsia" w:ascii="仿宋" w:hAnsi="仿宋" w:eastAsia="仿宋" w:cs="仿宋"/>
                <w:b/>
                <w:color w:val="auto"/>
                <w:sz w:val="24"/>
                <w:szCs w:val="20"/>
                <w:highlight w:val="none"/>
              </w:rPr>
            </w:pPr>
            <w:r>
              <w:rPr>
                <w:rFonts w:hint="eastAsia" w:ascii="仿宋" w:hAnsi="仿宋" w:eastAsia="仿宋" w:cs="仿宋"/>
                <w:b/>
                <w:color w:val="auto"/>
                <w:sz w:val="24"/>
                <w:szCs w:val="20"/>
                <w:highlight w:val="none"/>
              </w:rPr>
              <w:t>以商务要求偏离表为准；以整年计算，不足1年不得分，需提供质量保证期承诺函（格式自拟，需加盖投标人单位公章）；</w:t>
            </w:r>
          </w:p>
          <w:p w14:paraId="23A2EDD9">
            <w:pPr>
              <w:keepNext w:val="0"/>
              <w:keepLines w:val="0"/>
              <w:numPr>
                <w:ilvl w:val="0"/>
                <w:numId w:val="4"/>
              </w:numPr>
              <w:suppressLineNumbers w:val="0"/>
              <w:snapToGrid w:val="0"/>
              <w:spacing w:before="0" w:beforeAutospacing="0" w:after="0" w:afterAutospacing="0" w:line="360" w:lineRule="auto"/>
              <w:ind w:left="0" w:right="0"/>
              <w:rPr>
                <w:rFonts w:hint="eastAsia" w:ascii="仿宋" w:hAnsi="仿宋" w:eastAsia="仿宋" w:cs="仿宋"/>
                <w:b/>
                <w:color w:val="auto"/>
                <w:sz w:val="24"/>
                <w:szCs w:val="18"/>
                <w:highlight w:val="none"/>
              </w:rPr>
            </w:pPr>
            <w:r>
              <w:rPr>
                <w:rFonts w:hint="eastAsia" w:ascii="Calibri" w:hAnsi="Calibri" w:eastAsia="仿宋" w:cs="Times New Roman"/>
                <w:b/>
                <w:color w:val="auto"/>
                <w:sz w:val="24"/>
                <w:highlight w:val="none"/>
              </w:rPr>
              <w:t>投标文件中须提供由投标人负责所投产品售后维保工作的质保承诺函，明确</w:t>
            </w:r>
            <w:r>
              <w:rPr>
                <w:rFonts w:hint="eastAsia" w:ascii="Calibri" w:hAnsi="Calibri" w:eastAsia="仿宋" w:cs="Times New Roman"/>
                <w:b/>
                <w:color w:val="auto"/>
                <w:sz w:val="24"/>
                <w:highlight w:val="none"/>
                <w:lang w:eastAsia="zh-CN"/>
              </w:rPr>
              <w:t>质量保证期</w:t>
            </w:r>
            <w:r>
              <w:rPr>
                <w:rFonts w:hint="eastAsia" w:ascii="Calibri" w:hAnsi="Calibri" w:eastAsia="仿宋" w:cs="Times New Roman"/>
                <w:b/>
                <w:color w:val="auto"/>
                <w:sz w:val="24"/>
                <w:highlight w:val="none"/>
              </w:rPr>
              <w:t>时长及</w:t>
            </w:r>
            <w:r>
              <w:rPr>
                <w:rFonts w:hint="eastAsia" w:ascii="Calibri" w:hAnsi="Calibri" w:eastAsia="仿宋" w:cs="Times New Roman"/>
                <w:b/>
                <w:color w:val="auto"/>
                <w:sz w:val="24"/>
                <w:highlight w:val="none"/>
                <w:lang w:eastAsia="zh-CN"/>
              </w:rPr>
              <w:t>质量保证期</w:t>
            </w:r>
            <w:r>
              <w:rPr>
                <w:rFonts w:hint="eastAsia" w:ascii="Calibri" w:hAnsi="Calibri" w:eastAsia="仿宋" w:cs="Times New Roman"/>
                <w:b/>
                <w:color w:val="auto"/>
                <w:sz w:val="24"/>
                <w:highlight w:val="none"/>
              </w:rPr>
              <w:t>外的相应维保价格。</w:t>
            </w:r>
          </w:p>
        </w:tc>
      </w:tr>
      <w:tr w14:paraId="464368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900" w:type="dxa"/>
            <w:vMerge w:val="continue"/>
            <w:noWrap w:val="0"/>
            <w:vAlign w:val="center"/>
          </w:tcPr>
          <w:p w14:paraId="50ADE1C8">
            <w:pPr>
              <w:keepNext w:val="0"/>
              <w:keepLines w:val="0"/>
              <w:widowControl/>
              <w:suppressLineNumbers w:val="0"/>
              <w:snapToGrid w:val="0"/>
              <w:spacing w:before="0" w:beforeAutospacing="0" w:after="0" w:afterAutospacing="0" w:line="288" w:lineRule="auto"/>
              <w:ind w:left="0" w:right="0"/>
              <w:rPr>
                <w:rFonts w:hint="eastAsia" w:ascii="仿宋" w:hAnsi="仿宋" w:eastAsia="仿宋" w:cs="仿宋"/>
                <w:sz w:val="24"/>
                <w:highlight w:val="none"/>
              </w:rPr>
            </w:pPr>
          </w:p>
        </w:tc>
        <w:tc>
          <w:tcPr>
            <w:tcW w:w="914" w:type="dxa"/>
            <w:noWrap w:val="0"/>
            <w:vAlign w:val="center"/>
          </w:tcPr>
          <w:p w14:paraId="4C8BE8C7">
            <w:pPr>
              <w:keepNext w:val="0"/>
              <w:keepLines w:val="0"/>
              <w:widowControl/>
              <w:suppressLineNumbers w:val="0"/>
              <w:snapToGrid w:val="0"/>
              <w:spacing w:before="0" w:beforeAutospacing="0" w:after="0" w:afterAutospacing="0" w:line="288" w:lineRule="auto"/>
              <w:ind w:left="0" w:right="0"/>
              <w:jc w:val="center"/>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4</w:t>
            </w:r>
          </w:p>
        </w:tc>
        <w:tc>
          <w:tcPr>
            <w:tcW w:w="1701" w:type="dxa"/>
            <w:noWrap w:val="0"/>
            <w:vAlign w:val="center"/>
          </w:tcPr>
          <w:p w14:paraId="1A87FF9E">
            <w:pPr>
              <w:keepNext w:val="0"/>
              <w:keepLines w:val="0"/>
              <w:widowControl/>
              <w:suppressLineNumbers w:val="0"/>
              <w:adjustRightInd w:val="0"/>
              <w:snapToGrid w:val="0"/>
              <w:spacing w:before="0" w:beforeAutospacing="0" w:after="0" w:afterAutospacing="0" w:line="360" w:lineRule="auto"/>
              <w:ind w:left="0" w:right="0"/>
              <w:jc w:val="center"/>
              <w:rPr>
                <w:rFonts w:hint="eastAsia" w:ascii="仿宋" w:hAnsi="仿宋" w:eastAsia="仿宋" w:cs="仿宋"/>
                <w:color w:val="auto"/>
                <w:sz w:val="24"/>
                <w:highlight w:val="none"/>
              </w:rPr>
            </w:pPr>
            <w:r>
              <w:rPr>
                <w:rFonts w:hint="eastAsia" w:ascii="仿宋" w:hAnsi="仿宋" w:eastAsia="仿宋" w:cs="仿宋"/>
                <w:sz w:val="24"/>
                <w:highlight w:val="none"/>
                <w:lang w:val="en-US" w:eastAsia="zh-CN"/>
              </w:rPr>
              <w:t>技术</w:t>
            </w:r>
            <w:r>
              <w:rPr>
                <w:rFonts w:hint="eastAsia" w:ascii="仿宋" w:hAnsi="仿宋" w:eastAsia="仿宋" w:cs="仿宋"/>
                <w:sz w:val="24"/>
                <w:highlight w:val="none"/>
              </w:rPr>
              <w:t>培训方案（</w:t>
            </w:r>
            <w:r>
              <w:rPr>
                <w:rFonts w:hint="eastAsia" w:ascii="仿宋" w:hAnsi="仿宋" w:eastAsia="仿宋" w:cs="仿宋"/>
                <w:sz w:val="24"/>
                <w:highlight w:val="none"/>
                <w:lang w:val="en-US" w:eastAsia="zh-CN"/>
              </w:rPr>
              <w:t>5</w:t>
            </w:r>
            <w:r>
              <w:rPr>
                <w:rFonts w:hint="eastAsia" w:ascii="仿宋" w:hAnsi="仿宋" w:eastAsia="仿宋" w:cs="仿宋"/>
                <w:sz w:val="24"/>
                <w:highlight w:val="none"/>
              </w:rPr>
              <w:t>分）</w:t>
            </w:r>
          </w:p>
        </w:tc>
        <w:tc>
          <w:tcPr>
            <w:tcW w:w="6237" w:type="dxa"/>
            <w:gridSpan w:val="2"/>
            <w:noWrap w:val="0"/>
            <w:vAlign w:val="center"/>
          </w:tcPr>
          <w:p w14:paraId="3F67C05D">
            <w:pPr>
              <w:keepNext w:val="0"/>
              <w:keepLines w:val="0"/>
              <w:widowControl/>
              <w:suppressLineNumbers w:val="0"/>
              <w:adjustRightInd w:val="0"/>
              <w:snapToGrid w:val="0"/>
              <w:spacing w:before="0" w:beforeAutospacing="0" w:after="0" w:afterAutospacing="0" w:line="360" w:lineRule="auto"/>
              <w:ind w:left="0" w:right="0"/>
              <w:rPr>
                <w:rFonts w:hint="eastAsia" w:ascii="仿宋" w:hAnsi="仿宋" w:eastAsia="仿宋" w:cs="仿宋"/>
                <w:sz w:val="24"/>
                <w:highlight w:val="none"/>
              </w:rPr>
            </w:pPr>
            <w:r>
              <w:rPr>
                <w:rFonts w:hint="eastAsia" w:ascii="仿宋" w:hAnsi="仿宋" w:eastAsia="仿宋" w:cs="仿宋"/>
                <w:sz w:val="24"/>
                <w:highlight w:val="none"/>
              </w:rPr>
              <w:t>根据投标人提供的</w:t>
            </w:r>
            <w:r>
              <w:rPr>
                <w:rFonts w:hint="eastAsia" w:ascii="仿宋" w:hAnsi="仿宋" w:eastAsia="仿宋" w:cs="仿宋"/>
                <w:sz w:val="24"/>
                <w:highlight w:val="none"/>
                <w:lang w:val="en-US" w:eastAsia="zh-CN"/>
              </w:rPr>
              <w:t>技术</w:t>
            </w:r>
            <w:r>
              <w:rPr>
                <w:rFonts w:hint="eastAsia" w:ascii="仿宋" w:hAnsi="仿宋" w:eastAsia="仿宋" w:cs="仿宋"/>
                <w:sz w:val="24"/>
                <w:highlight w:val="none"/>
              </w:rPr>
              <w:t>培训方案内容的</w:t>
            </w:r>
            <w:r>
              <w:rPr>
                <w:rFonts w:hint="eastAsia" w:ascii="仿宋" w:hAnsi="仿宋" w:eastAsia="仿宋" w:cs="仿宋"/>
                <w:sz w:val="24"/>
                <w:highlight w:val="none"/>
                <w:lang w:val="en-US" w:eastAsia="zh-CN"/>
              </w:rPr>
              <w:t>详细</w:t>
            </w:r>
            <w:r>
              <w:rPr>
                <w:rFonts w:hint="eastAsia" w:ascii="仿宋" w:hAnsi="仿宋" w:eastAsia="仿宋" w:cs="仿宋"/>
                <w:sz w:val="24"/>
                <w:highlight w:val="none"/>
              </w:rPr>
              <w:t>程度、可行性、实用性、针对性等进行评分：</w:t>
            </w:r>
          </w:p>
          <w:p w14:paraId="76B0D464">
            <w:pPr>
              <w:keepNext w:val="0"/>
              <w:keepLines w:val="0"/>
              <w:numPr>
                <w:ilvl w:val="0"/>
                <w:numId w:val="5"/>
              </w:numPr>
              <w:suppressLineNumbers w:val="0"/>
              <w:snapToGrid w:val="0"/>
              <w:spacing w:before="0" w:beforeAutospacing="0" w:after="0" w:afterAutospacing="0" w:line="360" w:lineRule="auto"/>
              <w:ind w:left="0" w:right="0"/>
              <w:rPr>
                <w:rFonts w:hint="eastAsia" w:ascii="仿宋" w:hAnsi="仿宋" w:eastAsia="仿宋" w:cs="仿宋"/>
                <w:bCs/>
                <w:sz w:val="24"/>
                <w:szCs w:val="20"/>
                <w:highlight w:val="none"/>
              </w:rPr>
            </w:pPr>
            <w:r>
              <w:rPr>
                <w:rFonts w:hint="eastAsia" w:ascii="仿宋" w:hAnsi="仿宋" w:eastAsia="仿宋" w:cs="仿宋"/>
                <w:bCs/>
                <w:sz w:val="24"/>
                <w:szCs w:val="20"/>
                <w:highlight w:val="none"/>
                <w:lang w:val="en-US" w:eastAsia="zh-CN"/>
              </w:rPr>
              <w:t>对本项目的特点和难点理解准确</w:t>
            </w:r>
            <w:r>
              <w:rPr>
                <w:rFonts w:hint="eastAsia" w:ascii="仿宋" w:hAnsi="仿宋" w:eastAsia="仿宋" w:cs="仿宋"/>
                <w:bCs/>
                <w:sz w:val="24"/>
                <w:szCs w:val="20"/>
                <w:highlight w:val="none"/>
              </w:rPr>
              <w:t>，技术培训方案</w:t>
            </w:r>
            <w:r>
              <w:rPr>
                <w:rFonts w:hint="eastAsia" w:ascii="仿宋" w:hAnsi="仿宋" w:eastAsia="仿宋" w:cs="仿宋"/>
                <w:bCs/>
                <w:sz w:val="24"/>
                <w:szCs w:val="20"/>
                <w:highlight w:val="none"/>
                <w:lang w:val="en-US" w:eastAsia="zh-CN"/>
              </w:rPr>
              <w:t>优于本项目采购需求</w:t>
            </w:r>
            <w:r>
              <w:rPr>
                <w:rFonts w:hint="eastAsia" w:ascii="仿宋" w:hAnsi="仿宋" w:eastAsia="仿宋" w:cs="仿宋"/>
                <w:bCs/>
                <w:sz w:val="24"/>
                <w:szCs w:val="20"/>
                <w:highlight w:val="none"/>
              </w:rPr>
              <w:t>，</w:t>
            </w:r>
            <w:r>
              <w:rPr>
                <w:rFonts w:hint="eastAsia" w:ascii="仿宋" w:hAnsi="仿宋" w:eastAsia="仿宋" w:cs="仿宋"/>
                <w:bCs/>
                <w:sz w:val="24"/>
                <w:szCs w:val="20"/>
                <w:highlight w:val="none"/>
                <w:lang w:val="en-US" w:eastAsia="zh-CN"/>
              </w:rPr>
              <w:t>完整详细，可行性、实用性、针对性强，</w:t>
            </w:r>
            <w:r>
              <w:rPr>
                <w:rFonts w:hint="eastAsia" w:ascii="仿宋" w:hAnsi="仿宋" w:eastAsia="仿宋" w:cs="仿宋"/>
                <w:bCs/>
                <w:sz w:val="24"/>
                <w:szCs w:val="20"/>
                <w:highlight w:val="none"/>
              </w:rPr>
              <w:t>得5分；</w:t>
            </w:r>
          </w:p>
          <w:p w14:paraId="278E1903">
            <w:pPr>
              <w:keepNext w:val="0"/>
              <w:keepLines w:val="0"/>
              <w:numPr>
                <w:ilvl w:val="0"/>
                <w:numId w:val="5"/>
              </w:numPr>
              <w:suppressLineNumbers w:val="0"/>
              <w:snapToGrid w:val="0"/>
              <w:spacing w:before="0" w:beforeAutospacing="0" w:after="0" w:afterAutospacing="0" w:line="360" w:lineRule="auto"/>
              <w:ind w:left="0" w:right="0"/>
              <w:rPr>
                <w:rFonts w:hint="eastAsia" w:ascii="仿宋" w:hAnsi="仿宋" w:eastAsia="仿宋" w:cs="仿宋"/>
                <w:bCs/>
                <w:sz w:val="24"/>
                <w:szCs w:val="20"/>
                <w:highlight w:val="none"/>
              </w:rPr>
            </w:pPr>
            <w:r>
              <w:rPr>
                <w:rFonts w:hint="eastAsia" w:ascii="仿宋" w:hAnsi="仿宋" w:eastAsia="仿宋" w:cs="仿宋"/>
                <w:bCs/>
                <w:sz w:val="24"/>
                <w:szCs w:val="20"/>
                <w:highlight w:val="none"/>
              </w:rPr>
              <w:t>对本项目的特点和难点理解</w:t>
            </w:r>
            <w:r>
              <w:rPr>
                <w:rFonts w:hint="eastAsia" w:ascii="仿宋" w:hAnsi="仿宋" w:eastAsia="仿宋" w:cs="仿宋"/>
                <w:bCs/>
                <w:sz w:val="24"/>
                <w:szCs w:val="20"/>
                <w:highlight w:val="none"/>
                <w:lang w:val="en-US" w:eastAsia="zh-CN"/>
              </w:rPr>
              <w:t>较</w:t>
            </w:r>
            <w:r>
              <w:rPr>
                <w:rFonts w:hint="eastAsia" w:ascii="仿宋" w:hAnsi="仿宋" w:eastAsia="仿宋" w:cs="仿宋"/>
                <w:bCs/>
                <w:sz w:val="24"/>
                <w:szCs w:val="20"/>
                <w:highlight w:val="none"/>
              </w:rPr>
              <w:t>准确，技术培训方案</w:t>
            </w:r>
            <w:r>
              <w:rPr>
                <w:rFonts w:hint="eastAsia" w:ascii="仿宋" w:hAnsi="仿宋" w:eastAsia="仿宋" w:cs="仿宋"/>
                <w:bCs/>
                <w:sz w:val="24"/>
                <w:szCs w:val="20"/>
                <w:highlight w:val="none"/>
                <w:lang w:val="en-US" w:eastAsia="zh-CN"/>
              </w:rPr>
              <w:t>适合</w:t>
            </w:r>
            <w:r>
              <w:rPr>
                <w:rFonts w:hint="eastAsia" w:ascii="仿宋" w:hAnsi="仿宋" w:eastAsia="仿宋" w:cs="仿宋"/>
                <w:bCs/>
                <w:sz w:val="24"/>
                <w:szCs w:val="20"/>
                <w:highlight w:val="none"/>
              </w:rPr>
              <w:t>本项目采购需求，完整详细，可行性、实用性、针对性</w:t>
            </w:r>
            <w:r>
              <w:rPr>
                <w:rFonts w:hint="eastAsia" w:ascii="仿宋" w:hAnsi="仿宋" w:eastAsia="仿宋" w:cs="仿宋"/>
                <w:bCs/>
                <w:sz w:val="24"/>
                <w:szCs w:val="20"/>
                <w:highlight w:val="none"/>
                <w:lang w:val="en-US" w:eastAsia="zh-CN"/>
              </w:rPr>
              <w:t>较</w:t>
            </w:r>
            <w:r>
              <w:rPr>
                <w:rFonts w:hint="eastAsia" w:ascii="仿宋" w:hAnsi="仿宋" w:eastAsia="仿宋" w:cs="仿宋"/>
                <w:bCs/>
                <w:sz w:val="24"/>
                <w:szCs w:val="20"/>
                <w:highlight w:val="none"/>
              </w:rPr>
              <w:t>强，得</w:t>
            </w:r>
            <w:r>
              <w:rPr>
                <w:rFonts w:hint="eastAsia" w:ascii="仿宋" w:hAnsi="仿宋" w:eastAsia="仿宋" w:cs="仿宋"/>
                <w:bCs/>
                <w:sz w:val="24"/>
                <w:szCs w:val="20"/>
                <w:highlight w:val="none"/>
                <w:lang w:eastAsia="zh-CN"/>
              </w:rPr>
              <w:t>4</w:t>
            </w:r>
            <w:r>
              <w:rPr>
                <w:rFonts w:hint="eastAsia" w:ascii="仿宋" w:hAnsi="仿宋" w:eastAsia="仿宋" w:cs="仿宋"/>
                <w:bCs/>
                <w:sz w:val="24"/>
                <w:szCs w:val="20"/>
                <w:highlight w:val="none"/>
              </w:rPr>
              <w:t>分；</w:t>
            </w:r>
          </w:p>
          <w:p w14:paraId="679BE92B">
            <w:pPr>
              <w:keepNext w:val="0"/>
              <w:keepLines w:val="0"/>
              <w:numPr>
                <w:ilvl w:val="0"/>
                <w:numId w:val="5"/>
              </w:numPr>
              <w:suppressLineNumbers w:val="0"/>
              <w:snapToGrid w:val="0"/>
              <w:spacing w:before="0" w:beforeAutospacing="0" w:after="0" w:afterAutospacing="0" w:line="360" w:lineRule="auto"/>
              <w:ind w:left="0" w:right="0"/>
              <w:rPr>
                <w:rFonts w:hint="eastAsia" w:ascii="仿宋" w:hAnsi="仿宋" w:eastAsia="仿宋" w:cs="仿宋"/>
                <w:bCs/>
                <w:sz w:val="24"/>
                <w:szCs w:val="20"/>
                <w:highlight w:val="none"/>
              </w:rPr>
            </w:pPr>
            <w:r>
              <w:rPr>
                <w:rFonts w:hint="eastAsia" w:ascii="仿宋" w:hAnsi="仿宋" w:eastAsia="仿宋" w:cs="仿宋"/>
                <w:bCs/>
                <w:sz w:val="24"/>
                <w:szCs w:val="20"/>
                <w:highlight w:val="none"/>
              </w:rPr>
              <w:t>对本项目的特点和难点理解</w:t>
            </w:r>
            <w:r>
              <w:rPr>
                <w:rFonts w:hint="eastAsia" w:ascii="仿宋" w:hAnsi="仿宋" w:eastAsia="仿宋" w:cs="仿宋"/>
                <w:bCs/>
                <w:sz w:val="24"/>
                <w:szCs w:val="20"/>
                <w:highlight w:val="none"/>
                <w:lang w:val="en-US" w:eastAsia="zh-CN"/>
              </w:rPr>
              <w:t>基本</w:t>
            </w:r>
            <w:r>
              <w:rPr>
                <w:rFonts w:hint="eastAsia" w:ascii="仿宋" w:hAnsi="仿宋" w:eastAsia="仿宋" w:cs="仿宋"/>
                <w:bCs/>
                <w:sz w:val="24"/>
                <w:szCs w:val="20"/>
                <w:highlight w:val="none"/>
              </w:rPr>
              <w:t>准确，技术培训方案</w:t>
            </w:r>
            <w:r>
              <w:rPr>
                <w:rFonts w:hint="eastAsia" w:ascii="仿宋" w:hAnsi="仿宋" w:eastAsia="仿宋" w:cs="仿宋"/>
                <w:bCs/>
                <w:sz w:val="24"/>
                <w:szCs w:val="20"/>
                <w:highlight w:val="none"/>
                <w:lang w:val="en-US" w:eastAsia="zh-CN"/>
              </w:rPr>
              <w:t>基本适合</w:t>
            </w:r>
            <w:r>
              <w:rPr>
                <w:rFonts w:hint="eastAsia" w:ascii="仿宋" w:hAnsi="仿宋" w:eastAsia="仿宋" w:cs="仿宋"/>
                <w:bCs/>
                <w:sz w:val="24"/>
                <w:szCs w:val="20"/>
                <w:highlight w:val="none"/>
              </w:rPr>
              <w:t>本项目采购需求，</w:t>
            </w:r>
            <w:r>
              <w:rPr>
                <w:rFonts w:hint="eastAsia" w:ascii="仿宋" w:hAnsi="仿宋" w:eastAsia="仿宋" w:cs="仿宋"/>
                <w:bCs/>
                <w:sz w:val="24"/>
                <w:szCs w:val="20"/>
                <w:highlight w:val="none"/>
                <w:lang w:val="en-US" w:eastAsia="zh-CN"/>
              </w:rPr>
              <w:t>较</w:t>
            </w:r>
            <w:r>
              <w:rPr>
                <w:rFonts w:hint="eastAsia" w:ascii="仿宋" w:hAnsi="仿宋" w:eastAsia="仿宋" w:cs="仿宋"/>
                <w:bCs/>
                <w:sz w:val="24"/>
                <w:szCs w:val="20"/>
                <w:highlight w:val="none"/>
              </w:rPr>
              <w:t>完整</w:t>
            </w:r>
            <w:r>
              <w:rPr>
                <w:rFonts w:hint="eastAsia" w:ascii="仿宋" w:hAnsi="仿宋" w:eastAsia="仿宋" w:cs="仿宋"/>
                <w:bCs/>
                <w:sz w:val="24"/>
                <w:szCs w:val="20"/>
                <w:highlight w:val="none"/>
                <w:lang w:val="en-US" w:eastAsia="zh-CN"/>
              </w:rPr>
              <w:t>详细</w:t>
            </w:r>
            <w:r>
              <w:rPr>
                <w:rFonts w:hint="eastAsia" w:ascii="仿宋" w:hAnsi="仿宋" w:eastAsia="仿宋" w:cs="仿宋"/>
                <w:bCs/>
                <w:sz w:val="24"/>
                <w:szCs w:val="20"/>
                <w:highlight w:val="none"/>
              </w:rPr>
              <w:t>，</w:t>
            </w:r>
            <w:r>
              <w:rPr>
                <w:rFonts w:hint="eastAsia" w:ascii="仿宋" w:hAnsi="仿宋" w:eastAsia="仿宋" w:cs="仿宋"/>
                <w:bCs/>
                <w:sz w:val="24"/>
                <w:szCs w:val="20"/>
                <w:highlight w:val="none"/>
                <w:lang w:val="en-US" w:eastAsia="zh-CN"/>
              </w:rPr>
              <w:t>具有</w:t>
            </w:r>
            <w:r>
              <w:rPr>
                <w:rFonts w:hint="eastAsia" w:ascii="仿宋" w:hAnsi="仿宋" w:eastAsia="仿宋" w:cs="仿宋"/>
                <w:bCs/>
                <w:sz w:val="24"/>
                <w:szCs w:val="20"/>
                <w:highlight w:val="none"/>
              </w:rPr>
              <w:t>可行性、实用性</w:t>
            </w:r>
            <w:r>
              <w:rPr>
                <w:rFonts w:hint="eastAsia" w:ascii="仿宋" w:hAnsi="仿宋" w:eastAsia="仿宋" w:cs="仿宋"/>
                <w:bCs/>
                <w:sz w:val="24"/>
                <w:szCs w:val="20"/>
                <w:highlight w:val="none"/>
                <w:lang w:val="en-US" w:eastAsia="zh-CN"/>
              </w:rPr>
              <w:t>和</w:t>
            </w:r>
            <w:r>
              <w:rPr>
                <w:rFonts w:hint="eastAsia" w:ascii="仿宋" w:hAnsi="仿宋" w:eastAsia="仿宋" w:cs="仿宋"/>
                <w:bCs/>
                <w:sz w:val="24"/>
                <w:szCs w:val="20"/>
                <w:highlight w:val="none"/>
              </w:rPr>
              <w:t>针对性，得</w:t>
            </w:r>
            <w:r>
              <w:rPr>
                <w:rFonts w:hint="eastAsia" w:ascii="仿宋" w:hAnsi="仿宋" w:eastAsia="仿宋" w:cs="仿宋"/>
                <w:bCs/>
                <w:sz w:val="24"/>
                <w:szCs w:val="20"/>
                <w:highlight w:val="none"/>
                <w:lang w:val="en-US" w:eastAsia="zh-CN"/>
              </w:rPr>
              <w:t>3</w:t>
            </w:r>
            <w:r>
              <w:rPr>
                <w:rFonts w:hint="eastAsia" w:ascii="仿宋" w:hAnsi="仿宋" w:eastAsia="仿宋" w:cs="仿宋"/>
                <w:bCs/>
                <w:sz w:val="24"/>
                <w:szCs w:val="20"/>
                <w:highlight w:val="none"/>
              </w:rPr>
              <w:t>分；</w:t>
            </w:r>
          </w:p>
          <w:p w14:paraId="3A902C90">
            <w:pPr>
              <w:keepNext w:val="0"/>
              <w:keepLines w:val="0"/>
              <w:numPr>
                <w:ilvl w:val="0"/>
                <w:numId w:val="5"/>
              </w:numPr>
              <w:suppressLineNumbers w:val="0"/>
              <w:snapToGrid w:val="0"/>
              <w:spacing w:before="0" w:beforeAutospacing="0" w:after="0" w:afterAutospacing="0" w:line="360" w:lineRule="auto"/>
              <w:ind w:left="0" w:right="0"/>
              <w:rPr>
                <w:rFonts w:hint="eastAsia" w:ascii="仿宋" w:hAnsi="仿宋" w:eastAsia="仿宋" w:cs="仿宋"/>
                <w:bCs/>
                <w:sz w:val="24"/>
                <w:szCs w:val="20"/>
                <w:highlight w:val="none"/>
              </w:rPr>
            </w:pPr>
            <w:r>
              <w:rPr>
                <w:rFonts w:hint="eastAsia" w:ascii="仿宋" w:hAnsi="仿宋" w:eastAsia="仿宋" w:cs="仿宋"/>
                <w:bCs/>
                <w:sz w:val="24"/>
                <w:szCs w:val="20"/>
                <w:highlight w:val="none"/>
              </w:rPr>
              <w:t>对本项目的特点和难点理解</w:t>
            </w:r>
            <w:r>
              <w:rPr>
                <w:rFonts w:hint="eastAsia" w:ascii="仿宋" w:hAnsi="仿宋" w:eastAsia="仿宋" w:cs="仿宋"/>
                <w:bCs/>
                <w:sz w:val="24"/>
                <w:szCs w:val="20"/>
                <w:highlight w:val="none"/>
                <w:lang w:val="en-US" w:eastAsia="zh-CN"/>
              </w:rPr>
              <w:t>有待提升</w:t>
            </w:r>
            <w:r>
              <w:rPr>
                <w:rFonts w:hint="eastAsia" w:ascii="仿宋" w:hAnsi="仿宋" w:eastAsia="仿宋" w:cs="仿宋"/>
                <w:bCs/>
                <w:sz w:val="24"/>
                <w:szCs w:val="20"/>
                <w:highlight w:val="none"/>
              </w:rPr>
              <w:t>，技术培训方案可行性、实用性</w:t>
            </w:r>
            <w:r>
              <w:rPr>
                <w:rFonts w:hint="eastAsia" w:ascii="仿宋" w:hAnsi="仿宋" w:eastAsia="仿宋" w:cs="仿宋"/>
                <w:bCs/>
                <w:sz w:val="24"/>
                <w:szCs w:val="20"/>
                <w:highlight w:val="none"/>
                <w:lang w:val="en-US" w:eastAsia="zh-CN"/>
              </w:rPr>
              <w:t>和</w:t>
            </w:r>
            <w:r>
              <w:rPr>
                <w:rFonts w:hint="eastAsia" w:ascii="仿宋" w:hAnsi="仿宋" w:eastAsia="仿宋" w:cs="仿宋"/>
                <w:bCs/>
                <w:sz w:val="24"/>
                <w:szCs w:val="20"/>
                <w:highlight w:val="none"/>
              </w:rPr>
              <w:t>针对性</w:t>
            </w:r>
            <w:r>
              <w:rPr>
                <w:rFonts w:hint="eastAsia" w:ascii="仿宋" w:hAnsi="仿宋" w:eastAsia="仿宋" w:cs="仿宋"/>
                <w:bCs/>
                <w:sz w:val="24"/>
                <w:szCs w:val="20"/>
                <w:highlight w:val="none"/>
                <w:lang w:val="en-US" w:eastAsia="zh-CN"/>
              </w:rPr>
              <w:t>有待改善</w:t>
            </w:r>
            <w:r>
              <w:rPr>
                <w:rFonts w:hint="eastAsia" w:ascii="仿宋" w:hAnsi="仿宋" w:eastAsia="仿宋" w:cs="仿宋"/>
                <w:bCs/>
                <w:sz w:val="24"/>
                <w:szCs w:val="20"/>
                <w:highlight w:val="none"/>
              </w:rPr>
              <w:t>，得</w:t>
            </w:r>
            <w:r>
              <w:rPr>
                <w:rFonts w:hint="eastAsia" w:ascii="仿宋" w:hAnsi="仿宋" w:eastAsia="仿宋" w:cs="仿宋"/>
                <w:bCs/>
                <w:sz w:val="24"/>
                <w:szCs w:val="20"/>
                <w:highlight w:val="none"/>
                <w:lang w:val="en-US" w:eastAsia="zh-CN"/>
              </w:rPr>
              <w:t>2</w:t>
            </w:r>
            <w:r>
              <w:rPr>
                <w:rFonts w:hint="eastAsia" w:ascii="仿宋" w:hAnsi="仿宋" w:eastAsia="仿宋" w:cs="仿宋"/>
                <w:bCs/>
                <w:sz w:val="24"/>
                <w:szCs w:val="20"/>
                <w:highlight w:val="none"/>
              </w:rPr>
              <w:t>分；</w:t>
            </w:r>
          </w:p>
          <w:p w14:paraId="1CB68355">
            <w:pPr>
              <w:keepNext w:val="0"/>
              <w:keepLines w:val="0"/>
              <w:suppressLineNumbers w:val="0"/>
              <w:snapToGrid w:val="0"/>
              <w:spacing w:before="0" w:beforeAutospacing="0" w:after="0" w:afterAutospacing="0" w:line="360" w:lineRule="auto"/>
              <w:ind w:left="0" w:right="0"/>
              <w:rPr>
                <w:rFonts w:hint="eastAsia" w:ascii="仿宋" w:hAnsi="仿宋" w:eastAsia="仿宋" w:cs="仿宋"/>
                <w:bCs/>
                <w:sz w:val="24"/>
                <w:szCs w:val="20"/>
                <w:highlight w:val="none"/>
              </w:rPr>
            </w:pPr>
            <w:r>
              <w:rPr>
                <w:rFonts w:hint="eastAsia" w:ascii="仿宋" w:hAnsi="仿宋" w:eastAsia="仿宋" w:cs="仿宋"/>
                <w:bCs/>
                <w:sz w:val="24"/>
                <w:szCs w:val="20"/>
                <w:highlight w:val="none"/>
              </w:rPr>
              <w:t>5）对本项目的特点和难点理解</w:t>
            </w:r>
            <w:r>
              <w:rPr>
                <w:rFonts w:hint="eastAsia" w:ascii="仿宋" w:hAnsi="仿宋" w:eastAsia="仿宋" w:cs="仿宋"/>
                <w:bCs/>
                <w:sz w:val="24"/>
                <w:szCs w:val="20"/>
                <w:highlight w:val="none"/>
                <w:lang w:val="en-US" w:eastAsia="zh-CN"/>
              </w:rPr>
              <w:t>不准确</w:t>
            </w:r>
            <w:r>
              <w:rPr>
                <w:rFonts w:hint="eastAsia" w:ascii="仿宋" w:hAnsi="仿宋" w:eastAsia="仿宋" w:cs="仿宋"/>
                <w:bCs/>
                <w:sz w:val="24"/>
                <w:szCs w:val="20"/>
                <w:highlight w:val="none"/>
              </w:rPr>
              <w:t>，技术培训方案</w:t>
            </w:r>
            <w:r>
              <w:rPr>
                <w:rFonts w:hint="eastAsia" w:ascii="仿宋" w:hAnsi="仿宋" w:eastAsia="仿宋" w:cs="仿宋"/>
                <w:bCs/>
                <w:sz w:val="24"/>
                <w:szCs w:val="20"/>
                <w:highlight w:val="none"/>
                <w:lang w:val="en-US" w:eastAsia="zh-CN"/>
              </w:rPr>
              <w:t>不适合</w:t>
            </w:r>
            <w:r>
              <w:rPr>
                <w:rFonts w:hint="eastAsia" w:ascii="仿宋" w:hAnsi="仿宋" w:eastAsia="仿宋" w:cs="仿宋"/>
                <w:bCs/>
                <w:sz w:val="24"/>
                <w:szCs w:val="20"/>
                <w:highlight w:val="none"/>
              </w:rPr>
              <w:t>本项目采购需求，</w:t>
            </w:r>
            <w:r>
              <w:rPr>
                <w:rFonts w:hint="eastAsia" w:ascii="仿宋" w:hAnsi="仿宋" w:eastAsia="仿宋" w:cs="仿宋"/>
                <w:bCs/>
                <w:sz w:val="24"/>
                <w:szCs w:val="20"/>
                <w:highlight w:val="none"/>
                <w:lang w:val="en-US" w:eastAsia="zh-CN"/>
              </w:rPr>
              <w:t>不够完整详细，不具有</w:t>
            </w:r>
            <w:r>
              <w:rPr>
                <w:rFonts w:hint="eastAsia" w:ascii="仿宋" w:hAnsi="仿宋" w:eastAsia="仿宋" w:cs="仿宋"/>
                <w:bCs/>
                <w:sz w:val="24"/>
                <w:szCs w:val="20"/>
                <w:highlight w:val="none"/>
              </w:rPr>
              <w:t>可行性，得</w:t>
            </w:r>
            <w:r>
              <w:rPr>
                <w:rFonts w:hint="eastAsia" w:ascii="仿宋" w:hAnsi="仿宋" w:eastAsia="仿宋" w:cs="仿宋"/>
                <w:bCs/>
                <w:sz w:val="24"/>
                <w:szCs w:val="20"/>
                <w:highlight w:val="none"/>
                <w:lang w:val="en-US" w:eastAsia="zh-CN"/>
              </w:rPr>
              <w:t>1</w:t>
            </w:r>
            <w:r>
              <w:rPr>
                <w:rFonts w:hint="eastAsia" w:ascii="仿宋" w:hAnsi="仿宋" w:eastAsia="仿宋" w:cs="仿宋"/>
                <w:bCs/>
                <w:sz w:val="24"/>
                <w:szCs w:val="20"/>
                <w:highlight w:val="none"/>
              </w:rPr>
              <w:t>分；</w:t>
            </w:r>
          </w:p>
          <w:p w14:paraId="30C580E3">
            <w:pPr>
              <w:keepNext w:val="0"/>
              <w:keepLines w:val="0"/>
              <w:suppressLineNumbers w:val="0"/>
              <w:snapToGrid w:val="0"/>
              <w:spacing w:before="0" w:beforeAutospacing="0" w:after="0" w:afterAutospacing="0" w:line="360" w:lineRule="auto"/>
              <w:ind w:left="0" w:right="0"/>
              <w:rPr>
                <w:rFonts w:hint="eastAsia" w:ascii="Calibri" w:hAnsi="Calibri" w:eastAsia="仿宋" w:cs="Times New Roman"/>
                <w:b/>
                <w:color w:val="auto"/>
                <w:sz w:val="24"/>
                <w:highlight w:val="none"/>
              </w:rPr>
            </w:pPr>
            <w:r>
              <w:rPr>
                <w:rFonts w:hint="eastAsia" w:ascii="仿宋" w:hAnsi="仿宋" w:eastAsia="仿宋" w:cs="仿宋"/>
                <w:bCs/>
                <w:sz w:val="24"/>
                <w:szCs w:val="20"/>
                <w:highlight w:val="none"/>
              </w:rPr>
              <w:t>6）未提供方案的不得分。</w:t>
            </w:r>
          </w:p>
        </w:tc>
      </w:tr>
      <w:tr w14:paraId="20AC72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900" w:type="dxa"/>
            <w:vMerge w:val="continue"/>
            <w:noWrap w:val="0"/>
            <w:vAlign w:val="center"/>
          </w:tcPr>
          <w:p w14:paraId="613339B5">
            <w:pPr>
              <w:keepNext w:val="0"/>
              <w:keepLines w:val="0"/>
              <w:widowControl/>
              <w:suppressLineNumbers w:val="0"/>
              <w:snapToGrid w:val="0"/>
              <w:spacing w:before="0" w:beforeAutospacing="0" w:after="0" w:afterAutospacing="0" w:line="288" w:lineRule="auto"/>
              <w:ind w:left="0" w:right="0"/>
              <w:rPr>
                <w:rFonts w:hint="eastAsia" w:ascii="仿宋" w:hAnsi="仿宋" w:eastAsia="仿宋" w:cs="仿宋"/>
                <w:sz w:val="24"/>
                <w:highlight w:val="none"/>
              </w:rPr>
            </w:pPr>
          </w:p>
        </w:tc>
        <w:tc>
          <w:tcPr>
            <w:tcW w:w="914" w:type="dxa"/>
            <w:noWrap w:val="0"/>
            <w:vAlign w:val="center"/>
          </w:tcPr>
          <w:p w14:paraId="572C8B11">
            <w:pPr>
              <w:keepNext w:val="0"/>
              <w:keepLines w:val="0"/>
              <w:widowControl/>
              <w:suppressLineNumbers w:val="0"/>
              <w:snapToGrid w:val="0"/>
              <w:spacing w:before="0" w:beforeAutospacing="0" w:after="0" w:afterAutospacing="0" w:line="288" w:lineRule="auto"/>
              <w:ind w:left="0" w:right="0"/>
              <w:jc w:val="center"/>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5</w:t>
            </w:r>
          </w:p>
        </w:tc>
        <w:tc>
          <w:tcPr>
            <w:tcW w:w="1701" w:type="dxa"/>
            <w:noWrap w:val="0"/>
            <w:vAlign w:val="center"/>
          </w:tcPr>
          <w:p w14:paraId="3826FE03">
            <w:pPr>
              <w:keepNext w:val="0"/>
              <w:keepLines w:val="0"/>
              <w:widowControl/>
              <w:suppressLineNumbers w:val="0"/>
              <w:shd w:val="clear" w:color="auto" w:fill="auto"/>
              <w:adjustRightInd w:val="0"/>
              <w:snapToGrid w:val="0"/>
              <w:spacing w:before="0" w:beforeAutospacing="0" w:after="0" w:afterAutospacing="0" w:line="360" w:lineRule="auto"/>
              <w:ind w:left="0" w:right="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应急服务方案（5分）</w:t>
            </w:r>
          </w:p>
        </w:tc>
        <w:tc>
          <w:tcPr>
            <w:tcW w:w="6237" w:type="dxa"/>
            <w:gridSpan w:val="2"/>
            <w:noWrap w:val="0"/>
            <w:vAlign w:val="center"/>
          </w:tcPr>
          <w:p w14:paraId="06EB6AF1">
            <w:pPr>
              <w:keepNext w:val="0"/>
              <w:keepLines w:val="0"/>
              <w:widowControl/>
              <w:suppressLineNumbers w:val="0"/>
              <w:adjustRightInd w:val="0"/>
              <w:snapToGrid w:val="0"/>
              <w:spacing w:before="0" w:beforeAutospacing="0" w:after="0" w:afterAutospacing="0" w:line="360" w:lineRule="auto"/>
              <w:ind w:left="0" w:right="0"/>
              <w:rPr>
                <w:rFonts w:hint="eastAsia" w:ascii="仿宋" w:hAnsi="仿宋" w:eastAsia="仿宋" w:cs="仿宋"/>
                <w:sz w:val="24"/>
                <w:highlight w:val="none"/>
              </w:rPr>
            </w:pPr>
            <w:r>
              <w:rPr>
                <w:rFonts w:hint="eastAsia" w:ascii="仿宋" w:hAnsi="仿宋" w:eastAsia="仿宋" w:cs="仿宋"/>
                <w:sz w:val="24"/>
                <w:highlight w:val="none"/>
              </w:rPr>
              <w:t>根据投标人提供的应急服务方案内容的</w:t>
            </w:r>
            <w:r>
              <w:rPr>
                <w:rFonts w:hint="eastAsia" w:ascii="仿宋" w:hAnsi="仿宋" w:eastAsia="仿宋" w:cs="仿宋"/>
                <w:sz w:val="24"/>
                <w:highlight w:val="none"/>
                <w:lang w:val="en-US" w:eastAsia="zh-CN"/>
              </w:rPr>
              <w:t>详细</w:t>
            </w:r>
            <w:r>
              <w:rPr>
                <w:rFonts w:hint="eastAsia" w:ascii="仿宋" w:hAnsi="仿宋" w:eastAsia="仿宋" w:cs="仿宋"/>
                <w:sz w:val="24"/>
                <w:highlight w:val="none"/>
              </w:rPr>
              <w:t>程度、可行性、实用性、针对性等进行评分：</w:t>
            </w:r>
          </w:p>
          <w:p w14:paraId="17AE93E3">
            <w:pPr>
              <w:keepNext w:val="0"/>
              <w:keepLines w:val="0"/>
              <w:numPr>
                <w:ilvl w:val="0"/>
                <w:numId w:val="5"/>
              </w:numPr>
              <w:suppressLineNumbers w:val="0"/>
              <w:snapToGrid w:val="0"/>
              <w:spacing w:before="0" w:beforeAutospacing="0" w:after="0" w:afterAutospacing="0" w:line="360" w:lineRule="auto"/>
              <w:ind w:left="0" w:right="0"/>
              <w:rPr>
                <w:rFonts w:hint="eastAsia" w:ascii="仿宋" w:hAnsi="仿宋" w:eastAsia="仿宋" w:cs="仿宋"/>
                <w:bCs/>
                <w:sz w:val="24"/>
                <w:szCs w:val="20"/>
                <w:highlight w:val="none"/>
              </w:rPr>
            </w:pPr>
            <w:r>
              <w:rPr>
                <w:rFonts w:hint="eastAsia" w:ascii="仿宋" w:hAnsi="仿宋" w:eastAsia="仿宋" w:cs="仿宋"/>
                <w:bCs/>
                <w:sz w:val="24"/>
                <w:szCs w:val="20"/>
                <w:highlight w:val="none"/>
              </w:rPr>
              <w:t>应急服务方案</w:t>
            </w:r>
            <w:r>
              <w:rPr>
                <w:rFonts w:hint="eastAsia" w:ascii="仿宋" w:hAnsi="仿宋" w:eastAsia="仿宋" w:cs="仿宋"/>
                <w:bCs/>
                <w:sz w:val="24"/>
                <w:szCs w:val="20"/>
                <w:highlight w:val="none"/>
                <w:lang w:val="en-US" w:eastAsia="zh-CN"/>
              </w:rPr>
              <w:t>优于本项目采购需求</w:t>
            </w:r>
            <w:r>
              <w:rPr>
                <w:rFonts w:hint="eastAsia" w:ascii="仿宋" w:hAnsi="仿宋" w:eastAsia="仿宋" w:cs="仿宋"/>
                <w:bCs/>
                <w:sz w:val="24"/>
                <w:szCs w:val="20"/>
                <w:highlight w:val="none"/>
              </w:rPr>
              <w:t>，</w:t>
            </w:r>
            <w:r>
              <w:rPr>
                <w:rFonts w:hint="eastAsia" w:ascii="仿宋" w:hAnsi="仿宋" w:eastAsia="仿宋" w:cs="仿宋"/>
                <w:bCs/>
                <w:sz w:val="24"/>
                <w:szCs w:val="20"/>
                <w:highlight w:val="none"/>
                <w:lang w:val="en-US" w:eastAsia="zh-CN"/>
              </w:rPr>
              <w:t>完整详细，</w:t>
            </w:r>
            <w:r>
              <w:rPr>
                <w:rFonts w:hint="eastAsia" w:ascii="仿宋" w:hAnsi="仿宋" w:eastAsia="仿宋" w:cs="仿宋"/>
                <w:bCs/>
                <w:sz w:val="24"/>
                <w:szCs w:val="20"/>
                <w:highlight w:val="none"/>
              </w:rPr>
              <w:t>备品备件供应可以得到充分保障，应急服务响应及时，方案实用性强的</w:t>
            </w:r>
            <w:r>
              <w:rPr>
                <w:rFonts w:hint="eastAsia" w:ascii="仿宋" w:hAnsi="仿宋" w:eastAsia="仿宋" w:cs="仿宋"/>
                <w:bCs/>
                <w:sz w:val="24"/>
                <w:szCs w:val="20"/>
                <w:highlight w:val="none"/>
                <w:lang w:val="en-US" w:eastAsia="zh-CN"/>
              </w:rPr>
              <w:t>，</w:t>
            </w:r>
            <w:r>
              <w:rPr>
                <w:rFonts w:hint="eastAsia" w:ascii="仿宋" w:hAnsi="仿宋" w:eastAsia="仿宋" w:cs="仿宋"/>
                <w:bCs/>
                <w:sz w:val="24"/>
                <w:szCs w:val="20"/>
                <w:highlight w:val="none"/>
              </w:rPr>
              <w:t>得5分；</w:t>
            </w:r>
          </w:p>
          <w:p w14:paraId="2E93F5BA">
            <w:pPr>
              <w:keepNext w:val="0"/>
              <w:keepLines w:val="0"/>
              <w:numPr>
                <w:ilvl w:val="0"/>
                <w:numId w:val="5"/>
              </w:numPr>
              <w:suppressLineNumbers w:val="0"/>
              <w:snapToGrid w:val="0"/>
              <w:spacing w:before="0" w:beforeAutospacing="0" w:after="0" w:afterAutospacing="0" w:line="360" w:lineRule="auto"/>
              <w:ind w:left="0" w:right="0"/>
              <w:rPr>
                <w:rFonts w:hint="eastAsia" w:ascii="仿宋" w:hAnsi="仿宋" w:eastAsia="仿宋" w:cs="仿宋"/>
                <w:bCs/>
                <w:sz w:val="24"/>
                <w:szCs w:val="20"/>
                <w:highlight w:val="none"/>
              </w:rPr>
            </w:pPr>
            <w:r>
              <w:rPr>
                <w:rFonts w:hint="eastAsia" w:ascii="仿宋" w:hAnsi="仿宋" w:eastAsia="仿宋" w:cs="仿宋"/>
                <w:bCs/>
                <w:sz w:val="24"/>
                <w:szCs w:val="20"/>
                <w:highlight w:val="none"/>
              </w:rPr>
              <w:t>应急服务方案</w:t>
            </w:r>
            <w:r>
              <w:rPr>
                <w:rFonts w:hint="eastAsia" w:ascii="仿宋" w:hAnsi="仿宋" w:eastAsia="仿宋" w:cs="仿宋"/>
                <w:bCs/>
                <w:sz w:val="24"/>
                <w:szCs w:val="20"/>
                <w:highlight w:val="none"/>
                <w:lang w:val="en-US" w:eastAsia="zh-CN"/>
              </w:rPr>
              <w:t>适合</w:t>
            </w:r>
            <w:r>
              <w:rPr>
                <w:rFonts w:hint="eastAsia" w:ascii="仿宋" w:hAnsi="仿宋" w:eastAsia="仿宋" w:cs="仿宋"/>
                <w:bCs/>
                <w:sz w:val="24"/>
                <w:szCs w:val="20"/>
                <w:highlight w:val="none"/>
              </w:rPr>
              <w:t>本项目采购需求，完整详细，备品备件供应可以得到保障，应急服务响应</w:t>
            </w:r>
            <w:r>
              <w:rPr>
                <w:rFonts w:hint="eastAsia" w:ascii="仿宋" w:hAnsi="仿宋" w:eastAsia="仿宋" w:cs="仿宋"/>
                <w:bCs/>
                <w:sz w:val="24"/>
                <w:szCs w:val="20"/>
                <w:highlight w:val="none"/>
                <w:lang w:val="en-US" w:eastAsia="zh-CN"/>
              </w:rPr>
              <w:t>较</w:t>
            </w:r>
            <w:r>
              <w:rPr>
                <w:rFonts w:hint="eastAsia" w:ascii="仿宋" w:hAnsi="仿宋" w:eastAsia="仿宋" w:cs="仿宋"/>
                <w:bCs/>
                <w:sz w:val="24"/>
                <w:szCs w:val="20"/>
                <w:highlight w:val="none"/>
              </w:rPr>
              <w:t>及时，方案实用性</w:t>
            </w:r>
            <w:r>
              <w:rPr>
                <w:rFonts w:hint="eastAsia" w:ascii="仿宋" w:hAnsi="仿宋" w:eastAsia="仿宋" w:cs="仿宋"/>
                <w:bCs/>
                <w:sz w:val="24"/>
                <w:szCs w:val="20"/>
                <w:highlight w:val="none"/>
                <w:lang w:val="en-US" w:eastAsia="zh-CN"/>
              </w:rPr>
              <w:t>较</w:t>
            </w:r>
            <w:r>
              <w:rPr>
                <w:rFonts w:hint="eastAsia" w:ascii="仿宋" w:hAnsi="仿宋" w:eastAsia="仿宋" w:cs="仿宋"/>
                <w:bCs/>
                <w:sz w:val="24"/>
                <w:szCs w:val="20"/>
                <w:highlight w:val="none"/>
              </w:rPr>
              <w:t>强的，得</w:t>
            </w:r>
            <w:r>
              <w:rPr>
                <w:rFonts w:hint="eastAsia" w:ascii="仿宋" w:hAnsi="仿宋" w:eastAsia="仿宋" w:cs="仿宋"/>
                <w:bCs/>
                <w:sz w:val="24"/>
                <w:szCs w:val="20"/>
                <w:highlight w:val="none"/>
                <w:lang w:eastAsia="zh-CN"/>
              </w:rPr>
              <w:t>4</w:t>
            </w:r>
            <w:r>
              <w:rPr>
                <w:rFonts w:hint="eastAsia" w:ascii="仿宋" w:hAnsi="仿宋" w:eastAsia="仿宋" w:cs="仿宋"/>
                <w:bCs/>
                <w:sz w:val="24"/>
                <w:szCs w:val="20"/>
                <w:highlight w:val="none"/>
              </w:rPr>
              <w:t>分；</w:t>
            </w:r>
          </w:p>
          <w:p w14:paraId="0DE86895">
            <w:pPr>
              <w:keepNext w:val="0"/>
              <w:keepLines w:val="0"/>
              <w:numPr>
                <w:ilvl w:val="0"/>
                <w:numId w:val="0"/>
              </w:numPr>
              <w:suppressLineNumbers w:val="0"/>
              <w:snapToGrid w:val="0"/>
              <w:spacing w:before="0" w:beforeAutospacing="0" w:after="0" w:afterAutospacing="0" w:line="360" w:lineRule="auto"/>
              <w:ind w:left="0" w:right="0"/>
              <w:rPr>
                <w:rFonts w:hint="default" w:ascii="Calibri" w:hAnsi="Calibri" w:cs="Times New Roman"/>
                <w:highlight w:val="none"/>
              </w:rPr>
            </w:pPr>
            <w:r>
              <w:rPr>
                <w:rFonts w:hint="eastAsia" w:ascii="仿宋" w:hAnsi="仿宋" w:eastAsia="仿宋" w:cs="仿宋"/>
                <w:bCs/>
                <w:sz w:val="24"/>
                <w:szCs w:val="20"/>
                <w:highlight w:val="none"/>
                <w:lang w:val="en-US" w:eastAsia="zh-CN"/>
              </w:rPr>
              <w:t>3）</w:t>
            </w:r>
            <w:r>
              <w:rPr>
                <w:rFonts w:hint="eastAsia" w:ascii="仿宋" w:hAnsi="仿宋" w:eastAsia="仿宋" w:cs="仿宋"/>
                <w:bCs/>
                <w:sz w:val="24"/>
                <w:szCs w:val="20"/>
                <w:highlight w:val="none"/>
              </w:rPr>
              <w:t>应急服务方案</w:t>
            </w:r>
            <w:r>
              <w:rPr>
                <w:rFonts w:hint="eastAsia" w:ascii="仿宋" w:hAnsi="仿宋" w:eastAsia="仿宋" w:cs="仿宋"/>
                <w:bCs/>
                <w:sz w:val="24"/>
                <w:szCs w:val="20"/>
                <w:highlight w:val="none"/>
                <w:lang w:val="en-US" w:eastAsia="zh-CN"/>
              </w:rPr>
              <w:t>基本适合</w:t>
            </w:r>
            <w:r>
              <w:rPr>
                <w:rFonts w:hint="eastAsia" w:ascii="仿宋" w:hAnsi="仿宋" w:eastAsia="仿宋" w:cs="仿宋"/>
                <w:bCs/>
                <w:sz w:val="24"/>
                <w:szCs w:val="20"/>
                <w:highlight w:val="none"/>
              </w:rPr>
              <w:t>本项目采购需求，</w:t>
            </w:r>
            <w:r>
              <w:rPr>
                <w:rFonts w:hint="eastAsia" w:ascii="仿宋" w:hAnsi="仿宋" w:eastAsia="仿宋" w:cs="仿宋"/>
                <w:bCs/>
                <w:sz w:val="24"/>
                <w:szCs w:val="20"/>
                <w:highlight w:val="none"/>
                <w:lang w:val="en-US" w:eastAsia="zh-CN"/>
              </w:rPr>
              <w:t>较</w:t>
            </w:r>
            <w:r>
              <w:rPr>
                <w:rFonts w:hint="eastAsia" w:ascii="仿宋" w:hAnsi="仿宋" w:eastAsia="仿宋" w:cs="仿宋"/>
                <w:bCs/>
                <w:sz w:val="24"/>
                <w:szCs w:val="20"/>
                <w:highlight w:val="none"/>
              </w:rPr>
              <w:t>完整</w:t>
            </w:r>
            <w:r>
              <w:rPr>
                <w:rFonts w:hint="eastAsia" w:ascii="仿宋" w:hAnsi="仿宋" w:eastAsia="仿宋" w:cs="仿宋"/>
                <w:bCs/>
                <w:sz w:val="24"/>
                <w:szCs w:val="20"/>
                <w:highlight w:val="none"/>
                <w:lang w:val="en-US" w:eastAsia="zh-CN"/>
              </w:rPr>
              <w:t>详细</w:t>
            </w:r>
            <w:r>
              <w:rPr>
                <w:rFonts w:hint="eastAsia" w:ascii="仿宋" w:hAnsi="仿宋" w:eastAsia="仿宋" w:cs="仿宋"/>
                <w:bCs/>
                <w:sz w:val="24"/>
                <w:szCs w:val="20"/>
                <w:highlight w:val="none"/>
              </w:rPr>
              <w:t>，备品备件供应</w:t>
            </w:r>
            <w:r>
              <w:rPr>
                <w:rFonts w:hint="eastAsia" w:ascii="仿宋" w:hAnsi="仿宋" w:eastAsia="仿宋" w:cs="仿宋"/>
                <w:bCs/>
                <w:sz w:val="24"/>
                <w:szCs w:val="20"/>
                <w:highlight w:val="none"/>
                <w:lang w:val="en-US" w:eastAsia="zh-CN"/>
              </w:rPr>
              <w:t>基本</w:t>
            </w:r>
            <w:r>
              <w:rPr>
                <w:rFonts w:hint="eastAsia" w:ascii="仿宋" w:hAnsi="仿宋" w:eastAsia="仿宋" w:cs="仿宋"/>
                <w:bCs/>
                <w:sz w:val="24"/>
                <w:szCs w:val="20"/>
                <w:highlight w:val="none"/>
              </w:rPr>
              <w:t>可以得到保障，应急服务</w:t>
            </w:r>
            <w:r>
              <w:rPr>
                <w:rFonts w:hint="eastAsia" w:ascii="仿宋" w:hAnsi="仿宋" w:eastAsia="仿宋" w:cs="仿宋"/>
                <w:bCs/>
                <w:sz w:val="24"/>
                <w:szCs w:val="20"/>
                <w:highlight w:val="none"/>
                <w:lang w:val="en-US" w:eastAsia="zh-CN"/>
              </w:rPr>
              <w:t>能够响应</w:t>
            </w:r>
            <w:r>
              <w:rPr>
                <w:rFonts w:hint="eastAsia" w:ascii="仿宋" w:hAnsi="仿宋" w:eastAsia="仿宋" w:cs="仿宋"/>
                <w:bCs/>
                <w:sz w:val="24"/>
                <w:szCs w:val="20"/>
                <w:highlight w:val="none"/>
              </w:rPr>
              <w:t>，方案</w:t>
            </w:r>
            <w:r>
              <w:rPr>
                <w:rFonts w:hint="eastAsia" w:ascii="仿宋" w:hAnsi="仿宋" w:eastAsia="仿宋" w:cs="仿宋"/>
                <w:bCs/>
                <w:sz w:val="24"/>
                <w:szCs w:val="20"/>
                <w:highlight w:val="none"/>
                <w:lang w:val="en-US" w:eastAsia="zh-CN"/>
              </w:rPr>
              <w:t>具有一定</w:t>
            </w:r>
            <w:r>
              <w:rPr>
                <w:rFonts w:hint="eastAsia" w:ascii="仿宋" w:hAnsi="仿宋" w:eastAsia="仿宋" w:cs="仿宋"/>
                <w:bCs/>
                <w:sz w:val="24"/>
                <w:szCs w:val="20"/>
                <w:highlight w:val="none"/>
              </w:rPr>
              <w:t>实用性，得</w:t>
            </w:r>
            <w:r>
              <w:rPr>
                <w:rFonts w:hint="eastAsia" w:ascii="仿宋" w:hAnsi="仿宋" w:eastAsia="仿宋" w:cs="仿宋"/>
                <w:bCs/>
                <w:sz w:val="24"/>
                <w:szCs w:val="20"/>
                <w:highlight w:val="none"/>
                <w:lang w:val="en-US" w:eastAsia="zh-CN"/>
              </w:rPr>
              <w:t>3</w:t>
            </w:r>
            <w:r>
              <w:rPr>
                <w:rFonts w:hint="eastAsia" w:ascii="仿宋" w:hAnsi="仿宋" w:eastAsia="仿宋" w:cs="仿宋"/>
                <w:bCs/>
                <w:sz w:val="24"/>
                <w:szCs w:val="20"/>
                <w:highlight w:val="none"/>
              </w:rPr>
              <w:t>分；</w:t>
            </w:r>
          </w:p>
          <w:p w14:paraId="304A072E">
            <w:pPr>
              <w:keepNext w:val="0"/>
              <w:keepLines w:val="0"/>
              <w:numPr>
                <w:ilvl w:val="0"/>
                <w:numId w:val="0"/>
              </w:numPr>
              <w:suppressLineNumbers w:val="0"/>
              <w:snapToGrid w:val="0"/>
              <w:spacing w:before="0" w:beforeAutospacing="0" w:after="0" w:afterAutospacing="0" w:line="360" w:lineRule="auto"/>
              <w:ind w:left="0" w:right="0"/>
              <w:rPr>
                <w:rFonts w:hint="eastAsia" w:ascii="仿宋" w:hAnsi="仿宋" w:eastAsia="仿宋" w:cs="仿宋"/>
                <w:bCs/>
                <w:sz w:val="24"/>
                <w:szCs w:val="20"/>
                <w:highlight w:val="none"/>
              </w:rPr>
            </w:pPr>
            <w:r>
              <w:rPr>
                <w:rFonts w:hint="eastAsia" w:ascii="仿宋" w:hAnsi="仿宋" w:eastAsia="仿宋" w:cs="仿宋"/>
                <w:bCs/>
                <w:sz w:val="24"/>
                <w:szCs w:val="20"/>
                <w:highlight w:val="none"/>
                <w:lang w:val="en-US" w:eastAsia="zh-CN"/>
              </w:rPr>
              <w:t>4）</w:t>
            </w:r>
            <w:r>
              <w:rPr>
                <w:rFonts w:hint="eastAsia" w:ascii="仿宋" w:hAnsi="仿宋" w:eastAsia="仿宋" w:cs="仿宋"/>
                <w:bCs/>
                <w:sz w:val="24"/>
                <w:szCs w:val="20"/>
                <w:highlight w:val="none"/>
              </w:rPr>
              <w:t>备品备件供应</w:t>
            </w:r>
            <w:r>
              <w:rPr>
                <w:rFonts w:hint="eastAsia" w:ascii="仿宋" w:hAnsi="仿宋" w:eastAsia="仿宋" w:cs="仿宋"/>
                <w:bCs/>
                <w:sz w:val="24"/>
                <w:szCs w:val="20"/>
                <w:highlight w:val="none"/>
                <w:lang w:val="en-US" w:eastAsia="zh-CN"/>
              </w:rPr>
              <w:t>的</w:t>
            </w:r>
            <w:r>
              <w:rPr>
                <w:rFonts w:hint="eastAsia" w:ascii="仿宋" w:hAnsi="仿宋" w:eastAsia="仿宋" w:cs="仿宋"/>
                <w:bCs/>
                <w:sz w:val="24"/>
                <w:szCs w:val="20"/>
                <w:highlight w:val="none"/>
              </w:rPr>
              <w:t>保障</w:t>
            </w:r>
            <w:r>
              <w:rPr>
                <w:rFonts w:hint="eastAsia" w:ascii="仿宋" w:hAnsi="仿宋" w:eastAsia="仿宋" w:cs="仿宋"/>
                <w:bCs/>
                <w:sz w:val="24"/>
                <w:szCs w:val="20"/>
                <w:highlight w:val="none"/>
                <w:lang w:val="en-US" w:eastAsia="zh-CN"/>
              </w:rPr>
              <w:t>措施有待提升</w:t>
            </w:r>
            <w:r>
              <w:rPr>
                <w:rFonts w:hint="eastAsia" w:ascii="仿宋" w:hAnsi="仿宋" w:eastAsia="仿宋" w:cs="仿宋"/>
                <w:bCs/>
                <w:sz w:val="24"/>
                <w:szCs w:val="20"/>
                <w:highlight w:val="none"/>
              </w:rPr>
              <w:t>，应急服务</w:t>
            </w:r>
            <w:r>
              <w:rPr>
                <w:rFonts w:hint="eastAsia" w:ascii="仿宋" w:hAnsi="仿宋" w:eastAsia="仿宋" w:cs="仿宋"/>
                <w:bCs/>
                <w:sz w:val="24"/>
                <w:szCs w:val="20"/>
                <w:highlight w:val="none"/>
                <w:lang w:val="en-US" w:eastAsia="zh-CN"/>
              </w:rPr>
              <w:t>响应及时</w:t>
            </w:r>
            <w:r>
              <w:rPr>
                <w:rFonts w:hint="eastAsia" w:ascii="仿宋" w:hAnsi="仿宋" w:eastAsia="仿宋" w:cs="仿宋"/>
                <w:bCs/>
                <w:sz w:val="24"/>
                <w:szCs w:val="20"/>
                <w:highlight w:val="none"/>
              </w:rPr>
              <w:t>性</w:t>
            </w:r>
            <w:r>
              <w:rPr>
                <w:rFonts w:hint="eastAsia" w:ascii="仿宋" w:hAnsi="仿宋" w:eastAsia="仿宋" w:cs="仿宋"/>
                <w:bCs/>
                <w:sz w:val="24"/>
                <w:szCs w:val="20"/>
                <w:highlight w:val="none"/>
                <w:lang w:val="en-US" w:eastAsia="zh-CN"/>
              </w:rPr>
              <w:t>有待提高</w:t>
            </w:r>
            <w:r>
              <w:rPr>
                <w:rFonts w:hint="eastAsia" w:ascii="仿宋" w:hAnsi="仿宋" w:eastAsia="仿宋" w:cs="仿宋"/>
                <w:bCs/>
                <w:sz w:val="24"/>
                <w:szCs w:val="20"/>
                <w:highlight w:val="none"/>
                <w:lang w:eastAsia="zh-CN"/>
              </w:rPr>
              <w:t>，</w:t>
            </w:r>
            <w:r>
              <w:rPr>
                <w:rFonts w:hint="eastAsia" w:ascii="仿宋" w:hAnsi="仿宋" w:eastAsia="仿宋" w:cs="仿宋"/>
                <w:bCs/>
                <w:sz w:val="24"/>
                <w:szCs w:val="20"/>
                <w:highlight w:val="none"/>
              </w:rPr>
              <w:t>方案实用性</w:t>
            </w:r>
            <w:r>
              <w:rPr>
                <w:rFonts w:hint="eastAsia" w:ascii="仿宋" w:hAnsi="仿宋" w:eastAsia="仿宋" w:cs="仿宋"/>
                <w:bCs/>
                <w:sz w:val="24"/>
                <w:szCs w:val="20"/>
                <w:highlight w:val="none"/>
                <w:lang w:val="en-US" w:eastAsia="zh-CN"/>
              </w:rPr>
              <w:t>有待改善</w:t>
            </w:r>
            <w:r>
              <w:rPr>
                <w:rFonts w:hint="eastAsia" w:ascii="仿宋" w:hAnsi="仿宋" w:eastAsia="仿宋" w:cs="仿宋"/>
                <w:bCs/>
                <w:sz w:val="24"/>
                <w:szCs w:val="20"/>
                <w:highlight w:val="none"/>
              </w:rPr>
              <w:t>，得</w:t>
            </w:r>
            <w:r>
              <w:rPr>
                <w:rFonts w:hint="eastAsia" w:ascii="仿宋" w:hAnsi="仿宋" w:eastAsia="仿宋" w:cs="仿宋"/>
                <w:bCs/>
                <w:sz w:val="24"/>
                <w:szCs w:val="20"/>
                <w:highlight w:val="none"/>
                <w:lang w:val="en-US" w:eastAsia="zh-CN"/>
              </w:rPr>
              <w:t>2</w:t>
            </w:r>
            <w:r>
              <w:rPr>
                <w:rFonts w:hint="eastAsia" w:ascii="仿宋" w:hAnsi="仿宋" w:eastAsia="仿宋" w:cs="仿宋"/>
                <w:bCs/>
                <w:sz w:val="24"/>
                <w:szCs w:val="20"/>
                <w:highlight w:val="none"/>
              </w:rPr>
              <w:t>分；</w:t>
            </w:r>
          </w:p>
          <w:p w14:paraId="65A31C82">
            <w:pPr>
              <w:keepNext w:val="0"/>
              <w:keepLines w:val="0"/>
              <w:suppressLineNumbers w:val="0"/>
              <w:snapToGrid w:val="0"/>
              <w:spacing w:before="0" w:beforeAutospacing="0" w:after="0" w:afterAutospacing="0" w:line="360" w:lineRule="auto"/>
              <w:ind w:left="0" w:right="0"/>
              <w:rPr>
                <w:rFonts w:hint="eastAsia" w:ascii="仿宋" w:hAnsi="仿宋" w:eastAsia="仿宋" w:cs="仿宋"/>
                <w:bCs/>
                <w:sz w:val="24"/>
                <w:szCs w:val="20"/>
                <w:highlight w:val="none"/>
              </w:rPr>
            </w:pPr>
            <w:r>
              <w:rPr>
                <w:rFonts w:hint="eastAsia" w:ascii="仿宋" w:hAnsi="仿宋" w:eastAsia="仿宋" w:cs="仿宋"/>
                <w:bCs/>
                <w:sz w:val="24"/>
                <w:szCs w:val="20"/>
                <w:highlight w:val="none"/>
              </w:rPr>
              <w:t>5）应急服务方案</w:t>
            </w:r>
            <w:r>
              <w:rPr>
                <w:rFonts w:hint="eastAsia" w:ascii="仿宋" w:hAnsi="仿宋" w:eastAsia="仿宋" w:cs="仿宋"/>
                <w:bCs/>
                <w:sz w:val="24"/>
                <w:szCs w:val="20"/>
                <w:highlight w:val="none"/>
                <w:lang w:val="en-US" w:eastAsia="zh-CN"/>
              </w:rPr>
              <w:t>不适合</w:t>
            </w:r>
            <w:r>
              <w:rPr>
                <w:rFonts w:hint="eastAsia" w:ascii="仿宋" w:hAnsi="仿宋" w:eastAsia="仿宋" w:cs="仿宋"/>
                <w:bCs/>
                <w:sz w:val="24"/>
                <w:szCs w:val="20"/>
                <w:highlight w:val="none"/>
              </w:rPr>
              <w:t>本项目采购需求，</w:t>
            </w:r>
            <w:r>
              <w:rPr>
                <w:rFonts w:hint="eastAsia" w:ascii="仿宋" w:hAnsi="仿宋" w:eastAsia="仿宋" w:cs="仿宋"/>
                <w:bCs/>
                <w:sz w:val="24"/>
                <w:szCs w:val="20"/>
                <w:highlight w:val="none"/>
                <w:lang w:val="en-US" w:eastAsia="zh-CN"/>
              </w:rPr>
              <w:t>不够</w:t>
            </w:r>
            <w:r>
              <w:rPr>
                <w:rFonts w:hint="eastAsia" w:ascii="仿宋" w:hAnsi="仿宋" w:eastAsia="仿宋" w:cs="仿宋"/>
                <w:bCs/>
                <w:sz w:val="24"/>
                <w:szCs w:val="20"/>
                <w:highlight w:val="none"/>
              </w:rPr>
              <w:t>完整</w:t>
            </w:r>
            <w:r>
              <w:rPr>
                <w:rFonts w:hint="eastAsia" w:ascii="仿宋" w:hAnsi="仿宋" w:eastAsia="仿宋" w:cs="仿宋"/>
                <w:bCs/>
                <w:sz w:val="24"/>
                <w:szCs w:val="20"/>
                <w:highlight w:val="none"/>
                <w:lang w:val="en-US" w:eastAsia="zh-CN"/>
              </w:rPr>
              <w:t>详细</w:t>
            </w:r>
            <w:r>
              <w:rPr>
                <w:rFonts w:hint="eastAsia" w:ascii="仿宋" w:hAnsi="仿宋" w:eastAsia="仿宋" w:cs="仿宋"/>
                <w:bCs/>
                <w:sz w:val="24"/>
                <w:szCs w:val="20"/>
                <w:highlight w:val="none"/>
              </w:rPr>
              <w:t>，备品备件供应</w:t>
            </w:r>
            <w:r>
              <w:rPr>
                <w:rFonts w:hint="eastAsia" w:ascii="仿宋" w:hAnsi="仿宋" w:eastAsia="仿宋" w:cs="仿宋"/>
                <w:bCs/>
                <w:sz w:val="24"/>
                <w:szCs w:val="20"/>
                <w:highlight w:val="none"/>
                <w:lang w:val="en-US" w:eastAsia="zh-CN"/>
              </w:rPr>
              <w:t>难以</w:t>
            </w:r>
            <w:r>
              <w:rPr>
                <w:rFonts w:hint="eastAsia" w:ascii="仿宋" w:hAnsi="仿宋" w:eastAsia="仿宋" w:cs="仿宋"/>
                <w:bCs/>
                <w:sz w:val="24"/>
                <w:szCs w:val="20"/>
                <w:highlight w:val="none"/>
              </w:rPr>
              <w:t>保障，</w:t>
            </w:r>
            <w:r>
              <w:rPr>
                <w:rFonts w:hint="eastAsia" w:ascii="仿宋" w:hAnsi="仿宋" w:eastAsia="仿宋" w:cs="仿宋"/>
                <w:bCs/>
                <w:sz w:val="24"/>
                <w:szCs w:val="20"/>
                <w:highlight w:val="none"/>
                <w:lang w:val="en-US" w:eastAsia="zh-CN"/>
              </w:rPr>
              <w:t>不具有实用性，</w:t>
            </w:r>
            <w:r>
              <w:rPr>
                <w:rFonts w:hint="eastAsia" w:ascii="仿宋" w:hAnsi="仿宋" w:eastAsia="仿宋" w:cs="仿宋"/>
                <w:bCs/>
                <w:sz w:val="24"/>
                <w:szCs w:val="20"/>
                <w:highlight w:val="none"/>
              </w:rPr>
              <w:t>得</w:t>
            </w:r>
            <w:r>
              <w:rPr>
                <w:rFonts w:hint="eastAsia" w:ascii="仿宋" w:hAnsi="仿宋" w:eastAsia="仿宋" w:cs="仿宋"/>
                <w:bCs/>
                <w:sz w:val="24"/>
                <w:szCs w:val="20"/>
                <w:highlight w:val="none"/>
                <w:lang w:val="en-US" w:eastAsia="zh-CN"/>
              </w:rPr>
              <w:t>1</w:t>
            </w:r>
            <w:r>
              <w:rPr>
                <w:rFonts w:hint="eastAsia" w:ascii="仿宋" w:hAnsi="仿宋" w:eastAsia="仿宋" w:cs="仿宋"/>
                <w:bCs/>
                <w:sz w:val="24"/>
                <w:szCs w:val="20"/>
                <w:highlight w:val="none"/>
              </w:rPr>
              <w:t>分；</w:t>
            </w:r>
          </w:p>
          <w:p w14:paraId="24B4D53F">
            <w:pPr>
              <w:keepNext w:val="0"/>
              <w:keepLines w:val="0"/>
              <w:widowControl/>
              <w:suppressLineNumbers w:val="0"/>
              <w:shd w:val="clear" w:color="auto" w:fill="auto"/>
              <w:adjustRightInd w:val="0"/>
              <w:snapToGrid w:val="0"/>
              <w:spacing w:before="0" w:beforeAutospacing="0" w:after="0" w:afterAutospacing="0" w:line="360" w:lineRule="auto"/>
              <w:ind w:left="0" w:right="0"/>
              <w:rPr>
                <w:rFonts w:hint="eastAsia" w:ascii="Calibri" w:hAnsi="Calibri" w:eastAsia="仿宋" w:cs="Times New Roman"/>
                <w:b/>
                <w:color w:val="auto"/>
                <w:sz w:val="24"/>
                <w:highlight w:val="none"/>
              </w:rPr>
            </w:pPr>
            <w:r>
              <w:rPr>
                <w:rFonts w:hint="eastAsia" w:ascii="仿宋" w:hAnsi="仿宋" w:eastAsia="仿宋" w:cs="仿宋"/>
                <w:bCs/>
                <w:sz w:val="24"/>
                <w:szCs w:val="20"/>
                <w:highlight w:val="none"/>
              </w:rPr>
              <w:t>6）未提供方案的不得分。</w:t>
            </w:r>
          </w:p>
        </w:tc>
      </w:tr>
      <w:tr w14:paraId="21BC8A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900" w:type="dxa"/>
            <w:vMerge w:val="continue"/>
            <w:noWrap w:val="0"/>
            <w:vAlign w:val="center"/>
          </w:tcPr>
          <w:p w14:paraId="010DBF2A">
            <w:pPr>
              <w:keepNext w:val="0"/>
              <w:keepLines w:val="0"/>
              <w:widowControl/>
              <w:suppressLineNumbers w:val="0"/>
              <w:snapToGrid w:val="0"/>
              <w:spacing w:before="0" w:beforeAutospacing="0" w:after="0" w:afterAutospacing="0" w:line="288" w:lineRule="auto"/>
              <w:ind w:left="0" w:right="0"/>
              <w:rPr>
                <w:rFonts w:hint="eastAsia" w:ascii="仿宋" w:hAnsi="仿宋" w:eastAsia="仿宋" w:cs="仿宋"/>
                <w:sz w:val="24"/>
                <w:highlight w:val="none"/>
              </w:rPr>
            </w:pPr>
          </w:p>
        </w:tc>
        <w:tc>
          <w:tcPr>
            <w:tcW w:w="914" w:type="dxa"/>
            <w:noWrap w:val="0"/>
            <w:vAlign w:val="center"/>
          </w:tcPr>
          <w:p w14:paraId="02D2C7EF">
            <w:pPr>
              <w:keepNext w:val="0"/>
              <w:keepLines w:val="0"/>
              <w:widowControl/>
              <w:suppressLineNumbers w:val="0"/>
              <w:snapToGrid w:val="0"/>
              <w:spacing w:before="0" w:beforeAutospacing="0" w:after="0" w:afterAutospacing="0" w:line="288" w:lineRule="auto"/>
              <w:ind w:left="0" w:right="0"/>
              <w:jc w:val="center"/>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6</w:t>
            </w:r>
          </w:p>
        </w:tc>
        <w:tc>
          <w:tcPr>
            <w:tcW w:w="1701" w:type="dxa"/>
            <w:noWrap w:val="0"/>
            <w:vAlign w:val="center"/>
          </w:tcPr>
          <w:p w14:paraId="675E9F57">
            <w:pPr>
              <w:keepNext w:val="0"/>
              <w:keepLines w:val="0"/>
              <w:suppressLineNumbers w:val="0"/>
              <w:snapToGrid/>
              <w:spacing w:before="0" w:beforeAutospacing="0" w:after="0" w:afterAutospacing="0" w:line="360" w:lineRule="auto"/>
              <w:ind w:left="0" w:right="0"/>
              <w:jc w:val="center"/>
              <w:rPr>
                <w:rFonts w:hint="eastAsia" w:ascii="仿宋" w:hAnsi="仿宋" w:eastAsia="仿宋" w:cs="仿宋"/>
                <w:color w:val="auto"/>
                <w:sz w:val="24"/>
                <w:highlight w:val="none"/>
              </w:rPr>
            </w:pPr>
            <w:r>
              <w:rPr>
                <w:rFonts w:hint="eastAsia" w:ascii="仿宋" w:hAnsi="仿宋" w:eastAsia="仿宋" w:cs="仿宋"/>
                <w:bCs/>
                <w:color w:val="auto"/>
                <w:sz w:val="24"/>
                <w:highlight w:val="none"/>
                <w:lang w:val="en-US" w:eastAsia="zh-CN"/>
              </w:rPr>
              <w:t>供货安装方案（5分）</w:t>
            </w:r>
          </w:p>
        </w:tc>
        <w:tc>
          <w:tcPr>
            <w:tcW w:w="6237" w:type="dxa"/>
            <w:gridSpan w:val="2"/>
            <w:noWrap w:val="0"/>
            <w:vAlign w:val="center"/>
          </w:tcPr>
          <w:p w14:paraId="0581DFBB">
            <w:pPr>
              <w:keepNext w:val="0"/>
              <w:keepLines w:val="0"/>
              <w:numPr>
                <w:ilvl w:val="0"/>
                <w:numId w:val="0"/>
              </w:numPr>
              <w:suppressLineNumbers w:val="0"/>
              <w:snapToGrid/>
              <w:spacing w:before="0" w:beforeAutospacing="0" w:after="0" w:afterAutospacing="0" w:line="360" w:lineRule="auto"/>
              <w:ind w:left="0" w:right="0"/>
              <w:rPr>
                <w:rFonts w:hint="eastAsia" w:ascii="仿宋" w:hAnsi="仿宋" w:eastAsia="仿宋" w:cs="仿宋"/>
                <w:bCs/>
                <w:color w:val="auto"/>
                <w:sz w:val="24"/>
                <w:highlight w:val="none"/>
                <w:lang w:eastAsia="zh-CN"/>
              </w:rPr>
            </w:pPr>
            <w:r>
              <w:rPr>
                <w:rFonts w:hint="eastAsia" w:ascii="仿宋" w:hAnsi="仿宋" w:eastAsia="仿宋" w:cs="仿宋"/>
                <w:bCs/>
                <w:color w:val="auto"/>
                <w:sz w:val="24"/>
                <w:highlight w:val="none"/>
              </w:rPr>
              <w:t>根据投标人提供的针对本项目的供货安装方案，方案</w:t>
            </w:r>
            <w:r>
              <w:rPr>
                <w:rFonts w:hint="eastAsia" w:ascii="仿宋" w:hAnsi="仿宋" w:eastAsia="仿宋" w:cs="仿宋"/>
                <w:bCs/>
                <w:color w:val="auto"/>
                <w:sz w:val="24"/>
                <w:highlight w:val="none"/>
                <w:lang w:val="en-US" w:eastAsia="zh-CN"/>
              </w:rPr>
              <w:t>内容从</w:t>
            </w:r>
            <w:r>
              <w:rPr>
                <w:rFonts w:hint="eastAsia" w:ascii="仿宋" w:hAnsi="仿宋" w:eastAsia="仿宋" w:cs="仿宋"/>
                <w:bCs/>
                <w:color w:val="auto"/>
                <w:sz w:val="24"/>
                <w:highlight w:val="none"/>
              </w:rPr>
              <w:t>货物配送运输</w:t>
            </w:r>
            <w:r>
              <w:rPr>
                <w:rFonts w:hint="eastAsia" w:ascii="仿宋" w:hAnsi="仿宋" w:eastAsia="仿宋" w:cs="仿宋"/>
                <w:bCs/>
                <w:color w:val="auto"/>
                <w:sz w:val="24"/>
                <w:highlight w:val="none"/>
                <w:lang w:eastAsia="zh-CN"/>
              </w:rPr>
              <w:t>、</w:t>
            </w:r>
            <w:r>
              <w:rPr>
                <w:rFonts w:hint="eastAsia" w:ascii="仿宋" w:hAnsi="仿宋" w:eastAsia="仿宋" w:cs="仿宋"/>
                <w:bCs/>
                <w:color w:val="auto"/>
                <w:sz w:val="24"/>
                <w:highlight w:val="none"/>
                <w:lang w:val="en-US" w:eastAsia="zh-CN"/>
              </w:rPr>
              <w:t>确保本项目</w:t>
            </w:r>
            <w:r>
              <w:rPr>
                <w:rFonts w:hint="eastAsia" w:ascii="仿宋" w:hAnsi="仿宋" w:eastAsia="仿宋" w:cs="仿宋"/>
                <w:bCs/>
                <w:color w:val="auto"/>
                <w:sz w:val="24"/>
                <w:highlight w:val="none"/>
              </w:rPr>
              <w:t>保质保量准时完成</w:t>
            </w:r>
            <w:r>
              <w:rPr>
                <w:rFonts w:hint="eastAsia" w:ascii="仿宋" w:hAnsi="仿宋" w:eastAsia="仿宋" w:cs="仿宋"/>
                <w:bCs/>
                <w:color w:val="auto"/>
                <w:sz w:val="24"/>
                <w:highlight w:val="none"/>
                <w:lang w:eastAsia="zh-CN"/>
              </w:rPr>
              <w:t>、</w:t>
            </w:r>
            <w:r>
              <w:rPr>
                <w:rFonts w:hint="eastAsia" w:ascii="仿宋" w:hAnsi="仿宋" w:eastAsia="仿宋" w:cs="仿宋"/>
                <w:bCs/>
                <w:color w:val="auto"/>
                <w:sz w:val="24"/>
                <w:highlight w:val="none"/>
              </w:rPr>
              <w:t>货物安装、调试</w:t>
            </w:r>
            <w:r>
              <w:rPr>
                <w:rFonts w:hint="eastAsia" w:ascii="仿宋" w:hAnsi="仿宋" w:eastAsia="仿宋" w:cs="仿宋"/>
                <w:bCs/>
                <w:color w:val="auto"/>
                <w:sz w:val="24"/>
                <w:highlight w:val="none"/>
                <w:lang w:val="en-US" w:eastAsia="zh-CN"/>
              </w:rPr>
              <w:t>等方面考虑，</w:t>
            </w:r>
            <w:r>
              <w:rPr>
                <w:rFonts w:hint="eastAsia" w:ascii="仿宋" w:hAnsi="仿宋" w:eastAsia="仿宋" w:cs="仿宋"/>
                <w:bCs/>
                <w:color w:val="auto"/>
                <w:sz w:val="24"/>
                <w:highlight w:val="none"/>
              </w:rPr>
              <w:t>由评标委员会进行综合评</w:t>
            </w:r>
            <w:r>
              <w:rPr>
                <w:rFonts w:hint="eastAsia" w:ascii="仿宋" w:hAnsi="仿宋" w:eastAsia="仿宋" w:cs="仿宋"/>
                <w:bCs/>
                <w:color w:val="auto"/>
                <w:sz w:val="24"/>
                <w:highlight w:val="none"/>
                <w:lang w:val="en-US" w:eastAsia="zh-CN"/>
              </w:rPr>
              <w:t>分</w:t>
            </w:r>
            <w:r>
              <w:rPr>
                <w:rFonts w:hint="eastAsia" w:ascii="仿宋" w:hAnsi="仿宋" w:eastAsia="仿宋" w:cs="仿宋"/>
                <w:bCs/>
                <w:color w:val="auto"/>
                <w:sz w:val="24"/>
                <w:highlight w:val="none"/>
                <w:lang w:eastAsia="zh-CN"/>
              </w:rPr>
              <w:t>：</w:t>
            </w:r>
          </w:p>
          <w:p w14:paraId="14638D91">
            <w:pPr>
              <w:keepNext w:val="0"/>
              <w:keepLines w:val="0"/>
              <w:numPr>
                <w:ilvl w:val="0"/>
                <w:numId w:val="6"/>
              </w:numPr>
              <w:suppressLineNumbers w:val="0"/>
              <w:snapToGrid/>
              <w:spacing w:before="0" w:beforeAutospacing="0" w:after="0" w:afterAutospacing="0" w:line="360" w:lineRule="auto"/>
              <w:ind w:left="0" w:right="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供货</w:t>
            </w:r>
            <w:r>
              <w:rPr>
                <w:rFonts w:hint="eastAsia" w:ascii="仿宋" w:hAnsi="仿宋" w:eastAsia="仿宋" w:cs="仿宋"/>
                <w:bCs/>
                <w:color w:val="auto"/>
                <w:sz w:val="24"/>
                <w:highlight w:val="none"/>
                <w:lang w:val="en-US" w:eastAsia="zh-CN"/>
              </w:rPr>
              <w:t>安装</w:t>
            </w:r>
            <w:r>
              <w:rPr>
                <w:rFonts w:hint="eastAsia" w:ascii="仿宋" w:hAnsi="仿宋" w:eastAsia="仿宋" w:cs="仿宋"/>
                <w:bCs/>
                <w:color w:val="auto"/>
                <w:sz w:val="24"/>
                <w:highlight w:val="none"/>
              </w:rPr>
              <w:t>方案优于本项目采购需求，完整详细，可行性、实用性、针对性强，得5分；</w:t>
            </w:r>
          </w:p>
          <w:p w14:paraId="0AF2946F">
            <w:pPr>
              <w:keepNext w:val="0"/>
              <w:keepLines w:val="0"/>
              <w:numPr>
                <w:ilvl w:val="0"/>
                <w:numId w:val="6"/>
              </w:numPr>
              <w:suppressLineNumbers w:val="0"/>
              <w:snapToGrid/>
              <w:spacing w:before="0" w:beforeAutospacing="0" w:after="0" w:afterAutospacing="0" w:line="360" w:lineRule="auto"/>
              <w:ind w:left="0" w:right="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供货</w:t>
            </w:r>
            <w:r>
              <w:rPr>
                <w:rFonts w:hint="eastAsia" w:ascii="仿宋" w:hAnsi="仿宋" w:eastAsia="仿宋" w:cs="仿宋"/>
                <w:bCs/>
                <w:color w:val="auto"/>
                <w:sz w:val="24"/>
                <w:highlight w:val="none"/>
                <w:lang w:val="en-US" w:eastAsia="zh-CN"/>
              </w:rPr>
              <w:t>安装</w:t>
            </w:r>
            <w:r>
              <w:rPr>
                <w:rFonts w:hint="eastAsia" w:ascii="仿宋" w:hAnsi="仿宋" w:eastAsia="仿宋" w:cs="仿宋"/>
                <w:bCs/>
                <w:color w:val="auto"/>
                <w:sz w:val="24"/>
                <w:highlight w:val="none"/>
              </w:rPr>
              <w:t>方案</w:t>
            </w:r>
            <w:r>
              <w:rPr>
                <w:rFonts w:hint="eastAsia" w:ascii="仿宋" w:hAnsi="仿宋" w:eastAsia="仿宋" w:cs="仿宋"/>
                <w:bCs/>
                <w:color w:val="auto"/>
                <w:sz w:val="24"/>
                <w:highlight w:val="none"/>
                <w:lang w:val="en-US" w:eastAsia="zh-CN"/>
              </w:rPr>
              <w:t>适合</w:t>
            </w:r>
            <w:r>
              <w:rPr>
                <w:rFonts w:hint="eastAsia" w:ascii="仿宋" w:hAnsi="仿宋" w:eastAsia="仿宋" w:cs="仿宋"/>
                <w:bCs/>
                <w:color w:val="auto"/>
                <w:sz w:val="24"/>
                <w:highlight w:val="none"/>
              </w:rPr>
              <w:t>本项目采购需求，</w:t>
            </w:r>
            <w:r>
              <w:rPr>
                <w:rFonts w:hint="eastAsia" w:ascii="仿宋" w:hAnsi="仿宋" w:eastAsia="仿宋" w:cs="仿宋"/>
                <w:bCs/>
                <w:color w:val="auto"/>
                <w:sz w:val="24"/>
                <w:highlight w:val="none"/>
                <w:lang w:val="en-US" w:eastAsia="zh-CN"/>
              </w:rPr>
              <w:t>较</w:t>
            </w:r>
            <w:r>
              <w:rPr>
                <w:rFonts w:hint="eastAsia" w:ascii="仿宋" w:hAnsi="仿宋" w:eastAsia="仿宋" w:cs="仿宋"/>
                <w:bCs/>
                <w:color w:val="auto"/>
                <w:sz w:val="24"/>
                <w:highlight w:val="none"/>
              </w:rPr>
              <w:t>完整详细，可行性、实用性、针对性</w:t>
            </w:r>
            <w:r>
              <w:rPr>
                <w:rFonts w:hint="eastAsia" w:ascii="仿宋" w:hAnsi="仿宋" w:eastAsia="仿宋" w:cs="仿宋"/>
                <w:bCs/>
                <w:color w:val="auto"/>
                <w:sz w:val="24"/>
                <w:highlight w:val="none"/>
                <w:lang w:val="en-US" w:eastAsia="zh-CN"/>
              </w:rPr>
              <w:t>较</w:t>
            </w:r>
            <w:r>
              <w:rPr>
                <w:rFonts w:hint="eastAsia" w:ascii="仿宋" w:hAnsi="仿宋" w:eastAsia="仿宋" w:cs="仿宋"/>
                <w:bCs/>
                <w:color w:val="auto"/>
                <w:sz w:val="24"/>
                <w:highlight w:val="none"/>
              </w:rPr>
              <w:t>强，得</w:t>
            </w:r>
            <w:r>
              <w:rPr>
                <w:rFonts w:hint="eastAsia" w:ascii="仿宋" w:hAnsi="仿宋" w:eastAsia="仿宋" w:cs="仿宋"/>
                <w:bCs/>
                <w:color w:val="auto"/>
                <w:sz w:val="24"/>
                <w:highlight w:val="none"/>
                <w:lang w:val="en-US" w:eastAsia="zh-CN"/>
              </w:rPr>
              <w:t>4</w:t>
            </w:r>
            <w:r>
              <w:rPr>
                <w:rFonts w:hint="eastAsia" w:ascii="仿宋" w:hAnsi="仿宋" w:eastAsia="仿宋" w:cs="仿宋"/>
                <w:bCs/>
                <w:color w:val="auto"/>
                <w:sz w:val="24"/>
                <w:highlight w:val="none"/>
              </w:rPr>
              <w:t>分；</w:t>
            </w:r>
          </w:p>
          <w:p w14:paraId="68581DDC">
            <w:pPr>
              <w:keepNext w:val="0"/>
              <w:keepLines w:val="0"/>
              <w:numPr>
                <w:ilvl w:val="0"/>
                <w:numId w:val="0"/>
              </w:numPr>
              <w:suppressLineNumbers w:val="0"/>
              <w:snapToGrid/>
              <w:spacing w:before="0" w:beforeAutospacing="0" w:after="0" w:afterAutospacing="0" w:line="360" w:lineRule="auto"/>
              <w:ind w:left="0" w:right="0"/>
              <w:rPr>
                <w:rFonts w:hint="eastAsia" w:ascii="仿宋" w:hAnsi="仿宋" w:eastAsia="仿宋" w:cs="仿宋"/>
                <w:bCs/>
                <w:color w:val="auto"/>
                <w:sz w:val="24"/>
                <w:highlight w:val="none"/>
              </w:rPr>
            </w:pPr>
            <w:r>
              <w:rPr>
                <w:rFonts w:hint="eastAsia" w:ascii="仿宋" w:hAnsi="仿宋" w:eastAsia="仿宋" w:cs="仿宋"/>
                <w:bCs/>
                <w:color w:val="auto"/>
                <w:sz w:val="24"/>
                <w:highlight w:val="none"/>
                <w:lang w:val="en-US" w:eastAsia="zh-CN"/>
              </w:rPr>
              <w:t>3）</w:t>
            </w:r>
            <w:r>
              <w:rPr>
                <w:rFonts w:hint="eastAsia" w:ascii="仿宋" w:hAnsi="仿宋" w:eastAsia="仿宋" w:cs="仿宋"/>
                <w:bCs/>
                <w:color w:val="auto"/>
                <w:sz w:val="24"/>
                <w:highlight w:val="none"/>
              </w:rPr>
              <w:t>供货</w:t>
            </w:r>
            <w:r>
              <w:rPr>
                <w:rFonts w:hint="eastAsia" w:ascii="仿宋" w:hAnsi="仿宋" w:eastAsia="仿宋" w:cs="仿宋"/>
                <w:bCs/>
                <w:color w:val="auto"/>
                <w:sz w:val="24"/>
                <w:highlight w:val="none"/>
                <w:lang w:val="en-US" w:eastAsia="zh-CN"/>
              </w:rPr>
              <w:t>安装</w:t>
            </w:r>
            <w:r>
              <w:rPr>
                <w:rFonts w:hint="eastAsia" w:ascii="仿宋" w:hAnsi="仿宋" w:eastAsia="仿宋" w:cs="仿宋"/>
                <w:bCs/>
                <w:color w:val="auto"/>
                <w:sz w:val="24"/>
                <w:highlight w:val="none"/>
              </w:rPr>
              <w:t>方案</w:t>
            </w:r>
            <w:r>
              <w:rPr>
                <w:rFonts w:hint="eastAsia" w:ascii="仿宋" w:hAnsi="仿宋" w:eastAsia="仿宋" w:cs="仿宋"/>
                <w:bCs/>
                <w:color w:val="auto"/>
                <w:sz w:val="24"/>
                <w:highlight w:val="none"/>
                <w:lang w:val="en-US" w:eastAsia="zh-CN"/>
              </w:rPr>
              <w:t>基本满足</w:t>
            </w:r>
            <w:r>
              <w:rPr>
                <w:rFonts w:hint="eastAsia" w:ascii="仿宋" w:hAnsi="仿宋" w:eastAsia="仿宋" w:cs="仿宋"/>
                <w:bCs/>
                <w:color w:val="auto"/>
                <w:sz w:val="24"/>
                <w:highlight w:val="none"/>
              </w:rPr>
              <w:t>本项目采购需求，基本全面，具有可行性</w:t>
            </w:r>
            <w:r>
              <w:rPr>
                <w:rFonts w:hint="eastAsia" w:ascii="仿宋" w:hAnsi="仿宋" w:eastAsia="仿宋" w:cs="仿宋"/>
                <w:bCs/>
                <w:color w:val="auto"/>
                <w:sz w:val="24"/>
                <w:highlight w:val="none"/>
                <w:lang w:eastAsia="zh-CN"/>
              </w:rPr>
              <w:t>、</w:t>
            </w:r>
            <w:r>
              <w:rPr>
                <w:rFonts w:hint="eastAsia" w:ascii="仿宋" w:hAnsi="仿宋" w:eastAsia="仿宋" w:cs="仿宋"/>
                <w:bCs/>
                <w:color w:val="auto"/>
                <w:sz w:val="24"/>
                <w:highlight w:val="none"/>
              </w:rPr>
              <w:t>实用性和针对性，得3分；</w:t>
            </w:r>
          </w:p>
          <w:p w14:paraId="45720597">
            <w:pPr>
              <w:keepNext w:val="0"/>
              <w:keepLines w:val="0"/>
              <w:numPr>
                <w:ilvl w:val="0"/>
                <w:numId w:val="0"/>
              </w:numPr>
              <w:suppressLineNumbers w:val="0"/>
              <w:snapToGrid/>
              <w:spacing w:before="0" w:beforeAutospacing="0" w:after="0" w:afterAutospacing="0" w:line="360" w:lineRule="auto"/>
              <w:ind w:left="0" w:right="0"/>
              <w:rPr>
                <w:rFonts w:hint="eastAsia" w:ascii="仿宋" w:hAnsi="仿宋" w:eastAsia="仿宋" w:cs="仿宋"/>
                <w:bCs/>
                <w:color w:val="auto"/>
                <w:sz w:val="24"/>
                <w:highlight w:val="none"/>
              </w:rPr>
            </w:pPr>
            <w:r>
              <w:rPr>
                <w:rFonts w:hint="eastAsia" w:ascii="仿宋" w:hAnsi="仿宋" w:eastAsia="仿宋" w:cs="仿宋"/>
                <w:bCs/>
                <w:color w:val="auto"/>
                <w:sz w:val="24"/>
                <w:highlight w:val="none"/>
                <w:lang w:val="en-US" w:eastAsia="zh-CN"/>
              </w:rPr>
              <w:t>4）</w:t>
            </w:r>
            <w:r>
              <w:rPr>
                <w:rFonts w:hint="eastAsia" w:ascii="仿宋" w:hAnsi="仿宋" w:eastAsia="仿宋" w:cs="仿宋"/>
                <w:bCs/>
                <w:color w:val="auto"/>
                <w:sz w:val="24"/>
                <w:highlight w:val="none"/>
              </w:rPr>
              <w:t>供货</w:t>
            </w:r>
            <w:r>
              <w:rPr>
                <w:rFonts w:hint="eastAsia" w:ascii="仿宋" w:hAnsi="仿宋" w:eastAsia="仿宋" w:cs="仿宋"/>
                <w:bCs/>
                <w:color w:val="auto"/>
                <w:sz w:val="24"/>
                <w:highlight w:val="none"/>
                <w:lang w:val="en-US" w:eastAsia="zh-CN"/>
              </w:rPr>
              <w:t>安装</w:t>
            </w:r>
            <w:r>
              <w:rPr>
                <w:rFonts w:hint="eastAsia" w:ascii="仿宋" w:hAnsi="仿宋" w:eastAsia="仿宋" w:cs="仿宋"/>
                <w:bCs/>
                <w:color w:val="auto"/>
                <w:sz w:val="24"/>
                <w:highlight w:val="none"/>
              </w:rPr>
              <w:t>方案及计划安排有待提升，可行性、实用性</w:t>
            </w:r>
            <w:r>
              <w:rPr>
                <w:rFonts w:hint="eastAsia" w:ascii="仿宋" w:hAnsi="仿宋" w:eastAsia="仿宋" w:cs="仿宋"/>
                <w:bCs/>
                <w:color w:val="auto"/>
                <w:sz w:val="24"/>
                <w:highlight w:val="none"/>
                <w:lang w:val="en-US" w:eastAsia="zh-CN"/>
              </w:rPr>
              <w:t>和</w:t>
            </w:r>
            <w:r>
              <w:rPr>
                <w:rFonts w:hint="eastAsia" w:ascii="仿宋" w:hAnsi="仿宋" w:eastAsia="仿宋" w:cs="仿宋"/>
                <w:bCs/>
                <w:color w:val="auto"/>
                <w:sz w:val="24"/>
                <w:highlight w:val="none"/>
              </w:rPr>
              <w:t>针对性有待改善，得</w:t>
            </w:r>
            <w:r>
              <w:rPr>
                <w:rFonts w:hint="eastAsia" w:ascii="仿宋" w:hAnsi="仿宋" w:eastAsia="仿宋" w:cs="仿宋"/>
                <w:bCs/>
                <w:color w:val="auto"/>
                <w:sz w:val="24"/>
                <w:highlight w:val="none"/>
                <w:lang w:val="en-US" w:eastAsia="zh-CN"/>
              </w:rPr>
              <w:t>2</w:t>
            </w:r>
            <w:r>
              <w:rPr>
                <w:rFonts w:hint="eastAsia" w:ascii="仿宋" w:hAnsi="仿宋" w:eastAsia="仿宋" w:cs="仿宋"/>
                <w:bCs/>
                <w:color w:val="auto"/>
                <w:sz w:val="24"/>
                <w:highlight w:val="none"/>
              </w:rPr>
              <w:t>分；</w:t>
            </w:r>
          </w:p>
          <w:p w14:paraId="5340F029">
            <w:pPr>
              <w:keepNext w:val="0"/>
              <w:keepLines w:val="0"/>
              <w:numPr>
                <w:ilvl w:val="0"/>
                <w:numId w:val="0"/>
              </w:numPr>
              <w:suppressLineNumbers w:val="0"/>
              <w:snapToGrid/>
              <w:spacing w:before="0" w:beforeAutospacing="0" w:after="0" w:afterAutospacing="0" w:line="360" w:lineRule="auto"/>
              <w:ind w:left="0" w:right="0"/>
              <w:rPr>
                <w:rFonts w:hint="eastAsia" w:ascii="仿宋" w:hAnsi="仿宋" w:eastAsia="仿宋" w:cs="仿宋"/>
                <w:bCs/>
                <w:color w:val="auto"/>
                <w:sz w:val="24"/>
                <w:highlight w:val="none"/>
              </w:rPr>
            </w:pPr>
            <w:r>
              <w:rPr>
                <w:rFonts w:hint="eastAsia" w:ascii="仿宋" w:hAnsi="仿宋" w:eastAsia="仿宋" w:cs="仿宋"/>
                <w:bCs/>
                <w:color w:val="auto"/>
                <w:sz w:val="24"/>
                <w:highlight w:val="none"/>
                <w:lang w:val="en-US" w:eastAsia="zh-CN"/>
              </w:rPr>
              <w:t>5）</w:t>
            </w:r>
            <w:r>
              <w:rPr>
                <w:rFonts w:hint="eastAsia" w:ascii="仿宋" w:hAnsi="仿宋" w:eastAsia="仿宋" w:cs="仿宋"/>
                <w:bCs/>
                <w:color w:val="auto"/>
                <w:sz w:val="24"/>
                <w:highlight w:val="none"/>
              </w:rPr>
              <w:t>供货</w:t>
            </w:r>
            <w:r>
              <w:rPr>
                <w:rFonts w:hint="eastAsia" w:ascii="仿宋" w:hAnsi="仿宋" w:eastAsia="仿宋" w:cs="仿宋"/>
                <w:bCs/>
                <w:color w:val="auto"/>
                <w:sz w:val="24"/>
                <w:highlight w:val="none"/>
                <w:lang w:val="en-US" w:eastAsia="zh-CN"/>
              </w:rPr>
              <w:t>安装</w:t>
            </w:r>
            <w:r>
              <w:rPr>
                <w:rFonts w:hint="eastAsia" w:ascii="仿宋" w:hAnsi="仿宋" w:eastAsia="仿宋" w:cs="仿宋"/>
                <w:bCs/>
                <w:color w:val="auto"/>
                <w:sz w:val="24"/>
                <w:highlight w:val="none"/>
              </w:rPr>
              <w:t>方案</w:t>
            </w:r>
            <w:r>
              <w:rPr>
                <w:rFonts w:hint="eastAsia" w:ascii="仿宋" w:hAnsi="仿宋" w:eastAsia="仿宋" w:cs="仿宋"/>
                <w:bCs/>
                <w:color w:val="auto"/>
                <w:sz w:val="24"/>
                <w:highlight w:val="none"/>
                <w:lang w:val="en-US" w:eastAsia="zh-CN"/>
              </w:rPr>
              <w:t>无法满足项目需求</w:t>
            </w:r>
            <w:r>
              <w:rPr>
                <w:rFonts w:hint="eastAsia" w:ascii="仿宋" w:hAnsi="仿宋" w:eastAsia="仿宋" w:cs="仿宋"/>
                <w:bCs/>
                <w:color w:val="auto"/>
                <w:sz w:val="24"/>
                <w:highlight w:val="none"/>
                <w:lang w:eastAsia="zh-CN"/>
              </w:rPr>
              <w:t>，</w:t>
            </w:r>
            <w:r>
              <w:rPr>
                <w:rFonts w:hint="eastAsia" w:ascii="仿宋" w:hAnsi="仿宋" w:eastAsia="仿宋" w:cs="仿宋"/>
                <w:bCs/>
                <w:color w:val="auto"/>
                <w:sz w:val="24"/>
                <w:highlight w:val="none"/>
                <w:lang w:val="en-US" w:eastAsia="zh-CN"/>
              </w:rPr>
              <w:t>不具有</w:t>
            </w:r>
            <w:r>
              <w:rPr>
                <w:rFonts w:hint="eastAsia" w:ascii="仿宋" w:hAnsi="仿宋" w:eastAsia="仿宋" w:cs="仿宋"/>
                <w:bCs/>
                <w:color w:val="auto"/>
                <w:sz w:val="24"/>
                <w:highlight w:val="none"/>
              </w:rPr>
              <w:t>实用性</w:t>
            </w:r>
            <w:r>
              <w:rPr>
                <w:rFonts w:hint="eastAsia" w:ascii="仿宋" w:hAnsi="仿宋" w:eastAsia="仿宋" w:cs="仿宋"/>
                <w:bCs/>
                <w:color w:val="auto"/>
                <w:sz w:val="24"/>
                <w:highlight w:val="none"/>
                <w:lang w:eastAsia="zh-CN"/>
              </w:rPr>
              <w:t>、</w:t>
            </w:r>
            <w:r>
              <w:rPr>
                <w:rFonts w:hint="eastAsia" w:ascii="仿宋" w:hAnsi="仿宋" w:eastAsia="仿宋" w:cs="仿宋"/>
                <w:bCs/>
                <w:color w:val="auto"/>
                <w:sz w:val="24"/>
                <w:highlight w:val="none"/>
              </w:rPr>
              <w:t>针对性，得1分；</w:t>
            </w:r>
          </w:p>
          <w:p w14:paraId="3E6E0FAB">
            <w:pPr>
              <w:keepNext w:val="0"/>
              <w:keepLines w:val="0"/>
              <w:numPr>
                <w:ilvl w:val="0"/>
                <w:numId w:val="0"/>
              </w:numPr>
              <w:suppressLineNumbers w:val="0"/>
              <w:snapToGrid/>
              <w:spacing w:before="0" w:beforeAutospacing="0" w:after="0" w:afterAutospacing="0" w:line="360" w:lineRule="auto"/>
              <w:ind w:left="0" w:leftChars="0" w:right="0" w:firstLine="0" w:firstLineChars="0"/>
              <w:rPr>
                <w:rFonts w:hint="eastAsia" w:ascii="Calibri" w:hAnsi="Calibri" w:eastAsia="仿宋" w:cs="Times New Roman"/>
                <w:b/>
                <w:color w:val="auto"/>
                <w:sz w:val="24"/>
                <w:highlight w:val="none"/>
              </w:rPr>
            </w:pPr>
            <w:r>
              <w:rPr>
                <w:rFonts w:hint="eastAsia" w:ascii="仿宋" w:hAnsi="仿宋" w:eastAsia="仿宋" w:cs="仿宋"/>
                <w:bCs/>
                <w:color w:val="auto"/>
                <w:sz w:val="24"/>
                <w:highlight w:val="none"/>
                <w:lang w:val="en-US" w:eastAsia="zh-CN"/>
              </w:rPr>
              <w:t>6</w:t>
            </w:r>
            <w:r>
              <w:rPr>
                <w:rFonts w:hint="eastAsia" w:ascii="仿宋" w:hAnsi="仿宋" w:eastAsia="仿宋" w:cs="仿宋"/>
                <w:bCs/>
                <w:color w:val="auto"/>
                <w:sz w:val="24"/>
                <w:highlight w:val="none"/>
                <w:lang w:eastAsia="zh-CN"/>
              </w:rPr>
              <w:t>）</w:t>
            </w:r>
            <w:r>
              <w:rPr>
                <w:rFonts w:hint="eastAsia" w:ascii="仿宋" w:hAnsi="仿宋" w:eastAsia="仿宋" w:cs="仿宋"/>
                <w:bCs/>
                <w:color w:val="auto"/>
                <w:sz w:val="24"/>
                <w:highlight w:val="none"/>
                <w:lang w:val="en-US" w:eastAsia="zh-CN"/>
              </w:rPr>
              <w:t>未提供方案的不得分。</w:t>
            </w:r>
          </w:p>
        </w:tc>
      </w:tr>
      <w:tr w14:paraId="0FCC6A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900" w:type="dxa"/>
            <w:vMerge w:val="continue"/>
            <w:noWrap w:val="0"/>
            <w:vAlign w:val="center"/>
          </w:tcPr>
          <w:p w14:paraId="7B2BBBCF">
            <w:pPr>
              <w:keepNext w:val="0"/>
              <w:keepLines w:val="0"/>
              <w:widowControl/>
              <w:suppressLineNumbers w:val="0"/>
              <w:snapToGrid w:val="0"/>
              <w:spacing w:before="0" w:beforeAutospacing="0" w:after="0" w:afterAutospacing="0" w:line="288" w:lineRule="auto"/>
              <w:ind w:left="0" w:right="0"/>
              <w:rPr>
                <w:rFonts w:hint="eastAsia" w:ascii="仿宋" w:hAnsi="仿宋" w:eastAsia="仿宋" w:cs="仿宋"/>
                <w:sz w:val="24"/>
                <w:highlight w:val="none"/>
              </w:rPr>
            </w:pPr>
          </w:p>
        </w:tc>
        <w:tc>
          <w:tcPr>
            <w:tcW w:w="914" w:type="dxa"/>
            <w:noWrap w:val="0"/>
            <w:vAlign w:val="center"/>
          </w:tcPr>
          <w:p w14:paraId="176916F2">
            <w:pPr>
              <w:keepNext w:val="0"/>
              <w:keepLines w:val="0"/>
              <w:widowControl/>
              <w:suppressLineNumbers w:val="0"/>
              <w:snapToGrid w:val="0"/>
              <w:spacing w:before="0" w:beforeAutospacing="0" w:after="0" w:afterAutospacing="0" w:line="288" w:lineRule="auto"/>
              <w:ind w:left="0" w:right="0"/>
              <w:jc w:val="center"/>
              <w:rPr>
                <w:rFonts w:hint="eastAsia" w:ascii="仿宋" w:hAnsi="仿宋" w:eastAsia="仿宋" w:cs="仿宋"/>
                <w:sz w:val="24"/>
                <w:highlight w:val="none"/>
                <w:lang w:eastAsia="zh-CN"/>
              </w:rPr>
            </w:pPr>
            <w:r>
              <w:rPr>
                <w:rFonts w:hint="eastAsia" w:ascii="仿宋" w:hAnsi="仿宋" w:eastAsia="仿宋" w:cs="仿宋"/>
                <w:sz w:val="24"/>
                <w:highlight w:val="none"/>
                <w:lang w:val="en-US" w:eastAsia="zh-CN"/>
              </w:rPr>
              <w:t>7</w:t>
            </w:r>
          </w:p>
        </w:tc>
        <w:tc>
          <w:tcPr>
            <w:tcW w:w="1701" w:type="dxa"/>
            <w:noWrap w:val="0"/>
            <w:vAlign w:val="center"/>
          </w:tcPr>
          <w:p w14:paraId="502F26EB">
            <w:pPr>
              <w:keepNext w:val="0"/>
              <w:keepLines w:val="0"/>
              <w:widowControl/>
              <w:suppressLineNumbers w:val="0"/>
              <w:adjustRightInd w:val="0"/>
              <w:snapToGrid w:val="0"/>
              <w:spacing w:before="0" w:beforeAutospacing="0" w:after="0" w:afterAutospacing="0" w:line="360" w:lineRule="auto"/>
              <w:ind w:left="0" w:right="0"/>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rPr>
              <w:t>售后服务</w:t>
            </w:r>
            <w:r>
              <w:rPr>
                <w:rFonts w:hint="eastAsia" w:ascii="仿宋" w:hAnsi="仿宋" w:eastAsia="仿宋" w:cs="仿宋"/>
                <w:color w:val="auto"/>
                <w:sz w:val="24"/>
                <w:highlight w:val="none"/>
                <w:lang w:val="en-US" w:eastAsia="zh-CN"/>
              </w:rPr>
              <w:t>方案</w:t>
            </w:r>
          </w:p>
          <w:p w14:paraId="6755ADE1">
            <w:pPr>
              <w:keepNext w:val="0"/>
              <w:keepLines w:val="0"/>
              <w:suppressLineNumbers w:val="0"/>
              <w:snapToGrid w:val="0"/>
              <w:spacing w:before="0" w:beforeAutospacing="0" w:after="0" w:afterAutospacing="0" w:line="360" w:lineRule="auto"/>
              <w:ind w:left="0" w:right="0"/>
              <w:jc w:val="center"/>
              <w:rPr>
                <w:rFonts w:hint="default" w:ascii="楷体" w:hAnsi="楷体" w:eastAsia="楷体" w:cs="Times New Roman"/>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eastAsia="zh-CN"/>
              </w:rPr>
              <w:t>5</w:t>
            </w:r>
            <w:r>
              <w:rPr>
                <w:rFonts w:hint="eastAsia" w:ascii="仿宋" w:hAnsi="仿宋" w:eastAsia="仿宋" w:cs="仿宋"/>
                <w:color w:val="auto"/>
                <w:sz w:val="24"/>
                <w:highlight w:val="none"/>
              </w:rPr>
              <w:t>分）</w:t>
            </w:r>
          </w:p>
        </w:tc>
        <w:tc>
          <w:tcPr>
            <w:tcW w:w="6237" w:type="dxa"/>
            <w:gridSpan w:val="2"/>
            <w:noWrap w:val="0"/>
            <w:vAlign w:val="center"/>
          </w:tcPr>
          <w:p w14:paraId="22FC778B">
            <w:pPr>
              <w:keepNext w:val="0"/>
              <w:keepLines w:val="0"/>
              <w:suppressLineNumbers w:val="0"/>
              <w:snapToGrid w:val="0"/>
              <w:spacing w:before="0" w:beforeAutospacing="0" w:after="0" w:afterAutospacing="0" w:line="360" w:lineRule="auto"/>
              <w:ind w:left="0" w:right="0"/>
              <w:rPr>
                <w:rFonts w:hint="eastAsia" w:ascii="仿宋" w:hAnsi="仿宋" w:eastAsia="仿宋" w:cs="仿宋"/>
                <w:bCs/>
                <w:color w:val="auto"/>
                <w:sz w:val="24"/>
                <w:szCs w:val="20"/>
                <w:highlight w:val="none"/>
              </w:rPr>
            </w:pPr>
            <w:r>
              <w:rPr>
                <w:rFonts w:hint="eastAsia" w:ascii="仿宋" w:hAnsi="仿宋" w:eastAsia="仿宋" w:cs="仿宋"/>
                <w:bCs/>
                <w:color w:val="auto"/>
                <w:sz w:val="24"/>
                <w:szCs w:val="20"/>
                <w:highlight w:val="none"/>
              </w:rPr>
              <w:t>根据投标人提供的售后服务方案进行综合评审：</w:t>
            </w:r>
          </w:p>
          <w:p w14:paraId="6819565E">
            <w:pPr>
              <w:keepNext w:val="0"/>
              <w:keepLines w:val="0"/>
              <w:suppressLineNumbers w:val="0"/>
              <w:snapToGrid w:val="0"/>
              <w:spacing w:before="0" w:beforeAutospacing="0" w:after="0" w:afterAutospacing="0" w:line="360" w:lineRule="auto"/>
              <w:ind w:left="0" w:right="0"/>
              <w:rPr>
                <w:rFonts w:hint="eastAsia" w:ascii="仿宋" w:hAnsi="仿宋" w:eastAsia="仿宋" w:cs="仿宋"/>
                <w:bCs/>
                <w:color w:val="auto"/>
                <w:sz w:val="24"/>
                <w:szCs w:val="20"/>
                <w:highlight w:val="none"/>
              </w:rPr>
            </w:pPr>
            <w:r>
              <w:rPr>
                <w:rFonts w:hint="eastAsia" w:ascii="仿宋" w:hAnsi="仿宋" w:eastAsia="仿宋" w:cs="仿宋"/>
                <w:bCs/>
                <w:color w:val="auto"/>
                <w:sz w:val="24"/>
                <w:szCs w:val="20"/>
                <w:highlight w:val="none"/>
              </w:rPr>
              <w:t>1）对本项目的特点和难点理解准确，售后服务方案优于本项目采购需求，完整详细，可行性、实用性和针对性强，得5分；</w:t>
            </w:r>
          </w:p>
          <w:p w14:paraId="07C1870A">
            <w:pPr>
              <w:keepNext w:val="0"/>
              <w:keepLines w:val="0"/>
              <w:suppressLineNumbers w:val="0"/>
              <w:snapToGrid w:val="0"/>
              <w:spacing w:before="0" w:beforeAutospacing="0" w:after="0" w:afterAutospacing="0" w:line="360" w:lineRule="auto"/>
              <w:ind w:left="0" w:right="0"/>
              <w:rPr>
                <w:rFonts w:hint="eastAsia" w:ascii="仿宋" w:hAnsi="仿宋" w:eastAsia="仿宋" w:cs="仿宋"/>
                <w:bCs/>
                <w:color w:val="auto"/>
                <w:sz w:val="24"/>
                <w:szCs w:val="20"/>
                <w:highlight w:val="none"/>
              </w:rPr>
            </w:pPr>
            <w:r>
              <w:rPr>
                <w:rFonts w:hint="eastAsia" w:ascii="仿宋" w:hAnsi="仿宋" w:eastAsia="仿宋" w:cs="仿宋"/>
                <w:bCs/>
                <w:color w:val="auto"/>
                <w:sz w:val="24"/>
                <w:szCs w:val="20"/>
                <w:highlight w:val="none"/>
              </w:rPr>
              <w:t>2）对本项目的特点和难点理解较准确，售后服务方案适合本项目采购需求，完整详细，可行性、实用性和针对性较强，得4分；</w:t>
            </w:r>
          </w:p>
          <w:p w14:paraId="6750EE84">
            <w:pPr>
              <w:keepNext w:val="0"/>
              <w:keepLines w:val="0"/>
              <w:suppressLineNumbers w:val="0"/>
              <w:snapToGrid w:val="0"/>
              <w:spacing w:before="0" w:beforeAutospacing="0" w:after="0" w:afterAutospacing="0" w:line="360" w:lineRule="auto"/>
              <w:ind w:left="0" w:right="0"/>
              <w:rPr>
                <w:rFonts w:hint="eastAsia" w:ascii="仿宋" w:hAnsi="仿宋" w:eastAsia="仿宋" w:cs="仿宋"/>
                <w:bCs/>
                <w:color w:val="auto"/>
                <w:sz w:val="24"/>
                <w:szCs w:val="20"/>
                <w:highlight w:val="none"/>
              </w:rPr>
            </w:pPr>
            <w:r>
              <w:rPr>
                <w:rFonts w:hint="eastAsia" w:ascii="仿宋" w:hAnsi="仿宋" w:eastAsia="仿宋" w:cs="仿宋"/>
                <w:bCs/>
                <w:color w:val="auto"/>
                <w:sz w:val="24"/>
                <w:szCs w:val="20"/>
                <w:highlight w:val="none"/>
              </w:rPr>
              <w:t>3）对本项目的特点和难点理解基本准确，售后服务方案基本适合本项目采购需求，较完整详细，具有可行性、实用性和针对性，得3分；</w:t>
            </w:r>
          </w:p>
          <w:p w14:paraId="72E60C6A">
            <w:pPr>
              <w:keepNext w:val="0"/>
              <w:keepLines w:val="0"/>
              <w:suppressLineNumbers w:val="0"/>
              <w:snapToGrid w:val="0"/>
              <w:spacing w:before="0" w:beforeAutospacing="0" w:after="0" w:afterAutospacing="0" w:line="360" w:lineRule="auto"/>
              <w:ind w:left="0" w:right="0"/>
              <w:rPr>
                <w:rFonts w:hint="eastAsia" w:ascii="仿宋" w:hAnsi="仿宋" w:eastAsia="仿宋" w:cs="仿宋"/>
                <w:bCs/>
                <w:color w:val="auto"/>
                <w:sz w:val="24"/>
                <w:szCs w:val="20"/>
                <w:highlight w:val="none"/>
              </w:rPr>
            </w:pPr>
            <w:r>
              <w:rPr>
                <w:rFonts w:hint="eastAsia" w:ascii="仿宋" w:hAnsi="仿宋" w:eastAsia="仿宋" w:cs="仿宋"/>
                <w:bCs/>
                <w:color w:val="auto"/>
                <w:sz w:val="24"/>
                <w:szCs w:val="20"/>
                <w:highlight w:val="none"/>
              </w:rPr>
              <w:t>4）对本项目的特点和难点理解有待提升，，售后服务方案可行性、实用性和针对性有待改善，得2分；</w:t>
            </w:r>
          </w:p>
          <w:p w14:paraId="04C8E956">
            <w:pPr>
              <w:keepNext w:val="0"/>
              <w:keepLines w:val="0"/>
              <w:suppressLineNumbers w:val="0"/>
              <w:snapToGrid w:val="0"/>
              <w:spacing w:before="0" w:beforeAutospacing="0" w:after="0" w:afterAutospacing="0" w:line="360" w:lineRule="auto"/>
              <w:ind w:left="0" w:right="0"/>
              <w:rPr>
                <w:rFonts w:hint="eastAsia" w:ascii="仿宋" w:hAnsi="仿宋" w:eastAsia="仿宋" w:cs="仿宋"/>
                <w:bCs/>
                <w:color w:val="auto"/>
                <w:sz w:val="24"/>
                <w:szCs w:val="20"/>
                <w:highlight w:val="none"/>
              </w:rPr>
            </w:pPr>
            <w:r>
              <w:rPr>
                <w:rFonts w:hint="eastAsia" w:ascii="仿宋" w:hAnsi="仿宋" w:eastAsia="仿宋" w:cs="仿宋"/>
                <w:bCs/>
                <w:color w:val="auto"/>
                <w:sz w:val="24"/>
                <w:szCs w:val="20"/>
                <w:highlight w:val="none"/>
              </w:rPr>
              <w:t>5）对本项目的特点和难点理解不准确，技术培训方案不适合本项目采购需求，不够完整详细，不具有可行性，得1分；</w:t>
            </w:r>
          </w:p>
          <w:p w14:paraId="5E2D1CF5">
            <w:pPr>
              <w:keepNext w:val="0"/>
              <w:keepLines w:val="0"/>
              <w:suppressLineNumbers w:val="0"/>
              <w:snapToGrid w:val="0"/>
              <w:spacing w:before="0" w:beforeAutospacing="0" w:after="0" w:afterAutospacing="0" w:line="360" w:lineRule="auto"/>
              <w:ind w:left="0" w:right="0"/>
              <w:rPr>
                <w:rFonts w:hint="eastAsia" w:ascii="仿宋" w:hAnsi="仿宋" w:eastAsia="仿宋" w:cs="仿宋"/>
                <w:b/>
                <w:color w:val="auto"/>
                <w:sz w:val="24"/>
                <w:szCs w:val="18"/>
                <w:highlight w:val="none"/>
              </w:rPr>
            </w:pPr>
            <w:r>
              <w:rPr>
                <w:rFonts w:hint="eastAsia" w:ascii="仿宋" w:hAnsi="仿宋" w:eastAsia="仿宋" w:cs="仿宋"/>
                <w:bCs/>
                <w:color w:val="auto"/>
                <w:sz w:val="24"/>
                <w:szCs w:val="20"/>
                <w:highlight w:val="none"/>
              </w:rPr>
              <w:t>6）未提供方案的不得分。</w:t>
            </w:r>
          </w:p>
        </w:tc>
      </w:tr>
      <w:tr w14:paraId="093CBA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55" w:hRule="atLeast"/>
        </w:trPr>
        <w:tc>
          <w:tcPr>
            <w:tcW w:w="900" w:type="dxa"/>
            <w:vMerge w:val="restart"/>
            <w:noWrap w:val="0"/>
            <w:vAlign w:val="center"/>
          </w:tcPr>
          <w:p w14:paraId="55FED779">
            <w:pPr>
              <w:keepNext w:val="0"/>
              <w:keepLines w:val="0"/>
              <w:widowControl/>
              <w:suppressLineNumbers w:val="0"/>
              <w:snapToGrid w:val="0"/>
              <w:spacing w:before="0" w:beforeAutospacing="0" w:after="0" w:afterAutospacing="0" w:line="288" w:lineRule="auto"/>
              <w:ind w:left="0" w:right="0"/>
              <w:jc w:val="center"/>
              <w:rPr>
                <w:rFonts w:hint="eastAsia" w:ascii="宋体" w:hAnsi="宋体" w:cs="Times New Roman"/>
                <w:color w:val="0000FF"/>
                <w:kern w:val="0"/>
                <w:sz w:val="24"/>
                <w:highlight w:val="none"/>
              </w:rPr>
            </w:pPr>
            <w:r>
              <w:rPr>
                <w:rFonts w:hint="eastAsia" w:ascii="仿宋" w:hAnsi="仿宋" w:eastAsia="仿宋" w:cs="仿宋"/>
                <w:sz w:val="24"/>
                <w:highlight w:val="none"/>
              </w:rPr>
              <w:t>3.2.3（2）技术部分</w:t>
            </w:r>
          </w:p>
        </w:tc>
        <w:tc>
          <w:tcPr>
            <w:tcW w:w="914" w:type="dxa"/>
            <w:noWrap w:val="0"/>
            <w:vAlign w:val="center"/>
          </w:tcPr>
          <w:p w14:paraId="55331C49">
            <w:pPr>
              <w:keepNext w:val="0"/>
              <w:keepLines w:val="0"/>
              <w:widowControl/>
              <w:suppressLineNumbers w:val="0"/>
              <w:snapToGrid w:val="0"/>
              <w:spacing w:before="0" w:beforeAutospacing="0" w:after="0" w:afterAutospacing="0" w:line="288" w:lineRule="auto"/>
              <w:ind w:left="0" w:right="0"/>
              <w:jc w:val="center"/>
              <w:rPr>
                <w:rFonts w:hint="eastAsia" w:ascii="宋体" w:hAnsi="宋体" w:eastAsia="仿宋" w:cs="Times New Roman"/>
                <w:color w:val="0000FF"/>
                <w:kern w:val="0"/>
                <w:sz w:val="24"/>
                <w:highlight w:val="none"/>
                <w:lang w:eastAsia="zh-CN"/>
              </w:rPr>
            </w:pPr>
            <w:r>
              <w:rPr>
                <w:rFonts w:hint="eastAsia" w:ascii="仿宋" w:hAnsi="仿宋" w:eastAsia="仿宋" w:cs="仿宋"/>
                <w:bCs/>
                <w:sz w:val="24"/>
                <w:szCs w:val="20"/>
                <w:highlight w:val="none"/>
                <w:lang w:val="en-US" w:eastAsia="zh-CN"/>
              </w:rPr>
              <w:t>8</w:t>
            </w:r>
          </w:p>
        </w:tc>
        <w:tc>
          <w:tcPr>
            <w:tcW w:w="1701" w:type="dxa"/>
            <w:noWrap w:val="0"/>
            <w:vAlign w:val="center"/>
          </w:tcPr>
          <w:p w14:paraId="34724E78">
            <w:pPr>
              <w:keepNext w:val="0"/>
              <w:keepLines w:val="0"/>
              <w:widowControl/>
              <w:suppressLineNumbers w:val="0"/>
              <w:snapToGrid w:val="0"/>
              <w:spacing w:before="0" w:beforeAutospacing="0" w:after="0" w:afterAutospacing="0" w:line="360" w:lineRule="auto"/>
              <w:ind w:left="0" w:right="0"/>
              <w:jc w:val="center"/>
              <w:rPr>
                <w:rFonts w:hint="default" w:ascii="楷体" w:hAnsi="楷体" w:eastAsia="楷体" w:cs="Times New Roman"/>
                <w:color w:val="0000FF"/>
                <w:sz w:val="24"/>
                <w:highlight w:val="none"/>
              </w:rPr>
            </w:pPr>
            <w:r>
              <w:rPr>
                <w:rFonts w:hint="eastAsia" w:ascii="仿宋" w:hAnsi="仿宋" w:eastAsia="仿宋" w:cs="仿宋"/>
                <w:bCs/>
                <w:sz w:val="24"/>
                <w:szCs w:val="20"/>
                <w:highlight w:val="none"/>
              </w:rPr>
              <w:t>产品的技术参数（</w:t>
            </w:r>
            <w:r>
              <w:rPr>
                <w:rFonts w:hint="eastAsia" w:ascii="仿宋" w:hAnsi="仿宋" w:eastAsia="仿宋" w:cs="仿宋"/>
                <w:bCs/>
                <w:sz w:val="24"/>
                <w:szCs w:val="20"/>
                <w:highlight w:val="none"/>
                <w:lang w:val="en-US" w:eastAsia="zh-CN"/>
              </w:rPr>
              <w:t>35</w:t>
            </w:r>
            <w:r>
              <w:rPr>
                <w:rFonts w:hint="eastAsia" w:ascii="仿宋" w:hAnsi="仿宋" w:eastAsia="仿宋" w:cs="仿宋"/>
                <w:bCs/>
                <w:sz w:val="24"/>
                <w:szCs w:val="20"/>
                <w:highlight w:val="none"/>
              </w:rPr>
              <w:t>分）</w:t>
            </w:r>
          </w:p>
        </w:tc>
        <w:tc>
          <w:tcPr>
            <w:tcW w:w="6237" w:type="dxa"/>
            <w:gridSpan w:val="2"/>
            <w:noWrap w:val="0"/>
            <w:vAlign w:val="center"/>
          </w:tcPr>
          <w:p w14:paraId="0137ABA8">
            <w:pPr>
              <w:keepNext w:val="0"/>
              <w:keepLines w:val="0"/>
              <w:suppressLineNumbers w:val="0"/>
              <w:snapToGrid w:val="0"/>
              <w:spacing w:before="0" w:beforeAutospacing="0" w:after="0" w:afterAutospacing="0" w:line="360" w:lineRule="auto"/>
              <w:ind w:left="0" w:right="0"/>
              <w:rPr>
                <w:rFonts w:hint="default" w:ascii="仿宋" w:hAnsi="仿宋" w:eastAsia="仿宋" w:cs="仿宋"/>
                <w:bCs/>
                <w:color w:val="auto"/>
                <w:sz w:val="24"/>
                <w:szCs w:val="20"/>
                <w:highlight w:val="none"/>
                <w:lang w:val="en-US" w:eastAsia="zh-CN"/>
              </w:rPr>
            </w:pPr>
            <w:r>
              <w:rPr>
                <w:rFonts w:hint="eastAsia" w:ascii="仿宋" w:hAnsi="仿宋" w:eastAsia="仿宋" w:cs="仿宋"/>
                <w:bCs/>
                <w:color w:val="auto"/>
                <w:sz w:val="24"/>
                <w:szCs w:val="20"/>
                <w:highlight w:val="none"/>
                <w:lang w:val="en-US" w:eastAsia="zh-CN"/>
              </w:rPr>
              <w:t>1.</w:t>
            </w:r>
            <w:r>
              <w:rPr>
                <w:rFonts w:hint="eastAsia" w:ascii="仿宋" w:hAnsi="仿宋" w:eastAsia="仿宋" w:cs="仿宋"/>
                <w:bCs/>
                <w:color w:val="auto"/>
                <w:sz w:val="24"/>
                <w:szCs w:val="20"/>
                <w:highlight w:val="none"/>
                <w:lang w:bidi="ar"/>
              </w:rPr>
              <w:t>根据投标文件与招标文件要求的重要参数（标记“</w:t>
            </w:r>
            <w:r>
              <w:rPr>
                <w:rFonts w:hint="eastAsia" w:ascii="仿宋" w:hAnsi="仿宋" w:eastAsia="仿宋" w:cs="仿宋"/>
                <w:color w:val="auto"/>
                <w:sz w:val="24"/>
                <w:highlight w:val="none"/>
                <w:lang w:bidi="ar"/>
              </w:rPr>
              <w:t>●</w:t>
            </w:r>
            <w:r>
              <w:rPr>
                <w:rFonts w:hint="eastAsia" w:ascii="仿宋" w:hAnsi="仿宋" w:eastAsia="仿宋" w:cs="仿宋"/>
                <w:bCs/>
                <w:color w:val="auto"/>
                <w:sz w:val="24"/>
                <w:szCs w:val="20"/>
                <w:highlight w:val="none"/>
                <w:lang w:bidi="ar"/>
              </w:rPr>
              <w:t>”的技术参数）偏离情况进行评分。每满足一项得</w:t>
            </w:r>
            <w:r>
              <w:rPr>
                <w:rFonts w:hint="eastAsia" w:ascii="仿宋" w:hAnsi="仿宋" w:eastAsia="仿宋" w:cs="仿宋"/>
                <w:bCs/>
                <w:color w:val="auto"/>
                <w:sz w:val="24"/>
                <w:szCs w:val="20"/>
                <w:highlight w:val="none"/>
                <w:lang w:val="en-US" w:eastAsia="zh-CN" w:bidi="ar"/>
              </w:rPr>
              <w:t>2</w:t>
            </w:r>
            <w:r>
              <w:rPr>
                <w:rFonts w:hint="eastAsia" w:ascii="仿宋" w:hAnsi="仿宋" w:eastAsia="仿宋" w:cs="仿宋"/>
                <w:bCs/>
                <w:color w:val="auto"/>
                <w:sz w:val="24"/>
                <w:szCs w:val="20"/>
                <w:highlight w:val="none"/>
                <w:lang w:bidi="ar"/>
              </w:rPr>
              <w:t>分，共</w:t>
            </w:r>
            <w:r>
              <w:rPr>
                <w:rFonts w:hint="eastAsia" w:ascii="仿宋" w:hAnsi="仿宋" w:eastAsia="仿宋" w:cs="仿宋"/>
                <w:bCs/>
                <w:color w:val="auto"/>
                <w:sz w:val="24"/>
                <w:szCs w:val="20"/>
                <w:highlight w:val="none"/>
                <w:lang w:val="en-US" w:eastAsia="zh-CN" w:bidi="ar"/>
              </w:rPr>
              <w:t>5</w:t>
            </w:r>
            <w:r>
              <w:rPr>
                <w:rFonts w:hint="eastAsia" w:ascii="仿宋" w:hAnsi="仿宋" w:eastAsia="仿宋" w:cs="仿宋"/>
                <w:bCs/>
                <w:color w:val="auto"/>
                <w:sz w:val="24"/>
                <w:szCs w:val="20"/>
                <w:highlight w:val="none"/>
                <w:lang w:bidi="ar"/>
              </w:rPr>
              <w:t>项，满分</w:t>
            </w:r>
            <w:r>
              <w:rPr>
                <w:rFonts w:hint="eastAsia" w:ascii="仿宋" w:hAnsi="仿宋" w:eastAsia="仿宋" w:cs="仿宋"/>
                <w:bCs/>
                <w:color w:val="auto"/>
                <w:sz w:val="24"/>
                <w:szCs w:val="20"/>
                <w:highlight w:val="none"/>
                <w:lang w:val="en-US" w:eastAsia="zh-CN" w:bidi="ar"/>
              </w:rPr>
              <w:t>10</w:t>
            </w:r>
            <w:r>
              <w:rPr>
                <w:rFonts w:hint="eastAsia" w:ascii="仿宋" w:hAnsi="仿宋" w:eastAsia="仿宋" w:cs="仿宋"/>
                <w:bCs/>
                <w:color w:val="auto"/>
                <w:sz w:val="24"/>
                <w:szCs w:val="20"/>
                <w:highlight w:val="none"/>
                <w:lang w:bidi="ar"/>
              </w:rPr>
              <w:t>分。</w:t>
            </w:r>
          </w:p>
          <w:p w14:paraId="50A91FF7">
            <w:pPr>
              <w:keepNext w:val="0"/>
              <w:keepLines w:val="0"/>
              <w:suppressLineNumbers w:val="0"/>
              <w:snapToGrid w:val="0"/>
              <w:spacing w:before="0" w:beforeAutospacing="0" w:after="0" w:afterAutospacing="0" w:line="360" w:lineRule="auto"/>
              <w:ind w:left="0" w:right="0"/>
              <w:rPr>
                <w:rFonts w:hint="default" w:ascii="Calibri" w:hAnsi="Calibri" w:cs="Times New Roman"/>
                <w:color w:val="auto"/>
                <w:highlight w:val="none"/>
              </w:rPr>
            </w:pPr>
            <w:r>
              <w:rPr>
                <w:rFonts w:hint="eastAsia" w:ascii="仿宋" w:hAnsi="仿宋" w:eastAsia="仿宋" w:cs="仿宋"/>
                <w:bCs/>
                <w:color w:val="auto"/>
                <w:sz w:val="24"/>
                <w:szCs w:val="20"/>
                <w:highlight w:val="none"/>
                <w:lang w:val="en-US" w:eastAsia="zh-CN"/>
              </w:rPr>
              <w:t>3.</w:t>
            </w:r>
            <w:r>
              <w:rPr>
                <w:rFonts w:hint="eastAsia" w:ascii="仿宋" w:hAnsi="仿宋" w:eastAsia="仿宋" w:cs="仿宋"/>
                <w:bCs/>
                <w:color w:val="auto"/>
                <w:sz w:val="24"/>
                <w:szCs w:val="20"/>
                <w:highlight w:val="none"/>
              </w:rPr>
              <w:t>根据投标文件与招标文件要求的一般参数(无标识技术参数)偏离情况进行评分。一般技术参数条款评审得分=（投标人满足一般技术参数条款的数量÷一般技术参数条款的总数量）×一般技术参数设定分值</w:t>
            </w:r>
            <w:r>
              <w:rPr>
                <w:rFonts w:hint="eastAsia" w:ascii="仿宋" w:hAnsi="仿宋" w:eastAsia="仿宋" w:cs="仿宋"/>
                <w:bCs/>
                <w:color w:val="auto"/>
                <w:sz w:val="24"/>
                <w:szCs w:val="20"/>
                <w:highlight w:val="none"/>
                <w:lang w:eastAsia="zh-CN"/>
              </w:rPr>
              <w:t>，</w:t>
            </w:r>
            <w:r>
              <w:rPr>
                <w:rFonts w:hint="eastAsia" w:ascii="仿宋" w:hAnsi="仿宋" w:eastAsia="仿宋" w:cs="仿宋"/>
                <w:bCs/>
                <w:color w:val="auto"/>
                <w:sz w:val="24"/>
                <w:szCs w:val="20"/>
                <w:highlight w:val="none"/>
                <w:lang w:val="en-US" w:eastAsia="zh-CN"/>
              </w:rPr>
              <w:t>保留小数点后两位，一般技术参数条款的总数量为43</w:t>
            </w:r>
            <w:r>
              <w:rPr>
                <w:rFonts w:hint="eastAsia" w:ascii="仿宋" w:hAnsi="仿宋" w:eastAsia="仿宋" w:cs="仿宋"/>
                <w:bCs/>
                <w:color w:val="auto"/>
                <w:sz w:val="24"/>
                <w:szCs w:val="20"/>
                <w:highlight w:val="none"/>
              </w:rPr>
              <w:t>项，满分</w:t>
            </w:r>
            <w:r>
              <w:rPr>
                <w:rFonts w:hint="eastAsia" w:ascii="仿宋" w:hAnsi="仿宋" w:eastAsia="仿宋" w:cs="仿宋"/>
                <w:bCs/>
                <w:color w:val="auto"/>
                <w:sz w:val="24"/>
                <w:szCs w:val="20"/>
                <w:highlight w:val="none"/>
                <w:lang w:val="en-US" w:eastAsia="zh-CN"/>
              </w:rPr>
              <w:t>25</w:t>
            </w:r>
            <w:r>
              <w:rPr>
                <w:rFonts w:hint="eastAsia" w:ascii="仿宋" w:hAnsi="仿宋" w:eastAsia="仿宋" w:cs="仿宋"/>
                <w:bCs/>
                <w:color w:val="auto"/>
                <w:sz w:val="24"/>
                <w:szCs w:val="20"/>
                <w:highlight w:val="none"/>
              </w:rPr>
              <w:t>分。</w:t>
            </w:r>
            <w:r>
              <w:rPr>
                <w:rFonts w:hint="eastAsia" w:ascii="仿宋" w:hAnsi="仿宋" w:eastAsia="仿宋" w:cs="仿宋"/>
                <w:bCs/>
                <w:color w:val="auto"/>
                <w:sz w:val="24"/>
                <w:szCs w:val="20"/>
                <w:highlight w:val="none"/>
                <w:lang w:eastAsia="zh-CN"/>
              </w:rPr>
              <w:t>）</w:t>
            </w:r>
          </w:p>
          <w:p w14:paraId="7F4C4679">
            <w:pPr>
              <w:keepNext w:val="0"/>
              <w:keepLines w:val="0"/>
              <w:suppressLineNumbers w:val="0"/>
              <w:snapToGrid w:val="0"/>
              <w:spacing w:before="0" w:beforeAutospacing="0" w:after="0" w:afterAutospacing="0" w:line="360" w:lineRule="auto"/>
              <w:ind w:left="0" w:right="0"/>
              <w:rPr>
                <w:rFonts w:hint="default" w:ascii="楷体" w:hAnsi="楷体" w:eastAsia="楷体" w:cs="Times New Roman"/>
                <w:color w:val="0000FF"/>
                <w:kern w:val="0"/>
                <w:sz w:val="24"/>
                <w:highlight w:val="none"/>
              </w:rPr>
            </w:pPr>
            <w:r>
              <w:rPr>
                <w:rFonts w:hint="eastAsia" w:ascii="仿宋" w:hAnsi="仿宋" w:eastAsia="仿宋" w:cs="仿宋"/>
                <w:b/>
                <w:bCs/>
                <w:color w:val="auto"/>
                <w:sz w:val="24"/>
                <w:szCs w:val="20"/>
                <w:highlight w:val="none"/>
              </w:rPr>
              <w:t>注：</w:t>
            </w:r>
            <w:r>
              <w:rPr>
                <w:rFonts w:hint="eastAsia" w:ascii="仿宋" w:hAnsi="仿宋" w:eastAsia="仿宋" w:cs="仿宋"/>
                <w:b/>
                <w:color w:val="auto"/>
                <w:sz w:val="24"/>
                <w:szCs w:val="18"/>
                <w:highlight w:val="none"/>
              </w:rPr>
              <w:t>对于标注“★”、“●”号项技术性能参数的响应情况，以招标文件明确要求的材料为准，若招标文件未明确要求则以所投产品制造商公开发布的资料或产品技术白皮书或产品彩页或检测机构出具的检测报告或功能界面截图或官网功能截图或评标委员会认可的其他证明材料为准。若所投产品制造商公开发布的资料与检测机构出具的检测报告不一致，以检测机构出具的检测报告为准。</w:t>
            </w:r>
          </w:p>
        </w:tc>
      </w:tr>
      <w:tr w14:paraId="03348A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4" w:hRule="atLeast"/>
        </w:trPr>
        <w:tc>
          <w:tcPr>
            <w:tcW w:w="900" w:type="dxa"/>
            <w:vMerge w:val="continue"/>
            <w:noWrap w:val="0"/>
            <w:vAlign w:val="center"/>
          </w:tcPr>
          <w:p w14:paraId="05445F9A">
            <w:pPr>
              <w:keepNext w:val="0"/>
              <w:keepLines w:val="0"/>
              <w:widowControl/>
              <w:suppressLineNumbers w:val="0"/>
              <w:snapToGrid w:val="0"/>
              <w:spacing w:before="0" w:beforeAutospacing="0" w:after="0" w:afterAutospacing="0" w:line="288" w:lineRule="auto"/>
              <w:ind w:left="0" w:right="0"/>
              <w:jc w:val="center"/>
              <w:rPr>
                <w:rFonts w:hint="eastAsia" w:ascii="仿宋" w:hAnsi="仿宋" w:eastAsia="仿宋" w:cs="仿宋"/>
                <w:sz w:val="24"/>
                <w:highlight w:val="none"/>
              </w:rPr>
            </w:pPr>
          </w:p>
        </w:tc>
        <w:tc>
          <w:tcPr>
            <w:tcW w:w="914" w:type="dxa"/>
            <w:noWrap w:val="0"/>
            <w:vAlign w:val="center"/>
          </w:tcPr>
          <w:p w14:paraId="44784682">
            <w:pPr>
              <w:keepNext w:val="0"/>
              <w:keepLines w:val="0"/>
              <w:widowControl/>
              <w:suppressLineNumbers w:val="0"/>
              <w:snapToGrid w:val="0"/>
              <w:spacing w:before="0" w:beforeAutospacing="0" w:after="0" w:afterAutospacing="0" w:line="288" w:lineRule="auto"/>
              <w:ind w:left="0" w:right="0"/>
              <w:jc w:val="center"/>
              <w:rPr>
                <w:rFonts w:hint="eastAsia" w:ascii="仿宋" w:hAnsi="仿宋" w:eastAsia="仿宋" w:cs="仿宋"/>
                <w:bCs/>
                <w:sz w:val="24"/>
                <w:szCs w:val="20"/>
                <w:highlight w:val="none"/>
                <w:lang w:eastAsia="zh-CN"/>
              </w:rPr>
            </w:pPr>
            <w:r>
              <w:rPr>
                <w:rFonts w:hint="eastAsia" w:ascii="仿宋" w:hAnsi="仿宋" w:eastAsia="仿宋" w:cs="仿宋"/>
                <w:bCs/>
                <w:sz w:val="24"/>
                <w:szCs w:val="20"/>
                <w:highlight w:val="none"/>
                <w:lang w:val="en-US" w:eastAsia="zh-CN"/>
              </w:rPr>
              <w:t>9</w:t>
            </w:r>
          </w:p>
        </w:tc>
        <w:tc>
          <w:tcPr>
            <w:tcW w:w="1701" w:type="dxa"/>
            <w:noWrap w:val="0"/>
            <w:vAlign w:val="center"/>
          </w:tcPr>
          <w:p w14:paraId="5E0596F2">
            <w:pPr>
              <w:keepNext w:val="0"/>
              <w:keepLines w:val="0"/>
              <w:widowControl/>
              <w:suppressLineNumbers w:val="0"/>
              <w:snapToGrid w:val="0"/>
              <w:spacing w:before="0" w:beforeAutospacing="0" w:after="0" w:afterAutospacing="0" w:line="360" w:lineRule="auto"/>
              <w:ind w:left="0" w:right="0"/>
              <w:jc w:val="center"/>
              <w:rPr>
                <w:rFonts w:hint="eastAsia" w:ascii="仿宋" w:hAnsi="仿宋" w:eastAsia="仿宋" w:cs="仿宋"/>
                <w:bCs/>
                <w:sz w:val="24"/>
                <w:szCs w:val="20"/>
                <w:highlight w:val="none"/>
              </w:rPr>
            </w:pPr>
            <w:r>
              <w:rPr>
                <w:rFonts w:hint="eastAsia" w:ascii="仿宋" w:hAnsi="仿宋" w:eastAsia="仿宋" w:cs="仿宋"/>
                <w:bCs/>
                <w:sz w:val="24"/>
                <w:szCs w:val="20"/>
                <w:highlight w:val="none"/>
              </w:rPr>
              <w:t>产品综合评价（</w:t>
            </w:r>
            <w:r>
              <w:rPr>
                <w:rFonts w:hint="eastAsia" w:ascii="仿宋" w:hAnsi="仿宋" w:eastAsia="仿宋" w:cs="仿宋"/>
                <w:bCs/>
                <w:sz w:val="24"/>
                <w:szCs w:val="20"/>
                <w:highlight w:val="none"/>
                <w:lang w:val="en-US" w:eastAsia="zh-CN"/>
              </w:rPr>
              <w:t>5</w:t>
            </w:r>
            <w:r>
              <w:rPr>
                <w:rFonts w:hint="eastAsia" w:ascii="仿宋" w:hAnsi="仿宋" w:eastAsia="仿宋" w:cs="仿宋"/>
                <w:bCs/>
                <w:sz w:val="24"/>
                <w:szCs w:val="20"/>
                <w:highlight w:val="none"/>
              </w:rPr>
              <w:t>分）</w:t>
            </w:r>
          </w:p>
        </w:tc>
        <w:tc>
          <w:tcPr>
            <w:tcW w:w="6237" w:type="dxa"/>
            <w:gridSpan w:val="2"/>
            <w:noWrap w:val="0"/>
            <w:vAlign w:val="center"/>
          </w:tcPr>
          <w:p w14:paraId="5706D943">
            <w:pPr>
              <w:keepNext w:val="0"/>
              <w:keepLines w:val="0"/>
              <w:suppressLineNumbers w:val="0"/>
              <w:snapToGrid w:val="0"/>
              <w:spacing w:before="0" w:beforeAutospacing="0" w:after="0" w:afterAutospacing="0" w:line="360" w:lineRule="auto"/>
              <w:ind w:left="0" w:right="0"/>
              <w:rPr>
                <w:rFonts w:hint="eastAsia" w:ascii="仿宋" w:hAnsi="仿宋" w:eastAsia="仿宋" w:cs="仿宋"/>
                <w:bCs/>
                <w:sz w:val="24"/>
                <w:szCs w:val="20"/>
                <w:highlight w:val="none"/>
                <w:lang w:eastAsia="zh-CN"/>
              </w:rPr>
            </w:pPr>
            <w:r>
              <w:rPr>
                <w:rFonts w:hint="eastAsia" w:ascii="仿宋" w:hAnsi="仿宋" w:eastAsia="仿宋" w:cs="仿宋"/>
                <w:bCs/>
                <w:sz w:val="24"/>
                <w:szCs w:val="20"/>
                <w:highlight w:val="none"/>
              </w:rPr>
              <w:t>评标委员会根据投标人所投产品的技术先进性、设备性能、</w:t>
            </w:r>
            <w:r>
              <w:rPr>
                <w:rFonts w:hint="eastAsia" w:ascii="仿宋" w:hAnsi="仿宋" w:eastAsia="仿宋" w:cs="仿宋"/>
                <w:bCs/>
                <w:sz w:val="24"/>
                <w:szCs w:val="20"/>
                <w:highlight w:val="none"/>
                <w:lang w:val="en-US" w:eastAsia="zh-CN"/>
              </w:rPr>
              <w:t>配置情况</w:t>
            </w:r>
            <w:r>
              <w:rPr>
                <w:rFonts w:hint="eastAsia" w:ascii="仿宋" w:hAnsi="仿宋" w:eastAsia="仿宋" w:cs="仿宋"/>
                <w:bCs/>
                <w:sz w:val="24"/>
                <w:szCs w:val="20"/>
                <w:highlight w:val="none"/>
              </w:rPr>
              <w:t>、</w:t>
            </w:r>
            <w:r>
              <w:rPr>
                <w:rFonts w:hint="eastAsia" w:ascii="仿宋" w:hAnsi="仿宋" w:eastAsia="仿宋" w:cs="仿宋"/>
                <w:bCs/>
                <w:sz w:val="24"/>
                <w:szCs w:val="20"/>
                <w:highlight w:val="none"/>
                <w:lang w:val="en-US" w:eastAsia="zh-CN"/>
              </w:rPr>
              <w:t>设计</w:t>
            </w:r>
            <w:r>
              <w:rPr>
                <w:rFonts w:hint="eastAsia" w:ascii="仿宋" w:hAnsi="仿宋" w:eastAsia="仿宋" w:cs="仿宋"/>
                <w:bCs/>
                <w:sz w:val="24"/>
                <w:szCs w:val="20"/>
                <w:highlight w:val="none"/>
              </w:rPr>
              <w:t>等方面进行评分</w:t>
            </w:r>
            <w:r>
              <w:rPr>
                <w:rFonts w:hint="eastAsia" w:ascii="仿宋" w:hAnsi="仿宋" w:eastAsia="仿宋" w:cs="仿宋"/>
                <w:bCs/>
                <w:sz w:val="24"/>
                <w:szCs w:val="20"/>
                <w:highlight w:val="none"/>
                <w:lang w:eastAsia="zh-CN"/>
              </w:rPr>
              <w:t>。</w:t>
            </w:r>
          </w:p>
          <w:p w14:paraId="67346640">
            <w:pPr>
              <w:keepNext w:val="0"/>
              <w:keepLines w:val="0"/>
              <w:numPr>
                <w:ilvl w:val="0"/>
                <w:numId w:val="0"/>
              </w:numPr>
              <w:suppressLineNumbers w:val="0"/>
              <w:snapToGrid w:val="0"/>
              <w:spacing w:before="0" w:beforeAutospacing="0" w:after="0" w:afterAutospacing="0" w:line="360" w:lineRule="auto"/>
              <w:ind w:left="0" w:right="0"/>
              <w:rPr>
                <w:rFonts w:hint="eastAsia" w:ascii="仿宋" w:hAnsi="仿宋" w:eastAsia="仿宋" w:cs="仿宋"/>
                <w:bCs/>
                <w:sz w:val="24"/>
                <w:szCs w:val="20"/>
                <w:highlight w:val="none"/>
                <w:lang w:eastAsia="zh-CN"/>
              </w:rPr>
            </w:pPr>
            <w:r>
              <w:rPr>
                <w:rFonts w:hint="eastAsia" w:ascii="仿宋" w:hAnsi="仿宋" w:eastAsia="仿宋" w:cs="仿宋"/>
                <w:bCs/>
                <w:sz w:val="24"/>
                <w:szCs w:val="20"/>
                <w:highlight w:val="none"/>
                <w:lang w:val="en-US" w:eastAsia="zh-CN"/>
              </w:rPr>
              <w:t>1、所投产品</w:t>
            </w:r>
            <w:r>
              <w:rPr>
                <w:rFonts w:hint="eastAsia" w:ascii="仿宋" w:hAnsi="仿宋" w:eastAsia="仿宋" w:cs="仿宋"/>
                <w:bCs/>
                <w:sz w:val="24"/>
                <w:szCs w:val="20"/>
                <w:highlight w:val="none"/>
              </w:rPr>
              <w:t>技术先进</w:t>
            </w:r>
            <w:r>
              <w:rPr>
                <w:rFonts w:hint="eastAsia" w:ascii="仿宋" w:hAnsi="仿宋" w:eastAsia="仿宋" w:cs="仿宋"/>
                <w:bCs/>
                <w:sz w:val="24"/>
                <w:szCs w:val="20"/>
                <w:highlight w:val="none"/>
                <w:lang w:eastAsia="zh-CN"/>
              </w:rPr>
              <w:t>，</w:t>
            </w:r>
            <w:r>
              <w:rPr>
                <w:rFonts w:hint="eastAsia" w:ascii="仿宋" w:hAnsi="仿宋" w:eastAsia="仿宋" w:cs="仿宋"/>
                <w:bCs/>
                <w:sz w:val="24"/>
                <w:szCs w:val="20"/>
                <w:highlight w:val="none"/>
              </w:rPr>
              <w:t>设备性能</w:t>
            </w:r>
            <w:r>
              <w:rPr>
                <w:rFonts w:hint="eastAsia" w:ascii="仿宋" w:hAnsi="仿宋" w:eastAsia="仿宋" w:cs="仿宋"/>
                <w:bCs/>
                <w:sz w:val="24"/>
                <w:szCs w:val="20"/>
                <w:highlight w:val="none"/>
                <w:lang w:val="en-US" w:eastAsia="zh-CN"/>
              </w:rPr>
              <w:t>稳定</w:t>
            </w:r>
            <w:r>
              <w:rPr>
                <w:rFonts w:hint="eastAsia" w:ascii="仿宋" w:hAnsi="仿宋" w:eastAsia="仿宋" w:cs="仿宋"/>
                <w:bCs/>
                <w:sz w:val="24"/>
                <w:szCs w:val="20"/>
                <w:highlight w:val="none"/>
                <w:lang w:eastAsia="zh-CN"/>
              </w:rPr>
              <w:t>，</w:t>
            </w:r>
            <w:r>
              <w:rPr>
                <w:rFonts w:hint="eastAsia" w:ascii="仿宋" w:hAnsi="仿宋" w:eastAsia="仿宋" w:cs="仿宋"/>
                <w:bCs/>
                <w:sz w:val="24"/>
                <w:szCs w:val="20"/>
                <w:highlight w:val="none"/>
              </w:rPr>
              <w:t>得</w:t>
            </w:r>
            <w:r>
              <w:rPr>
                <w:rFonts w:hint="eastAsia" w:ascii="仿宋" w:hAnsi="仿宋" w:eastAsia="仿宋" w:cs="仿宋"/>
                <w:bCs/>
                <w:sz w:val="24"/>
                <w:szCs w:val="20"/>
                <w:highlight w:val="none"/>
                <w:lang w:val="en-US" w:eastAsia="zh-CN"/>
              </w:rPr>
              <w:t>3</w:t>
            </w:r>
            <w:r>
              <w:rPr>
                <w:rFonts w:hint="eastAsia" w:ascii="仿宋" w:hAnsi="仿宋" w:eastAsia="仿宋" w:cs="仿宋"/>
                <w:bCs/>
                <w:sz w:val="24"/>
                <w:szCs w:val="20"/>
                <w:highlight w:val="none"/>
              </w:rPr>
              <w:t>分</w:t>
            </w:r>
            <w:r>
              <w:rPr>
                <w:rFonts w:hint="eastAsia" w:ascii="仿宋" w:hAnsi="仿宋" w:eastAsia="仿宋" w:cs="仿宋"/>
                <w:bCs/>
                <w:sz w:val="24"/>
                <w:szCs w:val="20"/>
                <w:highlight w:val="none"/>
                <w:lang w:eastAsia="zh-CN"/>
              </w:rPr>
              <w:t>；</w:t>
            </w:r>
            <w:r>
              <w:rPr>
                <w:rFonts w:hint="eastAsia" w:ascii="仿宋" w:hAnsi="仿宋" w:eastAsia="仿宋" w:cs="仿宋"/>
                <w:bCs/>
                <w:sz w:val="24"/>
                <w:szCs w:val="20"/>
                <w:highlight w:val="none"/>
              </w:rPr>
              <w:t>所投产品技术</w:t>
            </w:r>
            <w:r>
              <w:rPr>
                <w:rFonts w:hint="eastAsia" w:ascii="仿宋" w:hAnsi="仿宋" w:eastAsia="仿宋" w:cs="仿宋"/>
                <w:bCs/>
                <w:sz w:val="24"/>
                <w:szCs w:val="20"/>
                <w:highlight w:val="none"/>
                <w:lang w:val="en-US" w:eastAsia="zh-CN"/>
              </w:rPr>
              <w:t>较</w:t>
            </w:r>
            <w:r>
              <w:rPr>
                <w:rFonts w:hint="eastAsia" w:ascii="仿宋" w:hAnsi="仿宋" w:eastAsia="仿宋" w:cs="仿宋"/>
                <w:bCs/>
                <w:sz w:val="24"/>
                <w:szCs w:val="20"/>
                <w:highlight w:val="none"/>
              </w:rPr>
              <w:t>先进，设备性能</w:t>
            </w:r>
            <w:r>
              <w:rPr>
                <w:rFonts w:hint="eastAsia" w:ascii="仿宋" w:hAnsi="仿宋" w:eastAsia="仿宋" w:cs="仿宋"/>
                <w:bCs/>
                <w:sz w:val="24"/>
                <w:szCs w:val="20"/>
                <w:highlight w:val="none"/>
                <w:lang w:val="en-US" w:eastAsia="zh-CN"/>
              </w:rPr>
              <w:t>较</w:t>
            </w:r>
            <w:r>
              <w:rPr>
                <w:rFonts w:hint="eastAsia" w:ascii="仿宋" w:hAnsi="仿宋" w:eastAsia="仿宋" w:cs="仿宋"/>
                <w:bCs/>
                <w:sz w:val="24"/>
                <w:szCs w:val="20"/>
                <w:highlight w:val="none"/>
              </w:rPr>
              <w:t>稳定，得</w:t>
            </w:r>
            <w:r>
              <w:rPr>
                <w:rFonts w:hint="eastAsia" w:ascii="仿宋" w:hAnsi="仿宋" w:eastAsia="仿宋" w:cs="仿宋"/>
                <w:bCs/>
                <w:sz w:val="24"/>
                <w:szCs w:val="20"/>
                <w:highlight w:val="none"/>
                <w:lang w:val="en-US" w:eastAsia="zh-CN"/>
              </w:rPr>
              <w:t>2</w:t>
            </w:r>
            <w:r>
              <w:rPr>
                <w:rFonts w:hint="eastAsia" w:ascii="仿宋" w:hAnsi="仿宋" w:eastAsia="仿宋" w:cs="仿宋"/>
                <w:bCs/>
                <w:sz w:val="24"/>
                <w:szCs w:val="20"/>
                <w:highlight w:val="none"/>
              </w:rPr>
              <w:t>分；所投产品技术待提升、性能稳定措施待加强的，得</w:t>
            </w:r>
            <w:r>
              <w:rPr>
                <w:rFonts w:hint="eastAsia" w:ascii="仿宋" w:hAnsi="仿宋" w:eastAsia="仿宋" w:cs="仿宋"/>
                <w:bCs/>
                <w:sz w:val="24"/>
                <w:szCs w:val="20"/>
                <w:highlight w:val="none"/>
                <w:lang w:val="en-US" w:eastAsia="zh-CN"/>
              </w:rPr>
              <w:t>1</w:t>
            </w:r>
            <w:r>
              <w:rPr>
                <w:rFonts w:hint="eastAsia" w:ascii="仿宋" w:hAnsi="仿宋" w:eastAsia="仿宋" w:cs="仿宋"/>
                <w:bCs/>
                <w:sz w:val="24"/>
                <w:szCs w:val="20"/>
                <w:highlight w:val="none"/>
              </w:rPr>
              <w:t>分</w:t>
            </w:r>
            <w:r>
              <w:rPr>
                <w:rFonts w:hint="eastAsia" w:ascii="仿宋" w:hAnsi="仿宋" w:eastAsia="仿宋" w:cs="仿宋"/>
                <w:bCs/>
                <w:sz w:val="24"/>
                <w:szCs w:val="20"/>
                <w:highlight w:val="none"/>
                <w:lang w:eastAsia="zh-CN"/>
              </w:rPr>
              <w:t>。</w:t>
            </w:r>
          </w:p>
          <w:p w14:paraId="68284701">
            <w:pPr>
              <w:keepNext w:val="0"/>
              <w:keepLines w:val="0"/>
              <w:numPr>
                <w:ilvl w:val="0"/>
                <w:numId w:val="0"/>
              </w:numPr>
              <w:suppressLineNumbers w:val="0"/>
              <w:snapToGrid w:val="0"/>
              <w:spacing w:before="0" w:beforeAutospacing="0" w:after="0" w:afterAutospacing="0" w:line="360" w:lineRule="auto"/>
              <w:ind w:left="0" w:right="0"/>
              <w:rPr>
                <w:rFonts w:hint="default" w:ascii="仿宋" w:hAnsi="仿宋" w:eastAsia="仿宋" w:cs="仿宋"/>
                <w:bCs/>
                <w:sz w:val="24"/>
                <w:szCs w:val="20"/>
                <w:highlight w:val="none"/>
                <w:lang w:val="en-US" w:eastAsia="zh-CN"/>
              </w:rPr>
            </w:pPr>
            <w:r>
              <w:rPr>
                <w:rFonts w:hint="eastAsia" w:ascii="仿宋" w:hAnsi="仿宋" w:eastAsia="仿宋" w:cs="仿宋"/>
                <w:bCs/>
                <w:sz w:val="24"/>
                <w:szCs w:val="20"/>
                <w:highlight w:val="none"/>
                <w:lang w:val="en-US" w:eastAsia="zh-CN"/>
              </w:rPr>
              <w:t>2、</w:t>
            </w:r>
            <w:r>
              <w:rPr>
                <w:rFonts w:hint="eastAsia" w:ascii="仿宋" w:hAnsi="仿宋" w:eastAsia="仿宋" w:cs="仿宋"/>
                <w:bCs/>
                <w:sz w:val="24"/>
                <w:szCs w:val="20"/>
                <w:highlight w:val="none"/>
              </w:rPr>
              <w:t>所投产品配置丰富、设计人性化的，得</w:t>
            </w:r>
            <w:r>
              <w:rPr>
                <w:rFonts w:hint="eastAsia" w:ascii="仿宋" w:hAnsi="仿宋" w:eastAsia="仿宋" w:cs="仿宋"/>
                <w:bCs/>
                <w:sz w:val="24"/>
                <w:szCs w:val="20"/>
                <w:highlight w:val="none"/>
                <w:lang w:eastAsia="zh-CN"/>
              </w:rPr>
              <w:t>2</w:t>
            </w:r>
            <w:r>
              <w:rPr>
                <w:rFonts w:hint="eastAsia" w:ascii="仿宋" w:hAnsi="仿宋" w:eastAsia="仿宋" w:cs="仿宋"/>
                <w:bCs/>
                <w:sz w:val="24"/>
                <w:szCs w:val="20"/>
                <w:highlight w:val="none"/>
              </w:rPr>
              <w:t>分；所投产品配置待优化、设计待提高的，得1分。</w:t>
            </w:r>
          </w:p>
          <w:p w14:paraId="03682723">
            <w:pPr>
              <w:keepNext w:val="0"/>
              <w:keepLines w:val="0"/>
              <w:numPr>
                <w:ilvl w:val="0"/>
                <w:numId w:val="0"/>
              </w:numPr>
              <w:suppressLineNumbers w:val="0"/>
              <w:snapToGrid w:val="0"/>
              <w:spacing w:before="0" w:beforeAutospacing="0" w:after="0" w:afterAutospacing="0" w:line="360" w:lineRule="auto"/>
              <w:ind w:left="0" w:right="0"/>
              <w:rPr>
                <w:rFonts w:hint="eastAsia" w:ascii="仿宋" w:hAnsi="仿宋" w:eastAsia="仿宋" w:cs="仿宋"/>
                <w:bCs/>
                <w:sz w:val="24"/>
                <w:szCs w:val="20"/>
                <w:highlight w:val="none"/>
              </w:rPr>
            </w:pPr>
            <w:r>
              <w:rPr>
                <w:rFonts w:hint="eastAsia" w:ascii="仿宋" w:hAnsi="仿宋" w:eastAsia="仿宋" w:cs="仿宋"/>
                <w:bCs/>
                <w:sz w:val="24"/>
                <w:szCs w:val="20"/>
                <w:highlight w:val="none"/>
              </w:rPr>
              <w:t>注：投标文件中提供所投产品技术、性能、 配置、设计等方面的相关说明或证明材料，说明或证明材料无固定形式，未提供任何材料导致无法评审的，相应项不得分。</w:t>
            </w:r>
          </w:p>
        </w:tc>
      </w:tr>
      <w:tr w14:paraId="6B4FFF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900" w:type="dxa"/>
            <w:noWrap w:val="0"/>
            <w:vAlign w:val="center"/>
          </w:tcPr>
          <w:p w14:paraId="3DF80C7F">
            <w:pPr>
              <w:keepNext w:val="0"/>
              <w:keepLines w:val="0"/>
              <w:widowControl/>
              <w:suppressLineNumbers w:val="0"/>
              <w:snapToGrid w:val="0"/>
              <w:spacing w:before="0" w:beforeAutospacing="0" w:after="0" w:afterAutospacing="0" w:line="288" w:lineRule="auto"/>
              <w:ind w:left="0" w:right="0"/>
              <w:jc w:val="center"/>
              <w:rPr>
                <w:rFonts w:hint="eastAsia" w:ascii="宋体" w:hAnsi="宋体" w:eastAsia="仿宋" w:cs="Times New Roman"/>
                <w:kern w:val="0"/>
                <w:sz w:val="24"/>
                <w:highlight w:val="none"/>
              </w:rPr>
            </w:pPr>
            <w:r>
              <w:rPr>
                <w:rFonts w:hint="eastAsia" w:ascii="宋体" w:hAnsi="宋体" w:eastAsia="仿宋" w:cs="Times New Roman"/>
                <w:kern w:val="0"/>
                <w:sz w:val="24"/>
                <w:highlight w:val="none"/>
              </w:rPr>
              <w:t>3.2.3（3）</w:t>
            </w:r>
          </w:p>
          <w:p w14:paraId="0E3A7E14">
            <w:pPr>
              <w:keepNext w:val="0"/>
              <w:keepLines w:val="0"/>
              <w:widowControl/>
              <w:suppressLineNumbers w:val="0"/>
              <w:snapToGrid w:val="0"/>
              <w:spacing w:before="0" w:beforeAutospacing="0" w:after="0" w:afterAutospacing="0" w:line="288" w:lineRule="auto"/>
              <w:ind w:left="0" w:right="0"/>
              <w:jc w:val="center"/>
              <w:rPr>
                <w:rFonts w:hint="eastAsia" w:ascii="宋体" w:hAnsi="宋体" w:eastAsia="仿宋" w:cs="Times New Roman"/>
                <w:kern w:val="0"/>
                <w:sz w:val="24"/>
                <w:highlight w:val="none"/>
              </w:rPr>
            </w:pPr>
            <w:r>
              <w:rPr>
                <w:rFonts w:hint="eastAsia" w:ascii="宋体" w:hAnsi="宋体" w:eastAsia="仿宋" w:cs="Times New Roman"/>
                <w:kern w:val="0"/>
                <w:sz w:val="24"/>
                <w:highlight w:val="none"/>
              </w:rPr>
              <w:t>投标</w:t>
            </w:r>
          </w:p>
          <w:p w14:paraId="341462B3">
            <w:pPr>
              <w:keepNext w:val="0"/>
              <w:keepLines w:val="0"/>
              <w:widowControl/>
              <w:suppressLineNumbers w:val="0"/>
              <w:snapToGrid w:val="0"/>
              <w:spacing w:before="0" w:beforeAutospacing="0" w:after="0" w:afterAutospacing="0" w:line="288" w:lineRule="auto"/>
              <w:ind w:left="0" w:right="0"/>
              <w:jc w:val="center"/>
              <w:rPr>
                <w:rFonts w:hint="eastAsia" w:ascii="宋体" w:hAnsi="宋体" w:cs="Times New Roman"/>
                <w:kern w:val="0"/>
                <w:sz w:val="24"/>
                <w:highlight w:val="none"/>
              </w:rPr>
            </w:pPr>
            <w:r>
              <w:rPr>
                <w:rFonts w:hint="eastAsia" w:ascii="宋体" w:hAnsi="宋体" w:eastAsia="仿宋" w:cs="Times New Roman"/>
                <w:kern w:val="0"/>
                <w:sz w:val="24"/>
                <w:highlight w:val="none"/>
              </w:rPr>
              <w:t>报价</w:t>
            </w:r>
          </w:p>
        </w:tc>
        <w:tc>
          <w:tcPr>
            <w:tcW w:w="914" w:type="dxa"/>
            <w:noWrap w:val="0"/>
            <w:vAlign w:val="center"/>
          </w:tcPr>
          <w:p w14:paraId="2EB875DF">
            <w:pPr>
              <w:keepNext w:val="0"/>
              <w:keepLines w:val="0"/>
              <w:widowControl/>
              <w:suppressLineNumbers w:val="0"/>
              <w:snapToGrid w:val="0"/>
              <w:spacing w:before="0" w:beforeAutospacing="0" w:after="0" w:afterAutospacing="0" w:line="288" w:lineRule="auto"/>
              <w:ind w:left="0" w:right="0"/>
              <w:jc w:val="center"/>
              <w:rPr>
                <w:rFonts w:hint="eastAsia" w:ascii="宋体" w:hAnsi="宋体" w:cs="Times New Roman"/>
                <w:kern w:val="0"/>
                <w:sz w:val="24"/>
                <w:highlight w:val="none"/>
              </w:rPr>
            </w:pPr>
            <w:r>
              <w:rPr>
                <w:rFonts w:hint="eastAsia" w:ascii="宋体" w:hAnsi="宋体" w:eastAsia="仿宋" w:cs="Times New Roman"/>
                <w:kern w:val="0"/>
                <w:sz w:val="24"/>
                <w:highlight w:val="none"/>
              </w:rPr>
              <w:t>1</w:t>
            </w:r>
          </w:p>
        </w:tc>
        <w:tc>
          <w:tcPr>
            <w:tcW w:w="1701" w:type="dxa"/>
            <w:noWrap w:val="0"/>
            <w:vAlign w:val="center"/>
          </w:tcPr>
          <w:p w14:paraId="51377741">
            <w:pPr>
              <w:keepNext w:val="0"/>
              <w:keepLines w:val="0"/>
              <w:widowControl/>
              <w:suppressLineNumbers w:val="0"/>
              <w:adjustRightInd w:val="0"/>
              <w:snapToGrid w:val="0"/>
              <w:spacing w:before="0" w:beforeAutospacing="0" w:after="0" w:afterAutospacing="0" w:line="360" w:lineRule="auto"/>
              <w:ind w:left="0" w:right="0"/>
              <w:rPr>
                <w:rFonts w:hint="eastAsia" w:ascii="宋体" w:hAnsi="宋体" w:cs="Times New Roman"/>
                <w:sz w:val="24"/>
                <w:highlight w:val="none"/>
              </w:rPr>
            </w:pPr>
            <w:r>
              <w:rPr>
                <w:rFonts w:hint="eastAsia" w:ascii="宋体" w:hAnsi="宋体" w:eastAsia="仿宋" w:cs="Times New Roman"/>
                <w:sz w:val="24"/>
                <w:highlight w:val="none"/>
              </w:rPr>
              <w:t>投标报价得分计算</w:t>
            </w:r>
          </w:p>
        </w:tc>
        <w:tc>
          <w:tcPr>
            <w:tcW w:w="4253" w:type="dxa"/>
            <w:noWrap w:val="0"/>
            <w:vAlign w:val="center"/>
          </w:tcPr>
          <w:p w14:paraId="73CE22B7">
            <w:pPr>
              <w:keepNext w:val="0"/>
              <w:keepLines w:val="0"/>
              <w:widowControl/>
              <w:suppressLineNumbers w:val="0"/>
              <w:snapToGrid w:val="0"/>
              <w:spacing w:before="0" w:beforeAutospacing="0" w:after="0" w:afterAutospacing="0" w:line="360" w:lineRule="auto"/>
              <w:ind w:left="0" w:right="0"/>
              <w:rPr>
                <w:rFonts w:hint="eastAsia" w:ascii="宋体" w:hAnsi="宋体" w:eastAsia="仿宋" w:cs="Times New Roman"/>
                <w:sz w:val="24"/>
                <w:highlight w:val="none"/>
              </w:rPr>
            </w:pPr>
            <w:r>
              <w:rPr>
                <w:rFonts w:hint="eastAsia" w:ascii="宋体" w:hAnsi="宋体" w:eastAsia="仿宋" w:cs="Times New Roman"/>
                <w:sz w:val="24"/>
                <w:highlight w:val="none"/>
              </w:rPr>
              <w:t>满足招标文件要求且投标价格最低的投标报价的价格分为满分，其他投标人的价格分统一按照下列公式计算：</w:t>
            </w:r>
          </w:p>
          <w:p w14:paraId="5C1CDD39">
            <w:pPr>
              <w:keepNext w:val="0"/>
              <w:keepLines w:val="0"/>
              <w:widowControl/>
              <w:suppressLineNumbers w:val="0"/>
              <w:snapToGrid w:val="0"/>
              <w:spacing w:before="0" w:beforeAutospacing="0" w:after="0" w:afterAutospacing="0" w:line="360" w:lineRule="auto"/>
              <w:ind w:left="0" w:right="0"/>
              <w:rPr>
                <w:rFonts w:hint="eastAsia" w:ascii="宋体" w:hAnsi="宋体" w:eastAsia="仿宋" w:cs="Times New Roman"/>
                <w:sz w:val="24"/>
                <w:highlight w:val="none"/>
              </w:rPr>
            </w:pPr>
            <w:r>
              <w:rPr>
                <w:rFonts w:hint="eastAsia" w:ascii="宋体" w:hAnsi="宋体" w:eastAsia="仿宋" w:cs="Times New Roman"/>
                <w:sz w:val="24"/>
                <w:highlight w:val="none"/>
              </w:rPr>
              <w:t>投标报价得分＝（评标基准价/投标报价）×投标报价满分分值。</w:t>
            </w:r>
          </w:p>
        </w:tc>
        <w:tc>
          <w:tcPr>
            <w:tcW w:w="1984" w:type="dxa"/>
            <w:noWrap w:val="0"/>
            <w:vAlign w:val="center"/>
          </w:tcPr>
          <w:p w14:paraId="7F46FA7F">
            <w:pPr>
              <w:keepNext w:val="0"/>
              <w:keepLines w:val="0"/>
              <w:widowControl/>
              <w:suppressLineNumbers w:val="0"/>
              <w:snapToGrid w:val="0"/>
              <w:spacing w:before="0" w:beforeAutospacing="0" w:after="0" w:afterAutospacing="0" w:line="360" w:lineRule="auto"/>
              <w:ind w:left="0" w:right="0"/>
              <w:rPr>
                <w:rFonts w:hint="eastAsia" w:ascii="宋体" w:hAnsi="宋体" w:eastAsia="仿宋" w:cs="Times New Roman"/>
                <w:sz w:val="24"/>
                <w:highlight w:val="none"/>
              </w:rPr>
            </w:pPr>
            <w:r>
              <w:rPr>
                <w:rFonts w:hint="eastAsia" w:ascii="宋体" w:hAnsi="宋体" w:eastAsia="仿宋" w:cs="Times New Roman"/>
                <w:sz w:val="24"/>
                <w:highlight w:val="none"/>
              </w:rPr>
              <w:t>符合价格扣除政策的，用扣除后的价格参与计算、评分</w:t>
            </w:r>
          </w:p>
        </w:tc>
      </w:tr>
    </w:tbl>
    <w:p w14:paraId="1358593A">
      <w:pPr>
        <w:pStyle w:val="3"/>
        <w:widowControl/>
        <w:adjustRightInd w:val="0"/>
        <w:spacing w:before="0" w:after="0" w:line="360" w:lineRule="auto"/>
        <w:ind w:firstLine="482" w:firstLineChars="200"/>
        <w:rPr>
          <w:rFonts w:ascii="宋体" w:hAnsi="宋体" w:eastAsia="仿宋"/>
          <w:bCs w:val="0"/>
          <w:sz w:val="24"/>
          <w:szCs w:val="24"/>
          <w:highlight w:val="none"/>
        </w:rPr>
      </w:pPr>
      <w:bookmarkStart w:id="831" w:name="_Toc455587098"/>
      <w:bookmarkStart w:id="832" w:name="_Toc455587282"/>
      <w:bookmarkStart w:id="833" w:name="_Toc466024565"/>
      <w:r>
        <w:rPr>
          <w:rFonts w:hint="eastAsia" w:ascii="宋体" w:hAnsi="宋体" w:eastAsia="仿宋"/>
          <w:bCs w:val="0"/>
          <w:sz w:val="24"/>
          <w:szCs w:val="24"/>
          <w:highlight w:val="none"/>
        </w:rPr>
        <w:br w:type="page"/>
      </w:r>
      <w:r>
        <w:rPr>
          <w:rFonts w:hint="eastAsia" w:ascii="宋体" w:hAnsi="宋体" w:eastAsia="仿宋"/>
          <w:bCs w:val="0"/>
          <w:sz w:val="24"/>
          <w:szCs w:val="24"/>
          <w:highlight w:val="none"/>
        </w:rPr>
        <w:t>1. 评标方法</w:t>
      </w:r>
      <w:bookmarkEnd w:id="830"/>
      <w:bookmarkEnd w:id="831"/>
      <w:bookmarkEnd w:id="832"/>
      <w:bookmarkEnd w:id="833"/>
    </w:p>
    <w:p w14:paraId="00BE2BB4">
      <w:pPr>
        <w:pStyle w:val="156"/>
        <w:adjustRightInd w:val="0"/>
        <w:snapToGrid w:val="0"/>
        <w:spacing w:line="360" w:lineRule="auto"/>
        <w:ind w:firstLine="480" w:firstLineChars="200"/>
        <w:rPr>
          <w:rFonts w:hint="eastAsia" w:ascii="ˎ̥" w:hAnsi="ˎ̥" w:eastAsia="仿宋" w:cs="宋体"/>
          <w:sz w:val="24"/>
          <w:szCs w:val="24"/>
          <w:highlight w:val="none"/>
        </w:rPr>
      </w:pPr>
      <w:r>
        <w:rPr>
          <w:rFonts w:hint="eastAsia" w:ascii="ˎ̥" w:hAnsi="ˎ̥" w:eastAsia="仿宋" w:cs="宋体"/>
          <w:sz w:val="24"/>
          <w:szCs w:val="24"/>
          <w:highlight w:val="none"/>
        </w:rPr>
        <w:t>本次评标采用综合评分法。评标委员会</w:t>
      </w:r>
      <w:r>
        <w:rPr>
          <w:rFonts w:ascii="ˎ̥" w:hAnsi="ˎ̥" w:eastAsia="仿宋" w:cs="宋体"/>
          <w:sz w:val="24"/>
          <w:szCs w:val="24"/>
          <w:highlight w:val="none"/>
        </w:rPr>
        <w:t>按照</w:t>
      </w:r>
      <w:r>
        <w:rPr>
          <w:rFonts w:hint="eastAsia" w:ascii="Cambria Math" w:hAnsi="Cambria Math" w:eastAsia="仿宋" w:cs="Calibri"/>
          <w:sz w:val="24"/>
          <w:szCs w:val="24"/>
          <w:highlight w:val="none"/>
        </w:rPr>
        <w:t>本章</w:t>
      </w:r>
      <w:r>
        <w:rPr>
          <w:rFonts w:hint="eastAsia" w:ascii="ˎ̥" w:hAnsi="ˎ̥" w:eastAsia="仿宋" w:cs="宋体"/>
          <w:sz w:val="24"/>
          <w:szCs w:val="24"/>
          <w:highlight w:val="none"/>
        </w:rPr>
        <w:t>第二节</w:t>
      </w:r>
      <w:r>
        <w:rPr>
          <w:rFonts w:hint="eastAsia" w:ascii="Cambria Math" w:hAnsi="Cambria Math" w:eastAsia="仿宋" w:cs="Calibri"/>
          <w:sz w:val="24"/>
          <w:szCs w:val="24"/>
          <w:highlight w:val="none"/>
        </w:rPr>
        <w:t>第</w:t>
      </w:r>
      <w:r>
        <w:rPr>
          <w:rFonts w:hint="eastAsia" w:ascii="仿宋" w:hAnsi="仿宋" w:eastAsia="仿宋" w:cs="仿宋"/>
          <w:sz w:val="24"/>
          <w:szCs w:val="24"/>
          <w:highlight w:val="none"/>
        </w:rPr>
        <w:t>3</w:t>
      </w:r>
      <w:r>
        <w:rPr>
          <w:rFonts w:hint="eastAsia" w:ascii="Cambria Math" w:hAnsi="Cambria Math" w:eastAsia="仿宋" w:cs="Calibri"/>
          <w:sz w:val="24"/>
          <w:szCs w:val="24"/>
          <w:highlight w:val="none"/>
        </w:rPr>
        <w:t>条规定的评审标准</w:t>
      </w:r>
      <w:r>
        <w:rPr>
          <w:rFonts w:hint="eastAsia" w:ascii="ˎ̥" w:hAnsi="ˎ̥" w:eastAsia="仿宋" w:cs="宋体"/>
          <w:sz w:val="24"/>
          <w:szCs w:val="24"/>
          <w:highlight w:val="none"/>
        </w:rPr>
        <w:t>对通过资格审查的</w:t>
      </w:r>
      <w:r>
        <w:rPr>
          <w:rFonts w:ascii="ˎ̥" w:hAnsi="ˎ̥" w:eastAsia="仿宋" w:cs="宋体"/>
          <w:sz w:val="24"/>
          <w:szCs w:val="24"/>
          <w:highlight w:val="none"/>
        </w:rPr>
        <w:t>投标文件</w:t>
      </w:r>
      <w:r>
        <w:rPr>
          <w:rFonts w:hint="eastAsia" w:ascii="ˎ̥" w:hAnsi="ˎ̥" w:eastAsia="仿宋" w:cs="宋体"/>
          <w:sz w:val="24"/>
          <w:szCs w:val="24"/>
          <w:highlight w:val="none"/>
        </w:rPr>
        <w:t>进行评审，在投标文件满足招标文件全部实质性要求的投标人中，按总</w:t>
      </w:r>
      <w:r>
        <w:rPr>
          <w:rFonts w:ascii="ˎ̥" w:hAnsi="ˎ̥" w:eastAsia="仿宋" w:cs="宋体"/>
          <w:sz w:val="24"/>
          <w:szCs w:val="24"/>
          <w:highlight w:val="none"/>
        </w:rPr>
        <w:t>得分</w:t>
      </w:r>
      <w:r>
        <w:rPr>
          <w:rFonts w:hint="eastAsia" w:ascii="ˎ̥" w:hAnsi="ˎ̥" w:eastAsia="仿宋" w:cs="宋体"/>
          <w:sz w:val="24"/>
          <w:szCs w:val="24"/>
          <w:highlight w:val="none"/>
        </w:rPr>
        <w:t>由高到低的顺序推荐中标候选人。如果总得分出现相同的情况，总得分相同的中标候选人按因落实政府采购政策进行价格调整后的投标报价由低到高排序；总得分与进行政策性价格调整的投标报价均相同的，则所投产品为节能或环境标志产品者优先（同时列入节能产品政府采购品目清单和环境标志产品政府采购品目清单的产品，优先于只列入其中一个清单的产品）；若前述均相同且所投产品同为节能/环境标志产品或均无节能/环境标志产品，则采取评标委员会随机抽签方式确定中标候选人排序。</w:t>
      </w:r>
    </w:p>
    <w:p w14:paraId="24E3B1C0">
      <w:pPr>
        <w:pStyle w:val="3"/>
        <w:widowControl/>
        <w:adjustRightInd w:val="0"/>
        <w:spacing w:before="0" w:after="0" w:line="360" w:lineRule="auto"/>
        <w:ind w:firstLine="482" w:firstLineChars="200"/>
        <w:rPr>
          <w:rFonts w:hint="eastAsia" w:ascii="宋体" w:hAnsi="宋体" w:eastAsia="仿宋"/>
          <w:bCs w:val="0"/>
          <w:sz w:val="24"/>
          <w:szCs w:val="24"/>
          <w:highlight w:val="none"/>
        </w:rPr>
      </w:pPr>
      <w:bookmarkStart w:id="834" w:name="_Toc445554768"/>
      <w:bookmarkStart w:id="835" w:name="_Toc466024567"/>
      <w:bookmarkStart w:id="836" w:name="_Toc455587100"/>
      <w:bookmarkStart w:id="837" w:name="_Toc455587284"/>
      <w:r>
        <w:rPr>
          <w:rFonts w:hint="eastAsia" w:ascii="宋体" w:hAnsi="宋体" w:eastAsia="仿宋"/>
          <w:bCs w:val="0"/>
          <w:sz w:val="24"/>
          <w:szCs w:val="24"/>
          <w:highlight w:val="none"/>
        </w:rPr>
        <w:t>2. 评标委员会的组成和职责</w:t>
      </w:r>
      <w:bookmarkEnd w:id="834"/>
      <w:bookmarkEnd w:id="835"/>
      <w:bookmarkEnd w:id="836"/>
      <w:bookmarkEnd w:id="837"/>
    </w:p>
    <w:p w14:paraId="6E3B7728">
      <w:pPr>
        <w:pStyle w:val="157"/>
        <w:adjustRightInd w:val="0"/>
        <w:snapToGrid w:val="0"/>
        <w:spacing w:before="0" w:line="360" w:lineRule="auto"/>
        <w:ind w:firstLine="482" w:firstLineChars="200"/>
        <w:rPr>
          <w:rFonts w:hint="eastAsia" w:ascii="ˎ̥" w:hAnsi="ˎ̥" w:eastAsia="仿宋" w:cs="宋体"/>
          <w:sz w:val="24"/>
          <w:szCs w:val="24"/>
          <w:highlight w:val="none"/>
        </w:rPr>
      </w:pPr>
      <w:r>
        <w:rPr>
          <w:rFonts w:hint="eastAsia" w:ascii="宋体" w:hAnsi="宋体" w:eastAsia="仿宋"/>
          <w:b/>
          <w:sz w:val="24"/>
          <w:szCs w:val="24"/>
          <w:highlight w:val="none"/>
        </w:rPr>
        <w:t>2.1 评标委员会的组成</w:t>
      </w:r>
    </w:p>
    <w:p w14:paraId="0CEE7DB9">
      <w:pPr>
        <w:pStyle w:val="156"/>
        <w:adjustRightInd w:val="0"/>
        <w:snapToGrid w:val="0"/>
        <w:spacing w:line="360" w:lineRule="auto"/>
        <w:ind w:firstLine="480" w:firstLineChars="200"/>
        <w:rPr>
          <w:rFonts w:hint="eastAsia" w:ascii="ˎ̥" w:hAnsi="ˎ̥" w:eastAsia="仿宋" w:cs="宋体"/>
          <w:sz w:val="24"/>
          <w:szCs w:val="24"/>
          <w:highlight w:val="none"/>
        </w:rPr>
      </w:pPr>
      <w:r>
        <w:rPr>
          <w:rFonts w:hint="eastAsia" w:ascii="ˎ̥" w:hAnsi="ˎ̥" w:eastAsia="仿宋" w:cs="宋体"/>
          <w:sz w:val="24"/>
          <w:szCs w:val="24"/>
          <w:highlight w:val="none"/>
        </w:rPr>
        <w:t>评标委员会由采购人依法组建。评标委员会应当推选组长，但采购人代表不得担任组长。</w:t>
      </w:r>
    </w:p>
    <w:p w14:paraId="5715BFBF">
      <w:pPr>
        <w:pStyle w:val="157"/>
        <w:adjustRightInd w:val="0"/>
        <w:snapToGrid w:val="0"/>
        <w:spacing w:before="0" w:line="360" w:lineRule="auto"/>
        <w:ind w:firstLine="480" w:firstLineChars="200"/>
        <w:rPr>
          <w:rFonts w:hint="eastAsia" w:ascii="ˎ̥" w:hAnsi="ˎ̥" w:eastAsia="仿宋" w:cs="宋体"/>
          <w:sz w:val="24"/>
          <w:szCs w:val="24"/>
          <w:highlight w:val="none"/>
        </w:rPr>
      </w:pPr>
      <w:r>
        <w:rPr>
          <w:rFonts w:hint="eastAsia" w:ascii="ˎ̥" w:hAnsi="ˎ̥" w:eastAsia="仿宋" w:cs="宋体"/>
          <w:sz w:val="24"/>
          <w:szCs w:val="24"/>
          <w:highlight w:val="none"/>
        </w:rPr>
        <w:t>2.2 评标委员会的职责</w:t>
      </w:r>
    </w:p>
    <w:p w14:paraId="115FEA40">
      <w:pPr>
        <w:spacing w:line="360" w:lineRule="auto"/>
        <w:ind w:firstLine="480" w:firstLineChars="200"/>
        <w:rPr>
          <w:rFonts w:hint="eastAsia" w:ascii="ˎ̥" w:hAnsi="ˎ̥" w:eastAsia="仿宋" w:cs="宋体"/>
          <w:kern w:val="0"/>
          <w:sz w:val="24"/>
          <w:highlight w:val="none"/>
        </w:rPr>
      </w:pPr>
      <w:r>
        <w:rPr>
          <w:rFonts w:hint="eastAsia" w:ascii="ˎ̥" w:hAnsi="ˎ̥" w:eastAsia="仿宋" w:cs="宋体"/>
          <w:kern w:val="0"/>
          <w:sz w:val="24"/>
          <w:highlight w:val="none"/>
        </w:rPr>
        <w:t>根据招标文件规定的评标程序、评标方法和评标标准进行独立评审。评标委员会成员应当在评标报告上签字，对自己的评标意见承担法律责任。对需要共同认定的事项存在争议的，按照少数服从多数的原则做出结论。对评标报告有异议的，应当在评标报告上签署不同意见并说明理由，否则视为同意评标报告。</w:t>
      </w:r>
    </w:p>
    <w:p w14:paraId="224AE8BE">
      <w:pPr>
        <w:pStyle w:val="157"/>
        <w:snapToGrid w:val="0"/>
        <w:spacing w:line="360" w:lineRule="auto"/>
        <w:ind w:firstLine="482"/>
        <w:rPr>
          <w:rFonts w:hint="eastAsia" w:ascii="宋体" w:hAnsi="宋体" w:eastAsia="仿宋"/>
          <w:b/>
          <w:sz w:val="24"/>
          <w:szCs w:val="24"/>
          <w:highlight w:val="none"/>
        </w:rPr>
      </w:pPr>
      <w:r>
        <w:rPr>
          <w:rFonts w:hint="eastAsia" w:ascii="宋体" w:hAnsi="宋体" w:eastAsia="仿宋"/>
          <w:b/>
          <w:sz w:val="24"/>
          <w:szCs w:val="24"/>
          <w:highlight w:val="none"/>
        </w:rPr>
        <w:t>2</w:t>
      </w:r>
      <w:r>
        <w:rPr>
          <w:rFonts w:ascii="宋体" w:hAnsi="宋体" w:eastAsia="仿宋"/>
          <w:b/>
          <w:sz w:val="24"/>
          <w:szCs w:val="24"/>
          <w:highlight w:val="none"/>
        </w:rPr>
        <w:t>.3 对评标委员会成员的纪律要求</w:t>
      </w:r>
    </w:p>
    <w:p w14:paraId="5237E2DA">
      <w:pPr>
        <w:widowControl/>
        <w:spacing w:line="360" w:lineRule="auto"/>
        <w:ind w:firstLine="480" w:firstLineChars="200"/>
        <w:rPr>
          <w:rFonts w:ascii="Arial" w:hAnsi="Arial" w:eastAsia="仿宋" w:cs="Arial"/>
          <w:kern w:val="0"/>
          <w:sz w:val="24"/>
          <w:highlight w:val="none"/>
        </w:rPr>
      </w:pPr>
      <w:r>
        <w:rPr>
          <w:rFonts w:ascii="Arial" w:hAnsi="Arial" w:eastAsia="仿宋" w:cs="Arial"/>
          <w:kern w:val="0"/>
          <w:sz w:val="24"/>
          <w:highlight w:val="none"/>
        </w:rPr>
        <w:t>评标委员会成员不得收受他人的财物或者其他好处，不得向他人</w:t>
      </w:r>
      <w:r>
        <w:rPr>
          <w:rFonts w:hint="eastAsia" w:ascii="Arial" w:hAnsi="Arial" w:eastAsia="仿宋" w:cs="Arial"/>
          <w:kern w:val="0"/>
          <w:sz w:val="24"/>
          <w:highlight w:val="none"/>
        </w:rPr>
        <w:t>透露</w:t>
      </w:r>
      <w:r>
        <w:rPr>
          <w:rFonts w:ascii="Arial" w:hAnsi="Arial" w:eastAsia="仿宋" w:cs="Arial"/>
          <w:kern w:val="0"/>
          <w:sz w:val="24"/>
          <w:highlight w:val="none"/>
        </w:rPr>
        <w:t>对投标文件的评审和比较、中标候选人的推荐情况以及评标有关的其他情况。在评标活动中，评标委员会成员不得擅离职守，影响评标程序正常进行，不得使用“评标办法”没有规定的评审因素和标准进行评标。</w:t>
      </w:r>
    </w:p>
    <w:p w14:paraId="71A2917D">
      <w:pPr>
        <w:pStyle w:val="3"/>
        <w:widowControl/>
        <w:adjustRightInd w:val="0"/>
        <w:spacing w:before="0" w:after="0" w:line="360" w:lineRule="auto"/>
        <w:ind w:firstLine="482" w:firstLineChars="200"/>
        <w:rPr>
          <w:rFonts w:hint="eastAsia" w:ascii="宋体" w:hAnsi="宋体" w:eastAsia="仿宋"/>
          <w:bCs w:val="0"/>
          <w:sz w:val="24"/>
          <w:szCs w:val="24"/>
          <w:highlight w:val="none"/>
        </w:rPr>
      </w:pPr>
      <w:bookmarkStart w:id="838" w:name="_Toc455587102"/>
      <w:bookmarkStart w:id="839" w:name="_Toc455587286"/>
      <w:bookmarkStart w:id="840" w:name="_Toc466024569"/>
      <w:bookmarkStart w:id="841" w:name="_Toc445554770"/>
      <w:bookmarkStart w:id="842" w:name="_Toc445554769"/>
      <w:bookmarkStart w:id="843" w:name="_Toc466024568"/>
      <w:bookmarkStart w:id="844" w:name="_Toc455587101"/>
      <w:bookmarkStart w:id="845" w:name="_Toc455587285"/>
      <w:r>
        <w:rPr>
          <w:rFonts w:hint="eastAsia" w:ascii="宋体" w:hAnsi="宋体" w:eastAsia="仿宋"/>
          <w:bCs w:val="0"/>
          <w:sz w:val="24"/>
          <w:szCs w:val="24"/>
          <w:highlight w:val="none"/>
        </w:rPr>
        <w:t>3. 评审标准</w:t>
      </w:r>
      <w:bookmarkEnd w:id="838"/>
      <w:bookmarkEnd w:id="839"/>
      <w:bookmarkEnd w:id="840"/>
      <w:bookmarkEnd w:id="841"/>
    </w:p>
    <w:p w14:paraId="4221D40D">
      <w:pPr>
        <w:pStyle w:val="156"/>
        <w:adjustRightInd w:val="0"/>
        <w:snapToGrid w:val="0"/>
        <w:spacing w:line="360" w:lineRule="auto"/>
        <w:ind w:firstLine="482" w:firstLineChars="200"/>
        <w:rPr>
          <w:rFonts w:hint="eastAsia" w:ascii="宋体" w:hAnsi="宋体" w:eastAsia="仿宋"/>
          <w:b/>
          <w:sz w:val="24"/>
          <w:szCs w:val="24"/>
          <w:highlight w:val="none"/>
        </w:rPr>
      </w:pPr>
      <w:r>
        <w:rPr>
          <w:rFonts w:hint="eastAsia" w:ascii="宋体" w:hAnsi="宋体" w:eastAsia="仿宋"/>
          <w:b/>
          <w:sz w:val="24"/>
          <w:szCs w:val="24"/>
          <w:highlight w:val="none"/>
        </w:rPr>
        <w:t>3.1 符合性审查标准</w:t>
      </w:r>
    </w:p>
    <w:p w14:paraId="37F68EAC">
      <w:pPr>
        <w:pStyle w:val="156"/>
        <w:adjustRightInd w:val="0"/>
        <w:snapToGrid w:val="0"/>
        <w:spacing w:line="360" w:lineRule="auto"/>
        <w:ind w:firstLine="482" w:firstLineChars="200"/>
        <w:rPr>
          <w:rFonts w:hint="eastAsia" w:ascii="宋体" w:hAnsi="宋体" w:eastAsia="仿宋"/>
          <w:b/>
          <w:sz w:val="24"/>
          <w:szCs w:val="24"/>
          <w:highlight w:val="none"/>
        </w:rPr>
      </w:pPr>
      <w:r>
        <w:rPr>
          <w:rFonts w:hint="eastAsia" w:ascii="宋体" w:hAnsi="宋体" w:eastAsia="仿宋"/>
          <w:b/>
          <w:sz w:val="24"/>
          <w:szCs w:val="24"/>
          <w:highlight w:val="none"/>
        </w:rPr>
        <w:t>3.1.1 评标委员会对资格审查合格的投标人的投标文件进行符合性审查，以确定其是否满足招标文件的实质性要求。</w:t>
      </w:r>
    </w:p>
    <w:p w14:paraId="58AAF0D5">
      <w:pPr>
        <w:pStyle w:val="156"/>
        <w:adjustRightInd w:val="0"/>
        <w:snapToGrid w:val="0"/>
        <w:spacing w:line="360" w:lineRule="auto"/>
        <w:ind w:firstLine="482" w:firstLineChars="200"/>
        <w:rPr>
          <w:rFonts w:hint="eastAsia" w:ascii="宋体" w:hAnsi="宋体" w:eastAsia="仿宋"/>
          <w:b/>
          <w:sz w:val="24"/>
          <w:szCs w:val="24"/>
          <w:highlight w:val="none"/>
        </w:rPr>
      </w:pPr>
      <w:r>
        <w:rPr>
          <w:rFonts w:hint="eastAsia" w:ascii="宋体" w:hAnsi="宋体" w:eastAsia="仿宋"/>
          <w:b/>
          <w:sz w:val="24"/>
          <w:szCs w:val="24"/>
          <w:highlight w:val="none"/>
        </w:rPr>
        <w:t>3.1.2 评标委员会根据《符合性审查表》中规定的审查因素和审查标准，对投标人的投标文件是否实质上响应招标文件进行符合性审查，并形成符合性审查评审结果。投标人有任何一项不符合要求的，投标无效。</w:t>
      </w:r>
    </w:p>
    <w:p w14:paraId="318BD04B">
      <w:pPr>
        <w:pStyle w:val="156"/>
        <w:adjustRightInd w:val="0"/>
        <w:snapToGrid w:val="0"/>
        <w:spacing w:line="360" w:lineRule="auto"/>
        <w:ind w:firstLine="482" w:firstLineChars="200"/>
        <w:rPr>
          <w:rFonts w:hint="eastAsia" w:ascii="宋体" w:hAnsi="宋体" w:eastAsia="仿宋"/>
          <w:b/>
          <w:sz w:val="24"/>
          <w:szCs w:val="24"/>
          <w:highlight w:val="none"/>
        </w:rPr>
      </w:pPr>
      <w:r>
        <w:rPr>
          <w:rFonts w:hint="eastAsia" w:ascii="宋体" w:hAnsi="宋体" w:eastAsia="仿宋"/>
          <w:b/>
          <w:sz w:val="24"/>
          <w:szCs w:val="24"/>
          <w:highlight w:val="none"/>
        </w:rPr>
        <w:t>3.2 分值构成与详细评审标准</w:t>
      </w:r>
    </w:p>
    <w:p w14:paraId="4459029F">
      <w:pPr>
        <w:pStyle w:val="156"/>
        <w:adjustRightInd w:val="0"/>
        <w:spacing w:line="360" w:lineRule="auto"/>
        <w:ind w:firstLine="480" w:firstLineChars="200"/>
        <w:rPr>
          <w:rFonts w:hint="eastAsia" w:ascii="宋体" w:hAnsi="宋体" w:eastAsia="仿宋"/>
          <w:sz w:val="24"/>
          <w:szCs w:val="24"/>
          <w:highlight w:val="none"/>
        </w:rPr>
      </w:pPr>
      <w:r>
        <w:rPr>
          <w:rFonts w:hint="eastAsia" w:ascii="宋体" w:hAnsi="宋体" w:eastAsia="仿宋"/>
          <w:sz w:val="24"/>
          <w:szCs w:val="24"/>
          <w:highlight w:val="none"/>
        </w:rPr>
        <w:t>3.2.1 分值构成：见评标办法前附表。</w:t>
      </w:r>
    </w:p>
    <w:p w14:paraId="2D6BB522">
      <w:pPr>
        <w:pStyle w:val="156"/>
        <w:adjustRightInd w:val="0"/>
        <w:spacing w:line="360" w:lineRule="auto"/>
        <w:ind w:firstLine="480" w:firstLineChars="200"/>
        <w:rPr>
          <w:rFonts w:hint="eastAsia" w:ascii="宋体" w:hAnsi="宋体" w:eastAsia="仿宋"/>
          <w:sz w:val="24"/>
          <w:szCs w:val="24"/>
          <w:highlight w:val="none"/>
        </w:rPr>
      </w:pPr>
      <w:r>
        <w:rPr>
          <w:rFonts w:hint="eastAsia" w:ascii="宋体" w:hAnsi="宋体" w:eastAsia="仿宋"/>
          <w:sz w:val="24"/>
          <w:szCs w:val="24"/>
          <w:highlight w:val="none"/>
        </w:rPr>
        <w:t>3.2.2 评标基准价计算：见评标办法前附表。</w:t>
      </w:r>
    </w:p>
    <w:p w14:paraId="477BECBF">
      <w:pPr>
        <w:pStyle w:val="156"/>
        <w:adjustRightInd w:val="0"/>
        <w:spacing w:line="360" w:lineRule="auto"/>
        <w:ind w:firstLine="480" w:firstLineChars="200"/>
        <w:rPr>
          <w:rFonts w:hint="eastAsia" w:ascii="宋体" w:hAnsi="宋体" w:eastAsia="仿宋"/>
          <w:sz w:val="24"/>
          <w:szCs w:val="24"/>
          <w:highlight w:val="none"/>
        </w:rPr>
      </w:pPr>
      <w:r>
        <w:rPr>
          <w:rFonts w:hint="eastAsia" w:ascii="宋体" w:hAnsi="宋体" w:eastAsia="仿宋"/>
          <w:sz w:val="24"/>
          <w:szCs w:val="24"/>
          <w:highlight w:val="none"/>
        </w:rPr>
        <w:t>3.2.3 评分标准：见评标办法前附表。</w:t>
      </w:r>
    </w:p>
    <w:p w14:paraId="17D6F95F">
      <w:pPr>
        <w:pStyle w:val="156"/>
        <w:adjustRightInd w:val="0"/>
        <w:spacing w:line="360" w:lineRule="auto"/>
        <w:ind w:firstLine="480" w:firstLineChars="200"/>
        <w:rPr>
          <w:rFonts w:hint="eastAsia" w:ascii="宋体" w:hAnsi="宋体" w:eastAsia="仿宋"/>
          <w:sz w:val="24"/>
          <w:szCs w:val="24"/>
          <w:highlight w:val="none"/>
        </w:rPr>
      </w:pPr>
      <w:r>
        <w:rPr>
          <w:rFonts w:hint="eastAsia" w:ascii="宋体" w:hAnsi="宋体" w:eastAsia="仿宋"/>
          <w:sz w:val="24"/>
          <w:szCs w:val="24"/>
          <w:highlight w:val="none"/>
        </w:rPr>
        <w:t>3.2.4 取评标委员会对各投标人评审得分的算术平均值作为投标人得分，其中投标报价得分按规定进行计算。</w:t>
      </w:r>
    </w:p>
    <w:p w14:paraId="56661513">
      <w:pPr>
        <w:pStyle w:val="3"/>
        <w:widowControl/>
        <w:adjustRightInd w:val="0"/>
        <w:spacing w:before="0" w:after="0" w:line="360" w:lineRule="auto"/>
        <w:ind w:firstLine="482" w:firstLineChars="200"/>
        <w:rPr>
          <w:rFonts w:hint="eastAsia" w:ascii="宋体" w:hAnsi="宋体" w:eastAsia="仿宋"/>
          <w:bCs w:val="0"/>
          <w:sz w:val="24"/>
          <w:szCs w:val="24"/>
          <w:highlight w:val="none"/>
        </w:rPr>
      </w:pPr>
      <w:r>
        <w:rPr>
          <w:rFonts w:hint="eastAsia" w:ascii="宋体" w:hAnsi="宋体" w:eastAsia="仿宋"/>
          <w:bCs w:val="0"/>
          <w:sz w:val="24"/>
          <w:szCs w:val="24"/>
          <w:highlight w:val="none"/>
        </w:rPr>
        <w:t>4. 评标程序</w:t>
      </w:r>
      <w:bookmarkEnd w:id="842"/>
      <w:bookmarkEnd w:id="843"/>
      <w:bookmarkEnd w:id="844"/>
      <w:bookmarkEnd w:id="845"/>
    </w:p>
    <w:p w14:paraId="530C5A1A">
      <w:pPr>
        <w:pStyle w:val="156"/>
        <w:adjustRightInd w:val="0"/>
        <w:snapToGrid w:val="0"/>
        <w:spacing w:line="360" w:lineRule="auto"/>
        <w:ind w:firstLine="480" w:firstLineChars="200"/>
        <w:rPr>
          <w:rFonts w:hint="eastAsia" w:ascii="宋体" w:hAnsi="宋体" w:eastAsia="仿宋"/>
          <w:sz w:val="24"/>
          <w:szCs w:val="24"/>
          <w:highlight w:val="none"/>
        </w:rPr>
      </w:pPr>
      <w:r>
        <w:rPr>
          <w:rFonts w:hint="eastAsia" w:ascii="宋体" w:hAnsi="宋体" w:eastAsia="仿宋"/>
          <w:sz w:val="24"/>
          <w:szCs w:val="24"/>
          <w:highlight w:val="none"/>
        </w:rPr>
        <w:t>资格审查完成后，合格投标人不少于3家的，开始评标工作。评标先做准备工作，再进行符合性审查，然后进行详细评审。</w:t>
      </w:r>
    </w:p>
    <w:p w14:paraId="53B62142">
      <w:pPr>
        <w:pStyle w:val="157"/>
        <w:adjustRightInd w:val="0"/>
        <w:snapToGrid w:val="0"/>
        <w:spacing w:before="0" w:line="360" w:lineRule="auto"/>
        <w:ind w:firstLine="482" w:firstLineChars="200"/>
        <w:rPr>
          <w:rFonts w:hint="eastAsia" w:ascii="宋体" w:hAnsi="宋体" w:eastAsia="仿宋"/>
          <w:b/>
          <w:sz w:val="24"/>
          <w:szCs w:val="24"/>
          <w:highlight w:val="none"/>
        </w:rPr>
      </w:pPr>
      <w:r>
        <w:rPr>
          <w:rFonts w:hint="eastAsia" w:ascii="宋体" w:hAnsi="宋体" w:eastAsia="仿宋"/>
          <w:b/>
          <w:sz w:val="24"/>
          <w:szCs w:val="24"/>
          <w:highlight w:val="none"/>
        </w:rPr>
        <w:t>4.1 评标准备工作</w:t>
      </w:r>
    </w:p>
    <w:p w14:paraId="661744AA">
      <w:pPr>
        <w:pStyle w:val="156"/>
        <w:adjustRightInd w:val="0"/>
        <w:snapToGrid w:val="0"/>
        <w:spacing w:line="360" w:lineRule="auto"/>
        <w:ind w:firstLine="480" w:firstLineChars="200"/>
        <w:rPr>
          <w:rFonts w:hint="eastAsia" w:ascii="宋体" w:hAnsi="宋体" w:eastAsia="仿宋"/>
          <w:sz w:val="24"/>
          <w:szCs w:val="24"/>
          <w:highlight w:val="none"/>
        </w:rPr>
      </w:pPr>
      <w:r>
        <w:rPr>
          <w:rFonts w:hint="eastAsia" w:ascii="宋体" w:hAnsi="宋体" w:eastAsia="仿宋"/>
          <w:sz w:val="24"/>
          <w:szCs w:val="24"/>
          <w:highlight w:val="none"/>
        </w:rPr>
        <w:t>评标委员会熟悉评标</w:t>
      </w:r>
      <w:bookmarkStart w:id="846" w:name="_Hlk79160145"/>
      <w:r>
        <w:rPr>
          <w:rFonts w:hint="eastAsia" w:ascii="宋体" w:hAnsi="宋体" w:eastAsia="仿宋"/>
          <w:sz w:val="24"/>
          <w:szCs w:val="24"/>
          <w:highlight w:val="none"/>
        </w:rPr>
        <w:t>工作</w:t>
      </w:r>
      <w:bookmarkEnd w:id="846"/>
      <w:r>
        <w:rPr>
          <w:rFonts w:hint="eastAsia" w:ascii="宋体" w:hAnsi="宋体" w:eastAsia="仿宋"/>
          <w:sz w:val="24"/>
          <w:szCs w:val="24"/>
          <w:highlight w:val="none"/>
        </w:rPr>
        <w:t>情况：</w:t>
      </w:r>
    </w:p>
    <w:p w14:paraId="61246C69">
      <w:pPr>
        <w:pStyle w:val="156"/>
        <w:adjustRightInd w:val="0"/>
        <w:snapToGrid w:val="0"/>
        <w:spacing w:line="360" w:lineRule="auto"/>
        <w:ind w:firstLine="480" w:firstLineChars="200"/>
        <w:rPr>
          <w:rFonts w:hint="eastAsia" w:ascii="宋体" w:hAnsi="宋体" w:eastAsia="仿宋"/>
          <w:sz w:val="24"/>
          <w:szCs w:val="24"/>
          <w:highlight w:val="none"/>
        </w:rPr>
      </w:pPr>
      <w:r>
        <w:rPr>
          <w:rFonts w:hint="eastAsia" w:ascii="宋体" w:hAnsi="宋体" w:eastAsia="仿宋"/>
          <w:sz w:val="24"/>
          <w:szCs w:val="24"/>
          <w:highlight w:val="none"/>
        </w:rPr>
        <w:t>（1）听取采购人或者其委托的采购代理机构对招标项目情况的介绍；</w:t>
      </w:r>
    </w:p>
    <w:p w14:paraId="1ECA576F">
      <w:pPr>
        <w:pStyle w:val="156"/>
        <w:adjustRightInd w:val="0"/>
        <w:snapToGrid w:val="0"/>
        <w:spacing w:line="360" w:lineRule="auto"/>
        <w:ind w:firstLine="480" w:firstLineChars="200"/>
        <w:rPr>
          <w:rFonts w:hint="eastAsia" w:ascii="宋体" w:hAnsi="宋体" w:eastAsia="仿宋"/>
          <w:sz w:val="24"/>
          <w:szCs w:val="24"/>
          <w:highlight w:val="none"/>
        </w:rPr>
      </w:pPr>
      <w:r>
        <w:rPr>
          <w:rFonts w:hint="eastAsia" w:ascii="宋体" w:hAnsi="宋体" w:eastAsia="仿宋"/>
          <w:sz w:val="24"/>
          <w:szCs w:val="24"/>
          <w:highlight w:val="none"/>
        </w:rPr>
        <w:t>（2）阅读、研究招标文件和相关评标资料，获取评标所需要的重要信息和数据,至少应了解和熟悉以下内容：招标目的、采购范围、项目性质、招标文件规定的主要技术参数要求和主要商务条款；</w:t>
      </w:r>
    </w:p>
    <w:p w14:paraId="26E22FC7">
      <w:pPr>
        <w:pStyle w:val="156"/>
        <w:adjustRightInd w:val="0"/>
        <w:snapToGrid w:val="0"/>
        <w:spacing w:line="360" w:lineRule="auto"/>
        <w:ind w:firstLine="480" w:firstLineChars="200"/>
        <w:rPr>
          <w:rFonts w:hint="eastAsia" w:ascii="宋体" w:hAnsi="宋体" w:eastAsia="仿宋"/>
          <w:sz w:val="24"/>
          <w:szCs w:val="24"/>
          <w:highlight w:val="none"/>
        </w:rPr>
      </w:pPr>
      <w:r>
        <w:rPr>
          <w:rFonts w:hint="eastAsia" w:ascii="宋体" w:hAnsi="宋体" w:eastAsia="仿宋"/>
          <w:sz w:val="24"/>
          <w:szCs w:val="24"/>
          <w:highlight w:val="none"/>
        </w:rPr>
        <w:t>（3）熟悉招标文件规定的评标标准和评标方法及在评标过程中需要考虑的相关因素；</w:t>
      </w:r>
    </w:p>
    <w:p w14:paraId="2FC7096C">
      <w:pPr>
        <w:pStyle w:val="156"/>
        <w:adjustRightInd w:val="0"/>
        <w:snapToGrid w:val="0"/>
        <w:spacing w:line="360" w:lineRule="auto"/>
        <w:ind w:firstLine="480" w:firstLineChars="200"/>
        <w:rPr>
          <w:rFonts w:hint="eastAsia" w:ascii="宋体" w:hAnsi="宋体" w:eastAsia="仿宋"/>
          <w:sz w:val="24"/>
          <w:szCs w:val="24"/>
          <w:highlight w:val="none"/>
        </w:rPr>
      </w:pPr>
      <w:r>
        <w:rPr>
          <w:rFonts w:hint="eastAsia" w:ascii="宋体" w:hAnsi="宋体" w:eastAsia="仿宋"/>
          <w:sz w:val="24"/>
          <w:szCs w:val="24"/>
          <w:highlight w:val="none"/>
        </w:rPr>
        <w:t>（4）核对评标工作资料；</w:t>
      </w:r>
    </w:p>
    <w:p w14:paraId="710290FC">
      <w:pPr>
        <w:pStyle w:val="156"/>
        <w:adjustRightInd w:val="0"/>
        <w:snapToGrid w:val="0"/>
        <w:spacing w:line="360" w:lineRule="auto"/>
        <w:ind w:firstLine="480" w:firstLineChars="200"/>
        <w:rPr>
          <w:rFonts w:hint="eastAsia" w:ascii="宋体" w:hAnsi="宋体" w:eastAsia="仿宋"/>
          <w:sz w:val="24"/>
          <w:szCs w:val="24"/>
          <w:highlight w:val="none"/>
        </w:rPr>
      </w:pPr>
      <w:r>
        <w:rPr>
          <w:rFonts w:hint="eastAsia" w:ascii="宋体" w:hAnsi="宋体" w:eastAsia="仿宋"/>
          <w:sz w:val="24"/>
          <w:szCs w:val="24"/>
          <w:highlight w:val="none"/>
        </w:rPr>
        <w:t>（5）使用电子评标方式的，还应当熟悉电子评标系统使用方法。</w:t>
      </w:r>
    </w:p>
    <w:p w14:paraId="12FC7905">
      <w:pPr>
        <w:pStyle w:val="157"/>
        <w:adjustRightInd w:val="0"/>
        <w:snapToGrid w:val="0"/>
        <w:spacing w:before="0" w:line="360" w:lineRule="auto"/>
        <w:ind w:firstLine="482" w:firstLineChars="200"/>
        <w:rPr>
          <w:rFonts w:hint="eastAsia" w:ascii="宋体" w:hAnsi="宋体" w:eastAsia="仿宋"/>
          <w:b/>
          <w:sz w:val="24"/>
          <w:szCs w:val="24"/>
          <w:highlight w:val="none"/>
        </w:rPr>
      </w:pPr>
      <w:r>
        <w:rPr>
          <w:rFonts w:hint="eastAsia" w:ascii="宋体" w:hAnsi="宋体" w:eastAsia="仿宋"/>
          <w:b/>
          <w:sz w:val="24"/>
          <w:szCs w:val="24"/>
          <w:highlight w:val="none"/>
        </w:rPr>
        <w:t>4.2 符合性审查</w:t>
      </w:r>
    </w:p>
    <w:p w14:paraId="531F536F">
      <w:pPr>
        <w:pStyle w:val="156"/>
        <w:adjustRightInd w:val="0"/>
        <w:snapToGrid w:val="0"/>
        <w:spacing w:line="360" w:lineRule="auto"/>
        <w:ind w:firstLine="480" w:firstLineChars="200"/>
        <w:rPr>
          <w:rFonts w:hint="eastAsia" w:ascii="宋体" w:hAnsi="宋体" w:eastAsia="仿宋"/>
          <w:color w:val="FF0000"/>
          <w:sz w:val="24"/>
          <w:szCs w:val="24"/>
          <w:highlight w:val="none"/>
        </w:rPr>
      </w:pPr>
      <w:r>
        <w:rPr>
          <w:rFonts w:hint="eastAsia" w:ascii="宋体" w:hAnsi="宋体" w:eastAsia="仿宋"/>
          <w:sz w:val="24"/>
          <w:szCs w:val="24"/>
          <w:highlight w:val="none"/>
        </w:rPr>
        <w:t>4.2.1 评标委员会依据本章规定的标准对投标文件进行符合性审查。有一项不符合评审标准的，按无效投标处理。</w:t>
      </w:r>
    </w:p>
    <w:p w14:paraId="09EC4B46">
      <w:pPr>
        <w:pStyle w:val="156"/>
        <w:adjustRightInd w:val="0"/>
        <w:snapToGrid w:val="0"/>
        <w:spacing w:line="360" w:lineRule="auto"/>
        <w:ind w:firstLine="480" w:firstLineChars="200"/>
        <w:rPr>
          <w:rFonts w:hint="eastAsia" w:ascii="宋体" w:hAnsi="宋体" w:eastAsia="仿宋"/>
          <w:sz w:val="24"/>
          <w:szCs w:val="24"/>
          <w:highlight w:val="none"/>
        </w:rPr>
      </w:pPr>
      <w:r>
        <w:rPr>
          <w:rFonts w:hint="eastAsia" w:ascii="宋体" w:hAnsi="宋体" w:eastAsia="仿宋"/>
          <w:sz w:val="24"/>
          <w:szCs w:val="24"/>
          <w:highlight w:val="none"/>
        </w:rPr>
        <w:t>4.2.2 投标人有以下情形之一的，按照无效投标处理：</w:t>
      </w:r>
    </w:p>
    <w:p w14:paraId="0B34A237">
      <w:pPr>
        <w:pStyle w:val="156"/>
        <w:adjustRightInd w:val="0"/>
        <w:snapToGrid w:val="0"/>
        <w:spacing w:line="360" w:lineRule="auto"/>
        <w:ind w:firstLine="480" w:firstLineChars="200"/>
        <w:rPr>
          <w:rFonts w:hint="eastAsia" w:ascii="宋体" w:hAnsi="宋体" w:eastAsia="仿宋"/>
          <w:sz w:val="24"/>
          <w:szCs w:val="24"/>
          <w:highlight w:val="none"/>
        </w:rPr>
      </w:pPr>
      <w:r>
        <w:rPr>
          <w:rFonts w:hint="eastAsia" w:ascii="宋体" w:hAnsi="宋体" w:eastAsia="仿宋"/>
          <w:sz w:val="24"/>
          <w:szCs w:val="24"/>
          <w:highlight w:val="none"/>
        </w:rPr>
        <w:t>（1）不按评标委员会要求澄清、说明或补正的；</w:t>
      </w:r>
    </w:p>
    <w:p w14:paraId="0C8E904F">
      <w:pPr>
        <w:pStyle w:val="156"/>
        <w:adjustRightInd w:val="0"/>
        <w:snapToGrid w:val="0"/>
        <w:spacing w:line="360" w:lineRule="auto"/>
        <w:ind w:firstLine="480" w:firstLineChars="200"/>
        <w:rPr>
          <w:rFonts w:hint="eastAsia" w:ascii="宋体" w:hAnsi="宋体" w:eastAsia="仿宋"/>
          <w:sz w:val="24"/>
          <w:szCs w:val="24"/>
          <w:highlight w:val="none"/>
        </w:rPr>
      </w:pPr>
      <w:r>
        <w:rPr>
          <w:rFonts w:hint="eastAsia" w:ascii="宋体" w:hAnsi="宋体" w:eastAsia="仿宋"/>
          <w:sz w:val="24"/>
          <w:szCs w:val="24"/>
          <w:highlight w:val="none"/>
        </w:rPr>
        <w:t>（2）未实质性响应招标文件的；</w:t>
      </w:r>
    </w:p>
    <w:p w14:paraId="005799BD">
      <w:pPr>
        <w:pStyle w:val="156"/>
        <w:adjustRightInd w:val="0"/>
        <w:snapToGrid w:val="0"/>
        <w:spacing w:line="360" w:lineRule="auto"/>
        <w:ind w:firstLine="480" w:firstLineChars="200"/>
        <w:rPr>
          <w:rFonts w:hint="eastAsia" w:ascii="宋体" w:hAnsi="宋体" w:eastAsia="仿宋"/>
          <w:sz w:val="24"/>
          <w:szCs w:val="24"/>
          <w:highlight w:val="none"/>
        </w:rPr>
      </w:pPr>
      <w:r>
        <w:rPr>
          <w:rFonts w:hint="eastAsia" w:ascii="宋体" w:hAnsi="宋体" w:eastAsia="仿宋"/>
          <w:sz w:val="24"/>
          <w:szCs w:val="24"/>
          <w:highlight w:val="none"/>
        </w:rPr>
        <w:t>（3）投标文件中存在采购人不能接受的其它附加实质性条件的；</w:t>
      </w:r>
    </w:p>
    <w:p w14:paraId="48E6A51A">
      <w:pPr>
        <w:pStyle w:val="156"/>
        <w:adjustRightInd w:val="0"/>
        <w:snapToGrid w:val="0"/>
        <w:spacing w:line="360" w:lineRule="auto"/>
        <w:ind w:firstLine="480" w:firstLineChars="200"/>
        <w:rPr>
          <w:rFonts w:hint="eastAsia" w:ascii="宋体" w:hAnsi="宋体" w:eastAsia="仿宋"/>
          <w:sz w:val="24"/>
          <w:szCs w:val="24"/>
          <w:highlight w:val="none"/>
        </w:rPr>
      </w:pPr>
      <w:r>
        <w:rPr>
          <w:rFonts w:hint="eastAsia" w:ascii="宋体" w:hAnsi="宋体" w:eastAsia="仿宋"/>
          <w:sz w:val="24"/>
          <w:szCs w:val="24"/>
          <w:highlight w:val="none"/>
        </w:rPr>
        <w:t>（4）串通投标或弄虚作假或有其他违法行为的；</w:t>
      </w:r>
    </w:p>
    <w:p w14:paraId="07F23E14">
      <w:pPr>
        <w:pStyle w:val="156"/>
        <w:adjustRightInd w:val="0"/>
        <w:snapToGrid w:val="0"/>
        <w:spacing w:line="360" w:lineRule="auto"/>
        <w:ind w:firstLine="480" w:firstLineChars="200"/>
        <w:rPr>
          <w:rFonts w:hint="eastAsia" w:ascii="宋体" w:hAnsi="宋体" w:eastAsia="仿宋"/>
          <w:sz w:val="24"/>
          <w:szCs w:val="24"/>
          <w:highlight w:val="none"/>
        </w:rPr>
      </w:pPr>
      <w:r>
        <w:rPr>
          <w:rFonts w:hint="eastAsia" w:ascii="宋体" w:hAnsi="宋体" w:eastAsia="仿宋"/>
          <w:sz w:val="24"/>
          <w:szCs w:val="24"/>
          <w:highlight w:val="none"/>
        </w:rPr>
        <w:t>（5）法律、法规和规章规定的其他情形的。</w:t>
      </w:r>
    </w:p>
    <w:p w14:paraId="78F1DCD6">
      <w:pPr>
        <w:pStyle w:val="156"/>
        <w:adjustRightInd w:val="0"/>
        <w:snapToGrid w:val="0"/>
        <w:spacing w:line="360" w:lineRule="auto"/>
        <w:ind w:firstLine="480" w:firstLineChars="200"/>
        <w:rPr>
          <w:rFonts w:hint="eastAsia" w:ascii="宋体" w:hAnsi="宋体" w:eastAsia="仿宋"/>
          <w:sz w:val="24"/>
          <w:szCs w:val="24"/>
          <w:highlight w:val="none"/>
        </w:rPr>
      </w:pPr>
      <w:r>
        <w:rPr>
          <w:rFonts w:hint="eastAsia" w:ascii="宋体" w:hAnsi="宋体" w:eastAsia="仿宋"/>
          <w:sz w:val="24"/>
          <w:szCs w:val="24"/>
          <w:highlight w:val="none"/>
        </w:rPr>
        <w:t>4.2.3 投标文件报价出现前后不一致的，按照下列规定修正：</w:t>
      </w:r>
    </w:p>
    <w:p w14:paraId="328A9233">
      <w:pPr>
        <w:pStyle w:val="156"/>
        <w:adjustRightInd w:val="0"/>
        <w:snapToGrid w:val="0"/>
        <w:spacing w:line="360" w:lineRule="auto"/>
        <w:ind w:firstLine="480" w:firstLineChars="200"/>
        <w:rPr>
          <w:rFonts w:hint="eastAsia" w:ascii="宋体" w:hAnsi="宋体" w:eastAsia="仿宋"/>
          <w:sz w:val="24"/>
          <w:szCs w:val="24"/>
          <w:highlight w:val="none"/>
        </w:rPr>
      </w:pPr>
      <w:r>
        <w:rPr>
          <w:rFonts w:hint="eastAsia" w:ascii="宋体" w:hAnsi="宋体" w:eastAsia="仿宋"/>
          <w:sz w:val="24"/>
          <w:szCs w:val="24"/>
          <w:highlight w:val="none"/>
        </w:rPr>
        <w:t>（1）投标文件中开标一览表（报价表）内容与投标文件中相应内容不一致的，以开标一览表（报价表）为准；</w:t>
      </w:r>
    </w:p>
    <w:p w14:paraId="19CBA2F5">
      <w:pPr>
        <w:pStyle w:val="156"/>
        <w:adjustRightInd w:val="0"/>
        <w:snapToGrid w:val="0"/>
        <w:spacing w:line="360" w:lineRule="auto"/>
        <w:ind w:firstLine="480" w:firstLineChars="200"/>
        <w:rPr>
          <w:rFonts w:hint="eastAsia" w:ascii="宋体" w:hAnsi="宋体" w:eastAsia="仿宋"/>
          <w:sz w:val="24"/>
          <w:szCs w:val="24"/>
          <w:highlight w:val="none"/>
        </w:rPr>
      </w:pPr>
      <w:r>
        <w:rPr>
          <w:rFonts w:hint="eastAsia" w:ascii="宋体" w:hAnsi="宋体" w:eastAsia="仿宋"/>
          <w:sz w:val="24"/>
          <w:szCs w:val="24"/>
          <w:highlight w:val="none"/>
        </w:rPr>
        <w:t>（2）大写金额和小写金额不一致的，以大写金额为准；</w:t>
      </w:r>
    </w:p>
    <w:p w14:paraId="2341DFCB">
      <w:pPr>
        <w:pStyle w:val="156"/>
        <w:adjustRightInd w:val="0"/>
        <w:snapToGrid w:val="0"/>
        <w:spacing w:line="360" w:lineRule="auto"/>
        <w:ind w:firstLine="480" w:firstLineChars="200"/>
        <w:rPr>
          <w:rFonts w:hint="eastAsia" w:ascii="宋体" w:hAnsi="宋体" w:eastAsia="仿宋"/>
          <w:sz w:val="24"/>
          <w:szCs w:val="24"/>
          <w:highlight w:val="none"/>
        </w:rPr>
      </w:pPr>
      <w:r>
        <w:rPr>
          <w:rFonts w:hint="eastAsia" w:ascii="宋体" w:hAnsi="宋体" w:eastAsia="仿宋"/>
          <w:sz w:val="24"/>
          <w:szCs w:val="24"/>
          <w:highlight w:val="none"/>
        </w:rPr>
        <w:t>（3）单价金额小数点或者百分比有明显错位的，以开标一览表的总价为准，并修改单价；</w:t>
      </w:r>
    </w:p>
    <w:p w14:paraId="32E68CE0">
      <w:pPr>
        <w:pStyle w:val="156"/>
        <w:adjustRightInd w:val="0"/>
        <w:snapToGrid w:val="0"/>
        <w:spacing w:line="360" w:lineRule="auto"/>
        <w:ind w:firstLine="480" w:firstLineChars="200"/>
        <w:rPr>
          <w:rFonts w:hint="eastAsia" w:ascii="宋体" w:hAnsi="宋体" w:eastAsia="仿宋"/>
          <w:sz w:val="24"/>
          <w:szCs w:val="24"/>
          <w:highlight w:val="none"/>
        </w:rPr>
      </w:pPr>
      <w:r>
        <w:rPr>
          <w:rFonts w:hint="eastAsia" w:ascii="宋体" w:hAnsi="宋体" w:eastAsia="仿宋"/>
          <w:sz w:val="24"/>
          <w:szCs w:val="24"/>
          <w:highlight w:val="none"/>
        </w:rPr>
        <w:t>（4）总价金额与按单价汇总金额不一致的，以单价金额计算结果为准。</w:t>
      </w:r>
    </w:p>
    <w:p w14:paraId="397E58B8">
      <w:pPr>
        <w:pStyle w:val="156"/>
        <w:adjustRightInd w:val="0"/>
        <w:snapToGrid w:val="0"/>
        <w:spacing w:line="360" w:lineRule="auto"/>
        <w:ind w:firstLine="480" w:firstLineChars="200"/>
        <w:rPr>
          <w:rFonts w:hint="eastAsia" w:ascii="宋体" w:hAnsi="宋体" w:eastAsia="仿宋"/>
          <w:sz w:val="24"/>
          <w:szCs w:val="24"/>
          <w:highlight w:val="none"/>
        </w:rPr>
      </w:pPr>
      <w:r>
        <w:rPr>
          <w:rFonts w:hint="eastAsia" w:ascii="宋体" w:hAnsi="宋体" w:eastAsia="仿宋"/>
          <w:sz w:val="24"/>
          <w:szCs w:val="24"/>
          <w:highlight w:val="none"/>
        </w:rPr>
        <w:t>同时出现两种以上不一致的，按照前款规定的顺序修正。修正后的报价经投标人确认后产生约束力，投标人不确认的，其投标无效。</w:t>
      </w:r>
    </w:p>
    <w:p w14:paraId="63752AC4">
      <w:pPr>
        <w:pStyle w:val="156"/>
        <w:adjustRightInd w:val="0"/>
        <w:snapToGrid w:val="0"/>
        <w:spacing w:line="360" w:lineRule="auto"/>
        <w:ind w:firstLine="480" w:firstLineChars="200"/>
        <w:rPr>
          <w:rFonts w:hint="eastAsia" w:ascii="宋体" w:hAnsi="宋体" w:eastAsia="仿宋"/>
          <w:sz w:val="24"/>
          <w:szCs w:val="24"/>
          <w:highlight w:val="none"/>
        </w:rPr>
      </w:pPr>
      <w:r>
        <w:rPr>
          <w:rFonts w:hint="eastAsia" w:ascii="宋体" w:hAnsi="宋体" w:eastAsia="仿宋"/>
          <w:sz w:val="24"/>
          <w:szCs w:val="24"/>
          <w:highlight w:val="none"/>
        </w:rPr>
        <w:t>中标后，按修正后的投标报价为基准，按同比例修正各单价。</w:t>
      </w:r>
    </w:p>
    <w:p w14:paraId="601E5BD7">
      <w:pPr>
        <w:pStyle w:val="156"/>
        <w:adjustRightInd w:val="0"/>
        <w:snapToGrid w:val="0"/>
        <w:spacing w:line="360" w:lineRule="auto"/>
        <w:ind w:firstLine="480" w:firstLineChars="200"/>
        <w:rPr>
          <w:rFonts w:hint="eastAsia" w:ascii="宋体" w:hAnsi="宋体" w:eastAsia="仿宋"/>
          <w:sz w:val="24"/>
          <w:szCs w:val="24"/>
          <w:highlight w:val="none"/>
        </w:rPr>
      </w:pPr>
      <w:r>
        <w:rPr>
          <w:rFonts w:hint="eastAsia" w:ascii="宋体" w:hAnsi="宋体" w:eastAsia="仿宋"/>
          <w:sz w:val="24"/>
          <w:szCs w:val="24"/>
          <w:highlight w:val="none"/>
        </w:rPr>
        <w:t>4.2.4 评标委员会按照规定的原则对投标报价进行校核时，发现投标报价存在多处算术错误或漏项的，使得投标报价校核无法进行的，其投标按无效处理。</w:t>
      </w:r>
    </w:p>
    <w:p w14:paraId="7D10A57D">
      <w:pPr>
        <w:widowControl/>
        <w:adjustRightInd w:val="0"/>
        <w:snapToGrid w:val="0"/>
        <w:spacing w:line="360" w:lineRule="auto"/>
        <w:ind w:firstLine="480" w:firstLineChars="200"/>
        <w:rPr>
          <w:rFonts w:hint="eastAsia" w:ascii="宋体" w:hAnsi="宋体" w:eastAsia="仿宋"/>
          <w:sz w:val="24"/>
          <w:highlight w:val="none"/>
        </w:rPr>
      </w:pPr>
      <w:r>
        <w:rPr>
          <w:rFonts w:hint="eastAsia" w:ascii="宋体" w:hAnsi="宋体" w:eastAsia="仿宋"/>
          <w:sz w:val="24"/>
          <w:highlight w:val="none"/>
        </w:rPr>
        <w:t>4.2.5 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14:paraId="4B359DE8">
      <w:pPr>
        <w:widowControl/>
        <w:adjustRightInd w:val="0"/>
        <w:snapToGrid w:val="0"/>
        <w:spacing w:line="360" w:lineRule="auto"/>
        <w:ind w:firstLine="480" w:firstLineChars="200"/>
        <w:rPr>
          <w:rFonts w:hint="eastAsia" w:ascii="宋体" w:hAnsi="宋体" w:eastAsia="仿宋"/>
          <w:sz w:val="24"/>
          <w:highlight w:val="none"/>
        </w:rPr>
      </w:pPr>
      <w:r>
        <w:rPr>
          <w:rFonts w:hint="eastAsia" w:ascii="宋体" w:hAnsi="宋体" w:eastAsia="仿宋"/>
          <w:sz w:val="24"/>
          <w:highlight w:val="none"/>
        </w:rPr>
        <w:t>4.2.6 投标报价出现下列情形的，投标无效：</w:t>
      </w:r>
    </w:p>
    <w:p w14:paraId="47231776">
      <w:pPr>
        <w:widowControl/>
        <w:adjustRightInd w:val="0"/>
        <w:snapToGrid w:val="0"/>
        <w:spacing w:line="360" w:lineRule="auto"/>
        <w:ind w:firstLine="480" w:firstLineChars="200"/>
        <w:rPr>
          <w:rFonts w:hint="eastAsia" w:ascii="宋体" w:hAnsi="宋体" w:eastAsia="仿宋"/>
          <w:sz w:val="24"/>
          <w:highlight w:val="none"/>
        </w:rPr>
      </w:pPr>
      <w:r>
        <w:rPr>
          <w:rFonts w:hint="eastAsia" w:ascii="宋体" w:hAnsi="宋体" w:eastAsia="仿宋"/>
          <w:sz w:val="24"/>
          <w:highlight w:val="none"/>
        </w:rPr>
        <w:t>（1）投标文件提交两个及以上的投标报价、提交任何有选择性的报价或者提交有附加条件的报价的投标将按无效处理，投标人须知前附表允许递交备选方案的除外；</w:t>
      </w:r>
    </w:p>
    <w:p w14:paraId="5F4A24F9">
      <w:pPr>
        <w:widowControl/>
        <w:adjustRightInd w:val="0"/>
        <w:snapToGrid w:val="0"/>
        <w:spacing w:line="360" w:lineRule="auto"/>
        <w:ind w:firstLine="480" w:firstLineChars="200"/>
        <w:rPr>
          <w:rFonts w:hint="eastAsia" w:ascii="宋体" w:hAnsi="宋体" w:eastAsia="仿宋"/>
          <w:sz w:val="24"/>
          <w:highlight w:val="none"/>
        </w:rPr>
      </w:pPr>
      <w:r>
        <w:rPr>
          <w:rFonts w:hint="eastAsia" w:ascii="宋体" w:hAnsi="宋体" w:eastAsia="仿宋"/>
          <w:sz w:val="24"/>
          <w:highlight w:val="none"/>
        </w:rPr>
        <w:t>（2）投标报价超过招标文件中规定的预算金额或者最高限价的；</w:t>
      </w:r>
    </w:p>
    <w:p w14:paraId="33B9772E">
      <w:pPr>
        <w:widowControl/>
        <w:adjustRightInd w:val="0"/>
        <w:snapToGrid w:val="0"/>
        <w:spacing w:line="360" w:lineRule="auto"/>
        <w:ind w:firstLine="480" w:firstLineChars="200"/>
        <w:rPr>
          <w:rFonts w:hint="eastAsia" w:ascii="宋体" w:hAnsi="宋体" w:eastAsia="仿宋"/>
          <w:sz w:val="24"/>
          <w:highlight w:val="none"/>
        </w:rPr>
      </w:pPr>
      <w:r>
        <w:rPr>
          <w:rFonts w:hint="eastAsia" w:ascii="宋体" w:hAnsi="宋体" w:eastAsia="仿宋"/>
          <w:sz w:val="24"/>
          <w:highlight w:val="none"/>
        </w:rPr>
        <w:t>（3）评标委员会认为投标人的报价明显低于其他通过符合性审查投标人的报价，有可能影响产品质量或者不能诚信履约的，投标人未能按要求提供书面说明或者提交相关证明材料证明其报价合理性的；</w:t>
      </w:r>
    </w:p>
    <w:p w14:paraId="4E02AB69">
      <w:pPr>
        <w:widowControl/>
        <w:adjustRightInd w:val="0"/>
        <w:snapToGrid w:val="0"/>
        <w:spacing w:line="360" w:lineRule="auto"/>
        <w:ind w:firstLine="480" w:firstLineChars="200"/>
        <w:rPr>
          <w:rFonts w:hint="eastAsia" w:ascii="宋体" w:hAnsi="宋体" w:eastAsia="仿宋"/>
          <w:sz w:val="24"/>
          <w:highlight w:val="none"/>
        </w:rPr>
      </w:pPr>
      <w:r>
        <w:rPr>
          <w:rFonts w:hint="eastAsia" w:ascii="宋体" w:hAnsi="宋体" w:eastAsia="仿宋"/>
          <w:sz w:val="24"/>
          <w:highlight w:val="none"/>
        </w:rPr>
        <w:t>（4）投标人对根据本章第二节4.2.3项规定修正后的报价不确认的。</w:t>
      </w:r>
    </w:p>
    <w:p w14:paraId="7D93928A">
      <w:pPr>
        <w:pStyle w:val="157"/>
        <w:adjustRightInd w:val="0"/>
        <w:snapToGrid w:val="0"/>
        <w:spacing w:before="0" w:line="360" w:lineRule="auto"/>
        <w:ind w:firstLine="482" w:firstLineChars="200"/>
        <w:rPr>
          <w:rFonts w:hint="eastAsia" w:ascii="宋体" w:hAnsi="宋体" w:eastAsia="仿宋"/>
          <w:b/>
          <w:sz w:val="24"/>
          <w:szCs w:val="24"/>
          <w:highlight w:val="none"/>
        </w:rPr>
      </w:pPr>
      <w:r>
        <w:rPr>
          <w:rFonts w:hint="eastAsia" w:ascii="宋体" w:hAnsi="宋体" w:eastAsia="仿宋"/>
          <w:b/>
          <w:sz w:val="24"/>
          <w:szCs w:val="24"/>
          <w:highlight w:val="none"/>
        </w:rPr>
        <w:t>4.3 详细评审</w:t>
      </w:r>
    </w:p>
    <w:p w14:paraId="27D94007">
      <w:pPr>
        <w:pStyle w:val="156"/>
        <w:adjustRightInd w:val="0"/>
        <w:snapToGrid w:val="0"/>
        <w:spacing w:line="360" w:lineRule="auto"/>
        <w:ind w:firstLine="480" w:firstLineChars="200"/>
        <w:rPr>
          <w:rFonts w:hint="eastAsia" w:ascii="宋体" w:hAnsi="宋体" w:eastAsia="仿宋"/>
          <w:sz w:val="24"/>
          <w:szCs w:val="24"/>
          <w:highlight w:val="none"/>
        </w:rPr>
      </w:pPr>
      <w:r>
        <w:rPr>
          <w:rFonts w:hint="eastAsia" w:ascii="宋体" w:hAnsi="宋体" w:eastAsia="仿宋"/>
          <w:sz w:val="24"/>
          <w:szCs w:val="24"/>
          <w:highlight w:val="none"/>
        </w:rPr>
        <w:t>4.3.1 评标委员会按本章</w:t>
      </w:r>
      <w:r>
        <w:rPr>
          <w:rFonts w:hint="eastAsia" w:ascii="宋体" w:hAnsi="宋体" w:eastAsia="仿宋"/>
          <w:sz w:val="24"/>
          <w:highlight w:val="none"/>
        </w:rPr>
        <w:t>第二节</w:t>
      </w:r>
      <w:r>
        <w:rPr>
          <w:rFonts w:hint="eastAsia" w:ascii="宋体" w:hAnsi="宋体" w:eastAsia="仿宋"/>
          <w:sz w:val="24"/>
          <w:szCs w:val="24"/>
          <w:highlight w:val="none"/>
        </w:rPr>
        <w:t>3.2款规定的标准进行评分，并计算各投标人综合评审得分。</w:t>
      </w:r>
    </w:p>
    <w:p w14:paraId="3286160D">
      <w:pPr>
        <w:pStyle w:val="156"/>
        <w:adjustRightInd w:val="0"/>
        <w:snapToGrid w:val="0"/>
        <w:spacing w:line="360" w:lineRule="auto"/>
        <w:ind w:firstLine="480" w:firstLineChars="200"/>
        <w:rPr>
          <w:rFonts w:hint="eastAsia" w:ascii="宋体" w:hAnsi="宋体" w:eastAsia="仿宋"/>
          <w:sz w:val="24"/>
          <w:szCs w:val="24"/>
          <w:highlight w:val="none"/>
        </w:rPr>
      </w:pPr>
      <w:r>
        <w:rPr>
          <w:rFonts w:hint="eastAsia" w:ascii="宋体" w:hAnsi="宋体" w:eastAsia="仿宋"/>
          <w:sz w:val="24"/>
          <w:szCs w:val="24"/>
          <w:highlight w:val="none"/>
        </w:rPr>
        <w:t xml:space="preserve">4.3.2 </w:t>
      </w:r>
      <w:r>
        <w:rPr>
          <w:rFonts w:hint="eastAsia" w:ascii="宋体" w:hAnsi="宋体" w:eastAsia="仿宋"/>
          <w:color w:val="000000"/>
          <w:sz w:val="24"/>
          <w:szCs w:val="24"/>
          <w:highlight w:val="none"/>
        </w:rPr>
        <w:t>评标委员</w:t>
      </w:r>
      <w:r>
        <w:rPr>
          <w:rFonts w:hint="eastAsia" w:ascii="宋体" w:hAnsi="宋体" w:eastAsia="仿宋"/>
          <w:sz w:val="24"/>
          <w:szCs w:val="24"/>
          <w:highlight w:val="none"/>
        </w:rPr>
        <w:t>会成员对投标人的价格分和客观评分项的评分应当一致。采购人、采购代理机构应当对评审数据进行校对、核对。</w:t>
      </w:r>
    </w:p>
    <w:p w14:paraId="633A00A2">
      <w:pPr>
        <w:pStyle w:val="156"/>
        <w:adjustRightInd w:val="0"/>
        <w:snapToGrid w:val="0"/>
        <w:spacing w:line="360" w:lineRule="auto"/>
        <w:ind w:firstLine="480" w:firstLineChars="200"/>
        <w:rPr>
          <w:rFonts w:hint="eastAsia" w:ascii="宋体" w:hAnsi="宋体" w:eastAsia="仿宋"/>
          <w:sz w:val="24"/>
          <w:szCs w:val="24"/>
          <w:highlight w:val="none"/>
        </w:rPr>
      </w:pPr>
      <w:r>
        <w:rPr>
          <w:rFonts w:hint="eastAsia" w:ascii="宋体" w:hAnsi="宋体" w:eastAsia="仿宋"/>
          <w:sz w:val="24"/>
          <w:szCs w:val="24"/>
          <w:highlight w:val="none"/>
        </w:rPr>
        <w:t>4.3.3 评分分值计算保留小数点后两位，小数点后第三位“四舍五入”。</w:t>
      </w:r>
    </w:p>
    <w:p w14:paraId="06F25AE8">
      <w:pPr>
        <w:pStyle w:val="156"/>
        <w:adjustRightInd w:val="0"/>
        <w:snapToGrid w:val="0"/>
        <w:spacing w:line="360" w:lineRule="auto"/>
        <w:ind w:firstLine="480" w:firstLineChars="200"/>
        <w:rPr>
          <w:rFonts w:hint="eastAsia" w:ascii="宋体" w:hAnsi="宋体" w:eastAsia="仿宋"/>
          <w:sz w:val="24"/>
          <w:szCs w:val="24"/>
          <w:highlight w:val="none"/>
        </w:rPr>
      </w:pPr>
      <w:r>
        <w:rPr>
          <w:rFonts w:hint="eastAsia" w:ascii="宋体" w:hAnsi="宋体" w:eastAsia="仿宋"/>
          <w:sz w:val="24"/>
          <w:szCs w:val="24"/>
          <w:highlight w:val="none"/>
        </w:rPr>
        <w:t>4.3.4 相同品牌产品参加投标时，按以下要求确定中标人推荐资格：</w:t>
      </w:r>
    </w:p>
    <w:p w14:paraId="279A2055">
      <w:pPr>
        <w:pStyle w:val="156"/>
        <w:adjustRightInd w:val="0"/>
        <w:snapToGrid w:val="0"/>
        <w:spacing w:line="360" w:lineRule="auto"/>
        <w:ind w:firstLine="480" w:firstLineChars="200"/>
        <w:rPr>
          <w:rFonts w:hint="eastAsia" w:ascii="宋体" w:hAnsi="宋体" w:eastAsia="仿宋"/>
          <w:sz w:val="24"/>
          <w:szCs w:val="24"/>
          <w:highlight w:val="none"/>
        </w:rPr>
      </w:pPr>
      <w:r>
        <w:rPr>
          <w:rFonts w:hint="eastAsia" w:ascii="宋体" w:hAnsi="宋体" w:eastAsia="仿宋"/>
          <w:sz w:val="24"/>
          <w:szCs w:val="24"/>
          <w:highlight w:val="none"/>
        </w:rPr>
        <w:t>采用综合评分法时：</w:t>
      </w:r>
    </w:p>
    <w:p w14:paraId="69BB0C63">
      <w:pPr>
        <w:pStyle w:val="156"/>
        <w:adjustRightInd w:val="0"/>
        <w:snapToGrid w:val="0"/>
        <w:spacing w:line="360" w:lineRule="auto"/>
        <w:ind w:firstLine="480" w:firstLineChars="200"/>
        <w:rPr>
          <w:rFonts w:hint="eastAsia" w:ascii="宋体" w:hAnsi="宋体" w:eastAsia="仿宋"/>
          <w:sz w:val="24"/>
          <w:szCs w:val="24"/>
          <w:highlight w:val="none"/>
        </w:rPr>
      </w:pPr>
      <w:r>
        <w:rPr>
          <w:rFonts w:hint="eastAsia" w:ascii="宋体" w:hAnsi="宋体" w:eastAsia="仿宋"/>
          <w:sz w:val="24"/>
          <w:szCs w:val="24"/>
          <w:highlight w:val="none"/>
        </w:rPr>
        <w:t>单一产品采购项目，提供相同品牌产品且通过资格审查、符合性审查的不同投标人参加同一合同项下投标的，按一家投标人计算，评审后得分最高的同品牌投标人获得中标人推荐资格；评审得分相同的，由评标委员会随机抽签确定；其他同品牌投标人不作为中标候选人。</w:t>
      </w:r>
    </w:p>
    <w:p w14:paraId="0137E24E">
      <w:pPr>
        <w:pStyle w:val="156"/>
        <w:adjustRightInd w:val="0"/>
        <w:snapToGrid w:val="0"/>
        <w:spacing w:line="360" w:lineRule="auto"/>
        <w:ind w:firstLine="480" w:firstLineChars="200"/>
        <w:rPr>
          <w:rFonts w:hint="eastAsia" w:ascii="宋体" w:hAnsi="宋体" w:eastAsia="仿宋"/>
          <w:sz w:val="24"/>
          <w:szCs w:val="24"/>
          <w:highlight w:val="none"/>
        </w:rPr>
      </w:pPr>
      <w:r>
        <w:rPr>
          <w:rFonts w:hint="eastAsia" w:ascii="宋体" w:hAnsi="宋体" w:eastAsia="仿宋"/>
          <w:sz w:val="24"/>
          <w:szCs w:val="24"/>
          <w:highlight w:val="none"/>
        </w:rPr>
        <w:t>非单一产品采购项目，核心产品提供相同品牌产品且通过资格审查、符合性审查的不同投标人参加同一合同项下投标的，按一家投标人计算，评审后得分最高的同品牌投标人获得中标人推荐资格；评审得分相同的，由评标委员会随机抽签确定；其他同品牌投标人不作为中标候选人。</w:t>
      </w:r>
    </w:p>
    <w:p w14:paraId="1880EF06">
      <w:pPr>
        <w:pStyle w:val="157"/>
        <w:adjustRightInd w:val="0"/>
        <w:snapToGrid w:val="0"/>
        <w:spacing w:before="0" w:line="360" w:lineRule="auto"/>
        <w:ind w:firstLine="482" w:firstLineChars="200"/>
        <w:rPr>
          <w:rFonts w:hint="eastAsia" w:ascii="宋体" w:hAnsi="宋体" w:eastAsia="仿宋"/>
          <w:b/>
          <w:sz w:val="24"/>
          <w:szCs w:val="24"/>
          <w:highlight w:val="none"/>
        </w:rPr>
      </w:pPr>
      <w:bookmarkStart w:id="847" w:name="_Toc445554771"/>
      <w:bookmarkStart w:id="848" w:name="_Toc466024570"/>
      <w:bookmarkStart w:id="849" w:name="_Toc455587287"/>
      <w:bookmarkStart w:id="850" w:name="_Toc455587103"/>
      <w:r>
        <w:rPr>
          <w:rFonts w:hint="eastAsia" w:ascii="宋体" w:hAnsi="宋体" w:eastAsia="仿宋"/>
          <w:b/>
          <w:sz w:val="24"/>
          <w:szCs w:val="24"/>
          <w:highlight w:val="none"/>
        </w:rPr>
        <w:t>4.4 投标文件的澄清</w:t>
      </w:r>
      <w:bookmarkEnd w:id="847"/>
      <w:bookmarkEnd w:id="848"/>
      <w:bookmarkEnd w:id="849"/>
      <w:bookmarkEnd w:id="850"/>
    </w:p>
    <w:p w14:paraId="127B35FD">
      <w:pPr>
        <w:pStyle w:val="156"/>
        <w:adjustRightInd w:val="0"/>
        <w:spacing w:line="360" w:lineRule="auto"/>
        <w:ind w:firstLine="480" w:firstLineChars="200"/>
        <w:rPr>
          <w:rFonts w:hint="eastAsia" w:ascii="宋体" w:hAnsi="宋体" w:eastAsia="仿宋"/>
          <w:sz w:val="24"/>
          <w:szCs w:val="24"/>
          <w:highlight w:val="none"/>
        </w:rPr>
      </w:pPr>
      <w:r>
        <w:rPr>
          <w:rFonts w:hint="eastAsia" w:ascii="宋体" w:hAnsi="宋体" w:eastAsia="仿宋"/>
          <w:sz w:val="24"/>
          <w:szCs w:val="24"/>
          <w:highlight w:val="none"/>
        </w:rPr>
        <w:t>4.4.1 评标过程中，评标委员会可以要求投标人对投标文件中含义不明确、同类问题表述不一致或者有明显文字和计算错误的内容等作出必要的澄清、说明或者补正。投标人的澄清、说明或者补正不得超出投标文件的范围或者改变投标文件的实质性内容（算术性错误修正的除外）。投标人的书面澄清、说明和补正属于投标文件的组成部分。</w:t>
      </w:r>
    </w:p>
    <w:p w14:paraId="5F3894F1">
      <w:pPr>
        <w:pStyle w:val="156"/>
        <w:adjustRightInd w:val="0"/>
        <w:spacing w:line="360" w:lineRule="auto"/>
        <w:ind w:firstLine="480" w:firstLineChars="200"/>
        <w:rPr>
          <w:rFonts w:hint="eastAsia" w:ascii="宋体" w:hAnsi="宋体" w:eastAsia="仿宋"/>
          <w:sz w:val="24"/>
          <w:szCs w:val="24"/>
          <w:highlight w:val="none"/>
        </w:rPr>
      </w:pPr>
      <w:r>
        <w:rPr>
          <w:rFonts w:hint="eastAsia" w:ascii="宋体" w:hAnsi="宋体" w:eastAsia="仿宋"/>
          <w:sz w:val="24"/>
          <w:szCs w:val="24"/>
          <w:highlight w:val="none"/>
        </w:rPr>
        <w:t>4.4.2 评标委员会要求投标人澄清、说明或者更正投标文件应当以书面形式作出。投标人的澄清、说明或者更正应当由法定代表人（单位负责人）或其授权代表签字或者加盖公章。由授权代表签字的，应当附法定代表人（单位负责人）授权书。投标人为自然人的，应当由本人签字并附身份证明。</w:t>
      </w:r>
    </w:p>
    <w:p w14:paraId="3C8F2821">
      <w:pPr>
        <w:pStyle w:val="156"/>
        <w:adjustRightInd w:val="0"/>
        <w:spacing w:line="360" w:lineRule="auto"/>
        <w:ind w:firstLine="480" w:firstLineChars="200"/>
        <w:rPr>
          <w:rFonts w:hint="eastAsia" w:ascii="宋体" w:hAnsi="宋体" w:eastAsia="仿宋"/>
          <w:sz w:val="24"/>
          <w:szCs w:val="24"/>
          <w:highlight w:val="none"/>
        </w:rPr>
      </w:pPr>
      <w:r>
        <w:rPr>
          <w:rFonts w:hint="eastAsia" w:ascii="宋体" w:hAnsi="宋体" w:eastAsia="仿宋"/>
          <w:sz w:val="24"/>
          <w:szCs w:val="24"/>
          <w:highlight w:val="none"/>
        </w:rPr>
        <w:t>4.4.3 评标委员会对投标人提交的澄清、说明或补正有疑问的，可以要求投标人进一步澄清、说明或补正，直至满足评标委员会的要求。</w:t>
      </w:r>
    </w:p>
    <w:p w14:paraId="52147081">
      <w:pPr>
        <w:pStyle w:val="156"/>
        <w:adjustRightInd w:val="0"/>
        <w:spacing w:line="360" w:lineRule="auto"/>
        <w:ind w:firstLine="480" w:firstLineChars="200"/>
        <w:rPr>
          <w:rFonts w:hint="eastAsia" w:ascii="宋体" w:hAnsi="宋体" w:eastAsia="仿宋"/>
          <w:sz w:val="24"/>
          <w:szCs w:val="24"/>
          <w:highlight w:val="none"/>
        </w:rPr>
      </w:pPr>
      <w:r>
        <w:rPr>
          <w:rFonts w:hint="eastAsia" w:ascii="宋体" w:hAnsi="宋体" w:eastAsia="仿宋"/>
          <w:sz w:val="24"/>
          <w:szCs w:val="24"/>
          <w:highlight w:val="none"/>
        </w:rPr>
        <w:t>4.4.4 实质上没有响应招标文件要求的投标将被拒绝。投标人不得通过修正或撤销不合要求的偏离或保留从而使其投标成为实质上响应的投标。评标委员会不接受投标人主动提出的澄清、说明或补正。</w:t>
      </w:r>
    </w:p>
    <w:p w14:paraId="5889D936">
      <w:pPr>
        <w:pStyle w:val="157"/>
        <w:adjustRightInd w:val="0"/>
        <w:snapToGrid w:val="0"/>
        <w:spacing w:before="0" w:line="360" w:lineRule="auto"/>
        <w:ind w:firstLine="482" w:firstLineChars="200"/>
        <w:rPr>
          <w:rFonts w:hint="eastAsia" w:ascii="宋体" w:hAnsi="宋体" w:eastAsia="仿宋"/>
          <w:b/>
          <w:sz w:val="24"/>
          <w:szCs w:val="24"/>
          <w:highlight w:val="none"/>
        </w:rPr>
      </w:pPr>
      <w:bookmarkStart w:id="851" w:name="_Toc445554772"/>
      <w:bookmarkStart w:id="852" w:name="_Toc455587104"/>
      <w:bookmarkStart w:id="853" w:name="_Toc455587288"/>
      <w:bookmarkStart w:id="854" w:name="_Toc466024571"/>
      <w:r>
        <w:rPr>
          <w:rFonts w:hint="eastAsia" w:ascii="宋体" w:hAnsi="宋体" w:eastAsia="仿宋"/>
          <w:b/>
          <w:sz w:val="24"/>
          <w:szCs w:val="24"/>
          <w:highlight w:val="none"/>
        </w:rPr>
        <w:t>4.5 评标结果</w:t>
      </w:r>
      <w:bookmarkEnd w:id="851"/>
      <w:bookmarkEnd w:id="852"/>
      <w:bookmarkEnd w:id="853"/>
      <w:bookmarkEnd w:id="854"/>
    </w:p>
    <w:p w14:paraId="3FC65E75">
      <w:pPr>
        <w:pStyle w:val="156"/>
        <w:adjustRightInd w:val="0"/>
        <w:snapToGrid w:val="0"/>
        <w:spacing w:line="360" w:lineRule="auto"/>
        <w:ind w:firstLine="480" w:firstLineChars="200"/>
        <w:rPr>
          <w:rFonts w:hint="eastAsia" w:ascii="宋体" w:hAnsi="宋体" w:eastAsia="仿宋"/>
          <w:sz w:val="24"/>
          <w:szCs w:val="24"/>
          <w:highlight w:val="none"/>
        </w:rPr>
      </w:pPr>
      <w:r>
        <w:rPr>
          <w:rFonts w:hint="eastAsia" w:ascii="宋体" w:hAnsi="宋体" w:eastAsia="仿宋"/>
          <w:sz w:val="24"/>
          <w:szCs w:val="24"/>
          <w:highlight w:val="none"/>
        </w:rPr>
        <w:t>4.5.1 除第二章投标人须知前附表授权评标委员会直接确定中标人外，评标委员会按照得分由高到低的顺序推荐中标候选人，并标明排序。</w:t>
      </w:r>
    </w:p>
    <w:p w14:paraId="3943DA24">
      <w:pPr>
        <w:pStyle w:val="156"/>
        <w:adjustRightInd w:val="0"/>
        <w:spacing w:line="360" w:lineRule="auto"/>
        <w:ind w:firstLine="480" w:firstLineChars="200"/>
        <w:rPr>
          <w:rFonts w:hint="eastAsia" w:ascii="宋体" w:hAnsi="宋体" w:eastAsia="仿宋"/>
          <w:sz w:val="24"/>
          <w:szCs w:val="24"/>
          <w:highlight w:val="none"/>
        </w:rPr>
      </w:pPr>
      <w:r>
        <w:rPr>
          <w:rFonts w:hint="eastAsia" w:ascii="宋体" w:hAnsi="宋体" w:eastAsia="仿宋"/>
          <w:sz w:val="24"/>
          <w:szCs w:val="24"/>
          <w:highlight w:val="none"/>
        </w:rPr>
        <w:t>4.5.2 完成评标后，</w:t>
      </w:r>
      <w:r>
        <w:rPr>
          <w:rFonts w:hint="eastAsia" w:ascii="宋体" w:hAnsi="宋体" w:eastAsia="仿宋" w:cs="宋体"/>
          <w:sz w:val="24"/>
          <w:szCs w:val="24"/>
          <w:highlight w:val="none"/>
        </w:rPr>
        <w:t>评标委员会根据全体评标成员签字的原始评标记录和评标结果编写评标报告。评标报告应当包括以下内容：</w:t>
      </w:r>
    </w:p>
    <w:p w14:paraId="02DA6173">
      <w:pPr>
        <w:pStyle w:val="156"/>
        <w:adjustRightInd w:val="0"/>
        <w:spacing w:line="360" w:lineRule="auto"/>
        <w:ind w:firstLine="480" w:firstLineChars="200"/>
        <w:rPr>
          <w:rFonts w:ascii="宋体" w:hAnsi="宋体" w:eastAsia="仿宋" w:cs="宋体"/>
          <w:sz w:val="24"/>
          <w:szCs w:val="24"/>
          <w:highlight w:val="none"/>
        </w:rPr>
      </w:pPr>
      <w:bookmarkStart w:id="855" w:name="_Toc455587105"/>
      <w:bookmarkStart w:id="856" w:name="_Toc445554773"/>
      <w:bookmarkStart w:id="857" w:name="_Toc455587289"/>
      <w:r>
        <w:rPr>
          <w:rFonts w:hint="eastAsia" w:ascii="宋体" w:hAnsi="宋体" w:eastAsia="仿宋" w:cs="宋体"/>
          <w:sz w:val="24"/>
          <w:szCs w:val="24"/>
          <w:highlight w:val="none"/>
        </w:rPr>
        <w:t>（1）招标公告的发布媒介、开标日期和地点；</w:t>
      </w:r>
    </w:p>
    <w:p w14:paraId="1791C9F0">
      <w:pPr>
        <w:pStyle w:val="156"/>
        <w:adjustRightInd w:val="0"/>
        <w:spacing w:line="360" w:lineRule="auto"/>
        <w:ind w:firstLine="480" w:firstLineChars="200"/>
        <w:rPr>
          <w:rFonts w:ascii="宋体" w:hAnsi="宋体" w:eastAsia="仿宋" w:cs="宋体"/>
          <w:sz w:val="24"/>
          <w:szCs w:val="24"/>
          <w:highlight w:val="none"/>
        </w:rPr>
      </w:pPr>
      <w:r>
        <w:rPr>
          <w:rFonts w:hint="eastAsia" w:ascii="宋体" w:hAnsi="宋体" w:eastAsia="仿宋" w:cs="宋体"/>
          <w:sz w:val="24"/>
          <w:szCs w:val="24"/>
          <w:highlight w:val="none"/>
        </w:rPr>
        <w:t>（2）投标人名单和评标委员会成员名单；</w:t>
      </w:r>
    </w:p>
    <w:p w14:paraId="7171CBFF">
      <w:pPr>
        <w:pStyle w:val="156"/>
        <w:adjustRightInd w:val="0"/>
        <w:spacing w:line="360" w:lineRule="auto"/>
        <w:ind w:firstLine="480" w:firstLineChars="200"/>
        <w:rPr>
          <w:rFonts w:ascii="宋体" w:hAnsi="宋体" w:eastAsia="仿宋" w:cs="宋体"/>
          <w:sz w:val="24"/>
          <w:szCs w:val="24"/>
          <w:highlight w:val="none"/>
        </w:rPr>
      </w:pPr>
      <w:r>
        <w:rPr>
          <w:rFonts w:hint="eastAsia" w:ascii="宋体" w:hAnsi="宋体" w:eastAsia="仿宋" w:cs="宋体"/>
          <w:sz w:val="24"/>
          <w:szCs w:val="24"/>
          <w:highlight w:val="none"/>
        </w:rPr>
        <w:t>（3）评标方法和标准；</w:t>
      </w:r>
    </w:p>
    <w:p w14:paraId="0E1B0A6A">
      <w:pPr>
        <w:pStyle w:val="156"/>
        <w:adjustRightInd w:val="0"/>
        <w:spacing w:line="360" w:lineRule="auto"/>
        <w:ind w:firstLine="480" w:firstLineChars="200"/>
        <w:rPr>
          <w:rFonts w:ascii="宋体" w:hAnsi="宋体" w:eastAsia="仿宋" w:cs="宋体"/>
          <w:sz w:val="24"/>
          <w:szCs w:val="24"/>
          <w:highlight w:val="none"/>
        </w:rPr>
      </w:pPr>
      <w:r>
        <w:rPr>
          <w:rFonts w:hint="eastAsia" w:ascii="宋体" w:hAnsi="宋体" w:eastAsia="仿宋" w:cs="宋体"/>
          <w:sz w:val="24"/>
          <w:szCs w:val="24"/>
          <w:highlight w:val="none"/>
        </w:rPr>
        <w:t>（4）开标记录和评标情况及说明，包括无效投标人名单及原因；</w:t>
      </w:r>
    </w:p>
    <w:p w14:paraId="159F47F9">
      <w:pPr>
        <w:pStyle w:val="156"/>
        <w:adjustRightInd w:val="0"/>
        <w:spacing w:line="360" w:lineRule="auto"/>
        <w:ind w:firstLine="480" w:firstLineChars="200"/>
        <w:rPr>
          <w:rFonts w:ascii="宋体" w:hAnsi="宋体" w:eastAsia="仿宋" w:cs="宋体"/>
          <w:sz w:val="24"/>
          <w:szCs w:val="24"/>
          <w:highlight w:val="none"/>
        </w:rPr>
      </w:pPr>
      <w:r>
        <w:rPr>
          <w:rFonts w:hint="eastAsia" w:ascii="宋体" w:hAnsi="宋体" w:eastAsia="仿宋" w:cs="宋体"/>
          <w:sz w:val="24"/>
          <w:szCs w:val="24"/>
          <w:highlight w:val="none"/>
        </w:rPr>
        <w:t>（5）评标结果，确定的中标候选人名单或者经采购人委托直接确定的中标人；</w:t>
      </w:r>
    </w:p>
    <w:p w14:paraId="0BB2CB6C">
      <w:pPr>
        <w:pStyle w:val="156"/>
        <w:adjustRightInd w:val="0"/>
        <w:spacing w:line="360" w:lineRule="auto"/>
        <w:ind w:firstLine="480" w:firstLineChars="200"/>
        <w:rPr>
          <w:rFonts w:hint="eastAsia" w:ascii="宋体" w:hAnsi="宋体" w:eastAsia="仿宋" w:cs="宋体"/>
          <w:sz w:val="24"/>
          <w:szCs w:val="24"/>
          <w:highlight w:val="none"/>
        </w:rPr>
      </w:pPr>
      <w:r>
        <w:rPr>
          <w:rFonts w:hint="eastAsia" w:ascii="宋体" w:hAnsi="宋体" w:eastAsia="仿宋" w:cs="宋体"/>
          <w:sz w:val="24"/>
          <w:szCs w:val="24"/>
          <w:highlight w:val="none"/>
        </w:rPr>
        <w:t>（6）其他需要说明的情况，包括评标过程中投标人根据评标委员会要求进行的澄清、说明或者补正，评标委员会成员的更换等。</w:t>
      </w:r>
    </w:p>
    <w:p w14:paraId="28E822F3">
      <w:pPr>
        <w:pStyle w:val="3"/>
        <w:widowControl/>
        <w:adjustRightInd w:val="0"/>
        <w:spacing w:before="0" w:after="0" w:line="360" w:lineRule="auto"/>
        <w:ind w:firstLine="482" w:firstLineChars="200"/>
        <w:rPr>
          <w:rFonts w:hint="eastAsia" w:ascii="宋体" w:hAnsi="宋体" w:eastAsia="仿宋"/>
          <w:bCs w:val="0"/>
          <w:sz w:val="24"/>
          <w:szCs w:val="24"/>
          <w:highlight w:val="none"/>
        </w:rPr>
      </w:pPr>
      <w:bookmarkStart w:id="858" w:name="_Toc466024572"/>
      <w:r>
        <w:rPr>
          <w:rFonts w:hint="eastAsia" w:ascii="宋体" w:hAnsi="宋体" w:eastAsia="仿宋"/>
          <w:bCs w:val="0"/>
          <w:sz w:val="24"/>
          <w:szCs w:val="24"/>
          <w:highlight w:val="none"/>
        </w:rPr>
        <w:t>5. 其他</w:t>
      </w:r>
      <w:bookmarkEnd w:id="855"/>
      <w:bookmarkEnd w:id="856"/>
      <w:bookmarkEnd w:id="857"/>
      <w:bookmarkEnd w:id="858"/>
    </w:p>
    <w:p w14:paraId="5B3D6F43">
      <w:pPr>
        <w:pStyle w:val="156"/>
        <w:adjustRightInd w:val="0"/>
        <w:spacing w:line="360" w:lineRule="auto"/>
        <w:ind w:firstLine="480" w:firstLineChars="200"/>
        <w:rPr>
          <w:rFonts w:hint="eastAsia" w:ascii="宋体" w:hAnsi="宋体" w:eastAsia="仿宋"/>
          <w:sz w:val="24"/>
          <w:szCs w:val="24"/>
          <w:highlight w:val="none"/>
        </w:rPr>
      </w:pPr>
      <w:r>
        <w:rPr>
          <w:rFonts w:hint="eastAsia" w:ascii="宋体" w:hAnsi="宋体" w:eastAsia="仿宋"/>
          <w:sz w:val="24"/>
          <w:szCs w:val="24"/>
          <w:highlight w:val="none"/>
        </w:rPr>
        <w:t>5.1 投标人提供的与投标有关的各类证书、证明、文件、资料等的真实性、合法性由投标人负全责。评标委员会一律不负责进行核查确认。评标时评标委员会发现投标人存在弄虚作假嫌疑的，或者由其他投标人和其他利害关系人投诉举报发现投标人存在弄虚作假行为的,提请有关监督部门另行立案调查，评标工作正常进行；有关监督部门调查确认弄虚作假情况属实的，如果该投标人已被确定为中标候选人的，由采购人按照法律法规相关规定取消其中标资格，并从其他中标候选人中依照推荐次序确定中标人。</w:t>
      </w:r>
    </w:p>
    <w:p w14:paraId="058C08AA">
      <w:pPr>
        <w:pStyle w:val="156"/>
        <w:adjustRightInd w:val="0"/>
        <w:spacing w:line="360" w:lineRule="auto"/>
        <w:ind w:firstLine="480" w:firstLineChars="200"/>
        <w:rPr>
          <w:rFonts w:ascii="宋体" w:hAnsi="宋体" w:eastAsia="仿宋"/>
          <w:sz w:val="24"/>
          <w:szCs w:val="24"/>
          <w:highlight w:val="none"/>
        </w:rPr>
      </w:pPr>
      <w:r>
        <w:rPr>
          <w:rFonts w:hint="eastAsia" w:ascii="宋体" w:hAnsi="宋体" w:eastAsia="仿宋"/>
          <w:sz w:val="24"/>
          <w:szCs w:val="24"/>
          <w:highlight w:val="none"/>
        </w:rPr>
        <w:t>5.2 投标人提供业绩、荣誉证书、资质资格证书、相关证明材料等文件及资料均须在投标文件中提供，电子投标文件中提供扫描件或电子证照。如未在投标文件中提供，则资格审查、符合性审查相应项视为不通过；评分项目相应项不予计分。</w:t>
      </w:r>
    </w:p>
    <w:p w14:paraId="498F16A8">
      <w:pPr>
        <w:pStyle w:val="156"/>
        <w:adjustRightInd w:val="0"/>
        <w:spacing w:line="360" w:lineRule="auto"/>
        <w:ind w:firstLine="480" w:firstLineChars="200"/>
        <w:rPr>
          <w:rFonts w:hint="eastAsia" w:ascii="宋体" w:hAnsi="宋体" w:eastAsia="仿宋"/>
          <w:color w:val="FF0000"/>
          <w:sz w:val="24"/>
          <w:szCs w:val="24"/>
          <w:highlight w:val="none"/>
        </w:rPr>
      </w:pPr>
    </w:p>
    <w:p w14:paraId="390CF103">
      <w:pPr>
        <w:widowControl/>
        <w:spacing w:line="400" w:lineRule="exact"/>
        <w:ind w:firstLine="480" w:firstLineChars="200"/>
        <w:rPr>
          <w:rFonts w:ascii="宋体" w:hAnsi="宋体" w:eastAsia="仿宋"/>
          <w:sz w:val="24"/>
          <w:highlight w:val="none"/>
        </w:rPr>
      </w:pPr>
    </w:p>
    <w:p w14:paraId="60D7DDB9">
      <w:pPr>
        <w:widowControl/>
        <w:spacing w:line="400" w:lineRule="exact"/>
        <w:ind w:firstLine="480" w:firstLineChars="200"/>
        <w:rPr>
          <w:rFonts w:ascii="宋体" w:hAnsi="宋体" w:eastAsia="仿宋"/>
          <w:sz w:val="24"/>
          <w:highlight w:val="none"/>
        </w:rPr>
        <w:sectPr>
          <w:footnotePr>
            <w:numFmt w:val="decimalEnclosedCircleChinese"/>
            <w:numRestart w:val="eachPage"/>
          </w:footnotePr>
          <w:pgSz w:w="11906" w:h="16838"/>
          <w:pgMar w:top="1134" w:right="1134" w:bottom="1134" w:left="1134" w:header="851" w:footer="851" w:gutter="0"/>
          <w:cols w:space="720" w:num="1"/>
          <w:docGrid w:linePitch="312" w:charSpace="0"/>
        </w:sectPr>
      </w:pPr>
    </w:p>
    <w:p w14:paraId="6A63F32F">
      <w:pPr>
        <w:pStyle w:val="2"/>
        <w:widowControl/>
        <w:spacing w:before="0" w:after="0" w:line="240" w:lineRule="auto"/>
        <w:jc w:val="center"/>
        <w:rPr>
          <w:rFonts w:hint="eastAsia" w:ascii="宋体" w:hAnsi="宋体" w:eastAsia="仿宋"/>
          <w:color w:val="auto"/>
          <w:highlight w:val="none"/>
        </w:rPr>
      </w:pPr>
      <w:bookmarkStart w:id="859" w:name="_Toc395"/>
      <w:bookmarkStart w:id="860" w:name="_Toc445554783"/>
      <w:bookmarkStart w:id="861" w:name="_Toc466024582"/>
      <w:bookmarkStart w:id="862" w:name="_Toc162331289"/>
      <w:bookmarkStart w:id="863" w:name="_Toc256434217"/>
      <w:bookmarkStart w:id="864" w:name="_Toc138638816"/>
      <w:bookmarkStart w:id="865" w:name="_Toc201377864"/>
      <w:bookmarkStart w:id="866" w:name="_Toc153485042"/>
      <w:bookmarkStart w:id="867" w:name="_Toc153634810"/>
      <w:bookmarkStart w:id="868" w:name="_Toc176780575"/>
      <w:bookmarkStart w:id="869" w:name="_Toc192231354"/>
      <w:bookmarkStart w:id="870" w:name="_Toc162410278"/>
      <w:bookmarkStart w:id="871" w:name="_Toc165463683"/>
      <w:bookmarkStart w:id="872" w:name="_Toc176927207"/>
      <w:bookmarkStart w:id="873" w:name="_Toc153635713"/>
      <w:bookmarkStart w:id="874" w:name="_Toc221418700"/>
      <w:bookmarkStart w:id="875" w:name="_Toc256409867"/>
      <w:bookmarkStart w:id="876" w:name="_Toc255490647"/>
      <w:bookmarkStart w:id="877" w:name="_Toc256955329"/>
      <w:bookmarkStart w:id="878" w:name="_Toc199585022"/>
      <w:bookmarkStart w:id="879" w:name="_Toc152696791"/>
      <w:bookmarkStart w:id="880" w:name="_Toc139194404"/>
      <w:bookmarkStart w:id="881" w:name="_Toc153636085"/>
      <w:bookmarkStart w:id="882" w:name="_Toc138323410"/>
      <w:bookmarkStart w:id="883" w:name="_Toc177181404"/>
      <w:bookmarkStart w:id="884" w:name="_Toc162406884"/>
      <w:bookmarkStart w:id="885" w:name="_Toc153630652"/>
      <w:r>
        <w:rPr>
          <w:rFonts w:hint="eastAsia" w:ascii="宋体" w:hAnsi="宋体" w:eastAsia="仿宋"/>
          <w:color w:val="auto"/>
          <w:highlight w:val="none"/>
        </w:rPr>
        <w:t>第五章  合同条款及格式</w:t>
      </w:r>
      <w:bookmarkEnd w:id="859"/>
      <w:bookmarkEnd w:id="860"/>
      <w:bookmarkEnd w:id="861"/>
    </w:p>
    <w:p w14:paraId="477CF772">
      <w:pPr>
        <w:rPr>
          <w:rFonts w:hint="eastAsia"/>
          <w:color w:val="auto"/>
          <w:highlight w:val="none"/>
        </w:rPr>
      </w:pPr>
    </w:p>
    <w:p w14:paraId="498327DC">
      <w:pPr>
        <w:spacing w:line="360" w:lineRule="auto"/>
        <w:jc w:val="center"/>
        <w:rPr>
          <w:rFonts w:ascii="楷体" w:hAnsi="楷体" w:eastAsia="楷体"/>
          <w:i/>
          <w:color w:val="auto"/>
          <w:sz w:val="28"/>
          <w:szCs w:val="28"/>
          <w:highlight w:val="none"/>
        </w:rPr>
      </w:pPr>
      <w:r>
        <w:rPr>
          <w:rFonts w:hint="eastAsia" w:ascii="楷体" w:hAnsi="楷体" w:eastAsia="楷体"/>
          <w:i/>
          <w:color w:val="auto"/>
          <w:sz w:val="28"/>
          <w:szCs w:val="28"/>
          <w:highlight w:val="none"/>
        </w:rPr>
        <w:t>（供参考）</w:t>
      </w:r>
    </w:p>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p w14:paraId="5D738078">
      <w:pPr>
        <w:widowControl/>
        <w:kinsoku w:val="0"/>
        <w:autoSpaceDE w:val="0"/>
        <w:autoSpaceDN w:val="0"/>
        <w:adjustRightInd w:val="0"/>
        <w:snapToGrid w:val="0"/>
        <w:spacing w:line="253" w:lineRule="auto"/>
        <w:jc w:val="left"/>
        <w:textAlignment w:val="baseline"/>
        <w:rPr>
          <w:rFonts w:ascii="Arial" w:hAnsi="Arial" w:eastAsia="Arial" w:cs="Arial"/>
          <w:snapToGrid w:val="0"/>
          <w:color w:val="auto"/>
          <w:kern w:val="0"/>
          <w:szCs w:val="21"/>
          <w:highlight w:val="none"/>
          <w:lang w:eastAsia="en-US"/>
        </w:rPr>
      </w:pPr>
    </w:p>
    <w:p w14:paraId="21D20847">
      <w:pPr>
        <w:widowControl/>
        <w:kinsoku w:val="0"/>
        <w:autoSpaceDE w:val="0"/>
        <w:autoSpaceDN w:val="0"/>
        <w:adjustRightInd w:val="0"/>
        <w:snapToGrid w:val="0"/>
        <w:spacing w:before="133" w:line="182" w:lineRule="auto"/>
        <w:ind w:right="681"/>
        <w:jc w:val="center"/>
        <w:textAlignment w:val="baseline"/>
        <w:rPr>
          <w:rFonts w:ascii="微软雅黑" w:hAnsi="微软雅黑" w:eastAsia="微软雅黑" w:cs="微软雅黑"/>
          <w:b/>
          <w:bCs/>
          <w:snapToGrid w:val="0"/>
          <w:color w:val="auto"/>
          <w:spacing w:val="8"/>
          <w:kern w:val="0"/>
          <w:sz w:val="31"/>
          <w:szCs w:val="31"/>
          <w:highlight w:val="none"/>
        </w:rPr>
      </w:pPr>
      <w:r>
        <w:rPr>
          <w:rFonts w:ascii="微软雅黑" w:hAnsi="微软雅黑" w:eastAsia="微软雅黑" w:cs="微软雅黑"/>
          <w:b/>
          <w:bCs/>
          <w:snapToGrid w:val="0"/>
          <w:color w:val="auto"/>
          <w:spacing w:val="-1"/>
          <w:kern w:val="0"/>
          <w:sz w:val="31"/>
          <w:szCs w:val="31"/>
          <w:highlight w:val="none"/>
        </w:rPr>
        <w:t>安徽省</w:t>
      </w:r>
      <w:r>
        <w:rPr>
          <w:rFonts w:hint="eastAsia" w:ascii="微软雅黑" w:hAnsi="微软雅黑" w:eastAsia="微软雅黑" w:cs="微软雅黑"/>
          <w:b/>
          <w:bCs/>
          <w:snapToGrid w:val="0"/>
          <w:color w:val="auto"/>
          <w:spacing w:val="-1"/>
          <w:kern w:val="0"/>
          <w:sz w:val="31"/>
          <w:szCs w:val="31"/>
          <w:highlight w:val="none"/>
        </w:rPr>
        <w:t>紧密型县域医共体设备更新一期项目</w:t>
      </w:r>
    </w:p>
    <w:p w14:paraId="54B1DC10">
      <w:pPr>
        <w:widowControl/>
        <w:kinsoku w:val="0"/>
        <w:autoSpaceDE w:val="0"/>
        <w:autoSpaceDN w:val="0"/>
        <w:adjustRightInd w:val="0"/>
        <w:snapToGrid w:val="0"/>
        <w:spacing w:before="133" w:line="182" w:lineRule="auto"/>
        <w:ind w:right="681"/>
        <w:jc w:val="center"/>
        <w:textAlignment w:val="baseline"/>
        <w:rPr>
          <w:rFonts w:ascii="微软雅黑" w:hAnsi="微软雅黑" w:eastAsia="微软雅黑" w:cs="微软雅黑"/>
          <w:snapToGrid w:val="0"/>
          <w:color w:val="auto"/>
          <w:kern w:val="0"/>
          <w:sz w:val="24"/>
          <w:highlight w:val="none"/>
        </w:rPr>
      </w:pPr>
      <w:r>
        <w:rPr>
          <w:rFonts w:ascii="微软雅黑" w:hAnsi="微软雅黑" w:eastAsia="微软雅黑" w:cs="微软雅黑"/>
          <w:b/>
          <w:bCs/>
          <w:snapToGrid w:val="0"/>
          <w:color w:val="auto"/>
          <w:spacing w:val="8"/>
          <w:kern w:val="0"/>
          <w:sz w:val="31"/>
          <w:szCs w:val="31"/>
          <w:highlight w:val="none"/>
        </w:rPr>
        <w:t>框架协议</w:t>
      </w:r>
    </w:p>
    <w:p w14:paraId="55ED2572">
      <w:pPr>
        <w:widowControl/>
        <w:kinsoku w:val="0"/>
        <w:autoSpaceDE w:val="0"/>
        <w:autoSpaceDN w:val="0"/>
        <w:adjustRightInd w:val="0"/>
        <w:snapToGrid w:val="0"/>
        <w:spacing w:before="114" w:line="185" w:lineRule="auto"/>
        <w:jc w:val="left"/>
        <w:textAlignment w:val="baseline"/>
        <w:outlineLvl w:val="0"/>
        <w:rPr>
          <w:rFonts w:ascii="微软雅黑" w:hAnsi="微软雅黑" w:eastAsia="微软雅黑" w:cs="微软雅黑"/>
          <w:snapToGrid w:val="0"/>
          <w:color w:val="auto"/>
          <w:kern w:val="0"/>
          <w:sz w:val="24"/>
          <w:highlight w:val="none"/>
        </w:rPr>
      </w:pPr>
    </w:p>
    <w:p w14:paraId="3A9A3941">
      <w:pPr>
        <w:widowControl/>
        <w:kinsoku w:val="0"/>
        <w:autoSpaceDE w:val="0"/>
        <w:autoSpaceDN w:val="0"/>
        <w:adjustRightInd w:val="0"/>
        <w:snapToGrid w:val="0"/>
        <w:spacing w:line="360" w:lineRule="auto"/>
        <w:ind w:firstLine="480" w:firstLineChars="200"/>
        <w:jc w:val="left"/>
        <w:textAlignment w:val="baseline"/>
        <w:outlineLvl w:val="0"/>
        <w:rPr>
          <w:rFonts w:ascii="仿宋" w:hAnsi="仿宋" w:eastAsia="仿宋" w:cs="微软雅黑"/>
          <w:snapToGrid w:val="0"/>
          <w:color w:val="auto"/>
          <w:kern w:val="0"/>
          <w:sz w:val="24"/>
          <w:highlight w:val="none"/>
        </w:rPr>
      </w:pPr>
      <w:r>
        <w:rPr>
          <w:rFonts w:hint="eastAsia" w:ascii="仿宋" w:hAnsi="仿宋" w:eastAsia="仿宋" w:cs="微软雅黑"/>
          <w:snapToGrid w:val="0"/>
          <w:color w:val="auto"/>
          <w:kern w:val="0"/>
          <w:sz w:val="24"/>
          <w:highlight w:val="none"/>
        </w:rPr>
        <w:t>买方：                 电话：</w:t>
      </w:r>
    </w:p>
    <w:p w14:paraId="0CFD1FE2">
      <w:pPr>
        <w:widowControl/>
        <w:kinsoku w:val="0"/>
        <w:autoSpaceDE w:val="0"/>
        <w:autoSpaceDN w:val="0"/>
        <w:adjustRightInd w:val="0"/>
        <w:snapToGrid w:val="0"/>
        <w:spacing w:line="360" w:lineRule="auto"/>
        <w:ind w:firstLine="480" w:firstLineChars="200"/>
        <w:jc w:val="left"/>
        <w:textAlignment w:val="baseline"/>
        <w:outlineLvl w:val="0"/>
        <w:rPr>
          <w:rFonts w:ascii="仿宋" w:hAnsi="仿宋" w:eastAsia="仿宋" w:cs="微软雅黑"/>
          <w:snapToGrid w:val="0"/>
          <w:color w:val="auto"/>
          <w:kern w:val="0"/>
          <w:sz w:val="24"/>
          <w:highlight w:val="none"/>
        </w:rPr>
      </w:pPr>
      <w:r>
        <w:rPr>
          <w:rFonts w:hint="eastAsia" w:ascii="仿宋" w:hAnsi="仿宋" w:eastAsia="仿宋" w:cs="微软雅黑"/>
          <w:snapToGrid w:val="0"/>
          <w:color w:val="auto"/>
          <w:kern w:val="0"/>
          <w:sz w:val="24"/>
          <w:highlight w:val="none"/>
        </w:rPr>
        <w:t>卖方：                 电话：</w:t>
      </w:r>
    </w:p>
    <w:p w14:paraId="25C97BE2">
      <w:pPr>
        <w:widowControl/>
        <w:kinsoku w:val="0"/>
        <w:autoSpaceDE w:val="0"/>
        <w:autoSpaceDN w:val="0"/>
        <w:adjustRightInd w:val="0"/>
        <w:snapToGrid w:val="0"/>
        <w:spacing w:line="360" w:lineRule="auto"/>
        <w:ind w:firstLine="480" w:firstLineChars="200"/>
        <w:jc w:val="left"/>
        <w:textAlignment w:val="baseline"/>
        <w:outlineLvl w:val="0"/>
        <w:rPr>
          <w:rFonts w:ascii="仿宋" w:hAnsi="仿宋" w:eastAsia="仿宋" w:cs="微软雅黑"/>
          <w:snapToGrid w:val="0"/>
          <w:color w:val="auto"/>
          <w:kern w:val="0"/>
          <w:sz w:val="24"/>
          <w:highlight w:val="none"/>
        </w:rPr>
      </w:pPr>
    </w:p>
    <w:p w14:paraId="0B8286C5">
      <w:pPr>
        <w:widowControl/>
        <w:kinsoku w:val="0"/>
        <w:autoSpaceDE w:val="0"/>
        <w:autoSpaceDN w:val="0"/>
        <w:adjustRightInd w:val="0"/>
        <w:snapToGrid w:val="0"/>
        <w:spacing w:line="360" w:lineRule="auto"/>
        <w:ind w:firstLine="480" w:firstLineChars="200"/>
        <w:jc w:val="left"/>
        <w:textAlignment w:val="baseline"/>
        <w:outlineLvl w:val="0"/>
        <w:rPr>
          <w:rFonts w:ascii="仿宋" w:hAnsi="仿宋" w:eastAsia="仿宋" w:cs="微软雅黑"/>
          <w:snapToGrid w:val="0"/>
          <w:color w:val="auto"/>
          <w:kern w:val="0"/>
          <w:sz w:val="24"/>
          <w:highlight w:val="none"/>
        </w:rPr>
      </w:pPr>
      <w:r>
        <w:rPr>
          <w:rFonts w:hint="eastAsia" w:ascii="仿宋" w:hAnsi="仿宋" w:eastAsia="仿宋" w:cs="微软雅黑"/>
          <w:snapToGrid w:val="0"/>
          <w:color w:val="auto"/>
          <w:kern w:val="0"/>
          <w:sz w:val="24"/>
          <w:highlight w:val="none"/>
        </w:rPr>
        <w:t>依据《中华人民共和国民法典》、《中华人民共和国政府采购法》等有关的法律法规，以及本采购项目的招标/谈判文件等采购文件、《投标（响应）文件》及《中标（成交）通知书》，双方同意签订本合同。具体情况及要求如下：</w:t>
      </w:r>
    </w:p>
    <w:p w14:paraId="4CE6D9ED">
      <w:pPr>
        <w:widowControl/>
        <w:kinsoku w:val="0"/>
        <w:autoSpaceDE w:val="0"/>
        <w:autoSpaceDN w:val="0"/>
        <w:adjustRightInd w:val="0"/>
        <w:snapToGrid w:val="0"/>
        <w:spacing w:line="360" w:lineRule="auto"/>
        <w:ind w:firstLine="498" w:firstLineChars="200"/>
        <w:jc w:val="left"/>
        <w:textAlignment w:val="baseline"/>
        <w:rPr>
          <w:rFonts w:ascii="仿宋" w:hAnsi="仿宋" w:eastAsia="仿宋" w:cs="微软雅黑"/>
          <w:b/>
          <w:bCs/>
          <w:snapToGrid w:val="0"/>
          <w:color w:val="auto"/>
          <w:spacing w:val="4"/>
          <w:kern w:val="0"/>
          <w:sz w:val="24"/>
          <w:highlight w:val="none"/>
        </w:rPr>
      </w:pPr>
      <w:r>
        <w:rPr>
          <w:rFonts w:hint="eastAsia" w:ascii="仿宋" w:hAnsi="仿宋" w:eastAsia="仿宋" w:cs="微软雅黑"/>
          <w:b/>
          <w:bCs/>
          <w:snapToGrid w:val="0"/>
          <w:color w:val="auto"/>
          <w:spacing w:val="4"/>
          <w:kern w:val="0"/>
          <w:sz w:val="24"/>
          <w:highlight w:val="none"/>
        </w:rPr>
        <w:t>一、货物的名称、规格型号、数量和价格（若产品过多则见附表， 如有附表则必须加盖公章）</w:t>
      </w:r>
    </w:p>
    <w:tbl>
      <w:tblPr>
        <w:tblStyle w:val="48"/>
        <w:tblW w:w="4885"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2536"/>
        <w:gridCol w:w="1903"/>
        <w:gridCol w:w="754"/>
        <w:gridCol w:w="2759"/>
        <w:gridCol w:w="1470"/>
      </w:tblGrid>
      <w:tr w14:paraId="114B25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jc w:val="center"/>
        </w:trPr>
        <w:tc>
          <w:tcPr>
            <w:tcW w:w="1346" w:type="pct"/>
            <w:noWrap w:val="0"/>
            <w:vAlign w:val="top"/>
          </w:tcPr>
          <w:p w14:paraId="2908CAAF">
            <w:pPr>
              <w:keepNext w:val="0"/>
              <w:keepLines w:val="0"/>
              <w:widowControl/>
              <w:suppressLineNumbers w:val="0"/>
              <w:kinsoku w:val="0"/>
              <w:autoSpaceDE w:val="0"/>
              <w:autoSpaceDN w:val="0"/>
              <w:adjustRightInd w:val="0"/>
              <w:snapToGrid w:val="0"/>
              <w:spacing w:before="0" w:beforeAutospacing="0" w:after="0" w:afterAutospacing="0" w:line="360" w:lineRule="auto"/>
              <w:ind w:left="0" w:right="0"/>
              <w:jc w:val="center"/>
              <w:textAlignment w:val="baseline"/>
              <w:rPr>
                <w:rFonts w:hint="default" w:ascii="仿宋" w:hAnsi="仿宋" w:eastAsia="仿宋" w:cs="微软雅黑"/>
                <w:snapToGrid w:val="0"/>
                <w:color w:val="auto"/>
                <w:spacing w:val="-3"/>
                <w:kern w:val="0"/>
                <w:sz w:val="24"/>
                <w:highlight w:val="none"/>
              </w:rPr>
            </w:pPr>
            <w:r>
              <w:rPr>
                <w:rFonts w:hint="default" w:ascii="仿宋" w:hAnsi="仿宋" w:eastAsia="仿宋" w:cs="微软雅黑"/>
                <w:snapToGrid w:val="0"/>
                <w:color w:val="auto"/>
                <w:spacing w:val="-3"/>
                <w:kern w:val="0"/>
                <w:sz w:val="24"/>
                <w:highlight w:val="none"/>
                <w:lang w:eastAsia="en-US"/>
              </w:rPr>
              <w:t>产品名称</w:t>
            </w:r>
          </w:p>
        </w:tc>
        <w:tc>
          <w:tcPr>
            <w:tcW w:w="1010" w:type="pct"/>
            <w:noWrap w:val="0"/>
            <w:vAlign w:val="top"/>
          </w:tcPr>
          <w:p w14:paraId="7B0509D8">
            <w:pPr>
              <w:keepNext w:val="0"/>
              <w:keepLines w:val="0"/>
              <w:widowControl/>
              <w:suppressLineNumbers w:val="0"/>
              <w:kinsoku w:val="0"/>
              <w:autoSpaceDE w:val="0"/>
              <w:autoSpaceDN w:val="0"/>
              <w:adjustRightInd w:val="0"/>
              <w:snapToGrid w:val="0"/>
              <w:spacing w:before="0" w:beforeAutospacing="0" w:after="0" w:afterAutospacing="0" w:line="360" w:lineRule="auto"/>
              <w:ind w:left="0" w:right="0"/>
              <w:jc w:val="center"/>
              <w:textAlignment w:val="baseline"/>
              <w:rPr>
                <w:rFonts w:hint="default" w:ascii="仿宋" w:hAnsi="仿宋" w:eastAsia="仿宋" w:cs="微软雅黑"/>
                <w:snapToGrid w:val="0"/>
                <w:color w:val="auto"/>
                <w:kern w:val="0"/>
                <w:sz w:val="24"/>
                <w:highlight w:val="none"/>
                <w:lang w:eastAsia="en-US"/>
              </w:rPr>
            </w:pPr>
            <w:r>
              <w:rPr>
                <w:rFonts w:hint="default" w:ascii="仿宋" w:hAnsi="仿宋" w:eastAsia="仿宋" w:cs="微软雅黑"/>
                <w:snapToGrid w:val="0"/>
                <w:color w:val="auto"/>
                <w:spacing w:val="-3"/>
                <w:kern w:val="0"/>
                <w:sz w:val="24"/>
                <w:highlight w:val="none"/>
                <w:lang w:eastAsia="en-US"/>
              </w:rPr>
              <w:t>规格型号</w:t>
            </w:r>
          </w:p>
        </w:tc>
        <w:tc>
          <w:tcPr>
            <w:tcW w:w="400" w:type="pct"/>
            <w:noWrap w:val="0"/>
            <w:vAlign w:val="top"/>
          </w:tcPr>
          <w:p w14:paraId="16DE81E6">
            <w:pPr>
              <w:keepNext w:val="0"/>
              <w:keepLines w:val="0"/>
              <w:widowControl/>
              <w:suppressLineNumbers w:val="0"/>
              <w:kinsoku w:val="0"/>
              <w:autoSpaceDE w:val="0"/>
              <w:autoSpaceDN w:val="0"/>
              <w:adjustRightInd w:val="0"/>
              <w:snapToGrid w:val="0"/>
              <w:spacing w:before="0" w:beforeAutospacing="0" w:after="0" w:afterAutospacing="0" w:line="360" w:lineRule="auto"/>
              <w:ind w:left="0" w:right="0"/>
              <w:jc w:val="center"/>
              <w:textAlignment w:val="baseline"/>
              <w:rPr>
                <w:rFonts w:hint="default" w:ascii="仿宋" w:hAnsi="仿宋" w:eastAsia="仿宋" w:cs="微软雅黑"/>
                <w:snapToGrid w:val="0"/>
                <w:color w:val="auto"/>
                <w:kern w:val="0"/>
                <w:sz w:val="24"/>
                <w:highlight w:val="none"/>
                <w:lang w:eastAsia="en-US"/>
              </w:rPr>
            </w:pPr>
            <w:r>
              <w:rPr>
                <w:rFonts w:hint="default" w:ascii="仿宋" w:hAnsi="仿宋" w:eastAsia="仿宋" w:cs="微软雅黑"/>
                <w:snapToGrid w:val="0"/>
                <w:color w:val="auto"/>
                <w:spacing w:val="-6"/>
                <w:kern w:val="0"/>
                <w:sz w:val="24"/>
                <w:highlight w:val="none"/>
                <w:lang w:eastAsia="en-US"/>
              </w:rPr>
              <w:t>单位</w:t>
            </w:r>
          </w:p>
        </w:tc>
        <w:tc>
          <w:tcPr>
            <w:tcW w:w="1464" w:type="pct"/>
            <w:noWrap w:val="0"/>
            <w:vAlign w:val="top"/>
          </w:tcPr>
          <w:p w14:paraId="0F486FA8">
            <w:pPr>
              <w:keepNext w:val="0"/>
              <w:keepLines w:val="0"/>
              <w:widowControl/>
              <w:suppressLineNumbers w:val="0"/>
              <w:kinsoku w:val="0"/>
              <w:autoSpaceDE w:val="0"/>
              <w:autoSpaceDN w:val="0"/>
              <w:adjustRightInd w:val="0"/>
              <w:snapToGrid w:val="0"/>
              <w:spacing w:before="0" w:beforeAutospacing="0" w:after="0" w:afterAutospacing="0" w:line="360" w:lineRule="auto"/>
              <w:ind w:left="0" w:right="0"/>
              <w:jc w:val="center"/>
              <w:textAlignment w:val="baseline"/>
              <w:rPr>
                <w:rFonts w:hint="default" w:ascii="仿宋" w:hAnsi="仿宋" w:eastAsia="仿宋" w:cs="微软雅黑"/>
                <w:snapToGrid w:val="0"/>
                <w:color w:val="auto"/>
                <w:kern w:val="0"/>
                <w:sz w:val="24"/>
                <w:highlight w:val="none"/>
              </w:rPr>
            </w:pPr>
            <w:r>
              <w:rPr>
                <w:rFonts w:hint="eastAsia" w:ascii="仿宋" w:hAnsi="仿宋" w:eastAsia="仿宋" w:cs="微软雅黑"/>
                <w:snapToGrid w:val="0"/>
                <w:color w:val="auto"/>
                <w:kern w:val="0"/>
                <w:sz w:val="24"/>
                <w:highlight w:val="none"/>
              </w:rPr>
              <w:t>生产厂家</w:t>
            </w:r>
          </w:p>
        </w:tc>
        <w:tc>
          <w:tcPr>
            <w:tcW w:w="777" w:type="pct"/>
            <w:noWrap w:val="0"/>
            <w:vAlign w:val="top"/>
          </w:tcPr>
          <w:p w14:paraId="776EEDC5">
            <w:pPr>
              <w:keepNext w:val="0"/>
              <w:keepLines w:val="0"/>
              <w:widowControl/>
              <w:suppressLineNumbers w:val="0"/>
              <w:kinsoku w:val="0"/>
              <w:autoSpaceDE w:val="0"/>
              <w:autoSpaceDN w:val="0"/>
              <w:adjustRightInd w:val="0"/>
              <w:snapToGrid w:val="0"/>
              <w:spacing w:before="0" w:beforeAutospacing="0" w:after="0" w:afterAutospacing="0" w:line="360" w:lineRule="auto"/>
              <w:ind w:left="0" w:right="0"/>
              <w:jc w:val="center"/>
              <w:textAlignment w:val="baseline"/>
              <w:rPr>
                <w:rFonts w:hint="default" w:ascii="仿宋" w:hAnsi="仿宋" w:eastAsia="仿宋" w:cs="微软雅黑"/>
                <w:snapToGrid w:val="0"/>
                <w:color w:val="auto"/>
                <w:kern w:val="0"/>
                <w:sz w:val="24"/>
                <w:highlight w:val="none"/>
              </w:rPr>
            </w:pPr>
            <w:r>
              <w:rPr>
                <w:rFonts w:hint="eastAsia" w:ascii="仿宋" w:hAnsi="仿宋" w:eastAsia="仿宋" w:cs="微软雅黑"/>
                <w:snapToGrid w:val="0"/>
                <w:color w:val="auto"/>
                <w:spacing w:val="-3"/>
                <w:kern w:val="0"/>
                <w:sz w:val="24"/>
                <w:highlight w:val="none"/>
              </w:rPr>
              <w:t>数量</w:t>
            </w:r>
          </w:p>
        </w:tc>
      </w:tr>
      <w:tr w14:paraId="526375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8" w:hRule="atLeast"/>
          <w:jc w:val="center"/>
        </w:trPr>
        <w:tc>
          <w:tcPr>
            <w:tcW w:w="1346" w:type="pct"/>
            <w:noWrap w:val="0"/>
            <w:vAlign w:val="top"/>
          </w:tcPr>
          <w:p w14:paraId="13D832F3">
            <w:pPr>
              <w:keepNext w:val="0"/>
              <w:keepLines w:val="0"/>
              <w:widowControl/>
              <w:suppressLineNumbers w:val="0"/>
              <w:kinsoku w:val="0"/>
              <w:autoSpaceDE w:val="0"/>
              <w:autoSpaceDN w:val="0"/>
              <w:adjustRightInd w:val="0"/>
              <w:snapToGrid w:val="0"/>
              <w:spacing w:before="0" w:beforeAutospacing="0" w:after="0" w:afterAutospacing="0" w:line="360" w:lineRule="auto"/>
              <w:ind w:left="0" w:right="0"/>
              <w:jc w:val="center"/>
              <w:textAlignment w:val="baseline"/>
              <w:rPr>
                <w:rFonts w:hint="default" w:ascii="仿宋" w:hAnsi="仿宋" w:eastAsia="仿宋" w:cs="Arial"/>
                <w:snapToGrid w:val="0"/>
                <w:color w:val="auto"/>
                <w:kern w:val="0"/>
                <w:sz w:val="24"/>
                <w:highlight w:val="none"/>
              </w:rPr>
            </w:pPr>
          </w:p>
        </w:tc>
        <w:tc>
          <w:tcPr>
            <w:tcW w:w="1010" w:type="pct"/>
            <w:noWrap w:val="0"/>
            <w:vAlign w:val="center"/>
          </w:tcPr>
          <w:p w14:paraId="2134ACBB">
            <w:pPr>
              <w:keepNext w:val="0"/>
              <w:keepLines w:val="0"/>
              <w:widowControl/>
              <w:suppressLineNumbers w:val="0"/>
              <w:kinsoku w:val="0"/>
              <w:autoSpaceDE w:val="0"/>
              <w:autoSpaceDN w:val="0"/>
              <w:adjustRightInd w:val="0"/>
              <w:snapToGrid w:val="0"/>
              <w:spacing w:before="0" w:beforeAutospacing="0" w:after="0" w:afterAutospacing="0" w:line="360" w:lineRule="auto"/>
              <w:ind w:left="0" w:right="0"/>
              <w:jc w:val="center"/>
              <w:textAlignment w:val="baseline"/>
              <w:rPr>
                <w:rFonts w:hint="default" w:ascii="仿宋" w:hAnsi="仿宋" w:eastAsia="仿宋" w:cs="Arial"/>
                <w:snapToGrid w:val="0"/>
                <w:color w:val="auto"/>
                <w:kern w:val="0"/>
                <w:sz w:val="24"/>
                <w:highlight w:val="none"/>
              </w:rPr>
            </w:pPr>
          </w:p>
        </w:tc>
        <w:tc>
          <w:tcPr>
            <w:tcW w:w="400" w:type="pct"/>
            <w:noWrap w:val="0"/>
            <w:vAlign w:val="center"/>
          </w:tcPr>
          <w:p w14:paraId="76961646">
            <w:pPr>
              <w:keepNext w:val="0"/>
              <w:keepLines w:val="0"/>
              <w:widowControl/>
              <w:suppressLineNumbers w:val="0"/>
              <w:kinsoku w:val="0"/>
              <w:autoSpaceDE w:val="0"/>
              <w:autoSpaceDN w:val="0"/>
              <w:adjustRightInd w:val="0"/>
              <w:snapToGrid w:val="0"/>
              <w:spacing w:before="0" w:beforeAutospacing="0" w:after="0" w:afterAutospacing="0" w:line="360" w:lineRule="auto"/>
              <w:ind w:left="0" w:right="0" w:firstLine="333"/>
              <w:textAlignment w:val="baseline"/>
              <w:rPr>
                <w:rFonts w:hint="default" w:ascii="仿宋" w:hAnsi="仿宋" w:eastAsia="仿宋" w:cs="Arial"/>
                <w:snapToGrid w:val="0"/>
                <w:color w:val="auto"/>
                <w:kern w:val="0"/>
                <w:sz w:val="24"/>
                <w:highlight w:val="none"/>
              </w:rPr>
            </w:pPr>
          </w:p>
        </w:tc>
        <w:tc>
          <w:tcPr>
            <w:tcW w:w="1464" w:type="pct"/>
            <w:noWrap w:val="0"/>
            <w:vAlign w:val="center"/>
          </w:tcPr>
          <w:p w14:paraId="0C5313FC">
            <w:pPr>
              <w:keepNext w:val="0"/>
              <w:keepLines w:val="0"/>
              <w:widowControl/>
              <w:suppressLineNumbers w:val="0"/>
              <w:kinsoku w:val="0"/>
              <w:autoSpaceDE w:val="0"/>
              <w:autoSpaceDN w:val="0"/>
              <w:adjustRightInd w:val="0"/>
              <w:snapToGrid w:val="0"/>
              <w:spacing w:before="0" w:beforeAutospacing="0" w:after="0" w:afterAutospacing="0" w:line="360" w:lineRule="auto"/>
              <w:ind w:left="0" w:right="0"/>
              <w:jc w:val="center"/>
              <w:textAlignment w:val="baseline"/>
              <w:rPr>
                <w:rFonts w:hint="default" w:ascii="仿宋" w:hAnsi="仿宋" w:eastAsia="仿宋" w:cs="Arial"/>
                <w:snapToGrid w:val="0"/>
                <w:color w:val="auto"/>
                <w:kern w:val="0"/>
                <w:sz w:val="24"/>
                <w:highlight w:val="none"/>
              </w:rPr>
            </w:pPr>
          </w:p>
        </w:tc>
        <w:tc>
          <w:tcPr>
            <w:tcW w:w="777" w:type="pct"/>
            <w:noWrap w:val="0"/>
            <w:vAlign w:val="top"/>
          </w:tcPr>
          <w:p w14:paraId="45D001A2">
            <w:pPr>
              <w:keepNext w:val="0"/>
              <w:keepLines w:val="0"/>
              <w:widowControl/>
              <w:suppressLineNumbers w:val="0"/>
              <w:kinsoku w:val="0"/>
              <w:autoSpaceDE w:val="0"/>
              <w:autoSpaceDN w:val="0"/>
              <w:adjustRightInd w:val="0"/>
              <w:snapToGrid w:val="0"/>
              <w:spacing w:before="0" w:beforeAutospacing="0" w:after="0" w:afterAutospacing="0" w:line="360" w:lineRule="auto"/>
              <w:ind w:left="0" w:right="0"/>
              <w:jc w:val="center"/>
              <w:textAlignment w:val="baseline"/>
              <w:rPr>
                <w:rFonts w:hint="default" w:ascii="仿宋" w:hAnsi="仿宋" w:eastAsia="仿宋" w:cs="Arial"/>
                <w:snapToGrid w:val="0"/>
                <w:color w:val="auto"/>
                <w:kern w:val="0"/>
                <w:sz w:val="24"/>
                <w:highlight w:val="none"/>
              </w:rPr>
            </w:pPr>
          </w:p>
        </w:tc>
      </w:tr>
      <w:tr w14:paraId="182465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8" w:hRule="atLeast"/>
          <w:jc w:val="center"/>
        </w:trPr>
        <w:tc>
          <w:tcPr>
            <w:tcW w:w="1346" w:type="pct"/>
            <w:noWrap w:val="0"/>
            <w:vAlign w:val="top"/>
          </w:tcPr>
          <w:p w14:paraId="4C3AD2CB">
            <w:pPr>
              <w:keepNext w:val="0"/>
              <w:keepLines w:val="0"/>
              <w:widowControl/>
              <w:suppressLineNumbers w:val="0"/>
              <w:kinsoku w:val="0"/>
              <w:autoSpaceDE w:val="0"/>
              <w:autoSpaceDN w:val="0"/>
              <w:adjustRightInd w:val="0"/>
              <w:snapToGrid w:val="0"/>
              <w:spacing w:before="0" w:beforeAutospacing="0" w:after="0" w:afterAutospacing="0" w:line="360" w:lineRule="auto"/>
              <w:ind w:left="0" w:right="0"/>
              <w:jc w:val="center"/>
              <w:textAlignment w:val="baseline"/>
              <w:rPr>
                <w:rFonts w:hint="default" w:ascii="仿宋" w:hAnsi="仿宋" w:eastAsia="仿宋" w:cs="Arial"/>
                <w:snapToGrid w:val="0"/>
                <w:color w:val="auto"/>
                <w:kern w:val="0"/>
                <w:sz w:val="24"/>
                <w:highlight w:val="none"/>
              </w:rPr>
            </w:pPr>
          </w:p>
        </w:tc>
        <w:tc>
          <w:tcPr>
            <w:tcW w:w="1010" w:type="pct"/>
            <w:noWrap w:val="0"/>
            <w:vAlign w:val="center"/>
          </w:tcPr>
          <w:p w14:paraId="420AB0A3">
            <w:pPr>
              <w:keepNext w:val="0"/>
              <w:keepLines w:val="0"/>
              <w:widowControl/>
              <w:suppressLineNumbers w:val="0"/>
              <w:kinsoku w:val="0"/>
              <w:autoSpaceDE w:val="0"/>
              <w:autoSpaceDN w:val="0"/>
              <w:adjustRightInd w:val="0"/>
              <w:snapToGrid w:val="0"/>
              <w:spacing w:before="0" w:beforeAutospacing="0" w:after="0" w:afterAutospacing="0" w:line="360" w:lineRule="auto"/>
              <w:ind w:left="0" w:right="0"/>
              <w:jc w:val="center"/>
              <w:textAlignment w:val="baseline"/>
              <w:rPr>
                <w:rFonts w:hint="default" w:ascii="仿宋" w:hAnsi="仿宋" w:eastAsia="仿宋" w:cs="Arial"/>
                <w:snapToGrid w:val="0"/>
                <w:color w:val="auto"/>
                <w:kern w:val="0"/>
                <w:sz w:val="24"/>
                <w:highlight w:val="none"/>
              </w:rPr>
            </w:pPr>
          </w:p>
        </w:tc>
        <w:tc>
          <w:tcPr>
            <w:tcW w:w="400" w:type="pct"/>
            <w:noWrap w:val="0"/>
            <w:vAlign w:val="center"/>
          </w:tcPr>
          <w:p w14:paraId="43F16E47">
            <w:pPr>
              <w:keepNext w:val="0"/>
              <w:keepLines w:val="0"/>
              <w:widowControl/>
              <w:suppressLineNumbers w:val="0"/>
              <w:kinsoku w:val="0"/>
              <w:autoSpaceDE w:val="0"/>
              <w:autoSpaceDN w:val="0"/>
              <w:adjustRightInd w:val="0"/>
              <w:snapToGrid w:val="0"/>
              <w:spacing w:before="0" w:beforeAutospacing="0" w:after="0" w:afterAutospacing="0" w:line="360" w:lineRule="auto"/>
              <w:ind w:left="0" w:right="0" w:firstLine="333"/>
              <w:textAlignment w:val="baseline"/>
              <w:rPr>
                <w:rFonts w:hint="default" w:ascii="仿宋" w:hAnsi="仿宋" w:eastAsia="仿宋" w:cs="Arial"/>
                <w:snapToGrid w:val="0"/>
                <w:color w:val="auto"/>
                <w:kern w:val="0"/>
                <w:sz w:val="24"/>
                <w:highlight w:val="none"/>
              </w:rPr>
            </w:pPr>
          </w:p>
        </w:tc>
        <w:tc>
          <w:tcPr>
            <w:tcW w:w="1464" w:type="pct"/>
            <w:noWrap w:val="0"/>
            <w:vAlign w:val="center"/>
          </w:tcPr>
          <w:p w14:paraId="3B2B54C1">
            <w:pPr>
              <w:keepNext w:val="0"/>
              <w:keepLines w:val="0"/>
              <w:widowControl/>
              <w:suppressLineNumbers w:val="0"/>
              <w:kinsoku w:val="0"/>
              <w:autoSpaceDE w:val="0"/>
              <w:autoSpaceDN w:val="0"/>
              <w:adjustRightInd w:val="0"/>
              <w:snapToGrid w:val="0"/>
              <w:spacing w:before="0" w:beforeAutospacing="0" w:after="0" w:afterAutospacing="0" w:line="360" w:lineRule="auto"/>
              <w:ind w:left="0" w:right="0"/>
              <w:jc w:val="center"/>
              <w:textAlignment w:val="baseline"/>
              <w:rPr>
                <w:rFonts w:hint="default" w:ascii="仿宋" w:hAnsi="仿宋" w:eastAsia="仿宋" w:cs="Arial"/>
                <w:snapToGrid w:val="0"/>
                <w:color w:val="auto"/>
                <w:kern w:val="0"/>
                <w:sz w:val="24"/>
                <w:highlight w:val="none"/>
              </w:rPr>
            </w:pPr>
          </w:p>
        </w:tc>
        <w:tc>
          <w:tcPr>
            <w:tcW w:w="777" w:type="pct"/>
            <w:noWrap w:val="0"/>
            <w:vAlign w:val="top"/>
          </w:tcPr>
          <w:p w14:paraId="6DF268AA">
            <w:pPr>
              <w:keepNext w:val="0"/>
              <w:keepLines w:val="0"/>
              <w:widowControl/>
              <w:suppressLineNumbers w:val="0"/>
              <w:kinsoku w:val="0"/>
              <w:autoSpaceDE w:val="0"/>
              <w:autoSpaceDN w:val="0"/>
              <w:adjustRightInd w:val="0"/>
              <w:snapToGrid w:val="0"/>
              <w:spacing w:before="0" w:beforeAutospacing="0" w:after="0" w:afterAutospacing="0" w:line="360" w:lineRule="auto"/>
              <w:ind w:left="0" w:right="0"/>
              <w:jc w:val="center"/>
              <w:textAlignment w:val="baseline"/>
              <w:rPr>
                <w:rFonts w:hint="default" w:ascii="仿宋" w:hAnsi="仿宋" w:eastAsia="仿宋" w:cs="Arial"/>
                <w:snapToGrid w:val="0"/>
                <w:color w:val="auto"/>
                <w:kern w:val="0"/>
                <w:sz w:val="24"/>
                <w:highlight w:val="none"/>
              </w:rPr>
            </w:pPr>
          </w:p>
        </w:tc>
      </w:tr>
      <w:tr w14:paraId="1FADB0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29" w:hRule="atLeast"/>
          <w:jc w:val="center"/>
        </w:trPr>
        <w:tc>
          <w:tcPr>
            <w:tcW w:w="5000" w:type="pct"/>
            <w:gridSpan w:val="5"/>
            <w:noWrap w:val="0"/>
            <w:vAlign w:val="top"/>
          </w:tcPr>
          <w:p w14:paraId="2FCC299A">
            <w:pPr>
              <w:keepNext w:val="0"/>
              <w:keepLines w:val="0"/>
              <w:widowControl/>
              <w:suppressLineNumbers w:val="0"/>
              <w:kinsoku w:val="0"/>
              <w:autoSpaceDE w:val="0"/>
              <w:autoSpaceDN w:val="0"/>
              <w:adjustRightInd w:val="0"/>
              <w:snapToGrid w:val="0"/>
              <w:spacing w:before="0" w:beforeAutospacing="0" w:after="0" w:afterAutospacing="0" w:line="360" w:lineRule="auto"/>
              <w:ind w:left="116" w:right="106" w:firstLine="3"/>
              <w:jc w:val="left"/>
              <w:textAlignment w:val="baseline"/>
              <w:rPr>
                <w:rFonts w:hint="default" w:ascii="仿宋" w:hAnsi="仿宋" w:eastAsia="仿宋" w:cs="微软雅黑"/>
                <w:snapToGrid w:val="0"/>
                <w:color w:val="auto"/>
                <w:spacing w:val="-36"/>
                <w:kern w:val="0"/>
                <w:sz w:val="24"/>
                <w:highlight w:val="none"/>
              </w:rPr>
            </w:pPr>
            <w:r>
              <w:rPr>
                <w:rFonts w:hint="default" w:ascii="仿宋" w:hAnsi="仿宋" w:eastAsia="仿宋" w:cs="微软雅黑"/>
                <w:snapToGrid w:val="0"/>
                <w:color w:val="auto"/>
                <w:spacing w:val="-5"/>
                <w:kern w:val="0"/>
                <w:sz w:val="24"/>
                <w:highlight w:val="none"/>
              </w:rPr>
              <w:t>备注：</w:t>
            </w:r>
            <w:r>
              <w:rPr>
                <w:rFonts w:hint="default" w:ascii="仿宋" w:hAnsi="仿宋" w:eastAsia="仿宋" w:cs="微软雅黑"/>
                <w:snapToGrid w:val="0"/>
                <w:color w:val="auto"/>
                <w:spacing w:val="-36"/>
                <w:kern w:val="0"/>
                <w:sz w:val="24"/>
                <w:highlight w:val="none"/>
              </w:rPr>
              <w:t xml:space="preserve"> </w:t>
            </w:r>
          </w:p>
          <w:p w14:paraId="2CFD4DF6">
            <w:pPr>
              <w:keepNext w:val="0"/>
              <w:keepLines w:val="0"/>
              <w:widowControl/>
              <w:suppressLineNumbers w:val="0"/>
              <w:kinsoku w:val="0"/>
              <w:autoSpaceDE w:val="0"/>
              <w:autoSpaceDN w:val="0"/>
              <w:adjustRightInd w:val="0"/>
              <w:snapToGrid w:val="0"/>
              <w:spacing w:before="0" w:beforeAutospacing="0" w:after="0" w:afterAutospacing="0" w:line="360" w:lineRule="auto"/>
              <w:ind w:left="116" w:right="106" w:firstLine="3"/>
              <w:jc w:val="left"/>
              <w:textAlignment w:val="baseline"/>
              <w:rPr>
                <w:rFonts w:hint="default" w:ascii="仿宋" w:hAnsi="仿宋" w:eastAsia="仿宋" w:cs="微软雅黑"/>
                <w:snapToGrid w:val="0"/>
                <w:color w:val="auto"/>
                <w:spacing w:val="-1"/>
                <w:kern w:val="0"/>
                <w:sz w:val="24"/>
                <w:highlight w:val="none"/>
              </w:rPr>
            </w:pPr>
            <w:r>
              <w:rPr>
                <w:rFonts w:hint="eastAsia" w:ascii="仿宋" w:hAnsi="仿宋" w:eastAsia="仿宋" w:cs="微软雅黑"/>
                <w:snapToGrid w:val="0"/>
                <w:color w:val="auto"/>
                <w:spacing w:val="-5"/>
                <w:kern w:val="0"/>
                <w:sz w:val="24"/>
                <w:highlight w:val="none"/>
              </w:rPr>
              <w:t>（1）</w:t>
            </w:r>
            <w:r>
              <w:rPr>
                <w:rFonts w:hint="default" w:ascii="仿宋" w:hAnsi="仿宋" w:eastAsia="仿宋" w:cs="微软雅黑"/>
                <w:snapToGrid w:val="0"/>
                <w:color w:val="auto"/>
                <w:spacing w:val="-5"/>
                <w:kern w:val="0"/>
                <w:sz w:val="24"/>
                <w:highlight w:val="none"/>
              </w:rPr>
              <w:t>上述产品</w:t>
            </w:r>
            <w:r>
              <w:rPr>
                <w:rFonts w:hint="eastAsia" w:ascii="仿宋" w:hAnsi="仿宋" w:eastAsia="仿宋" w:cs="微软雅黑"/>
                <w:snapToGrid w:val="0"/>
                <w:color w:val="auto"/>
                <w:spacing w:val="-5"/>
                <w:kern w:val="0"/>
                <w:sz w:val="24"/>
                <w:highlight w:val="none"/>
              </w:rPr>
              <w:t>价格详见</w:t>
            </w:r>
            <w:r>
              <w:rPr>
                <w:rFonts w:hint="eastAsia" w:ascii="仿宋" w:hAnsi="仿宋" w:eastAsia="仿宋" w:cs="微软雅黑"/>
                <w:snapToGrid w:val="0"/>
                <w:color w:val="auto"/>
                <w:spacing w:val="-1"/>
                <w:kern w:val="0"/>
                <w:sz w:val="24"/>
                <w:highlight w:val="none"/>
              </w:rPr>
              <w:t>采购合同（分合同），</w:t>
            </w:r>
            <w:r>
              <w:rPr>
                <w:rFonts w:hint="default" w:ascii="仿宋" w:hAnsi="仿宋" w:eastAsia="仿宋" w:cs="微软雅黑"/>
                <w:snapToGrid w:val="0"/>
                <w:color w:val="auto"/>
                <w:spacing w:val="-5"/>
                <w:kern w:val="0"/>
                <w:sz w:val="24"/>
                <w:highlight w:val="none"/>
              </w:rPr>
              <w:t>含产品生产</w:t>
            </w:r>
            <w:r>
              <w:rPr>
                <w:rFonts w:hint="default" w:ascii="仿宋" w:hAnsi="仿宋" w:eastAsia="仿宋" w:cs="微软雅黑"/>
                <w:snapToGrid w:val="0"/>
                <w:color w:val="auto"/>
                <w:spacing w:val="-42"/>
                <w:kern w:val="0"/>
                <w:sz w:val="24"/>
                <w:highlight w:val="none"/>
              </w:rPr>
              <w:t xml:space="preserve"> </w:t>
            </w:r>
            <w:r>
              <w:rPr>
                <w:rFonts w:hint="default" w:ascii="仿宋" w:hAnsi="仿宋" w:eastAsia="仿宋" w:cs="微软雅黑"/>
                <w:snapToGrid w:val="0"/>
                <w:color w:val="auto"/>
                <w:spacing w:val="-5"/>
                <w:kern w:val="0"/>
                <w:sz w:val="24"/>
                <w:highlight w:val="none"/>
              </w:rPr>
              <w:t>、运输&lt;送达至</w:t>
            </w:r>
            <w:r>
              <w:rPr>
                <w:rFonts w:hint="eastAsia" w:ascii="仿宋" w:hAnsi="仿宋" w:eastAsia="仿宋" w:cs="微软雅黑"/>
                <w:snapToGrid w:val="0"/>
                <w:color w:val="auto"/>
                <w:spacing w:val="-5"/>
                <w:kern w:val="0"/>
                <w:sz w:val="24"/>
                <w:highlight w:val="none"/>
                <w:lang w:val="en-US" w:eastAsia="zh-CN"/>
              </w:rPr>
              <w:t>各使用单位</w:t>
            </w:r>
            <w:r>
              <w:rPr>
                <w:rFonts w:hint="default" w:ascii="仿宋" w:hAnsi="仿宋" w:eastAsia="仿宋" w:cs="微软雅黑"/>
                <w:snapToGrid w:val="0"/>
                <w:color w:val="auto"/>
                <w:spacing w:val="-5"/>
                <w:kern w:val="0"/>
                <w:sz w:val="24"/>
                <w:highlight w:val="none"/>
              </w:rPr>
              <w:t>指定地点并下货&gt;</w:t>
            </w:r>
            <w:r>
              <w:rPr>
                <w:rFonts w:hint="default" w:ascii="仿宋" w:hAnsi="仿宋" w:eastAsia="仿宋" w:cs="微软雅黑"/>
                <w:snapToGrid w:val="0"/>
                <w:color w:val="auto"/>
                <w:spacing w:val="-43"/>
                <w:kern w:val="0"/>
                <w:sz w:val="24"/>
                <w:highlight w:val="none"/>
              </w:rPr>
              <w:t xml:space="preserve"> </w:t>
            </w:r>
            <w:r>
              <w:rPr>
                <w:rFonts w:hint="default" w:ascii="仿宋" w:hAnsi="仿宋" w:eastAsia="仿宋" w:cs="微软雅黑"/>
                <w:snapToGrid w:val="0"/>
                <w:color w:val="auto"/>
                <w:spacing w:val="-5"/>
                <w:kern w:val="0"/>
                <w:sz w:val="24"/>
                <w:highlight w:val="none"/>
              </w:rPr>
              <w:t>、安装</w:t>
            </w:r>
            <w:r>
              <w:rPr>
                <w:rFonts w:hint="default" w:ascii="仿宋" w:hAnsi="仿宋" w:eastAsia="仿宋" w:cs="微软雅黑"/>
                <w:snapToGrid w:val="0"/>
                <w:color w:val="auto"/>
                <w:spacing w:val="-42"/>
                <w:kern w:val="0"/>
                <w:sz w:val="24"/>
                <w:highlight w:val="none"/>
              </w:rPr>
              <w:t xml:space="preserve"> </w:t>
            </w:r>
            <w:r>
              <w:rPr>
                <w:rFonts w:hint="default" w:ascii="仿宋" w:hAnsi="仿宋" w:eastAsia="仿宋" w:cs="微软雅黑"/>
                <w:snapToGrid w:val="0"/>
                <w:color w:val="auto"/>
                <w:spacing w:val="-5"/>
                <w:kern w:val="0"/>
                <w:sz w:val="24"/>
                <w:highlight w:val="none"/>
              </w:rPr>
              <w:t>、调试</w:t>
            </w:r>
            <w:r>
              <w:rPr>
                <w:rFonts w:hint="default" w:ascii="仿宋" w:hAnsi="仿宋" w:eastAsia="仿宋" w:cs="微软雅黑"/>
                <w:snapToGrid w:val="0"/>
                <w:color w:val="auto"/>
                <w:spacing w:val="-43"/>
                <w:kern w:val="0"/>
                <w:sz w:val="24"/>
                <w:highlight w:val="none"/>
              </w:rPr>
              <w:t xml:space="preserve"> </w:t>
            </w:r>
            <w:r>
              <w:rPr>
                <w:rFonts w:hint="default" w:ascii="仿宋" w:hAnsi="仿宋" w:eastAsia="仿宋" w:cs="微软雅黑"/>
                <w:snapToGrid w:val="0"/>
                <w:color w:val="auto"/>
                <w:spacing w:val="-5"/>
                <w:kern w:val="0"/>
                <w:sz w:val="24"/>
                <w:highlight w:val="none"/>
              </w:rPr>
              <w:t>、检验</w:t>
            </w:r>
            <w:r>
              <w:rPr>
                <w:rFonts w:hint="default" w:ascii="仿宋" w:hAnsi="仿宋" w:eastAsia="仿宋" w:cs="微软雅黑"/>
                <w:snapToGrid w:val="0"/>
                <w:color w:val="auto"/>
                <w:kern w:val="0"/>
                <w:sz w:val="24"/>
                <w:highlight w:val="none"/>
              </w:rPr>
              <w:t xml:space="preserve"> </w:t>
            </w:r>
            <w:r>
              <w:rPr>
                <w:rFonts w:hint="default" w:ascii="仿宋" w:hAnsi="仿宋" w:eastAsia="仿宋" w:cs="微软雅黑"/>
                <w:snapToGrid w:val="0"/>
                <w:color w:val="auto"/>
                <w:spacing w:val="-1"/>
                <w:kern w:val="0"/>
                <w:sz w:val="24"/>
                <w:highlight w:val="none"/>
              </w:rPr>
              <w:t>及售后服务、税金、劳保基金等费用。</w:t>
            </w:r>
          </w:p>
          <w:p w14:paraId="1E168B08">
            <w:pPr>
              <w:keepNext w:val="0"/>
              <w:keepLines w:val="0"/>
              <w:widowControl/>
              <w:suppressLineNumbers w:val="0"/>
              <w:kinsoku w:val="0"/>
              <w:autoSpaceDE w:val="0"/>
              <w:autoSpaceDN w:val="0"/>
              <w:adjustRightInd w:val="0"/>
              <w:snapToGrid w:val="0"/>
              <w:spacing w:before="0" w:beforeAutospacing="0" w:after="0" w:afterAutospacing="0" w:line="360" w:lineRule="auto"/>
              <w:ind w:left="116" w:right="106" w:firstLine="3"/>
              <w:jc w:val="left"/>
              <w:textAlignment w:val="baseline"/>
              <w:rPr>
                <w:rFonts w:hint="default" w:ascii="仿宋" w:hAnsi="仿宋" w:eastAsia="仿宋" w:cs="微软雅黑"/>
                <w:snapToGrid w:val="0"/>
                <w:color w:val="auto"/>
                <w:spacing w:val="-1"/>
                <w:kern w:val="0"/>
                <w:sz w:val="24"/>
                <w:highlight w:val="none"/>
              </w:rPr>
            </w:pPr>
            <w:r>
              <w:rPr>
                <w:rFonts w:hint="eastAsia" w:ascii="仿宋" w:hAnsi="仿宋" w:eastAsia="仿宋" w:cs="微软雅黑"/>
                <w:snapToGrid w:val="0"/>
                <w:color w:val="auto"/>
                <w:spacing w:val="-1"/>
                <w:kern w:val="0"/>
                <w:sz w:val="24"/>
                <w:highlight w:val="none"/>
              </w:rPr>
              <w:t>（2）各使用单位可根据临床使用需求决定选择性采购招标文件中列明须单独报价的配件（或附件），采购合同（分合同）价格为相应标准配置设备中标价格与未选择采购（减少）配件（或附件）价格的相应价格之差。</w:t>
            </w:r>
          </w:p>
        </w:tc>
      </w:tr>
    </w:tbl>
    <w:p w14:paraId="0AC12D6B">
      <w:pPr>
        <w:rPr>
          <w:color w:val="auto"/>
          <w:highlight w:val="none"/>
        </w:rPr>
      </w:pPr>
      <w:r>
        <w:rPr>
          <w:color w:val="auto"/>
          <w:highlight w:val="none"/>
        </w:rPr>
        <w:br w:type="page"/>
      </w:r>
    </w:p>
    <w:p w14:paraId="757D511A">
      <w:pPr>
        <w:widowControl/>
        <w:kinsoku w:val="0"/>
        <w:autoSpaceDE w:val="0"/>
        <w:autoSpaceDN w:val="0"/>
        <w:adjustRightInd w:val="0"/>
        <w:snapToGrid w:val="0"/>
        <w:spacing w:line="360" w:lineRule="auto"/>
        <w:ind w:firstLine="478" w:firstLineChars="200"/>
        <w:jc w:val="left"/>
        <w:textAlignment w:val="baseline"/>
        <w:outlineLvl w:val="0"/>
        <w:rPr>
          <w:rFonts w:ascii="仿宋" w:hAnsi="仿宋" w:eastAsia="仿宋" w:cs="微软雅黑"/>
          <w:b/>
          <w:bCs/>
          <w:snapToGrid w:val="0"/>
          <w:color w:val="auto"/>
          <w:spacing w:val="-1"/>
          <w:kern w:val="0"/>
          <w:sz w:val="24"/>
          <w:highlight w:val="none"/>
        </w:rPr>
      </w:pPr>
      <w:r>
        <w:rPr>
          <w:rFonts w:hint="eastAsia" w:ascii="仿宋" w:hAnsi="仿宋" w:eastAsia="仿宋" w:cs="微软雅黑"/>
          <w:b/>
          <w:bCs/>
          <w:snapToGrid w:val="0"/>
          <w:color w:val="auto"/>
          <w:spacing w:val="-1"/>
          <w:kern w:val="0"/>
          <w:sz w:val="24"/>
          <w:highlight w:val="none"/>
        </w:rPr>
        <w:t>具体使用单位：</w:t>
      </w:r>
    </w:p>
    <w:tbl>
      <w:tblPr>
        <w:tblStyle w:val="48"/>
        <w:tblW w:w="513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60"/>
        <w:gridCol w:w="3460"/>
        <w:gridCol w:w="1598"/>
        <w:gridCol w:w="1596"/>
      </w:tblGrid>
      <w:tr w14:paraId="65ACCC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710" w:type="pct"/>
            <w:noWrap w:val="0"/>
            <w:vAlign w:val="center"/>
          </w:tcPr>
          <w:p w14:paraId="064D1D4A">
            <w:pPr>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default" w:ascii="宋体" w:hAnsi="宋体" w:eastAsia="仿宋" w:cs="Arial"/>
                <w:snapToGrid w:val="0"/>
                <w:color w:val="auto"/>
                <w:kern w:val="0"/>
                <w:sz w:val="24"/>
                <w:szCs w:val="21"/>
                <w:highlight w:val="none"/>
              </w:rPr>
            </w:pPr>
            <w:r>
              <w:rPr>
                <w:rFonts w:hint="eastAsia" w:ascii="宋体" w:hAnsi="宋体" w:eastAsia="仿宋" w:cs="Arial"/>
                <w:snapToGrid w:val="0"/>
                <w:color w:val="auto"/>
                <w:kern w:val="0"/>
                <w:sz w:val="24"/>
                <w:szCs w:val="21"/>
                <w:highlight w:val="none"/>
              </w:rPr>
              <w:t>产品名称</w:t>
            </w:r>
          </w:p>
        </w:tc>
        <w:tc>
          <w:tcPr>
            <w:tcW w:w="1710" w:type="pct"/>
            <w:noWrap w:val="0"/>
            <w:vAlign w:val="center"/>
          </w:tcPr>
          <w:p w14:paraId="57458FA0">
            <w:pPr>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default" w:ascii="宋体" w:hAnsi="宋体" w:eastAsia="仿宋" w:cs="Arial"/>
                <w:snapToGrid w:val="0"/>
                <w:color w:val="auto"/>
                <w:kern w:val="0"/>
                <w:sz w:val="24"/>
                <w:szCs w:val="21"/>
                <w:highlight w:val="none"/>
                <w:lang w:eastAsia="en-US"/>
              </w:rPr>
            </w:pPr>
            <w:r>
              <w:rPr>
                <w:rFonts w:hint="default" w:ascii="宋体" w:hAnsi="宋体" w:eastAsia="仿宋" w:cs="Arial"/>
                <w:snapToGrid w:val="0"/>
                <w:color w:val="auto"/>
                <w:kern w:val="0"/>
                <w:sz w:val="24"/>
                <w:szCs w:val="21"/>
                <w:highlight w:val="none"/>
                <w:lang w:eastAsia="en-US"/>
              </w:rPr>
              <w:t>使用单位</w:t>
            </w:r>
          </w:p>
        </w:tc>
        <w:tc>
          <w:tcPr>
            <w:tcW w:w="789" w:type="pct"/>
            <w:noWrap w:val="0"/>
            <w:vAlign w:val="center"/>
          </w:tcPr>
          <w:p w14:paraId="360843C1">
            <w:pPr>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default" w:ascii="宋体" w:hAnsi="宋体" w:eastAsia="仿宋" w:cs="Arial"/>
                <w:snapToGrid w:val="0"/>
                <w:color w:val="auto"/>
                <w:kern w:val="0"/>
                <w:sz w:val="24"/>
                <w:szCs w:val="21"/>
                <w:highlight w:val="none"/>
              </w:rPr>
            </w:pPr>
            <w:r>
              <w:rPr>
                <w:rFonts w:hint="eastAsia" w:ascii="宋体" w:hAnsi="宋体" w:eastAsia="仿宋" w:cs="Arial"/>
                <w:snapToGrid w:val="0"/>
                <w:color w:val="auto"/>
                <w:kern w:val="0"/>
                <w:sz w:val="24"/>
                <w:szCs w:val="21"/>
                <w:highlight w:val="none"/>
              </w:rPr>
              <w:t>单位</w:t>
            </w:r>
          </w:p>
        </w:tc>
        <w:tc>
          <w:tcPr>
            <w:tcW w:w="789" w:type="pct"/>
            <w:noWrap w:val="0"/>
            <w:vAlign w:val="center"/>
          </w:tcPr>
          <w:p w14:paraId="6514F23C">
            <w:pPr>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default" w:ascii="宋体" w:hAnsi="宋体" w:eastAsia="仿宋" w:cs="Arial"/>
                <w:snapToGrid w:val="0"/>
                <w:color w:val="auto"/>
                <w:kern w:val="0"/>
                <w:sz w:val="24"/>
                <w:szCs w:val="21"/>
                <w:highlight w:val="none"/>
                <w:lang w:eastAsia="en-US"/>
              </w:rPr>
            </w:pPr>
            <w:r>
              <w:rPr>
                <w:rFonts w:hint="eastAsia" w:ascii="宋体" w:hAnsi="宋体" w:eastAsia="仿宋" w:cs="Arial"/>
                <w:snapToGrid w:val="0"/>
                <w:color w:val="auto"/>
                <w:kern w:val="0"/>
                <w:sz w:val="24"/>
                <w:szCs w:val="21"/>
                <w:highlight w:val="none"/>
                <w:lang w:eastAsia="en-US"/>
              </w:rPr>
              <w:t>采购数量</w:t>
            </w:r>
          </w:p>
        </w:tc>
      </w:tr>
      <w:tr w14:paraId="7B805F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710" w:type="pct"/>
            <w:noWrap w:val="0"/>
            <w:vAlign w:val="center"/>
          </w:tcPr>
          <w:p w14:paraId="12DA7240">
            <w:pPr>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default" w:ascii="宋体" w:hAnsi="宋体" w:eastAsia="仿宋" w:cs="Arial"/>
                <w:snapToGrid w:val="0"/>
                <w:color w:val="auto"/>
                <w:kern w:val="0"/>
                <w:sz w:val="24"/>
                <w:szCs w:val="21"/>
                <w:highlight w:val="none"/>
                <w:lang w:eastAsia="en-US"/>
              </w:rPr>
            </w:pPr>
          </w:p>
        </w:tc>
        <w:tc>
          <w:tcPr>
            <w:tcW w:w="1710" w:type="pct"/>
            <w:noWrap w:val="0"/>
            <w:vAlign w:val="center"/>
          </w:tcPr>
          <w:p w14:paraId="336B114F">
            <w:pPr>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default" w:ascii="宋体" w:hAnsi="宋体" w:eastAsia="仿宋" w:cs="Arial"/>
                <w:snapToGrid w:val="0"/>
                <w:color w:val="auto"/>
                <w:kern w:val="0"/>
                <w:sz w:val="24"/>
                <w:szCs w:val="21"/>
                <w:highlight w:val="none"/>
                <w:lang w:eastAsia="en-US"/>
              </w:rPr>
            </w:pPr>
          </w:p>
        </w:tc>
        <w:tc>
          <w:tcPr>
            <w:tcW w:w="789" w:type="pct"/>
            <w:noWrap w:val="0"/>
            <w:vAlign w:val="center"/>
          </w:tcPr>
          <w:p w14:paraId="0E49175D">
            <w:pPr>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default" w:ascii="宋体" w:hAnsi="宋体" w:eastAsia="仿宋" w:cs="Arial"/>
                <w:snapToGrid w:val="0"/>
                <w:color w:val="auto"/>
                <w:kern w:val="0"/>
                <w:sz w:val="24"/>
                <w:szCs w:val="21"/>
                <w:highlight w:val="none"/>
                <w:lang w:eastAsia="en-US"/>
              </w:rPr>
            </w:pPr>
          </w:p>
        </w:tc>
        <w:tc>
          <w:tcPr>
            <w:tcW w:w="789" w:type="pct"/>
            <w:noWrap w:val="0"/>
            <w:vAlign w:val="center"/>
          </w:tcPr>
          <w:p w14:paraId="5F7746B4">
            <w:pPr>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default" w:ascii="宋体" w:hAnsi="宋体" w:eastAsia="仿宋" w:cs="Arial"/>
                <w:snapToGrid w:val="0"/>
                <w:color w:val="auto"/>
                <w:kern w:val="0"/>
                <w:sz w:val="24"/>
                <w:szCs w:val="21"/>
                <w:highlight w:val="none"/>
                <w:lang w:eastAsia="en-US"/>
              </w:rPr>
            </w:pPr>
          </w:p>
        </w:tc>
      </w:tr>
      <w:tr w14:paraId="09E12A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710" w:type="pct"/>
            <w:noWrap w:val="0"/>
            <w:vAlign w:val="center"/>
          </w:tcPr>
          <w:p w14:paraId="435C239B">
            <w:pPr>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default" w:ascii="宋体" w:hAnsi="宋体" w:eastAsia="仿宋" w:cs="Arial"/>
                <w:snapToGrid w:val="0"/>
                <w:color w:val="auto"/>
                <w:kern w:val="0"/>
                <w:sz w:val="24"/>
                <w:szCs w:val="21"/>
                <w:highlight w:val="none"/>
                <w:lang w:eastAsia="en-US"/>
              </w:rPr>
            </w:pPr>
          </w:p>
        </w:tc>
        <w:tc>
          <w:tcPr>
            <w:tcW w:w="1710" w:type="pct"/>
            <w:noWrap w:val="0"/>
            <w:vAlign w:val="center"/>
          </w:tcPr>
          <w:p w14:paraId="3F0D8337">
            <w:pPr>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default" w:ascii="宋体" w:hAnsi="宋体" w:eastAsia="仿宋" w:cs="Arial"/>
                <w:snapToGrid w:val="0"/>
                <w:color w:val="auto"/>
                <w:kern w:val="0"/>
                <w:sz w:val="24"/>
                <w:szCs w:val="21"/>
                <w:highlight w:val="none"/>
                <w:lang w:eastAsia="en-US"/>
              </w:rPr>
            </w:pPr>
          </w:p>
        </w:tc>
        <w:tc>
          <w:tcPr>
            <w:tcW w:w="789" w:type="pct"/>
            <w:noWrap w:val="0"/>
            <w:vAlign w:val="center"/>
          </w:tcPr>
          <w:p w14:paraId="422748AD">
            <w:pPr>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default" w:ascii="宋体" w:hAnsi="宋体" w:eastAsia="仿宋" w:cs="Arial"/>
                <w:snapToGrid w:val="0"/>
                <w:color w:val="auto"/>
                <w:kern w:val="0"/>
                <w:sz w:val="24"/>
                <w:szCs w:val="21"/>
                <w:highlight w:val="none"/>
                <w:lang w:eastAsia="en-US"/>
              </w:rPr>
            </w:pPr>
          </w:p>
        </w:tc>
        <w:tc>
          <w:tcPr>
            <w:tcW w:w="789" w:type="pct"/>
            <w:noWrap w:val="0"/>
            <w:vAlign w:val="center"/>
          </w:tcPr>
          <w:p w14:paraId="6A986FE7">
            <w:pPr>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default" w:ascii="宋体" w:hAnsi="宋体" w:eastAsia="仿宋" w:cs="Arial"/>
                <w:snapToGrid w:val="0"/>
                <w:color w:val="auto"/>
                <w:kern w:val="0"/>
                <w:sz w:val="24"/>
                <w:szCs w:val="21"/>
                <w:highlight w:val="none"/>
                <w:lang w:eastAsia="en-US"/>
              </w:rPr>
            </w:pPr>
          </w:p>
        </w:tc>
      </w:tr>
      <w:tr w14:paraId="7D4E33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710" w:type="pct"/>
            <w:noWrap w:val="0"/>
            <w:vAlign w:val="center"/>
          </w:tcPr>
          <w:p w14:paraId="4ECD0354">
            <w:pPr>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default" w:ascii="宋体" w:hAnsi="宋体" w:eastAsia="仿宋" w:cs="Arial"/>
                <w:snapToGrid w:val="0"/>
                <w:color w:val="auto"/>
                <w:kern w:val="0"/>
                <w:sz w:val="24"/>
                <w:szCs w:val="21"/>
                <w:highlight w:val="none"/>
                <w:lang w:eastAsia="en-US"/>
              </w:rPr>
            </w:pPr>
          </w:p>
        </w:tc>
        <w:tc>
          <w:tcPr>
            <w:tcW w:w="1710" w:type="pct"/>
            <w:noWrap w:val="0"/>
            <w:vAlign w:val="center"/>
          </w:tcPr>
          <w:p w14:paraId="41329C54">
            <w:pPr>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default" w:ascii="宋体" w:hAnsi="宋体" w:eastAsia="仿宋" w:cs="Arial"/>
                <w:snapToGrid w:val="0"/>
                <w:color w:val="auto"/>
                <w:kern w:val="0"/>
                <w:sz w:val="24"/>
                <w:szCs w:val="21"/>
                <w:highlight w:val="none"/>
                <w:lang w:eastAsia="en-US"/>
              </w:rPr>
            </w:pPr>
          </w:p>
        </w:tc>
        <w:tc>
          <w:tcPr>
            <w:tcW w:w="789" w:type="pct"/>
            <w:noWrap w:val="0"/>
            <w:vAlign w:val="center"/>
          </w:tcPr>
          <w:p w14:paraId="0DC4184C">
            <w:pPr>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default" w:ascii="宋体" w:hAnsi="宋体" w:eastAsia="仿宋" w:cs="Arial"/>
                <w:snapToGrid w:val="0"/>
                <w:color w:val="auto"/>
                <w:kern w:val="0"/>
                <w:sz w:val="24"/>
                <w:szCs w:val="21"/>
                <w:highlight w:val="none"/>
                <w:lang w:eastAsia="en-US"/>
              </w:rPr>
            </w:pPr>
          </w:p>
        </w:tc>
        <w:tc>
          <w:tcPr>
            <w:tcW w:w="789" w:type="pct"/>
            <w:noWrap w:val="0"/>
            <w:vAlign w:val="center"/>
          </w:tcPr>
          <w:p w14:paraId="32360889">
            <w:pPr>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default" w:ascii="宋体" w:hAnsi="宋体" w:eastAsia="仿宋" w:cs="Arial"/>
                <w:snapToGrid w:val="0"/>
                <w:color w:val="auto"/>
                <w:kern w:val="0"/>
                <w:sz w:val="24"/>
                <w:szCs w:val="21"/>
                <w:highlight w:val="none"/>
                <w:lang w:eastAsia="en-US"/>
              </w:rPr>
            </w:pPr>
          </w:p>
        </w:tc>
      </w:tr>
      <w:tr w14:paraId="2BBC63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710" w:type="pct"/>
            <w:noWrap w:val="0"/>
            <w:vAlign w:val="center"/>
          </w:tcPr>
          <w:p w14:paraId="2285B802">
            <w:pPr>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default" w:ascii="宋体" w:hAnsi="宋体" w:eastAsia="仿宋" w:cs="Arial"/>
                <w:snapToGrid w:val="0"/>
                <w:color w:val="auto"/>
                <w:kern w:val="0"/>
                <w:sz w:val="24"/>
                <w:szCs w:val="21"/>
                <w:highlight w:val="none"/>
                <w:lang w:eastAsia="en-US"/>
              </w:rPr>
            </w:pPr>
          </w:p>
        </w:tc>
        <w:tc>
          <w:tcPr>
            <w:tcW w:w="1710" w:type="pct"/>
            <w:noWrap w:val="0"/>
            <w:vAlign w:val="center"/>
          </w:tcPr>
          <w:p w14:paraId="57B12876">
            <w:pPr>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default" w:ascii="宋体" w:hAnsi="宋体" w:eastAsia="仿宋" w:cs="Arial"/>
                <w:snapToGrid w:val="0"/>
                <w:color w:val="auto"/>
                <w:kern w:val="0"/>
                <w:sz w:val="24"/>
                <w:szCs w:val="21"/>
                <w:highlight w:val="none"/>
                <w:lang w:eastAsia="en-US"/>
              </w:rPr>
            </w:pPr>
          </w:p>
        </w:tc>
        <w:tc>
          <w:tcPr>
            <w:tcW w:w="789" w:type="pct"/>
            <w:noWrap w:val="0"/>
            <w:vAlign w:val="center"/>
          </w:tcPr>
          <w:p w14:paraId="407057A8">
            <w:pPr>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default" w:ascii="宋体" w:hAnsi="宋体" w:eastAsia="仿宋" w:cs="Arial"/>
                <w:snapToGrid w:val="0"/>
                <w:color w:val="auto"/>
                <w:kern w:val="0"/>
                <w:sz w:val="24"/>
                <w:szCs w:val="21"/>
                <w:highlight w:val="none"/>
                <w:lang w:eastAsia="en-US"/>
              </w:rPr>
            </w:pPr>
          </w:p>
        </w:tc>
        <w:tc>
          <w:tcPr>
            <w:tcW w:w="789" w:type="pct"/>
            <w:noWrap w:val="0"/>
            <w:vAlign w:val="center"/>
          </w:tcPr>
          <w:p w14:paraId="0B05A6B0">
            <w:pPr>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default" w:ascii="宋体" w:hAnsi="宋体" w:eastAsia="仿宋" w:cs="Arial"/>
                <w:snapToGrid w:val="0"/>
                <w:color w:val="auto"/>
                <w:kern w:val="0"/>
                <w:sz w:val="24"/>
                <w:szCs w:val="21"/>
                <w:highlight w:val="none"/>
                <w:lang w:eastAsia="en-US"/>
              </w:rPr>
            </w:pPr>
          </w:p>
        </w:tc>
      </w:tr>
      <w:tr w14:paraId="7CC3ED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210" w:type="pct"/>
            <w:gridSpan w:val="3"/>
            <w:noWrap w:val="0"/>
            <w:vAlign w:val="center"/>
          </w:tcPr>
          <w:p w14:paraId="2DB2DD27">
            <w:pPr>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default" w:ascii="宋体" w:hAnsi="宋体" w:eastAsia="仿宋" w:cs="Arial"/>
                <w:snapToGrid w:val="0"/>
                <w:color w:val="auto"/>
                <w:kern w:val="0"/>
                <w:sz w:val="24"/>
                <w:szCs w:val="21"/>
                <w:highlight w:val="none"/>
                <w:lang w:eastAsia="en-US"/>
              </w:rPr>
            </w:pPr>
            <w:r>
              <w:rPr>
                <w:rFonts w:hint="eastAsia" w:ascii="宋体" w:hAnsi="宋体" w:eastAsia="仿宋" w:cs="Arial"/>
                <w:snapToGrid w:val="0"/>
                <w:color w:val="auto"/>
                <w:kern w:val="0"/>
                <w:sz w:val="24"/>
                <w:szCs w:val="21"/>
                <w:highlight w:val="none"/>
              </w:rPr>
              <w:t>合计</w:t>
            </w:r>
          </w:p>
        </w:tc>
        <w:tc>
          <w:tcPr>
            <w:tcW w:w="789" w:type="pct"/>
            <w:noWrap w:val="0"/>
            <w:vAlign w:val="center"/>
          </w:tcPr>
          <w:p w14:paraId="066309D4">
            <w:pPr>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default" w:ascii="宋体" w:hAnsi="宋体" w:eastAsia="仿宋" w:cs="Arial"/>
                <w:snapToGrid w:val="0"/>
                <w:color w:val="auto"/>
                <w:kern w:val="0"/>
                <w:sz w:val="24"/>
                <w:szCs w:val="21"/>
                <w:highlight w:val="none"/>
                <w:lang w:eastAsia="en-US"/>
              </w:rPr>
            </w:pPr>
          </w:p>
        </w:tc>
      </w:tr>
    </w:tbl>
    <w:p w14:paraId="766EB8EC">
      <w:pPr>
        <w:widowControl/>
        <w:kinsoku w:val="0"/>
        <w:autoSpaceDE w:val="0"/>
        <w:autoSpaceDN w:val="0"/>
        <w:adjustRightInd w:val="0"/>
        <w:snapToGrid w:val="0"/>
        <w:spacing w:line="360" w:lineRule="auto"/>
        <w:ind w:firstLine="498" w:firstLineChars="200"/>
        <w:jc w:val="left"/>
        <w:textAlignment w:val="baseline"/>
        <w:rPr>
          <w:rFonts w:ascii="仿宋" w:hAnsi="仿宋" w:eastAsia="仿宋" w:cs="微软雅黑"/>
          <w:b/>
          <w:bCs/>
          <w:snapToGrid w:val="0"/>
          <w:color w:val="auto"/>
          <w:spacing w:val="4"/>
          <w:kern w:val="0"/>
          <w:sz w:val="24"/>
          <w:highlight w:val="none"/>
        </w:rPr>
      </w:pPr>
    </w:p>
    <w:p w14:paraId="507B00C6">
      <w:pPr>
        <w:widowControl/>
        <w:kinsoku w:val="0"/>
        <w:autoSpaceDE w:val="0"/>
        <w:autoSpaceDN w:val="0"/>
        <w:adjustRightInd w:val="0"/>
        <w:snapToGrid w:val="0"/>
        <w:spacing w:line="360" w:lineRule="auto"/>
        <w:ind w:firstLine="498" w:firstLineChars="200"/>
        <w:jc w:val="left"/>
        <w:textAlignment w:val="baseline"/>
        <w:rPr>
          <w:rFonts w:ascii="仿宋" w:hAnsi="仿宋" w:eastAsia="仿宋" w:cs="微软雅黑"/>
          <w:snapToGrid w:val="0"/>
          <w:color w:val="auto"/>
          <w:spacing w:val="4"/>
          <w:kern w:val="0"/>
          <w:sz w:val="24"/>
          <w:highlight w:val="none"/>
        </w:rPr>
      </w:pPr>
      <w:r>
        <w:rPr>
          <w:rFonts w:hint="eastAsia" w:ascii="仿宋" w:hAnsi="仿宋" w:eastAsia="仿宋" w:cs="微软雅黑"/>
          <w:b/>
          <w:bCs/>
          <w:snapToGrid w:val="0"/>
          <w:color w:val="auto"/>
          <w:spacing w:val="4"/>
          <w:kern w:val="0"/>
          <w:sz w:val="24"/>
          <w:highlight w:val="none"/>
        </w:rPr>
        <w:t>二、组成合同的文件</w:t>
      </w:r>
    </w:p>
    <w:p w14:paraId="111E3A82">
      <w:pPr>
        <w:widowControl/>
        <w:kinsoku w:val="0"/>
        <w:autoSpaceDE w:val="0"/>
        <w:autoSpaceDN w:val="0"/>
        <w:adjustRightInd w:val="0"/>
        <w:snapToGrid w:val="0"/>
        <w:spacing w:line="360" w:lineRule="auto"/>
        <w:ind w:firstLine="496" w:firstLineChars="200"/>
        <w:jc w:val="left"/>
        <w:textAlignment w:val="baseline"/>
        <w:rPr>
          <w:rFonts w:ascii="仿宋" w:hAnsi="仿宋" w:eastAsia="仿宋" w:cs="微软雅黑"/>
          <w:snapToGrid w:val="0"/>
          <w:color w:val="auto"/>
          <w:spacing w:val="4"/>
          <w:kern w:val="0"/>
          <w:sz w:val="24"/>
          <w:highlight w:val="none"/>
        </w:rPr>
      </w:pPr>
      <w:r>
        <w:rPr>
          <w:rFonts w:hint="eastAsia" w:ascii="仿宋" w:hAnsi="仿宋" w:eastAsia="仿宋" w:cs="微软雅黑"/>
          <w:snapToGrid w:val="0"/>
          <w:color w:val="auto"/>
          <w:spacing w:val="4"/>
          <w:kern w:val="0"/>
          <w:sz w:val="24"/>
          <w:highlight w:val="none"/>
        </w:rPr>
        <w:t>本协议书与下列文件一起构成合同文件，如下述文件之间有任何抵触、矛盾或歧义，应按以下顺序解释：</w:t>
      </w:r>
    </w:p>
    <w:p w14:paraId="25D87E71">
      <w:pPr>
        <w:widowControl/>
        <w:kinsoku w:val="0"/>
        <w:autoSpaceDE w:val="0"/>
        <w:autoSpaceDN w:val="0"/>
        <w:adjustRightInd w:val="0"/>
        <w:snapToGrid w:val="0"/>
        <w:spacing w:line="360" w:lineRule="auto"/>
        <w:ind w:firstLine="496" w:firstLineChars="200"/>
        <w:jc w:val="left"/>
        <w:textAlignment w:val="baseline"/>
        <w:rPr>
          <w:rFonts w:ascii="仿宋" w:hAnsi="仿宋" w:eastAsia="仿宋" w:cs="微软雅黑"/>
          <w:snapToGrid w:val="0"/>
          <w:color w:val="auto"/>
          <w:spacing w:val="4"/>
          <w:kern w:val="0"/>
          <w:sz w:val="24"/>
          <w:highlight w:val="none"/>
        </w:rPr>
      </w:pPr>
      <w:r>
        <w:rPr>
          <w:rFonts w:hint="eastAsia" w:ascii="仿宋" w:hAnsi="仿宋" w:eastAsia="仿宋" w:cs="微软雅黑"/>
          <w:snapToGrid w:val="0"/>
          <w:color w:val="auto"/>
          <w:spacing w:val="4"/>
          <w:kern w:val="0"/>
          <w:sz w:val="24"/>
          <w:highlight w:val="none"/>
        </w:rPr>
        <w:t>（1）安徽省紧密型县域医共体设备更新一期项目框架协议</w:t>
      </w:r>
    </w:p>
    <w:p w14:paraId="2B7D6299">
      <w:pPr>
        <w:widowControl/>
        <w:kinsoku w:val="0"/>
        <w:autoSpaceDE w:val="0"/>
        <w:autoSpaceDN w:val="0"/>
        <w:adjustRightInd w:val="0"/>
        <w:snapToGrid w:val="0"/>
        <w:spacing w:line="360" w:lineRule="auto"/>
        <w:ind w:firstLine="496" w:firstLineChars="200"/>
        <w:jc w:val="left"/>
        <w:textAlignment w:val="baseline"/>
        <w:rPr>
          <w:rFonts w:ascii="仿宋" w:hAnsi="仿宋" w:eastAsia="仿宋" w:cs="微软雅黑"/>
          <w:snapToGrid w:val="0"/>
          <w:color w:val="auto"/>
          <w:spacing w:val="4"/>
          <w:kern w:val="0"/>
          <w:sz w:val="24"/>
          <w:highlight w:val="none"/>
        </w:rPr>
      </w:pPr>
      <w:r>
        <w:rPr>
          <w:rFonts w:hint="eastAsia" w:ascii="仿宋" w:hAnsi="仿宋" w:eastAsia="仿宋" w:cs="微软雅黑"/>
          <w:snapToGrid w:val="0"/>
          <w:color w:val="auto"/>
          <w:spacing w:val="4"/>
          <w:kern w:val="0"/>
          <w:sz w:val="24"/>
          <w:highlight w:val="none"/>
        </w:rPr>
        <w:t>（2）使用单位与卖方在本框架协议内签订的采购合同（分合同）及补充协议</w:t>
      </w:r>
    </w:p>
    <w:p w14:paraId="69A40EB0">
      <w:pPr>
        <w:widowControl/>
        <w:kinsoku w:val="0"/>
        <w:autoSpaceDE w:val="0"/>
        <w:autoSpaceDN w:val="0"/>
        <w:adjustRightInd w:val="0"/>
        <w:snapToGrid w:val="0"/>
        <w:spacing w:line="360" w:lineRule="auto"/>
        <w:ind w:firstLine="496" w:firstLineChars="200"/>
        <w:jc w:val="left"/>
        <w:textAlignment w:val="baseline"/>
        <w:rPr>
          <w:rFonts w:ascii="仿宋" w:hAnsi="仿宋" w:eastAsia="仿宋" w:cs="微软雅黑"/>
          <w:snapToGrid w:val="0"/>
          <w:color w:val="auto"/>
          <w:spacing w:val="4"/>
          <w:kern w:val="0"/>
          <w:sz w:val="24"/>
          <w:highlight w:val="none"/>
        </w:rPr>
      </w:pPr>
      <w:r>
        <w:rPr>
          <w:rFonts w:hint="eastAsia" w:ascii="仿宋" w:hAnsi="仿宋" w:eastAsia="仿宋" w:cs="微软雅黑"/>
          <w:snapToGrid w:val="0"/>
          <w:color w:val="auto"/>
          <w:spacing w:val="4"/>
          <w:kern w:val="0"/>
          <w:sz w:val="24"/>
          <w:highlight w:val="none"/>
        </w:rPr>
        <w:t>（</w:t>
      </w:r>
      <w:r>
        <w:rPr>
          <w:rFonts w:ascii="仿宋" w:hAnsi="仿宋" w:eastAsia="仿宋" w:cs="微软雅黑"/>
          <w:snapToGrid w:val="0"/>
          <w:color w:val="auto"/>
          <w:spacing w:val="4"/>
          <w:kern w:val="0"/>
          <w:sz w:val="24"/>
          <w:highlight w:val="none"/>
        </w:rPr>
        <w:t>3</w:t>
      </w:r>
      <w:r>
        <w:rPr>
          <w:rFonts w:hint="eastAsia" w:ascii="仿宋" w:hAnsi="仿宋" w:eastAsia="仿宋" w:cs="微软雅黑"/>
          <w:snapToGrid w:val="0"/>
          <w:color w:val="auto"/>
          <w:spacing w:val="4"/>
          <w:kern w:val="0"/>
          <w:sz w:val="24"/>
          <w:highlight w:val="none"/>
        </w:rPr>
        <w:t>）中标（成交）通知书</w:t>
      </w:r>
    </w:p>
    <w:p w14:paraId="0184D15A">
      <w:pPr>
        <w:widowControl/>
        <w:kinsoku w:val="0"/>
        <w:autoSpaceDE w:val="0"/>
        <w:autoSpaceDN w:val="0"/>
        <w:adjustRightInd w:val="0"/>
        <w:snapToGrid w:val="0"/>
        <w:spacing w:line="360" w:lineRule="auto"/>
        <w:ind w:firstLine="496" w:firstLineChars="200"/>
        <w:jc w:val="left"/>
        <w:textAlignment w:val="baseline"/>
        <w:rPr>
          <w:rFonts w:ascii="仿宋" w:hAnsi="仿宋" w:eastAsia="仿宋" w:cs="微软雅黑"/>
          <w:snapToGrid w:val="0"/>
          <w:color w:val="auto"/>
          <w:spacing w:val="4"/>
          <w:kern w:val="0"/>
          <w:sz w:val="24"/>
          <w:highlight w:val="none"/>
        </w:rPr>
      </w:pPr>
      <w:r>
        <w:rPr>
          <w:rFonts w:hint="eastAsia" w:ascii="仿宋" w:hAnsi="仿宋" w:eastAsia="仿宋" w:cs="微软雅黑"/>
          <w:snapToGrid w:val="0"/>
          <w:color w:val="auto"/>
          <w:spacing w:val="4"/>
          <w:kern w:val="0"/>
          <w:sz w:val="24"/>
          <w:highlight w:val="none"/>
        </w:rPr>
        <w:t>（</w:t>
      </w:r>
      <w:r>
        <w:rPr>
          <w:rFonts w:ascii="仿宋" w:hAnsi="仿宋" w:eastAsia="仿宋" w:cs="微软雅黑"/>
          <w:snapToGrid w:val="0"/>
          <w:color w:val="auto"/>
          <w:spacing w:val="4"/>
          <w:kern w:val="0"/>
          <w:sz w:val="24"/>
          <w:highlight w:val="none"/>
        </w:rPr>
        <w:t>4</w:t>
      </w:r>
      <w:r>
        <w:rPr>
          <w:rFonts w:hint="eastAsia" w:ascii="仿宋" w:hAnsi="仿宋" w:eastAsia="仿宋" w:cs="微软雅黑"/>
          <w:snapToGrid w:val="0"/>
          <w:color w:val="auto"/>
          <w:spacing w:val="4"/>
          <w:kern w:val="0"/>
          <w:sz w:val="24"/>
          <w:highlight w:val="none"/>
        </w:rPr>
        <w:t>）投标（响应）文件</w:t>
      </w:r>
    </w:p>
    <w:p w14:paraId="75C5E8FD">
      <w:pPr>
        <w:widowControl/>
        <w:kinsoku w:val="0"/>
        <w:autoSpaceDE w:val="0"/>
        <w:autoSpaceDN w:val="0"/>
        <w:adjustRightInd w:val="0"/>
        <w:snapToGrid w:val="0"/>
        <w:spacing w:line="360" w:lineRule="auto"/>
        <w:ind w:firstLine="496" w:firstLineChars="200"/>
        <w:jc w:val="left"/>
        <w:textAlignment w:val="baseline"/>
        <w:rPr>
          <w:rFonts w:ascii="仿宋" w:hAnsi="仿宋" w:eastAsia="仿宋" w:cs="微软雅黑"/>
          <w:snapToGrid w:val="0"/>
          <w:color w:val="auto"/>
          <w:spacing w:val="4"/>
          <w:kern w:val="0"/>
          <w:sz w:val="24"/>
          <w:highlight w:val="none"/>
        </w:rPr>
      </w:pPr>
      <w:r>
        <w:rPr>
          <w:rFonts w:hint="eastAsia" w:ascii="仿宋" w:hAnsi="仿宋" w:eastAsia="仿宋" w:cs="微软雅黑"/>
          <w:snapToGrid w:val="0"/>
          <w:color w:val="auto"/>
          <w:spacing w:val="4"/>
          <w:kern w:val="0"/>
          <w:sz w:val="24"/>
          <w:highlight w:val="none"/>
        </w:rPr>
        <w:t>（</w:t>
      </w:r>
      <w:r>
        <w:rPr>
          <w:rFonts w:ascii="仿宋" w:hAnsi="仿宋" w:eastAsia="仿宋" w:cs="微软雅黑"/>
          <w:snapToGrid w:val="0"/>
          <w:color w:val="auto"/>
          <w:spacing w:val="4"/>
          <w:kern w:val="0"/>
          <w:sz w:val="24"/>
          <w:highlight w:val="none"/>
        </w:rPr>
        <w:t>5</w:t>
      </w:r>
      <w:r>
        <w:rPr>
          <w:rFonts w:hint="eastAsia" w:ascii="仿宋" w:hAnsi="仿宋" w:eastAsia="仿宋" w:cs="微软雅黑"/>
          <w:snapToGrid w:val="0"/>
          <w:color w:val="auto"/>
          <w:spacing w:val="4"/>
          <w:kern w:val="0"/>
          <w:sz w:val="24"/>
          <w:highlight w:val="none"/>
        </w:rPr>
        <w:t>）采购文件</w:t>
      </w:r>
    </w:p>
    <w:p w14:paraId="11CF2291">
      <w:pPr>
        <w:widowControl/>
        <w:kinsoku w:val="0"/>
        <w:autoSpaceDE w:val="0"/>
        <w:autoSpaceDN w:val="0"/>
        <w:adjustRightInd w:val="0"/>
        <w:snapToGrid w:val="0"/>
        <w:spacing w:line="360" w:lineRule="auto"/>
        <w:ind w:firstLine="496" w:firstLineChars="200"/>
        <w:jc w:val="left"/>
        <w:textAlignment w:val="baseline"/>
        <w:rPr>
          <w:rFonts w:ascii="仿宋" w:hAnsi="仿宋" w:eastAsia="仿宋" w:cs="微软雅黑"/>
          <w:snapToGrid w:val="0"/>
          <w:color w:val="auto"/>
          <w:spacing w:val="4"/>
          <w:kern w:val="0"/>
          <w:sz w:val="24"/>
          <w:highlight w:val="none"/>
        </w:rPr>
      </w:pPr>
      <w:r>
        <w:rPr>
          <w:rFonts w:hint="eastAsia" w:ascii="仿宋" w:hAnsi="仿宋" w:eastAsia="仿宋" w:cs="微软雅黑"/>
          <w:snapToGrid w:val="0"/>
          <w:color w:val="auto"/>
          <w:spacing w:val="4"/>
          <w:kern w:val="0"/>
          <w:sz w:val="24"/>
          <w:highlight w:val="none"/>
        </w:rPr>
        <w:t>（</w:t>
      </w:r>
      <w:r>
        <w:rPr>
          <w:rFonts w:ascii="仿宋" w:hAnsi="仿宋" w:eastAsia="仿宋" w:cs="微软雅黑"/>
          <w:snapToGrid w:val="0"/>
          <w:color w:val="auto"/>
          <w:spacing w:val="4"/>
          <w:kern w:val="0"/>
          <w:sz w:val="24"/>
          <w:highlight w:val="none"/>
        </w:rPr>
        <w:t>6</w:t>
      </w:r>
      <w:r>
        <w:rPr>
          <w:rFonts w:hint="eastAsia" w:ascii="仿宋" w:hAnsi="仿宋" w:eastAsia="仿宋" w:cs="微软雅黑"/>
          <w:snapToGrid w:val="0"/>
          <w:color w:val="auto"/>
          <w:spacing w:val="4"/>
          <w:kern w:val="0"/>
          <w:sz w:val="24"/>
          <w:highlight w:val="none"/>
        </w:rPr>
        <w:t>）有关技术文件，图纸</w:t>
      </w:r>
    </w:p>
    <w:p w14:paraId="156E0CEF">
      <w:pPr>
        <w:widowControl/>
        <w:kinsoku w:val="0"/>
        <w:autoSpaceDE w:val="0"/>
        <w:autoSpaceDN w:val="0"/>
        <w:adjustRightInd w:val="0"/>
        <w:snapToGrid w:val="0"/>
        <w:spacing w:line="360" w:lineRule="auto"/>
        <w:ind w:firstLine="496" w:firstLineChars="200"/>
        <w:jc w:val="left"/>
        <w:textAlignment w:val="baseline"/>
        <w:rPr>
          <w:rFonts w:ascii="仿宋" w:hAnsi="仿宋" w:eastAsia="仿宋" w:cs="微软雅黑"/>
          <w:snapToGrid w:val="0"/>
          <w:color w:val="auto"/>
          <w:spacing w:val="4"/>
          <w:kern w:val="0"/>
          <w:sz w:val="24"/>
          <w:highlight w:val="none"/>
        </w:rPr>
      </w:pPr>
      <w:r>
        <w:rPr>
          <w:rFonts w:hint="eastAsia" w:ascii="仿宋" w:hAnsi="仿宋" w:eastAsia="仿宋" w:cs="微软雅黑"/>
          <w:snapToGrid w:val="0"/>
          <w:color w:val="auto"/>
          <w:spacing w:val="4"/>
          <w:kern w:val="0"/>
          <w:sz w:val="24"/>
          <w:highlight w:val="none"/>
        </w:rPr>
        <w:t>（</w:t>
      </w:r>
      <w:r>
        <w:rPr>
          <w:rFonts w:ascii="仿宋" w:hAnsi="仿宋" w:eastAsia="仿宋" w:cs="微软雅黑"/>
          <w:snapToGrid w:val="0"/>
          <w:color w:val="auto"/>
          <w:spacing w:val="4"/>
          <w:kern w:val="0"/>
          <w:sz w:val="24"/>
          <w:highlight w:val="none"/>
        </w:rPr>
        <w:t>7</w:t>
      </w:r>
      <w:r>
        <w:rPr>
          <w:rFonts w:hint="eastAsia" w:ascii="仿宋" w:hAnsi="仿宋" w:eastAsia="仿宋" w:cs="微软雅黑"/>
          <w:snapToGrid w:val="0"/>
          <w:color w:val="auto"/>
          <w:spacing w:val="4"/>
          <w:kern w:val="0"/>
          <w:sz w:val="24"/>
          <w:highlight w:val="none"/>
        </w:rPr>
        <w:t>）国家法律、行政法规和规章制度规定或合同约定的作为合同组成部分的其他文件</w:t>
      </w:r>
    </w:p>
    <w:p w14:paraId="2A706476">
      <w:pPr>
        <w:widowControl/>
        <w:kinsoku w:val="0"/>
        <w:autoSpaceDE w:val="0"/>
        <w:autoSpaceDN w:val="0"/>
        <w:adjustRightInd w:val="0"/>
        <w:snapToGrid w:val="0"/>
        <w:spacing w:line="360" w:lineRule="auto"/>
        <w:ind w:firstLine="498" w:firstLineChars="200"/>
        <w:jc w:val="left"/>
        <w:textAlignment w:val="baseline"/>
        <w:rPr>
          <w:rFonts w:ascii="仿宋" w:hAnsi="仿宋" w:eastAsia="仿宋" w:cs="微软雅黑"/>
          <w:b/>
          <w:bCs/>
          <w:snapToGrid w:val="0"/>
          <w:color w:val="auto"/>
          <w:spacing w:val="4"/>
          <w:kern w:val="0"/>
          <w:sz w:val="24"/>
          <w:highlight w:val="none"/>
        </w:rPr>
      </w:pPr>
      <w:r>
        <w:rPr>
          <w:rFonts w:hint="eastAsia" w:ascii="仿宋" w:hAnsi="仿宋" w:eastAsia="仿宋" w:cs="微软雅黑"/>
          <w:b/>
          <w:bCs/>
          <w:snapToGrid w:val="0"/>
          <w:color w:val="auto"/>
          <w:spacing w:val="4"/>
          <w:kern w:val="0"/>
          <w:sz w:val="24"/>
          <w:highlight w:val="none"/>
        </w:rPr>
        <w:t>三</w:t>
      </w:r>
      <w:r>
        <w:rPr>
          <w:rFonts w:ascii="仿宋" w:hAnsi="仿宋" w:eastAsia="仿宋" w:cs="微软雅黑"/>
          <w:b/>
          <w:bCs/>
          <w:snapToGrid w:val="0"/>
          <w:color w:val="auto"/>
          <w:spacing w:val="4"/>
          <w:kern w:val="0"/>
          <w:sz w:val="24"/>
          <w:highlight w:val="none"/>
        </w:rPr>
        <w:t>、供货期限</w:t>
      </w:r>
    </w:p>
    <w:p w14:paraId="3459B147">
      <w:pPr>
        <w:widowControl/>
        <w:kinsoku w:val="0"/>
        <w:autoSpaceDE w:val="0"/>
        <w:autoSpaceDN w:val="0"/>
        <w:adjustRightInd w:val="0"/>
        <w:snapToGrid w:val="0"/>
        <w:spacing w:line="360" w:lineRule="auto"/>
        <w:ind w:firstLine="496" w:firstLineChars="200"/>
        <w:jc w:val="left"/>
        <w:textAlignment w:val="baseline"/>
        <w:rPr>
          <w:rFonts w:ascii="仿宋" w:hAnsi="仿宋" w:eastAsia="仿宋" w:cs="微软雅黑"/>
          <w:snapToGrid w:val="0"/>
          <w:color w:val="auto"/>
          <w:spacing w:val="4"/>
          <w:kern w:val="0"/>
          <w:sz w:val="24"/>
          <w:highlight w:val="none"/>
        </w:rPr>
      </w:pPr>
      <w:r>
        <w:rPr>
          <w:rFonts w:ascii="仿宋" w:hAnsi="仿宋" w:eastAsia="仿宋" w:cs="微软雅黑"/>
          <w:snapToGrid w:val="0"/>
          <w:color w:val="auto"/>
          <w:spacing w:val="4"/>
          <w:kern w:val="0"/>
          <w:sz w:val="24"/>
          <w:highlight w:val="none"/>
        </w:rPr>
        <w:t>卖方应于合同签字生效后开始计算的</w:t>
      </w:r>
      <w:r>
        <w:rPr>
          <w:rFonts w:hint="eastAsia" w:ascii="仿宋" w:hAnsi="仿宋" w:eastAsia="仿宋" w:cs="微软雅黑"/>
          <w:snapToGrid w:val="0"/>
          <w:color w:val="auto"/>
          <w:spacing w:val="4"/>
          <w:kern w:val="0"/>
          <w:sz w:val="24"/>
          <w:highlight w:val="none"/>
        </w:rPr>
        <w:t>60个日历天</w:t>
      </w:r>
      <w:r>
        <w:rPr>
          <w:rFonts w:ascii="仿宋" w:hAnsi="仿宋" w:eastAsia="仿宋" w:cs="微软雅黑"/>
          <w:snapToGrid w:val="0"/>
          <w:color w:val="auto"/>
          <w:spacing w:val="4"/>
          <w:kern w:val="0"/>
          <w:sz w:val="24"/>
          <w:highlight w:val="none"/>
        </w:rPr>
        <w:t>内将货物送到</w:t>
      </w:r>
      <w:r>
        <w:rPr>
          <w:rFonts w:hint="eastAsia" w:ascii="仿宋" w:hAnsi="仿宋" w:eastAsia="仿宋" w:cs="微软雅黑"/>
          <w:snapToGrid w:val="0"/>
          <w:color w:val="auto"/>
          <w:spacing w:val="4"/>
          <w:kern w:val="0"/>
          <w:sz w:val="24"/>
          <w:highlight w:val="none"/>
        </w:rPr>
        <w:t>使用单位</w:t>
      </w:r>
      <w:r>
        <w:rPr>
          <w:rFonts w:ascii="仿宋" w:hAnsi="仿宋" w:eastAsia="仿宋" w:cs="微软雅黑"/>
          <w:snapToGrid w:val="0"/>
          <w:color w:val="auto"/>
          <w:spacing w:val="4"/>
          <w:kern w:val="0"/>
          <w:sz w:val="24"/>
          <w:highlight w:val="none"/>
        </w:rPr>
        <w:t>指定的地点</w:t>
      </w:r>
      <w:r>
        <w:rPr>
          <w:rFonts w:hint="eastAsia" w:ascii="仿宋" w:hAnsi="仿宋" w:eastAsia="仿宋" w:cs="微软雅黑"/>
          <w:snapToGrid w:val="0"/>
          <w:color w:val="auto"/>
          <w:spacing w:val="4"/>
          <w:kern w:val="0"/>
          <w:sz w:val="24"/>
          <w:highlight w:val="none"/>
        </w:rPr>
        <w:t>，</w:t>
      </w:r>
      <w:r>
        <w:rPr>
          <w:rFonts w:ascii="仿宋" w:hAnsi="仿宋" w:eastAsia="仿宋" w:cs="微软雅黑"/>
          <w:snapToGrid w:val="0"/>
          <w:color w:val="auto"/>
          <w:spacing w:val="4"/>
          <w:kern w:val="0"/>
          <w:sz w:val="24"/>
          <w:highlight w:val="none"/>
        </w:rPr>
        <w:t>由</w:t>
      </w:r>
      <w:r>
        <w:rPr>
          <w:rFonts w:hint="eastAsia" w:ascii="仿宋" w:hAnsi="仿宋" w:eastAsia="仿宋" w:cs="微软雅黑"/>
          <w:snapToGrid w:val="0"/>
          <w:color w:val="auto"/>
          <w:spacing w:val="4"/>
          <w:kern w:val="0"/>
          <w:sz w:val="24"/>
          <w:highlight w:val="none"/>
        </w:rPr>
        <w:t>使用单位</w:t>
      </w:r>
      <w:r>
        <w:rPr>
          <w:rFonts w:ascii="仿宋" w:hAnsi="仿宋" w:eastAsia="仿宋" w:cs="微软雅黑"/>
          <w:snapToGrid w:val="0"/>
          <w:color w:val="auto"/>
          <w:spacing w:val="4"/>
          <w:kern w:val="0"/>
          <w:sz w:val="24"/>
          <w:highlight w:val="none"/>
        </w:rPr>
        <w:t>进行验收。</w:t>
      </w:r>
    </w:p>
    <w:p w14:paraId="0B412C8E">
      <w:pPr>
        <w:widowControl/>
        <w:kinsoku w:val="0"/>
        <w:autoSpaceDE w:val="0"/>
        <w:autoSpaceDN w:val="0"/>
        <w:adjustRightInd w:val="0"/>
        <w:snapToGrid w:val="0"/>
        <w:spacing w:line="360" w:lineRule="auto"/>
        <w:ind w:firstLine="498" w:firstLineChars="200"/>
        <w:jc w:val="left"/>
        <w:textAlignment w:val="baseline"/>
        <w:rPr>
          <w:rFonts w:ascii="仿宋" w:hAnsi="仿宋" w:eastAsia="仿宋" w:cs="微软雅黑"/>
          <w:b/>
          <w:bCs/>
          <w:snapToGrid w:val="0"/>
          <w:color w:val="auto"/>
          <w:spacing w:val="4"/>
          <w:kern w:val="0"/>
          <w:sz w:val="24"/>
          <w:highlight w:val="none"/>
        </w:rPr>
      </w:pPr>
      <w:r>
        <w:rPr>
          <w:rFonts w:hint="eastAsia" w:ascii="仿宋" w:hAnsi="仿宋" w:eastAsia="仿宋" w:cs="微软雅黑"/>
          <w:b/>
          <w:bCs/>
          <w:snapToGrid w:val="0"/>
          <w:color w:val="auto"/>
          <w:spacing w:val="4"/>
          <w:kern w:val="0"/>
          <w:sz w:val="24"/>
          <w:highlight w:val="none"/>
        </w:rPr>
        <w:t>四</w:t>
      </w:r>
      <w:r>
        <w:rPr>
          <w:rFonts w:ascii="仿宋" w:hAnsi="仿宋" w:eastAsia="仿宋" w:cs="微软雅黑"/>
          <w:b/>
          <w:bCs/>
          <w:snapToGrid w:val="0"/>
          <w:color w:val="auto"/>
          <w:spacing w:val="4"/>
          <w:kern w:val="0"/>
          <w:sz w:val="24"/>
          <w:highlight w:val="none"/>
        </w:rPr>
        <w:t>、验收要求</w:t>
      </w:r>
    </w:p>
    <w:p w14:paraId="42A46845">
      <w:pPr>
        <w:widowControl/>
        <w:kinsoku w:val="0"/>
        <w:autoSpaceDE w:val="0"/>
        <w:autoSpaceDN w:val="0"/>
        <w:adjustRightInd w:val="0"/>
        <w:snapToGrid w:val="0"/>
        <w:spacing w:line="360" w:lineRule="auto"/>
        <w:ind w:firstLine="496" w:firstLineChars="200"/>
        <w:jc w:val="left"/>
        <w:textAlignment w:val="baseline"/>
        <w:rPr>
          <w:rFonts w:ascii="仿宋" w:hAnsi="仿宋" w:eastAsia="仿宋" w:cs="微软雅黑"/>
          <w:snapToGrid w:val="0"/>
          <w:color w:val="auto"/>
          <w:spacing w:val="4"/>
          <w:kern w:val="0"/>
          <w:sz w:val="24"/>
          <w:highlight w:val="none"/>
        </w:rPr>
      </w:pPr>
      <w:r>
        <w:rPr>
          <w:rFonts w:hint="eastAsia" w:ascii="仿宋" w:hAnsi="仿宋" w:eastAsia="仿宋" w:cs="微软雅黑"/>
          <w:snapToGrid w:val="0"/>
          <w:color w:val="auto"/>
          <w:spacing w:val="4"/>
          <w:kern w:val="0"/>
          <w:sz w:val="24"/>
          <w:highlight w:val="none"/>
        </w:rPr>
        <w:t>由使用单位按照安徽省紧密性县域医共体设备更新一期项目采购合同（分合同）条款执行。</w:t>
      </w:r>
    </w:p>
    <w:p w14:paraId="352AC37B">
      <w:pPr>
        <w:widowControl/>
        <w:kinsoku w:val="0"/>
        <w:autoSpaceDE w:val="0"/>
        <w:autoSpaceDN w:val="0"/>
        <w:adjustRightInd w:val="0"/>
        <w:snapToGrid w:val="0"/>
        <w:spacing w:line="360" w:lineRule="auto"/>
        <w:ind w:firstLine="498" w:firstLineChars="200"/>
        <w:jc w:val="left"/>
        <w:textAlignment w:val="baseline"/>
        <w:rPr>
          <w:rFonts w:ascii="仿宋" w:hAnsi="仿宋" w:eastAsia="仿宋" w:cs="微软雅黑"/>
          <w:b/>
          <w:bCs/>
          <w:snapToGrid w:val="0"/>
          <w:color w:val="auto"/>
          <w:spacing w:val="4"/>
          <w:kern w:val="0"/>
          <w:sz w:val="24"/>
          <w:highlight w:val="none"/>
        </w:rPr>
      </w:pPr>
      <w:r>
        <w:rPr>
          <w:rFonts w:hint="eastAsia" w:ascii="仿宋" w:hAnsi="仿宋" w:eastAsia="仿宋" w:cs="微软雅黑"/>
          <w:b/>
          <w:bCs/>
          <w:snapToGrid w:val="0"/>
          <w:color w:val="auto"/>
          <w:spacing w:val="4"/>
          <w:kern w:val="0"/>
          <w:sz w:val="24"/>
          <w:highlight w:val="none"/>
        </w:rPr>
        <w:t>五</w:t>
      </w:r>
      <w:r>
        <w:rPr>
          <w:rFonts w:ascii="仿宋" w:hAnsi="仿宋" w:eastAsia="仿宋" w:cs="微软雅黑"/>
          <w:b/>
          <w:bCs/>
          <w:snapToGrid w:val="0"/>
          <w:color w:val="auto"/>
          <w:spacing w:val="4"/>
          <w:kern w:val="0"/>
          <w:sz w:val="24"/>
          <w:highlight w:val="none"/>
        </w:rPr>
        <w:t>、付款方式</w:t>
      </w:r>
    </w:p>
    <w:p w14:paraId="7758ADB5">
      <w:pPr>
        <w:widowControl/>
        <w:kinsoku w:val="0"/>
        <w:autoSpaceDE w:val="0"/>
        <w:autoSpaceDN w:val="0"/>
        <w:adjustRightInd w:val="0"/>
        <w:snapToGrid w:val="0"/>
        <w:spacing w:line="360" w:lineRule="auto"/>
        <w:ind w:firstLine="496" w:firstLineChars="200"/>
        <w:jc w:val="left"/>
        <w:textAlignment w:val="baseline"/>
        <w:rPr>
          <w:rFonts w:ascii="仿宋" w:hAnsi="仿宋" w:eastAsia="仿宋" w:cs="微软雅黑"/>
          <w:snapToGrid w:val="0"/>
          <w:color w:val="auto"/>
          <w:spacing w:val="4"/>
          <w:kern w:val="0"/>
          <w:sz w:val="24"/>
          <w:highlight w:val="none"/>
        </w:rPr>
      </w:pPr>
      <w:r>
        <w:rPr>
          <w:rFonts w:hint="eastAsia" w:ascii="仿宋" w:hAnsi="仿宋" w:eastAsia="仿宋" w:cs="微软雅黑"/>
          <w:snapToGrid w:val="0"/>
          <w:color w:val="auto"/>
          <w:spacing w:val="4"/>
          <w:kern w:val="0"/>
          <w:sz w:val="24"/>
          <w:highlight w:val="none"/>
        </w:rPr>
        <w:t>由使用单位按照安徽省紧密性县域医共体设备更新一期项目采购合同（分合同）条款执行。</w:t>
      </w:r>
    </w:p>
    <w:p w14:paraId="43801AE1">
      <w:pPr>
        <w:widowControl/>
        <w:kinsoku w:val="0"/>
        <w:autoSpaceDE w:val="0"/>
        <w:autoSpaceDN w:val="0"/>
        <w:adjustRightInd w:val="0"/>
        <w:snapToGrid w:val="0"/>
        <w:spacing w:line="360" w:lineRule="auto"/>
        <w:ind w:firstLine="498" w:firstLineChars="200"/>
        <w:jc w:val="left"/>
        <w:textAlignment w:val="baseline"/>
        <w:rPr>
          <w:rFonts w:ascii="仿宋" w:hAnsi="仿宋" w:eastAsia="仿宋" w:cs="微软雅黑"/>
          <w:b/>
          <w:bCs/>
          <w:snapToGrid w:val="0"/>
          <w:color w:val="auto"/>
          <w:spacing w:val="4"/>
          <w:kern w:val="0"/>
          <w:sz w:val="24"/>
          <w:highlight w:val="none"/>
        </w:rPr>
      </w:pPr>
      <w:r>
        <w:rPr>
          <w:rFonts w:hint="eastAsia" w:ascii="仿宋" w:hAnsi="仿宋" w:eastAsia="仿宋" w:cs="微软雅黑"/>
          <w:b/>
          <w:bCs/>
          <w:snapToGrid w:val="0"/>
          <w:color w:val="auto"/>
          <w:spacing w:val="4"/>
          <w:kern w:val="0"/>
          <w:sz w:val="24"/>
          <w:highlight w:val="none"/>
        </w:rPr>
        <w:t>六</w:t>
      </w:r>
      <w:r>
        <w:rPr>
          <w:rFonts w:ascii="仿宋" w:hAnsi="仿宋" w:eastAsia="仿宋" w:cs="微软雅黑"/>
          <w:b/>
          <w:bCs/>
          <w:snapToGrid w:val="0"/>
          <w:color w:val="auto"/>
          <w:spacing w:val="4"/>
          <w:kern w:val="0"/>
          <w:sz w:val="24"/>
          <w:highlight w:val="none"/>
        </w:rPr>
        <w:t>、售后服务</w:t>
      </w:r>
    </w:p>
    <w:p w14:paraId="5BD84925">
      <w:pPr>
        <w:widowControl/>
        <w:kinsoku w:val="0"/>
        <w:autoSpaceDE w:val="0"/>
        <w:autoSpaceDN w:val="0"/>
        <w:adjustRightInd w:val="0"/>
        <w:snapToGrid w:val="0"/>
        <w:spacing w:line="360" w:lineRule="auto"/>
        <w:ind w:firstLine="496" w:firstLineChars="200"/>
        <w:jc w:val="left"/>
        <w:textAlignment w:val="baseline"/>
        <w:rPr>
          <w:rFonts w:ascii="仿宋" w:hAnsi="仿宋" w:eastAsia="仿宋" w:cs="微软雅黑"/>
          <w:snapToGrid w:val="0"/>
          <w:color w:val="auto"/>
          <w:spacing w:val="4"/>
          <w:kern w:val="0"/>
          <w:sz w:val="24"/>
          <w:highlight w:val="none"/>
        </w:rPr>
      </w:pPr>
      <w:r>
        <w:rPr>
          <w:rFonts w:hint="eastAsia" w:ascii="仿宋" w:hAnsi="仿宋" w:eastAsia="仿宋" w:cs="微软雅黑"/>
          <w:snapToGrid w:val="0"/>
          <w:color w:val="auto"/>
          <w:spacing w:val="4"/>
          <w:kern w:val="0"/>
          <w:sz w:val="24"/>
          <w:highlight w:val="none"/>
        </w:rPr>
        <w:t>（一）卖方对合同货物的质量保修期为验收证书签署之日起    年。</w:t>
      </w:r>
    </w:p>
    <w:p w14:paraId="0BFA4DA0">
      <w:pPr>
        <w:widowControl/>
        <w:kinsoku w:val="0"/>
        <w:autoSpaceDE w:val="0"/>
        <w:autoSpaceDN w:val="0"/>
        <w:adjustRightInd w:val="0"/>
        <w:snapToGrid w:val="0"/>
        <w:spacing w:line="360" w:lineRule="auto"/>
        <w:ind w:firstLine="496" w:firstLineChars="200"/>
        <w:jc w:val="left"/>
        <w:textAlignment w:val="baseline"/>
        <w:rPr>
          <w:rFonts w:ascii="仿宋" w:hAnsi="仿宋" w:eastAsia="仿宋" w:cs="微软雅黑"/>
          <w:snapToGrid w:val="0"/>
          <w:color w:val="auto"/>
          <w:spacing w:val="4"/>
          <w:kern w:val="0"/>
          <w:sz w:val="24"/>
          <w:highlight w:val="none"/>
        </w:rPr>
      </w:pPr>
      <w:r>
        <w:rPr>
          <w:rFonts w:hint="eastAsia" w:ascii="仿宋" w:hAnsi="仿宋" w:eastAsia="仿宋" w:cs="微软雅黑"/>
          <w:snapToGrid w:val="0"/>
          <w:color w:val="auto"/>
          <w:spacing w:val="4"/>
          <w:kern w:val="0"/>
          <w:sz w:val="24"/>
          <w:highlight w:val="none"/>
        </w:rPr>
        <w:t>（二）安装后给买方医工及医务人员提供免费培训服务。</w:t>
      </w:r>
    </w:p>
    <w:p w14:paraId="68ED2D8B">
      <w:pPr>
        <w:widowControl/>
        <w:kinsoku w:val="0"/>
        <w:autoSpaceDE w:val="0"/>
        <w:autoSpaceDN w:val="0"/>
        <w:adjustRightInd w:val="0"/>
        <w:snapToGrid w:val="0"/>
        <w:spacing w:line="360" w:lineRule="auto"/>
        <w:ind w:firstLine="496" w:firstLineChars="200"/>
        <w:jc w:val="left"/>
        <w:textAlignment w:val="baseline"/>
        <w:rPr>
          <w:rFonts w:ascii="仿宋" w:hAnsi="仿宋" w:eastAsia="仿宋" w:cs="微软雅黑"/>
          <w:snapToGrid w:val="0"/>
          <w:color w:val="auto"/>
          <w:spacing w:val="4"/>
          <w:kern w:val="0"/>
          <w:sz w:val="24"/>
          <w:highlight w:val="none"/>
        </w:rPr>
      </w:pPr>
      <w:r>
        <w:rPr>
          <w:rFonts w:hint="eastAsia" w:ascii="仿宋" w:hAnsi="仿宋" w:eastAsia="仿宋" w:cs="微软雅黑"/>
          <w:snapToGrid w:val="0"/>
          <w:color w:val="auto"/>
          <w:spacing w:val="4"/>
          <w:kern w:val="0"/>
          <w:sz w:val="24"/>
          <w:highlight w:val="none"/>
        </w:rPr>
        <w:t>（三）在合同货物保修期届满后，全保费用</w:t>
      </w:r>
      <w:r>
        <w:rPr>
          <w:rFonts w:hint="eastAsia" w:ascii="仿宋" w:hAnsi="仿宋" w:eastAsia="仿宋" w:cs="微软雅黑"/>
          <w:snapToGrid w:val="0"/>
          <w:color w:val="auto"/>
          <w:spacing w:val="4"/>
          <w:kern w:val="0"/>
          <w:sz w:val="24"/>
          <w:highlight w:val="none"/>
          <w:lang w:val="en-US" w:eastAsia="zh-CN"/>
        </w:rPr>
        <w:t>详见分合同</w:t>
      </w:r>
      <w:r>
        <w:rPr>
          <w:rFonts w:hint="eastAsia" w:ascii="仿宋" w:hAnsi="仿宋" w:eastAsia="仿宋" w:cs="微软雅黑"/>
          <w:snapToGrid w:val="0"/>
          <w:color w:val="auto"/>
          <w:spacing w:val="4"/>
          <w:kern w:val="0"/>
          <w:sz w:val="24"/>
          <w:highlight w:val="none"/>
        </w:rPr>
        <w:t>。</w:t>
      </w:r>
    </w:p>
    <w:p w14:paraId="57FF1AE9">
      <w:pPr>
        <w:widowControl/>
        <w:kinsoku w:val="0"/>
        <w:autoSpaceDE w:val="0"/>
        <w:autoSpaceDN w:val="0"/>
        <w:adjustRightInd w:val="0"/>
        <w:snapToGrid w:val="0"/>
        <w:spacing w:line="360" w:lineRule="auto"/>
        <w:ind w:firstLine="496" w:firstLineChars="200"/>
        <w:jc w:val="left"/>
        <w:textAlignment w:val="baseline"/>
        <w:rPr>
          <w:rFonts w:ascii="仿宋" w:hAnsi="仿宋" w:eastAsia="仿宋" w:cs="微软雅黑"/>
          <w:snapToGrid w:val="0"/>
          <w:color w:val="auto"/>
          <w:spacing w:val="4"/>
          <w:kern w:val="0"/>
          <w:sz w:val="24"/>
          <w:highlight w:val="none"/>
        </w:rPr>
      </w:pPr>
      <w:r>
        <w:rPr>
          <w:rFonts w:hint="eastAsia" w:ascii="仿宋" w:hAnsi="仿宋" w:eastAsia="仿宋" w:cs="微软雅黑"/>
          <w:snapToGrid w:val="0"/>
          <w:color w:val="auto"/>
          <w:spacing w:val="4"/>
          <w:kern w:val="0"/>
          <w:sz w:val="24"/>
          <w:highlight w:val="none"/>
        </w:rPr>
        <w:t>（四）如果设备出现紧急故障和事故，卖方应在接到买方通知之后 4 小时内到达现场，24 小时内修复设备故障。</w:t>
      </w:r>
    </w:p>
    <w:p w14:paraId="3178CE4C">
      <w:pPr>
        <w:widowControl/>
        <w:kinsoku w:val="0"/>
        <w:autoSpaceDE w:val="0"/>
        <w:autoSpaceDN w:val="0"/>
        <w:adjustRightInd w:val="0"/>
        <w:snapToGrid w:val="0"/>
        <w:spacing w:line="360" w:lineRule="auto"/>
        <w:ind w:firstLine="498" w:firstLineChars="200"/>
        <w:jc w:val="left"/>
        <w:textAlignment w:val="baseline"/>
        <w:rPr>
          <w:rFonts w:ascii="仿宋" w:hAnsi="仿宋" w:eastAsia="仿宋" w:cs="微软雅黑"/>
          <w:b/>
          <w:bCs/>
          <w:snapToGrid w:val="0"/>
          <w:color w:val="auto"/>
          <w:spacing w:val="4"/>
          <w:kern w:val="0"/>
          <w:sz w:val="24"/>
          <w:szCs w:val="21"/>
          <w:highlight w:val="none"/>
        </w:rPr>
      </w:pPr>
      <w:r>
        <w:rPr>
          <w:rFonts w:hint="eastAsia" w:ascii="仿宋" w:hAnsi="仿宋" w:eastAsia="仿宋" w:cs="微软雅黑"/>
          <w:b/>
          <w:bCs/>
          <w:snapToGrid w:val="0"/>
          <w:color w:val="auto"/>
          <w:spacing w:val="4"/>
          <w:kern w:val="0"/>
          <w:sz w:val="24"/>
          <w:szCs w:val="21"/>
          <w:highlight w:val="none"/>
        </w:rPr>
        <w:t>七</w:t>
      </w:r>
      <w:r>
        <w:rPr>
          <w:rFonts w:ascii="仿宋" w:hAnsi="仿宋" w:eastAsia="仿宋" w:cs="微软雅黑"/>
          <w:b/>
          <w:bCs/>
          <w:snapToGrid w:val="0"/>
          <w:color w:val="auto"/>
          <w:spacing w:val="4"/>
          <w:kern w:val="0"/>
          <w:sz w:val="24"/>
          <w:szCs w:val="21"/>
          <w:highlight w:val="none"/>
        </w:rPr>
        <w:t>、履约保证金</w:t>
      </w:r>
    </w:p>
    <w:p w14:paraId="0FE64090">
      <w:pPr>
        <w:widowControl/>
        <w:kinsoku w:val="0"/>
        <w:autoSpaceDE w:val="0"/>
        <w:autoSpaceDN w:val="0"/>
        <w:adjustRightInd w:val="0"/>
        <w:snapToGrid w:val="0"/>
        <w:spacing w:line="360" w:lineRule="auto"/>
        <w:ind w:firstLine="496" w:firstLineChars="200"/>
        <w:jc w:val="left"/>
        <w:textAlignment w:val="baseline"/>
        <w:rPr>
          <w:rFonts w:ascii="仿宋" w:hAnsi="仿宋" w:eastAsia="仿宋" w:cs="微软雅黑"/>
          <w:snapToGrid w:val="0"/>
          <w:color w:val="auto"/>
          <w:spacing w:val="4"/>
          <w:kern w:val="0"/>
          <w:sz w:val="24"/>
          <w:szCs w:val="21"/>
          <w:highlight w:val="none"/>
        </w:rPr>
      </w:pPr>
      <w:r>
        <w:rPr>
          <w:rFonts w:hint="eastAsia" w:ascii="仿宋" w:hAnsi="仿宋" w:eastAsia="仿宋" w:cs="微软雅黑"/>
          <w:snapToGrid w:val="0"/>
          <w:color w:val="auto"/>
          <w:spacing w:val="4"/>
          <w:kern w:val="0"/>
          <w:sz w:val="24"/>
          <w:szCs w:val="21"/>
          <w:highlight w:val="none"/>
        </w:rPr>
        <w:t>履约保证金的形式：保函</w:t>
      </w:r>
    </w:p>
    <w:p w14:paraId="2CA8681A">
      <w:pPr>
        <w:widowControl/>
        <w:kinsoku w:val="0"/>
        <w:autoSpaceDE w:val="0"/>
        <w:autoSpaceDN w:val="0"/>
        <w:adjustRightInd w:val="0"/>
        <w:snapToGrid w:val="0"/>
        <w:spacing w:line="360" w:lineRule="auto"/>
        <w:ind w:firstLine="496" w:firstLineChars="200"/>
        <w:jc w:val="left"/>
        <w:textAlignment w:val="baseline"/>
        <w:rPr>
          <w:rFonts w:ascii="仿宋" w:hAnsi="仿宋" w:eastAsia="仿宋" w:cs="微软雅黑"/>
          <w:snapToGrid w:val="0"/>
          <w:color w:val="auto"/>
          <w:spacing w:val="4"/>
          <w:kern w:val="0"/>
          <w:sz w:val="24"/>
          <w:szCs w:val="21"/>
          <w:highlight w:val="none"/>
        </w:rPr>
      </w:pPr>
      <w:r>
        <w:rPr>
          <w:rFonts w:hint="eastAsia" w:ascii="仿宋" w:hAnsi="仿宋" w:eastAsia="仿宋" w:cs="微软雅黑"/>
          <w:snapToGrid w:val="0"/>
          <w:color w:val="auto"/>
          <w:spacing w:val="4"/>
          <w:kern w:val="0"/>
          <w:sz w:val="24"/>
          <w:szCs w:val="21"/>
          <w:highlight w:val="none"/>
        </w:rPr>
        <w:t>履约保证金的金额：</w:t>
      </w:r>
      <w:r>
        <w:rPr>
          <w:rFonts w:hint="eastAsia" w:ascii="楷体" w:hAnsi="楷体" w:eastAsia="仿宋" w:cs="Arial"/>
          <w:snapToGrid w:val="0"/>
          <w:color w:val="auto"/>
          <w:kern w:val="0"/>
          <w:sz w:val="24"/>
          <w:szCs w:val="21"/>
          <w:highlight w:val="none"/>
        </w:rPr>
        <w:t>合同金额的2.5%</w:t>
      </w:r>
    </w:p>
    <w:p w14:paraId="0E64C2A4">
      <w:pPr>
        <w:widowControl/>
        <w:kinsoku w:val="0"/>
        <w:autoSpaceDE w:val="0"/>
        <w:autoSpaceDN w:val="0"/>
        <w:adjustRightInd w:val="0"/>
        <w:snapToGrid w:val="0"/>
        <w:spacing w:line="360" w:lineRule="auto"/>
        <w:ind w:firstLine="496" w:firstLineChars="200"/>
        <w:jc w:val="left"/>
        <w:textAlignment w:val="baseline"/>
        <w:rPr>
          <w:rFonts w:ascii="仿宋" w:hAnsi="仿宋" w:eastAsia="仿宋" w:cs="微软雅黑"/>
          <w:snapToGrid w:val="0"/>
          <w:color w:val="auto"/>
          <w:spacing w:val="4"/>
          <w:kern w:val="0"/>
          <w:sz w:val="24"/>
          <w:szCs w:val="21"/>
          <w:highlight w:val="none"/>
        </w:rPr>
      </w:pPr>
      <w:r>
        <w:rPr>
          <w:rFonts w:hint="eastAsia" w:ascii="仿宋" w:hAnsi="仿宋" w:eastAsia="仿宋" w:cs="微软雅黑"/>
          <w:snapToGrid w:val="0"/>
          <w:color w:val="auto"/>
          <w:spacing w:val="4"/>
          <w:kern w:val="0"/>
          <w:sz w:val="24"/>
          <w:szCs w:val="21"/>
          <w:highlight w:val="none"/>
        </w:rPr>
        <w:t>履约保证金提交时间：</w:t>
      </w:r>
      <w:r>
        <w:rPr>
          <w:rFonts w:hint="eastAsia" w:ascii="Arial" w:hAnsi="宋体" w:eastAsia="仿宋" w:cs="Arial"/>
          <w:snapToGrid w:val="0"/>
          <w:color w:val="auto"/>
          <w:kern w:val="0"/>
          <w:sz w:val="24"/>
          <w:szCs w:val="21"/>
          <w:highlight w:val="none"/>
        </w:rPr>
        <w:t>采购</w:t>
      </w:r>
      <w:r>
        <w:rPr>
          <w:rFonts w:hint="eastAsia" w:ascii="楷体" w:hAnsi="楷体" w:eastAsia="仿宋" w:cs="Arial"/>
          <w:snapToGrid w:val="0"/>
          <w:color w:val="auto"/>
          <w:kern w:val="0"/>
          <w:sz w:val="24"/>
          <w:szCs w:val="21"/>
          <w:highlight w:val="none"/>
        </w:rPr>
        <w:t>合同签订前，由中标人签订合同前递交给各使用单位</w:t>
      </w:r>
    </w:p>
    <w:p w14:paraId="74737563">
      <w:pPr>
        <w:widowControl/>
        <w:kinsoku w:val="0"/>
        <w:autoSpaceDE w:val="0"/>
        <w:autoSpaceDN w:val="0"/>
        <w:adjustRightInd w:val="0"/>
        <w:snapToGrid w:val="0"/>
        <w:spacing w:line="360" w:lineRule="auto"/>
        <w:ind w:firstLine="496" w:firstLineChars="200"/>
        <w:jc w:val="left"/>
        <w:textAlignment w:val="baseline"/>
        <w:rPr>
          <w:rFonts w:ascii="仿宋" w:hAnsi="仿宋" w:eastAsia="仿宋" w:cs="微软雅黑"/>
          <w:snapToGrid w:val="0"/>
          <w:color w:val="auto"/>
          <w:spacing w:val="4"/>
          <w:kern w:val="0"/>
          <w:sz w:val="24"/>
          <w:szCs w:val="21"/>
          <w:highlight w:val="none"/>
        </w:rPr>
      </w:pPr>
      <w:r>
        <w:rPr>
          <w:rFonts w:hint="eastAsia" w:ascii="仿宋" w:hAnsi="仿宋" w:eastAsia="仿宋" w:cs="微软雅黑"/>
          <w:snapToGrid w:val="0"/>
          <w:color w:val="auto"/>
          <w:spacing w:val="4"/>
          <w:kern w:val="0"/>
          <w:sz w:val="24"/>
          <w:szCs w:val="21"/>
          <w:highlight w:val="none"/>
        </w:rPr>
        <w:t>履约保证金退还时间：验收合格后退还</w:t>
      </w:r>
    </w:p>
    <w:p w14:paraId="55A8B726">
      <w:pPr>
        <w:widowControl/>
        <w:kinsoku w:val="0"/>
        <w:autoSpaceDE w:val="0"/>
        <w:autoSpaceDN w:val="0"/>
        <w:adjustRightInd w:val="0"/>
        <w:snapToGrid w:val="0"/>
        <w:spacing w:line="360" w:lineRule="auto"/>
        <w:ind w:firstLine="496" w:firstLineChars="200"/>
        <w:jc w:val="left"/>
        <w:textAlignment w:val="baseline"/>
        <w:rPr>
          <w:rFonts w:ascii="仿宋" w:hAnsi="仿宋" w:eastAsia="仿宋" w:cs="微软雅黑"/>
          <w:snapToGrid w:val="0"/>
          <w:color w:val="auto"/>
          <w:spacing w:val="4"/>
          <w:kern w:val="0"/>
          <w:sz w:val="24"/>
          <w:szCs w:val="21"/>
          <w:highlight w:val="none"/>
        </w:rPr>
      </w:pPr>
      <w:r>
        <w:rPr>
          <w:rFonts w:hint="eastAsia" w:ascii="仿宋" w:hAnsi="仿宋" w:eastAsia="仿宋" w:cs="微软雅黑"/>
          <w:snapToGrid w:val="0"/>
          <w:color w:val="auto"/>
          <w:spacing w:val="4"/>
          <w:kern w:val="0"/>
          <w:sz w:val="24"/>
          <w:szCs w:val="21"/>
          <w:highlight w:val="none"/>
        </w:rPr>
        <w:t>保函要求：</w:t>
      </w:r>
    </w:p>
    <w:p w14:paraId="68D9BDFB">
      <w:pPr>
        <w:widowControl/>
        <w:kinsoku w:val="0"/>
        <w:autoSpaceDE w:val="0"/>
        <w:autoSpaceDN w:val="0"/>
        <w:adjustRightInd w:val="0"/>
        <w:snapToGrid w:val="0"/>
        <w:spacing w:line="360" w:lineRule="auto"/>
        <w:ind w:firstLine="496" w:firstLineChars="200"/>
        <w:jc w:val="left"/>
        <w:textAlignment w:val="baseline"/>
        <w:rPr>
          <w:rFonts w:ascii="仿宋" w:hAnsi="仿宋" w:eastAsia="仿宋" w:cs="微软雅黑"/>
          <w:snapToGrid w:val="0"/>
          <w:color w:val="auto"/>
          <w:spacing w:val="4"/>
          <w:kern w:val="0"/>
          <w:sz w:val="24"/>
          <w:szCs w:val="21"/>
          <w:highlight w:val="none"/>
        </w:rPr>
      </w:pPr>
      <w:r>
        <w:rPr>
          <w:rFonts w:hint="eastAsia" w:ascii="仿宋" w:hAnsi="仿宋" w:eastAsia="仿宋" w:cs="微软雅黑"/>
          <w:snapToGrid w:val="0"/>
          <w:color w:val="auto"/>
          <w:spacing w:val="4"/>
          <w:kern w:val="0"/>
          <w:sz w:val="24"/>
          <w:szCs w:val="21"/>
          <w:highlight w:val="none"/>
        </w:rPr>
        <w:t>（1）卖方提供保函的受益人和收取单位须为使用单位，担保期限不少于合同履约期限。</w:t>
      </w:r>
    </w:p>
    <w:p w14:paraId="5718A2DC">
      <w:pPr>
        <w:widowControl/>
        <w:kinsoku w:val="0"/>
        <w:autoSpaceDE w:val="0"/>
        <w:autoSpaceDN w:val="0"/>
        <w:adjustRightInd w:val="0"/>
        <w:snapToGrid w:val="0"/>
        <w:spacing w:line="360" w:lineRule="auto"/>
        <w:ind w:firstLine="496" w:firstLineChars="200"/>
        <w:jc w:val="left"/>
        <w:textAlignment w:val="baseline"/>
        <w:rPr>
          <w:rFonts w:ascii="仿宋" w:hAnsi="仿宋" w:eastAsia="仿宋" w:cs="微软雅黑"/>
          <w:snapToGrid w:val="0"/>
          <w:color w:val="auto"/>
          <w:spacing w:val="4"/>
          <w:kern w:val="0"/>
          <w:sz w:val="24"/>
          <w:szCs w:val="21"/>
          <w:highlight w:val="none"/>
        </w:rPr>
      </w:pPr>
      <w:r>
        <w:rPr>
          <w:rFonts w:hint="eastAsia" w:ascii="仿宋" w:hAnsi="仿宋" w:eastAsia="仿宋" w:cs="微软雅黑"/>
          <w:snapToGrid w:val="0"/>
          <w:color w:val="auto"/>
          <w:spacing w:val="4"/>
          <w:kern w:val="0"/>
          <w:sz w:val="24"/>
          <w:szCs w:val="21"/>
          <w:highlight w:val="none"/>
        </w:rPr>
        <w:t>（2）保函形式：</w:t>
      </w:r>
      <w:r>
        <w:rPr>
          <w:rFonts w:ascii="Segoe UI Symbol" w:hAnsi="Segoe UI Symbol" w:eastAsia="仿宋" w:cs="Segoe UI Symbol"/>
          <w:snapToGrid w:val="0"/>
          <w:color w:val="auto"/>
          <w:spacing w:val="4"/>
          <w:kern w:val="0"/>
          <w:sz w:val="24"/>
          <w:szCs w:val="21"/>
          <w:highlight w:val="none"/>
        </w:rPr>
        <w:t>☑</w:t>
      </w:r>
      <w:r>
        <w:rPr>
          <w:rFonts w:hint="eastAsia" w:ascii="仿宋" w:hAnsi="仿宋" w:eastAsia="仿宋" w:cs="仿宋"/>
          <w:snapToGrid w:val="0"/>
          <w:color w:val="auto"/>
          <w:spacing w:val="4"/>
          <w:kern w:val="0"/>
          <w:sz w:val="24"/>
          <w:szCs w:val="21"/>
          <w:highlight w:val="none"/>
        </w:rPr>
        <w:t>银行保函</w:t>
      </w:r>
      <w:r>
        <w:rPr>
          <w:rFonts w:ascii="Segoe UI Symbol" w:hAnsi="Segoe UI Symbol" w:eastAsia="仿宋" w:cs="Segoe UI Symbol"/>
          <w:snapToGrid w:val="0"/>
          <w:color w:val="auto"/>
          <w:spacing w:val="4"/>
          <w:kern w:val="0"/>
          <w:sz w:val="24"/>
          <w:szCs w:val="21"/>
          <w:highlight w:val="none"/>
        </w:rPr>
        <w:t>☑</w:t>
      </w:r>
      <w:r>
        <w:rPr>
          <w:rFonts w:hint="eastAsia" w:ascii="仿宋" w:hAnsi="仿宋" w:eastAsia="仿宋" w:cs="仿宋"/>
          <w:snapToGrid w:val="0"/>
          <w:color w:val="auto"/>
          <w:spacing w:val="4"/>
          <w:kern w:val="0"/>
          <w:sz w:val="24"/>
          <w:szCs w:val="21"/>
          <w:highlight w:val="none"/>
        </w:rPr>
        <w:t>担保机构担保</w:t>
      </w:r>
      <w:r>
        <w:rPr>
          <w:rFonts w:ascii="Segoe UI Symbol" w:hAnsi="Segoe UI Symbol" w:eastAsia="仿宋" w:cs="Segoe UI Symbol"/>
          <w:snapToGrid w:val="0"/>
          <w:color w:val="auto"/>
          <w:spacing w:val="4"/>
          <w:kern w:val="0"/>
          <w:sz w:val="24"/>
          <w:szCs w:val="21"/>
          <w:highlight w:val="none"/>
        </w:rPr>
        <w:t>☑</w:t>
      </w:r>
      <w:r>
        <w:rPr>
          <w:rFonts w:hint="eastAsia" w:ascii="仿宋" w:hAnsi="仿宋" w:eastAsia="仿宋" w:cs="仿宋"/>
          <w:snapToGrid w:val="0"/>
          <w:color w:val="auto"/>
          <w:spacing w:val="4"/>
          <w:kern w:val="0"/>
          <w:sz w:val="24"/>
          <w:szCs w:val="21"/>
          <w:highlight w:val="none"/>
        </w:rPr>
        <w:t>保证保险</w:t>
      </w:r>
      <w:r>
        <w:rPr>
          <w:rFonts w:ascii="Segoe UI Symbol" w:hAnsi="Segoe UI Symbol" w:eastAsia="仿宋" w:cs="Segoe UI Symbol"/>
          <w:snapToGrid w:val="0"/>
          <w:color w:val="auto"/>
          <w:spacing w:val="4"/>
          <w:kern w:val="0"/>
          <w:sz w:val="24"/>
          <w:szCs w:val="21"/>
          <w:highlight w:val="none"/>
        </w:rPr>
        <w:t>☑</w:t>
      </w:r>
      <w:r>
        <w:rPr>
          <w:rFonts w:hint="eastAsia" w:ascii="仿宋" w:hAnsi="仿宋" w:eastAsia="仿宋" w:cs="仿宋"/>
          <w:snapToGrid w:val="0"/>
          <w:color w:val="auto"/>
          <w:spacing w:val="4"/>
          <w:kern w:val="0"/>
          <w:sz w:val="24"/>
          <w:szCs w:val="21"/>
          <w:highlight w:val="none"/>
        </w:rPr>
        <w:t>电子保函</w:t>
      </w:r>
    </w:p>
    <w:p w14:paraId="783182A7">
      <w:pPr>
        <w:widowControl/>
        <w:kinsoku w:val="0"/>
        <w:autoSpaceDE w:val="0"/>
        <w:autoSpaceDN w:val="0"/>
        <w:adjustRightInd w:val="0"/>
        <w:snapToGrid w:val="0"/>
        <w:spacing w:line="360" w:lineRule="auto"/>
        <w:ind w:firstLine="496" w:firstLineChars="200"/>
        <w:jc w:val="left"/>
        <w:textAlignment w:val="baseline"/>
        <w:rPr>
          <w:rFonts w:ascii="仿宋" w:hAnsi="仿宋" w:eastAsia="仿宋" w:cs="微软雅黑"/>
          <w:snapToGrid w:val="0"/>
          <w:color w:val="auto"/>
          <w:spacing w:val="4"/>
          <w:kern w:val="0"/>
          <w:sz w:val="24"/>
          <w:szCs w:val="21"/>
          <w:highlight w:val="none"/>
        </w:rPr>
      </w:pPr>
      <w:r>
        <w:rPr>
          <w:rFonts w:hint="eastAsia" w:ascii="仿宋" w:hAnsi="仿宋" w:eastAsia="仿宋" w:cs="微软雅黑"/>
          <w:snapToGrid w:val="0"/>
          <w:color w:val="auto"/>
          <w:spacing w:val="4"/>
          <w:kern w:val="0"/>
          <w:sz w:val="24"/>
          <w:szCs w:val="21"/>
          <w:highlight w:val="none"/>
        </w:rPr>
        <w:t>（3）保函递交要求：</w:t>
      </w:r>
    </w:p>
    <w:p w14:paraId="16525AB5">
      <w:pPr>
        <w:widowControl/>
        <w:kinsoku w:val="0"/>
        <w:autoSpaceDE w:val="0"/>
        <w:autoSpaceDN w:val="0"/>
        <w:adjustRightInd w:val="0"/>
        <w:snapToGrid w:val="0"/>
        <w:spacing w:line="360" w:lineRule="auto"/>
        <w:ind w:firstLine="496" w:firstLineChars="200"/>
        <w:jc w:val="left"/>
        <w:textAlignment w:val="baseline"/>
        <w:rPr>
          <w:rFonts w:ascii="仿宋" w:hAnsi="仿宋" w:eastAsia="仿宋" w:cs="微软雅黑"/>
          <w:snapToGrid w:val="0"/>
          <w:color w:val="auto"/>
          <w:spacing w:val="4"/>
          <w:kern w:val="0"/>
          <w:sz w:val="24"/>
          <w:szCs w:val="21"/>
          <w:highlight w:val="none"/>
        </w:rPr>
      </w:pPr>
      <w:r>
        <w:rPr>
          <w:rFonts w:hint="eastAsia" w:ascii="仿宋" w:hAnsi="仿宋" w:eastAsia="仿宋" w:cs="微软雅黑"/>
          <w:snapToGrid w:val="0"/>
          <w:color w:val="auto"/>
          <w:spacing w:val="4"/>
          <w:kern w:val="0"/>
          <w:sz w:val="24"/>
          <w:szCs w:val="21"/>
          <w:highlight w:val="none"/>
        </w:rPr>
        <w:t>①如采用银行保函，银行保函应为见索即付无条件独立保函，且应将原件交至使用单位保管。</w:t>
      </w:r>
    </w:p>
    <w:p w14:paraId="4DFC3C0F">
      <w:pPr>
        <w:widowControl/>
        <w:kinsoku w:val="0"/>
        <w:autoSpaceDE w:val="0"/>
        <w:autoSpaceDN w:val="0"/>
        <w:adjustRightInd w:val="0"/>
        <w:snapToGrid w:val="0"/>
        <w:spacing w:line="360" w:lineRule="auto"/>
        <w:ind w:firstLine="496" w:firstLineChars="200"/>
        <w:jc w:val="left"/>
        <w:textAlignment w:val="baseline"/>
        <w:rPr>
          <w:rFonts w:ascii="仿宋" w:hAnsi="仿宋" w:eastAsia="仿宋" w:cs="微软雅黑"/>
          <w:snapToGrid w:val="0"/>
          <w:color w:val="auto"/>
          <w:spacing w:val="4"/>
          <w:kern w:val="0"/>
          <w:sz w:val="24"/>
          <w:szCs w:val="21"/>
          <w:highlight w:val="none"/>
        </w:rPr>
      </w:pPr>
      <w:r>
        <w:rPr>
          <w:rFonts w:hint="eastAsia" w:ascii="仿宋" w:hAnsi="仿宋" w:eastAsia="仿宋" w:cs="微软雅黑"/>
          <w:snapToGrid w:val="0"/>
          <w:color w:val="auto"/>
          <w:spacing w:val="4"/>
          <w:kern w:val="0"/>
          <w:sz w:val="24"/>
          <w:szCs w:val="21"/>
          <w:highlight w:val="none"/>
        </w:rPr>
        <w:t>②采用担保机构担保的，应为依法取得融资担保业务经营许可证的融资担保机构出具的不可撤销、不可转让的见索即付独立保函。</w:t>
      </w:r>
    </w:p>
    <w:p w14:paraId="6593A754">
      <w:pPr>
        <w:widowControl/>
        <w:kinsoku w:val="0"/>
        <w:autoSpaceDE w:val="0"/>
        <w:autoSpaceDN w:val="0"/>
        <w:adjustRightInd w:val="0"/>
        <w:snapToGrid w:val="0"/>
        <w:spacing w:line="360" w:lineRule="auto"/>
        <w:ind w:firstLine="496" w:firstLineChars="200"/>
        <w:jc w:val="left"/>
        <w:textAlignment w:val="baseline"/>
        <w:rPr>
          <w:rFonts w:ascii="仿宋" w:hAnsi="仿宋" w:eastAsia="仿宋" w:cs="微软雅黑"/>
          <w:snapToGrid w:val="0"/>
          <w:color w:val="auto"/>
          <w:spacing w:val="4"/>
          <w:kern w:val="0"/>
          <w:sz w:val="24"/>
          <w:szCs w:val="21"/>
          <w:highlight w:val="none"/>
        </w:rPr>
      </w:pPr>
      <w:r>
        <w:rPr>
          <w:rFonts w:hint="eastAsia" w:ascii="仿宋" w:hAnsi="仿宋" w:eastAsia="仿宋" w:cs="微软雅黑"/>
          <w:snapToGrid w:val="0"/>
          <w:color w:val="auto"/>
          <w:spacing w:val="4"/>
          <w:kern w:val="0"/>
          <w:sz w:val="24"/>
          <w:szCs w:val="21"/>
          <w:highlight w:val="none"/>
        </w:rPr>
        <w:t>③采用保证保险的，应为保险公司出具的不可撤销、不可转让的见索即付保证保险。</w:t>
      </w:r>
    </w:p>
    <w:p w14:paraId="2B7B3353">
      <w:pPr>
        <w:widowControl/>
        <w:kinsoku w:val="0"/>
        <w:autoSpaceDE w:val="0"/>
        <w:autoSpaceDN w:val="0"/>
        <w:adjustRightInd w:val="0"/>
        <w:snapToGrid w:val="0"/>
        <w:spacing w:line="360" w:lineRule="auto"/>
        <w:ind w:firstLine="496" w:firstLineChars="200"/>
        <w:jc w:val="left"/>
        <w:textAlignment w:val="baseline"/>
        <w:rPr>
          <w:rFonts w:ascii="仿宋" w:hAnsi="仿宋" w:eastAsia="仿宋" w:cs="微软雅黑"/>
          <w:snapToGrid w:val="0"/>
          <w:color w:val="auto"/>
          <w:spacing w:val="4"/>
          <w:kern w:val="0"/>
          <w:sz w:val="24"/>
          <w:szCs w:val="21"/>
          <w:highlight w:val="none"/>
        </w:rPr>
      </w:pPr>
      <w:r>
        <w:rPr>
          <w:rFonts w:hint="eastAsia" w:ascii="仿宋" w:hAnsi="仿宋" w:eastAsia="仿宋" w:cs="微软雅黑"/>
          <w:snapToGrid w:val="0"/>
          <w:color w:val="auto"/>
          <w:spacing w:val="4"/>
          <w:kern w:val="0"/>
          <w:sz w:val="24"/>
          <w:szCs w:val="21"/>
          <w:highlight w:val="none"/>
        </w:rPr>
        <w:t xml:space="preserve">④采用电子保函的，可访问安徽省政府采购网“融资/保函”栏目进行申请。                         </w:t>
      </w:r>
    </w:p>
    <w:p w14:paraId="69F4DD89">
      <w:pPr>
        <w:widowControl/>
        <w:kinsoku w:val="0"/>
        <w:autoSpaceDE w:val="0"/>
        <w:autoSpaceDN w:val="0"/>
        <w:adjustRightInd w:val="0"/>
        <w:snapToGrid w:val="0"/>
        <w:spacing w:line="360" w:lineRule="auto"/>
        <w:ind w:firstLine="498" w:firstLineChars="200"/>
        <w:jc w:val="left"/>
        <w:textAlignment w:val="baseline"/>
        <w:rPr>
          <w:rFonts w:ascii="仿宋" w:hAnsi="仿宋" w:eastAsia="仿宋" w:cs="微软雅黑"/>
          <w:b/>
          <w:bCs/>
          <w:snapToGrid w:val="0"/>
          <w:color w:val="auto"/>
          <w:spacing w:val="4"/>
          <w:kern w:val="0"/>
          <w:sz w:val="24"/>
          <w:szCs w:val="21"/>
          <w:highlight w:val="none"/>
        </w:rPr>
      </w:pPr>
      <w:r>
        <w:rPr>
          <w:rFonts w:hint="eastAsia" w:ascii="仿宋" w:hAnsi="仿宋" w:eastAsia="仿宋" w:cs="微软雅黑"/>
          <w:b/>
          <w:bCs/>
          <w:snapToGrid w:val="0"/>
          <w:color w:val="auto"/>
          <w:spacing w:val="4"/>
          <w:kern w:val="0"/>
          <w:sz w:val="24"/>
          <w:szCs w:val="21"/>
          <w:highlight w:val="none"/>
        </w:rPr>
        <w:t>八</w:t>
      </w:r>
      <w:r>
        <w:rPr>
          <w:rFonts w:ascii="仿宋" w:hAnsi="仿宋" w:eastAsia="仿宋" w:cs="微软雅黑"/>
          <w:b/>
          <w:bCs/>
          <w:snapToGrid w:val="0"/>
          <w:color w:val="auto"/>
          <w:spacing w:val="4"/>
          <w:kern w:val="0"/>
          <w:sz w:val="24"/>
          <w:szCs w:val="21"/>
          <w:highlight w:val="none"/>
        </w:rPr>
        <w:t>、违约责任</w:t>
      </w:r>
    </w:p>
    <w:p w14:paraId="467D68FD">
      <w:pPr>
        <w:widowControl/>
        <w:kinsoku w:val="0"/>
        <w:autoSpaceDE w:val="0"/>
        <w:autoSpaceDN w:val="0"/>
        <w:adjustRightInd w:val="0"/>
        <w:snapToGrid w:val="0"/>
        <w:spacing w:line="360" w:lineRule="auto"/>
        <w:ind w:firstLine="496" w:firstLineChars="200"/>
        <w:jc w:val="left"/>
        <w:textAlignment w:val="baseline"/>
        <w:rPr>
          <w:rFonts w:ascii="仿宋" w:hAnsi="仿宋" w:eastAsia="仿宋" w:cs="微软雅黑"/>
          <w:snapToGrid w:val="0"/>
          <w:color w:val="auto"/>
          <w:spacing w:val="4"/>
          <w:kern w:val="0"/>
          <w:sz w:val="24"/>
          <w:szCs w:val="21"/>
          <w:highlight w:val="none"/>
        </w:rPr>
      </w:pPr>
      <w:r>
        <w:rPr>
          <w:rFonts w:ascii="仿宋" w:hAnsi="仿宋" w:eastAsia="仿宋" w:cs="微软雅黑"/>
          <w:snapToGrid w:val="0"/>
          <w:color w:val="auto"/>
          <w:spacing w:val="4"/>
          <w:kern w:val="0"/>
          <w:sz w:val="24"/>
          <w:szCs w:val="21"/>
          <w:highlight w:val="none"/>
        </w:rPr>
        <w:t>（一）卖方供货期超过合同约定供货期限。如果卖方由于自身的原因未能按期履行完合同，卖方应给予买方经济上的赔偿。其标准为按每延期一周收取合同金额的</w:t>
      </w:r>
      <w:r>
        <w:rPr>
          <w:rFonts w:hint="eastAsia" w:ascii="仿宋" w:hAnsi="仿宋" w:eastAsia="仿宋" w:cs="微软雅黑"/>
          <w:snapToGrid w:val="0"/>
          <w:color w:val="auto"/>
          <w:spacing w:val="4"/>
          <w:kern w:val="0"/>
          <w:sz w:val="24"/>
          <w:szCs w:val="21"/>
          <w:highlight w:val="none"/>
          <w:u w:val="single"/>
        </w:rPr>
        <w:t xml:space="preserve"> </w:t>
      </w:r>
      <w:r>
        <w:rPr>
          <w:rFonts w:ascii="仿宋" w:hAnsi="仿宋" w:eastAsia="仿宋" w:cs="微软雅黑"/>
          <w:snapToGrid w:val="0"/>
          <w:color w:val="auto"/>
          <w:spacing w:val="4"/>
          <w:kern w:val="0"/>
          <w:sz w:val="24"/>
          <w:szCs w:val="21"/>
          <w:highlight w:val="none"/>
          <w:u w:val="single"/>
        </w:rPr>
        <w:t>0.05%</w:t>
      </w:r>
      <w:r>
        <w:rPr>
          <w:rFonts w:hint="eastAsia" w:ascii="仿宋" w:hAnsi="仿宋" w:eastAsia="仿宋" w:cs="微软雅黑"/>
          <w:snapToGrid w:val="0"/>
          <w:color w:val="auto"/>
          <w:spacing w:val="4"/>
          <w:kern w:val="0"/>
          <w:sz w:val="24"/>
          <w:szCs w:val="21"/>
          <w:highlight w:val="none"/>
        </w:rPr>
        <w:t>，</w:t>
      </w:r>
      <w:r>
        <w:rPr>
          <w:rFonts w:ascii="仿宋" w:hAnsi="仿宋" w:eastAsia="仿宋" w:cs="微软雅黑"/>
          <w:snapToGrid w:val="0"/>
          <w:color w:val="auto"/>
          <w:spacing w:val="4"/>
          <w:kern w:val="0"/>
          <w:sz w:val="24"/>
          <w:szCs w:val="21"/>
          <w:highlight w:val="none"/>
        </w:rPr>
        <w:t>但误期赔偿费总额不得超过合同总额的</w:t>
      </w:r>
      <w:r>
        <w:rPr>
          <w:rFonts w:hint="eastAsia" w:ascii="仿宋" w:hAnsi="仿宋" w:eastAsia="仿宋" w:cs="微软雅黑"/>
          <w:snapToGrid w:val="0"/>
          <w:color w:val="auto"/>
          <w:spacing w:val="4"/>
          <w:kern w:val="0"/>
          <w:sz w:val="24"/>
          <w:szCs w:val="21"/>
          <w:highlight w:val="none"/>
          <w:u w:val="single"/>
        </w:rPr>
        <w:t xml:space="preserve"> </w:t>
      </w:r>
      <w:r>
        <w:rPr>
          <w:rFonts w:ascii="仿宋" w:hAnsi="仿宋" w:eastAsia="仿宋" w:cs="微软雅黑"/>
          <w:snapToGrid w:val="0"/>
          <w:color w:val="auto"/>
          <w:spacing w:val="4"/>
          <w:kern w:val="0"/>
          <w:sz w:val="24"/>
          <w:szCs w:val="21"/>
          <w:highlight w:val="none"/>
          <w:u w:val="single"/>
        </w:rPr>
        <w:t>30%</w:t>
      </w:r>
      <w:r>
        <w:rPr>
          <w:rFonts w:ascii="仿宋" w:hAnsi="仿宋" w:eastAsia="仿宋" w:cs="微软雅黑"/>
          <w:snapToGrid w:val="0"/>
          <w:color w:val="auto"/>
          <w:spacing w:val="4"/>
          <w:kern w:val="0"/>
          <w:sz w:val="24"/>
          <w:szCs w:val="21"/>
          <w:highlight w:val="none"/>
        </w:rPr>
        <w:t>。</w:t>
      </w:r>
    </w:p>
    <w:p w14:paraId="2E6A7D7F">
      <w:pPr>
        <w:widowControl/>
        <w:kinsoku w:val="0"/>
        <w:autoSpaceDE w:val="0"/>
        <w:autoSpaceDN w:val="0"/>
        <w:adjustRightInd w:val="0"/>
        <w:snapToGrid w:val="0"/>
        <w:spacing w:line="360" w:lineRule="auto"/>
        <w:ind w:firstLine="496" w:firstLineChars="200"/>
        <w:jc w:val="left"/>
        <w:textAlignment w:val="baseline"/>
        <w:rPr>
          <w:rFonts w:ascii="仿宋" w:hAnsi="仿宋" w:eastAsia="仿宋" w:cs="微软雅黑"/>
          <w:snapToGrid w:val="0"/>
          <w:color w:val="auto"/>
          <w:spacing w:val="4"/>
          <w:kern w:val="0"/>
          <w:sz w:val="24"/>
          <w:szCs w:val="21"/>
          <w:highlight w:val="none"/>
        </w:rPr>
      </w:pPr>
      <w:r>
        <w:rPr>
          <w:rFonts w:ascii="仿宋" w:hAnsi="仿宋" w:eastAsia="仿宋" w:cs="微软雅黑"/>
          <w:snapToGrid w:val="0"/>
          <w:color w:val="auto"/>
          <w:spacing w:val="4"/>
          <w:kern w:val="0"/>
          <w:sz w:val="24"/>
          <w:szCs w:val="21"/>
          <w:highlight w:val="none"/>
        </w:rPr>
        <w:t>（二）卖方供货期内未能交货。卖方在履行合同过程中，如果遇到不能按时交货情况，应及时以书面形式将不能按期履行合同的理由、延误的时间通知</w:t>
      </w:r>
      <w:r>
        <w:rPr>
          <w:rFonts w:hint="eastAsia" w:ascii="仿宋" w:hAnsi="仿宋" w:eastAsia="仿宋" w:cs="微软雅黑"/>
          <w:snapToGrid w:val="0"/>
          <w:color w:val="auto"/>
          <w:spacing w:val="4"/>
          <w:kern w:val="0"/>
          <w:sz w:val="24"/>
          <w:szCs w:val="21"/>
          <w:highlight w:val="none"/>
        </w:rPr>
        <w:t>买方</w:t>
      </w:r>
      <w:r>
        <w:rPr>
          <w:rFonts w:ascii="仿宋" w:hAnsi="仿宋" w:eastAsia="仿宋" w:cs="微软雅黑"/>
          <w:snapToGrid w:val="0"/>
          <w:color w:val="auto"/>
          <w:spacing w:val="4"/>
          <w:kern w:val="0"/>
          <w:sz w:val="24"/>
          <w:szCs w:val="21"/>
          <w:highlight w:val="none"/>
        </w:rPr>
        <w:t>。</w:t>
      </w:r>
      <w:r>
        <w:rPr>
          <w:rFonts w:hint="eastAsia" w:ascii="仿宋" w:hAnsi="仿宋" w:eastAsia="仿宋" w:cs="微软雅黑"/>
          <w:snapToGrid w:val="0"/>
          <w:color w:val="auto"/>
          <w:spacing w:val="4"/>
          <w:kern w:val="0"/>
          <w:sz w:val="24"/>
          <w:szCs w:val="21"/>
          <w:highlight w:val="none"/>
        </w:rPr>
        <w:t>买方</w:t>
      </w:r>
      <w:r>
        <w:rPr>
          <w:rFonts w:ascii="仿宋" w:hAnsi="仿宋" w:eastAsia="仿宋" w:cs="微软雅黑"/>
          <w:snapToGrid w:val="0"/>
          <w:color w:val="auto"/>
          <w:spacing w:val="4"/>
          <w:kern w:val="0"/>
          <w:sz w:val="24"/>
          <w:szCs w:val="21"/>
          <w:highlight w:val="none"/>
        </w:rPr>
        <w:t>有权决定是否延长合同的履行时间或终止合同。如</w:t>
      </w:r>
      <w:r>
        <w:rPr>
          <w:rFonts w:hint="eastAsia" w:ascii="仿宋" w:hAnsi="仿宋" w:eastAsia="仿宋" w:cs="微软雅黑"/>
          <w:snapToGrid w:val="0"/>
          <w:color w:val="auto"/>
          <w:spacing w:val="4"/>
          <w:kern w:val="0"/>
          <w:sz w:val="24"/>
          <w:szCs w:val="21"/>
          <w:highlight w:val="none"/>
        </w:rPr>
        <w:t>买方</w:t>
      </w:r>
      <w:r>
        <w:rPr>
          <w:rFonts w:ascii="仿宋" w:hAnsi="仿宋" w:eastAsia="仿宋" w:cs="微软雅黑"/>
          <w:snapToGrid w:val="0"/>
          <w:color w:val="auto"/>
          <w:spacing w:val="4"/>
          <w:kern w:val="0"/>
          <w:sz w:val="24"/>
          <w:szCs w:val="21"/>
          <w:highlight w:val="none"/>
        </w:rPr>
        <w:t>同意延长合同的履行时间，卖方必须在买方规定的时间内提供符合质量标准的产品，由此造成的误期赔偿费按照前款约定执行。</w:t>
      </w:r>
    </w:p>
    <w:p w14:paraId="1777350B">
      <w:pPr>
        <w:widowControl/>
        <w:kinsoku w:val="0"/>
        <w:autoSpaceDE w:val="0"/>
        <w:autoSpaceDN w:val="0"/>
        <w:adjustRightInd w:val="0"/>
        <w:snapToGrid w:val="0"/>
        <w:spacing w:line="360" w:lineRule="auto"/>
        <w:ind w:firstLine="496" w:firstLineChars="200"/>
        <w:jc w:val="left"/>
        <w:textAlignment w:val="baseline"/>
        <w:rPr>
          <w:rFonts w:ascii="仿宋" w:hAnsi="仿宋" w:eastAsia="仿宋" w:cs="微软雅黑"/>
          <w:snapToGrid w:val="0"/>
          <w:color w:val="auto"/>
          <w:spacing w:val="4"/>
          <w:kern w:val="0"/>
          <w:sz w:val="24"/>
          <w:szCs w:val="21"/>
          <w:highlight w:val="none"/>
        </w:rPr>
      </w:pPr>
      <w:r>
        <w:rPr>
          <w:rFonts w:ascii="仿宋" w:hAnsi="仿宋" w:eastAsia="仿宋" w:cs="微软雅黑"/>
          <w:snapToGrid w:val="0"/>
          <w:color w:val="auto"/>
          <w:spacing w:val="4"/>
          <w:kern w:val="0"/>
          <w:sz w:val="24"/>
          <w:szCs w:val="21"/>
          <w:highlight w:val="none"/>
        </w:rPr>
        <w:t>（三）卖方交货不符合合同质量标准，卖方必须重新提供符合质量标准的产品，由此造成的误期赔偿费按照前款约定执行。如卖方在买方规定的时间内未能提供符合质量标准的产品，</w:t>
      </w:r>
      <w:r>
        <w:rPr>
          <w:rFonts w:hint="eastAsia" w:ascii="仿宋" w:hAnsi="仿宋" w:eastAsia="仿宋" w:cs="微软雅黑"/>
          <w:snapToGrid w:val="0"/>
          <w:color w:val="auto"/>
          <w:spacing w:val="4"/>
          <w:kern w:val="0"/>
          <w:sz w:val="24"/>
          <w:szCs w:val="21"/>
          <w:highlight w:val="none"/>
        </w:rPr>
        <w:t>买方</w:t>
      </w:r>
      <w:r>
        <w:rPr>
          <w:rFonts w:ascii="仿宋" w:hAnsi="仿宋" w:eastAsia="仿宋" w:cs="微软雅黑"/>
          <w:snapToGrid w:val="0"/>
          <w:color w:val="auto"/>
          <w:spacing w:val="4"/>
          <w:kern w:val="0"/>
          <w:sz w:val="24"/>
          <w:szCs w:val="21"/>
          <w:highlight w:val="none"/>
        </w:rPr>
        <w:t>有权终止合同，提请政府采购监管部门将卖方列入不良行为记录名单，在一至三年内禁止参加政府采购活动，同时要求入围供应商终止与卖方的</w:t>
      </w:r>
      <w:r>
        <w:rPr>
          <w:rFonts w:hint="eastAsia" w:ascii="仿宋" w:hAnsi="仿宋" w:eastAsia="仿宋" w:cs="微软雅黑"/>
          <w:snapToGrid w:val="0"/>
          <w:color w:val="auto"/>
          <w:spacing w:val="4"/>
          <w:kern w:val="0"/>
          <w:sz w:val="24"/>
          <w:szCs w:val="21"/>
          <w:highlight w:val="none"/>
        </w:rPr>
        <w:t>采购</w:t>
      </w:r>
      <w:r>
        <w:rPr>
          <w:rFonts w:ascii="仿宋" w:hAnsi="仿宋" w:eastAsia="仿宋" w:cs="微软雅黑"/>
          <w:snapToGrid w:val="0"/>
          <w:color w:val="auto"/>
          <w:spacing w:val="4"/>
          <w:kern w:val="0"/>
          <w:sz w:val="24"/>
          <w:szCs w:val="21"/>
          <w:highlight w:val="none"/>
        </w:rPr>
        <w:t>协议。</w:t>
      </w:r>
    </w:p>
    <w:p w14:paraId="5C85CB8F">
      <w:pPr>
        <w:widowControl/>
        <w:kinsoku w:val="0"/>
        <w:autoSpaceDE w:val="0"/>
        <w:autoSpaceDN w:val="0"/>
        <w:adjustRightInd w:val="0"/>
        <w:snapToGrid w:val="0"/>
        <w:spacing w:line="360" w:lineRule="auto"/>
        <w:ind w:firstLine="496" w:firstLineChars="200"/>
        <w:jc w:val="left"/>
        <w:textAlignment w:val="baseline"/>
        <w:rPr>
          <w:rFonts w:hint="eastAsia" w:ascii="仿宋" w:hAnsi="仿宋" w:eastAsia="仿宋" w:cs="微软雅黑"/>
          <w:snapToGrid w:val="0"/>
          <w:color w:val="auto"/>
          <w:spacing w:val="4"/>
          <w:kern w:val="0"/>
          <w:sz w:val="24"/>
          <w:szCs w:val="21"/>
          <w:highlight w:val="none"/>
        </w:rPr>
      </w:pPr>
      <w:r>
        <w:rPr>
          <w:rFonts w:hint="eastAsia" w:ascii="仿宋" w:hAnsi="仿宋" w:eastAsia="仿宋" w:cs="微软雅黑"/>
          <w:snapToGrid w:val="0"/>
          <w:color w:val="auto"/>
          <w:spacing w:val="4"/>
          <w:kern w:val="0"/>
          <w:sz w:val="24"/>
          <w:szCs w:val="21"/>
          <w:highlight w:val="none"/>
        </w:rPr>
        <w:t>（四）使用单位未能按时组织验收，由主管部门给予处理。</w:t>
      </w:r>
    </w:p>
    <w:p w14:paraId="6AA18DBB">
      <w:pPr>
        <w:widowControl/>
        <w:kinsoku w:val="0"/>
        <w:autoSpaceDE w:val="0"/>
        <w:autoSpaceDN w:val="0"/>
        <w:adjustRightInd w:val="0"/>
        <w:snapToGrid w:val="0"/>
        <w:spacing w:line="360" w:lineRule="auto"/>
        <w:ind w:firstLine="496" w:firstLineChars="200"/>
        <w:jc w:val="left"/>
        <w:textAlignment w:val="baseline"/>
        <w:rPr>
          <w:rFonts w:hint="eastAsia" w:ascii="仿宋" w:hAnsi="仿宋" w:eastAsia="仿宋" w:cs="微软雅黑"/>
          <w:snapToGrid w:val="0"/>
          <w:color w:val="auto"/>
          <w:spacing w:val="4"/>
          <w:kern w:val="0"/>
          <w:sz w:val="24"/>
          <w:szCs w:val="21"/>
          <w:highlight w:val="none"/>
        </w:rPr>
      </w:pPr>
      <w:r>
        <w:rPr>
          <w:rFonts w:hint="eastAsia" w:ascii="仿宋" w:hAnsi="仿宋" w:eastAsia="仿宋" w:cs="微软雅黑"/>
          <w:snapToGrid w:val="0"/>
          <w:color w:val="auto"/>
          <w:spacing w:val="4"/>
          <w:kern w:val="0"/>
          <w:sz w:val="24"/>
          <w:szCs w:val="21"/>
          <w:highlight w:val="none"/>
        </w:rPr>
        <w:t>（五）验收合格后，使用单位未能按时提请付款，由主管部门给予处理。</w:t>
      </w:r>
    </w:p>
    <w:p w14:paraId="400882ED">
      <w:pPr>
        <w:widowControl/>
        <w:kinsoku w:val="0"/>
        <w:autoSpaceDE w:val="0"/>
        <w:autoSpaceDN w:val="0"/>
        <w:adjustRightInd w:val="0"/>
        <w:snapToGrid w:val="0"/>
        <w:spacing w:line="360" w:lineRule="auto"/>
        <w:ind w:firstLine="496" w:firstLineChars="200"/>
        <w:jc w:val="left"/>
        <w:textAlignment w:val="baseline"/>
        <w:rPr>
          <w:rFonts w:hint="eastAsia" w:ascii="仿宋" w:hAnsi="仿宋" w:eastAsia="仿宋" w:cs="微软雅黑"/>
          <w:snapToGrid w:val="0"/>
          <w:color w:val="auto"/>
          <w:spacing w:val="4"/>
          <w:kern w:val="0"/>
          <w:sz w:val="24"/>
          <w:szCs w:val="21"/>
          <w:highlight w:val="none"/>
        </w:rPr>
      </w:pPr>
      <w:r>
        <w:rPr>
          <w:rFonts w:hint="eastAsia" w:ascii="仿宋" w:hAnsi="仿宋" w:eastAsia="仿宋" w:cs="微软雅黑"/>
          <w:snapToGrid w:val="0"/>
          <w:color w:val="auto"/>
          <w:spacing w:val="4"/>
          <w:kern w:val="0"/>
          <w:sz w:val="24"/>
          <w:szCs w:val="21"/>
          <w:highlight w:val="none"/>
        </w:rPr>
        <w:t>（六）使用单位擅自变更、中止或者终止合同，由主管部门给予处理。</w:t>
      </w:r>
    </w:p>
    <w:p w14:paraId="5C18FF22">
      <w:pPr>
        <w:widowControl/>
        <w:kinsoku w:val="0"/>
        <w:autoSpaceDE w:val="0"/>
        <w:autoSpaceDN w:val="0"/>
        <w:adjustRightInd w:val="0"/>
        <w:snapToGrid w:val="0"/>
        <w:spacing w:line="360" w:lineRule="auto"/>
        <w:ind w:firstLine="498" w:firstLineChars="200"/>
        <w:jc w:val="left"/>
        <w:textAlignment w:val="baseline"/>
        <w:rPr>
          <w:rFonts w:ascii="仿宋" w:hAnsi="仿宋" w:eastAsia="仿宋" w:cs="微软雅黑"/>
          <w:b/>
          <w:bCs/>
          <w:snapToGrid w:val="0"/>
          <w:color w:val="auto"/>
          <w:spacing w:val="4"/>
          <w:kern w:val="0"/>
          <w:sz w:val="24"/>
          <w:szCs w:val="21"/>
          <w:highlight w:val="none"/>
        </w:rPr>
      </w:pPr>
      <w:r>
        <w:rPr>
          <w:rFonts w:hint="eastAsia" w:ascii="仿宋" w:hAnsi="仿宋" w:eastAsia="仿宋" w:cs="微软雅黑"/>
          <w:b/>
          <w:bCs/>
          <w:snapToGrid w:val="0"/>
          <w:color w:val="auto"/>
          <w:spacing w:val="4"/>
          <w:kern w:val="0"/>
          <w:sz w:val="24"/>
          <w:szCs w:val="21"/>
          <w:highlight w:val="none"/>
        </w:rPr>
        <w:t>九</w:t>
      </w:r>
      <w:r>
        <w:rPr>
          <w:rFonts w:ascii="仿宋" w:hAnsi="仿宋" w:eastAsia="仿宋" w:cs="微软雅黑"/>
          <w:b/>
          <w:bCs/>
          <w:snapToGrid w:val="0"/>
          <w:color w:val="auto"/>
          <w:spacing w:val="4"/>
          <w:kern w:val="0"/>
          <w:sz w:val="24"/>
          <w:szCs w:val="21"/>
          <w:highlight w:val="none"/>
        </w:rPr>
        <w:t>、签约地点</w:t>
      </w:r>
    </w:p>
    <w:p w14:paraId="1211724F">
      <w:pPr>
        <w:widowControl/>
        <w:kinsoku w:val="0"/>
        <w:autoSpaceDE w:val="0"/>
        <w:autoSpaceDN w:val="0"/>
        <w:adjustRightInd w:val="0"/>
        <w:snapToGrid w:val="0"/>
        <w:spacing w:line="360" w:lineRule="auto"/>
        <w:ind w:firstLine="496" w:firstLineChars="200"/>
        <w:jc w:val="left"/>
        <w:textAlignment w:val="baseline"/>
        <w:rPr>
          <w:rFonts w:ascii="仿宋" w:hAnsi="仿宋" w:eastAsia="仿宋" w:cs="微软雅黑"/>
          <w:snapToGrid w:val="0"/>
          <w:color w:val="auto"/>
          <w:spacing w:val="4"/>
          <w:kern w:val="0"/>
          <w:sz w:val="24"/>
          <w:szCs w:val="21"/>
          <w:highlight w:val="none"/>
        </w:rPr>
      </w:pPr>
      <w:r>
        <w:rPr>
          <w:rFonts w:hint="eastAsia" w:ascii="仿宋" w:hAnsi="仿宋" w:eastAsia="仿宋" w:cs="微软雅黑"/>
          <w:snapToGrid w:val="0"/>
          <w:color w:val="auto"/>
          <w:spacing w:val="4"/>
          <w:kern w:val="0"/>
          <w:sz w:val="24"/>
          <w:szCs w:val="21"/>
          <w:highlight w:val="none"/>
        </w:rPr>
        <w:t>本框架协议在买方所在地签订，使用单位与卖方签订的采购合同（分合同）在使用单位所在地签订。</w:t>
      </w:r>
    </w:p>
    <w:p w14:paraId="01D8D48C">
      <w:pPr>
        <w:widowControl/>
        <w:kinsoku w:val="0"/>
        <w:autoSpaceDE w:val="0"/>
        <w:autoSpaceDN w:val="0"/>
        <w:adjustRightInd w:val="0"/>
        <w:snapToGrid w:val="0"/>
        <w:spacing w:line="360" w:lineRule="auto"/>
        <w:ind w:firstLine="498" w:firstLineChars="200"/>
        <w:jc w:val="left"/>
        <w:textAlignment w:val="baseline"/>
        <w:rPr>
          <w:rFonts w:ascii="仿宋" w:hAnsi="仿宋" w:eastAsia="仿宋" w:cs="微软雅黑"/>
          <w:b/>
          <w:bCs/>
          <w:snapToGrid w:val="0"/>
          <w:color w:val="auto"/>
          <w:spacing w:val="4"/>
          <w:kern w:val="0"/>
          <w:sz w:val="24"/>
          <w:szCs w:val="21"/>
          <w:highlight w:val="none"/>
        </w:rPr>
      </w:pPr>
      <w:r>
        <w:rPr>
          <w:rFonts w:ascii="仿宋" w:hAnsi="仿宋" w:eastAsia="仿宋" w:cs="微软雅黑"/>
          <w:b/>
          <w:bCs/>
          <w:snapToGrid w:val="0"/>
          <w:color w:val="auto"/>
          <w:spacing w:val="4"/>
          <w:kern w:val="0"/>
          <w:sz w:val="24"/>
          <w:szCs w:val="21"/>
          <w:highlight w:val="none"/>
        </w:rPr>
        <w:t>十、合同的终止</w:t>
      </w:r>
    </w:p>
    <w:p w14:paraId="693B6511">
      <w:pPr>
        <w:widowControl/>
        <w:kinsoku w:val="0"/>
        <w:autoSpaceDE w:val="0"/>
        <w:autoSpaceDN w:val="0"/>
        <w:adjustRightInd w:val="0"/>
        <w:snapToGrid w:val="0"/>
        <w:spacing w:line="360" w:lineRule="auto"/>
        <w:ind w:firstLine="496" w:firstLineChars="200"/>
        <w:jc w:val="left"/>
        <w:textAlignment w:val="baseline"/>
        <w:rPr>
          <w:rFonts w:ascii="仿宋" w:hAnsi="仿宋" w:eastAsia="仿宋" w:cs="微软雅黑"/>
          <w:snapToGrid w:val="0"/>
          <w:color w:val="auto"/>
          <w:spacing w:val="4"/>
          <w:kern w:val="0"/>
          <w:sz w:val="24"/>
          <w:szCs w:val="21"/>
          <w:highlight w:val="none"/>
        </w:rPr>
      </w:pPr>
      <w:r>
        <w:rPr>
          <w:rFonts w:ascii="仿宋" w:hAnsi="仿宋" w:eastAsia="仿宋" w:cs="微软雅黑"/>
          <w:snapToGrid w:val="0"/>
          <w:color w:val="auto"/>
          <w:spacing w:val="4"/>
          <w:kern w:val="0"/>
          <w:sz w:val="24"/>
          <w:szCs w:val="21"/>
          <w:highlight w:val="none"/>
        </w:rPr>
        <w:t xml:space="preserve">（一）本合同因下列原因而终止： </w:t>
      </w:r>
    </w:p>
    <w:p w14:paraId="0BD035A5">
      <w:pPr>
        <w:widowControl/>
        <w:kinsoku w:val="0"/>
        <w:autoSpaceDE w:val="0"/>
        <w:autoSpaceDN w:val="0"/>
        <w:adjustRightInd w:val="0"/>
        <w:snapToGrid w:val="0"/>
        <w:spacing w:line="360" w:lineRule="auto"/>
        <w:ind w:firstLine="496" w:firstLineChars="200"/>
        <w:jc w:val="left"/>
        <w:textAlignment w:val="baseline"/>
        <w:rPr>
          <w:rFonts w:ascii="仿宋" w:hAnsi="仿宋" w:eastAsia="仿宋" w:cs="微软雅黑"/>
          <w:snapToGrid w:val="0"/>
          <w:color w:val="auto"/>
          <w:spacing w:val="4"/>
          <w:kern w:val="0"/>
          <w:sz w:val="24"/>
          <w:szCs w:val="21"/>
          <w:highlight w:val="none"/>
        </w:rPr>
      </w:pPr>
      <w:r>
        <w:rPr>
          <w:rFonts w:ascii="仿宋" w:hAnsi="仿宋" w:eastAsia="仿宋" w:cs="微软雅黑"/>
          <w:snapToGrid w:val="0"/>
          <w:color w:val="auto"/>
          <w:spacing w:val="4"/>
          <w:kern w:val="0"/>
          <w:sz w:val="24"/>
          <w:szCs w:val="21"/>
          <w:highlight w:val="none"/>
        </w:rPr>
        <w:t>1.本合同正常履行完毕；</w:t>
      </w:r>
    </w:p>
    <w:p w14:paraId="1FA89141">
      <w:pPr>
        <w:widowControl/>
        <w:kinsoku w:val="0"/>
        <w:autoSpaceDE w:val="0"/>
        <w:autoSpaceDN w:val="0"/>
        <w:adjustRightInd w:val="0"/>
        <w:snapToGrid w:val="0"/>
        <w:spacing w:line="360" w:lineRule="auto"/>
        <w:ind w:firstLine="496" w:firstLineChars="200"/>
        <w:jc w:val="left"/>
        <w:textAlignment w:val="baseline"/>
        <w:rPr>
          <w:rFonts w:ascii="仿宋" w:hAnsi="仿宋" w:eastAsia="仿宋" w:cs="微软雅黑"/>
          <w:snapToGrid w:val="0"/>
          <w:color w:val="auto"/>
          <w:spacing w:val="4"/>
          <w:kern w:val="0"/>
          <w:sz w:val="24"/>
          <w:szCs w:val="21"/>
          <w:highlight w:val="none"/>
        </w:rPr>
      </w:pPr>
      <w:r>
        <w:rPr>
          <w:rFonts w:ascii="仿宋" w:hAnsi="仿宋" w:eastAsia="仿宋" w:cs="微软雅黑"/>
          <w:snapToGrid w:val="0"/>
          <w:color w:val="auto"/>
          <w:spacing w:val="4"/>
          <w:kern w:val="0"/>
          <w:sz w:val="24"/>
          <w:szCs w:val="21"/>
          <w:highlight w:val="none"/>
        </w:rPr>
        <w:t>2.合同双方协议终止本合同的履行；</w:t>
      </w:r>
    </w:p>
    <w:p w14:paraId="06921F2B">
      <w:pPr>
        <w:widowControl/>
        <w:kinsoku w:val="0"/>
        <w:autoSpaceDE w:val="0"/>
        <w:autoSpaceDN w:val="0"/>
        <w:adjustRightInd w:val="0"/>
        <w:snapToGrid w:val="0"/>
        <w:spacing w:line="360" w:lineRule="auto"/>
        <w:ind w:firstLine="496" w:firstLineChars="200"/>
        <w:jc w:val="left"/>
        <w:textAlignment w:val="baseline"/>
        <w:rPr>
          <w:rFonts w:ascii="仿宋" w:hAnsi="仿宋" w:eastAsia="仿宋" w:cs="微软雅黑"/>
          <w:snapToGrid w:val="0"/>
          <w:color w:val="auto"/>
          <w:spacing w:val="4"/>
          <w:kern w:val="0"/>
          <w:sz w:val="24"/>
          <w:szCs w:val="21"/>
          <w:highlight w:val="none"/>
        </w:rPr>
      </w:pPr>
      <w:r>
        <w:rPr>
          <w:rFonts w:ascii="仿宋" w:hAnsi="仿宋" w:eastAsia="仿宋" w:cs="微软雅黑"/>
          <w:snapToGrid w:val="0"/>
          <w:color w:val="auto"/>
          <w:spacing w:val="4"/>
          <w:kern w:val="0"/>
          <w:sz w:val="24"/>
          <w:szCs w:val="21"/>
          <w:highlight w:val="none"/>
        </w:rPr>
        <w:t xml:space="preserve">3.不可抗力事件导致本合同无法履行或履行不必要； </w:t>
      </w:r>
    </w:p>
    <w:p w14:paraId="0E820A7A">
      <w:pPr>
        <w:widowControl/>
        <w:kinsoku w:val="0"/>
        <w:autoSpaceDE w:val="0"/>
        <w:autoSpaceDN w:val="0"/>
        <w:adjustRightInd w:val="0"/>
        <w:snapToGrid w:val="0"/>
        <w:spacing w:line="360" w:lineRule="auto"/>
        <w:ind w:firstLine="496" w:firstLineChars="200"/>
        <w:jc w:val="left"/>
        <w:textAlignment w:val="baseline"/>
        <w:rPr>
          <w:rFonts w:ascii="仿宋" w:hAnsi="仿宋" w:eastAsia="仿宋" w:cs="微软雅黑"/>
          <w:snapToGrid w:val="0"/>
          <w:color w:val="auto"/>
          <w:spacing w:val="4"/>
          <w:kern w:val="0"/>
          <w:sz w:val="24"/>
          <w:szCs w:val="21"/>
          <w:highlight w:val="none"/>
        </w:rPr>
      </w:pPr>
      <w:r>
        <w:rPr>
          <w:rFonts w:ascii="仿宋" w:hAnsi="仿宋" w:eastAsia="仿宋" w:cs="微软雅黑"/>
          <w:snapToGrid w:val="0"/>
          <w:color w:val="auto"/>
          <w:spacing w:val="4"/>
          <w:kern w:val="0"/>
          <w:sz w:val="24"/>
          <w:szCs w:val="21"/>
          <w:highlight w:val="none"/>
        </w:rPr>
        <w:t>4.符合本合同约定的其他终止合同的条款。</w:t>
      </w:r>
    </w:p>
    <w:p w14:paraId="6DBF13CA">
      <w:pPr>
        <w:widowControl/>
        <w:kinsoku w:val="0"/>
        <w:autoSpaceDE w:val="0"/>
        <w:autoSpaceDN w:val="0"/>
        <w:adjustRightInd w:val="0"/>
        <w:snapToGrid w:val="0"/>
        <w:spacing w:line="360" w:lineRule="auto"/>
        <w:ind w:firstLine="496" w:firstLineChars="200"/>
        <w:jc w:val="left"/>
        <w:textAlignment w:val="baseline"/>
        <w:rPr>
          <w:rFonts w:ascii="仿宋" w:hAnsi="仿宋" w:eastAsia="仿宋" w:cs="微软雅黑"/>
          <w:snapToGrid w:val="0"/>
          <w:color w:val="auto"/>
          <w:spacing w:val="4"/>
          <w:kern w:val="0"/>
          <w:sz w:val="24"/>
          <w:highlight w:val="none"/>
        </w:rPr>
      </w:pPr>
      <w:r>
        <w:rPr>
          <w:rFonts w:ascii="仿宋" w:hAnsi="仿宋" w:eastAsia="仿宋" w:cs="微软雅黑"/>
          <w:snapToGrid w:val="0"/>
          <w:color w:val="auto"/>
          <w:spacing w:val="4"/>
          <w:kern w:val="0"/>
          <w:sz w:val="24"/>
          <w:highlight w:val="none"/>
        </w:rPr>
        <w:t>（二）对本合同终止有过错的一方应赔偿另一方因合同终止而受到的损失。 对合同终止双方均无过错的， 则各自承担所受到的损失。</w:t>
      </w:r>
    </w:p>
    <w:p w14:paraId="6C76B634">
      <w:pPr>
        <w:widowControl/>
        <w:kinsoku w:val="0"/>
        <w:autoSpaceDE w:val="0"/>
        <w:autoSpaceDN w:val="0"/>
        <w:adjustRightInd w:val="0"/>
        <w:snapToGrid w:val="0"/>
        <w:spacing w:line="360" w:lineRule="auto"/>
        <w:ind w:firstLine="498" w:firstLineChars="200"/>
        <w:jc w:val="left"/>
        <w:textAlignment w:val="baseline"/>
        <w:rPr>
          <w:rFonts w:ascii="仿宋" w:hAnsi="仿宋" w:eastAsia="仿宋" w:cs="微软雅黑"/>
          <w:b/>
          <w:bCs/>
          <w:snapToGrid w:val="0"/>
          <w:color w:val="auto"/>
          <w:spacing w:val="4"/>
          <w:kern w:val="0"/>
          <w:sz w:val="24"/>
          <w:highlight w:val="none"/>
        </w:rPr>
      </w:pPr>
      <w:r>
        <w:rPr>
          <w:rFonts w:ascii="仿宋" w:hAnsi="仿宋" w:eastAsia="仿宋" w:cs="微软雅黑"/>
          <w:b/>
          <w:bCs/>
          <w:snapToGrid w:val="0"/>
          <w:color w:val="auto"/>
          <w:spacing w:val="4"/>
          <w:kern w:val="0"/>
          <w:sz w:val="24"/>
          <w:highlight w:val="none"/>
        </w:rPr>
        <w:t>十</w:t>
      </w:r>
      <w:r>
        <w:rPr>
          <w:rFonts w:hint="eastAsia" w:ascii="仿宋" w:hAnsi="仿宋" w:eastAsia="仿宋" w:cs="微软雅黑"/>
          <w:b/>
          <w:bCs/>
          <w:snapToGrid w:val="0"/>
          <w:color w:val="auto"/>
          <w:spacing w:val="4"/>
          <w:kern w:val="0"/>
          <w:sz w:val="24"/>
          <w:highlight w:val="none"/>
        </w:rPr>
        <w:t>一</w:t>
      </w:r>
      <w:r>
        <w:rPr>
          <w:rFonts w:ascii="仿宋" w:hAnsi="仿宋" w:eastAsia="仿宋" w:cs="微软雅黑"/>
          <w:b/>
          <w:bCs/>
          <w:snapToGrid w:val="0"/>
          <w:color w:val="auto"/>
          <w:spacing w:val="4"/>
          <w:kern w:val="0"/>
          <w:sz w:val="24"/>
          <w:highlight w:val="none"/>
        </w:rPr>
        <w:t>、其他</w:t>
      </w:r>
    </w:p>
    <w:p w14:paraId="40BC8242">
      <w:pPr>
        <w:widowControl/>
        <w:kinsoku w:val="0"/>
        <w:autoSpaceDE w:val="0"/>
        <w:autoSpaceDN w:val="0"/>
        <w:adjustRightInd w:val="0"/>
        <w:snapToGrid w:val="0"/>
        <w:spacing w:line="360" w:lineRule="auto"/>
        <w:ind w:firstLine="496" w:firstLineChars="200"/>
        <w:jc w:val="left"/>
        <w:textAlignment w:val="baseline"/>
        <w:rPr>
          <w:rFonts w:ascii="仿宋" w:hAnsi="仿宋" w:eastAsia="仿宋" w:cs="微软雅黑"/>
          <w:snapToGrid w:val="0"/>
          <w:color w:val="auto"/>
          <w:spacing w:val="4"/>
          <w:kern w:val="0"/>
          <w:sz w:val="24"/>
          <w:highlight w:val="none"/>
        </w:rPr>
      </w:pPr>
      <w:r>
        <w:rPr>
          <w:rFonts w:ascii="仿宋" w:hAnsi="仿宋" w:eastAsia="仿宋" w:cs="微软雅黑"/>
          <w:snapToGrid w:val="0"/>
          <w:color w:val="auto"/>
          <w:spacing w:val="4"/>
          <w:kern w:val="0"/>
          <w:sz w:val="24"/>
          <w:highlight w:val="none"/>
        </w:rPr>
        <w:t>（一）买卖双方必须严格按照</w:t>
      </w:r>
      <w:r>
        <w:rPr>
          <w:rFonts w:hint="eastAsia" w:ascii="仿宋" w:hAnsi="仿宋" w:eastAsia="仿宋" w:cs="微软雅黑"/>
          <w:snapToGrid w:val="0"/>
          <w:color w:val="auto"/>
          <w:spacing w:val="4"/>
          <w:kern w:val="0"/>
          <w:sz w:val="24"/>
          <w:highlight w:val="none"/>
        </w:rPr>
        <w:t>采购</w:t>
      </w:r>
      <w:r>
        <w:rPr>
          <w:rFonts w:ascii="仿宋" w:hAnsi="仿宋" w:eastAsia="仿宋" w:cs="微软雅黑"/>
          <w:snapToGrid w:val="0"/>
          <w:color w:val="auto"/>
          <w:spacing w:val="4"/>
          <w:kern w:val="0"/>
          <w:sz w:val="24"/>
          <w:highlight w:val="none"/>
        </w:rPr>
        <w:t>文件、投标文件及有关承诺签订采购合同，不得擅自变更。合同执行期内，买卖双方均不得随意变更或解除合同</w:t>
      </w:r>
    </w:p>
    <w:p w14:paraId="0F810F0C">
      <w:pPr>
        <w:widowControl/>
        <w:kinsoku w:val="0"/>
        <w:autoSpaceDE w:val="0"/>
        <w:autoSpaceDN w:val="0"/>
        <w:adjustRightInd w:val="0"/>
        <w:snapToGrid w:val="0"/>
        <w:spacing w:line="360" w:lineRule="auto"/>
        <w:ind w:firstLine="496" w:firstLineChars="200"/>
        <w:jc w:val="left"/>
        <w:textAlignment w:val="baseline"/>
        <w:rPr>
          <w:rFonts w:ascii="仿宋" w:hAnsi="仿宋" w:eastAsia="仿宋" w:cs="微软雅黑"/>
          <w:snapToGrid w:val="0"/>
          <w:color w:val="auto"/>
          <w:spacing w:val="4"/>
          <w:kern w:val="0"/>
          <w:sz w:val="24"/>
          <w:highlight w:val="none"/>
        </w:rPr>
      </w:pPr>
      <w:r>
        <w:rPr>
          <w:rFonts w:ascii="仿宋" w:hAnsi="仿宋" w:eastAsia="仿宋" w:cs="微软雅黑"/>
          <w:snapToGrid w:val="0"/>
          <w:color w:val="auto"/>
          <w:spacing w:val="4"/>
          <w:kern w:val="0"/>
          <w:sz w:val="24"/>
          <w:highlight w:val="none"/>
        </w:rPr>
        <w:t>（二）本合同执行期间，如遇不可抗力，致使合同无法履行时，买卖双方应按有关法律规定及时协商处理。</w:t>
      </w:r>
    </w:p>
    <w:p w14:paraId="377F42CF">
      <w:pPr>
        <w:widowControl/>
        <w:kinsoku w:val="0"/>
        <w:autoSpaceDE w:val="0"/>
        <w:autoSpaceDN w:val="0"/>
        <w:adjustRightInd w:val="0"/>
        <w:snapToGrid w:val="0"/>
        <w:spacing w:line="360" w:lineRule="auto"/>
        <w:ind w:firstLine="496" w:firstLineChars="200"/>
        <w:jc w:val="left"/>
        <w:textAlignment w:val="baseline"/>
        <w:rPr>
          <w:rFonts w:ascii="仿宋" w:hAnsi="仿宋" w:eastAsia="仿宋" w:cs="微软雅黑"/>
          <w:snapToGrid w:val="0"/>
          <w:color w:val="auto"/>
          <w:spacing w:val="4"/>
          <w:kern w:val="0"/>
          <w:sz w:val="24"/>
          <w:highlight w:val="none"/>
        </w:rPr>
      </w:pPr>
      <w:r>
        <w:rPr>
          <w:rFonts w:ascii="仿宋" w:hAnsi="仿宋" w:eastAsia="仿宋" w:cs="微软雅黑"/>
          <w:snapToGrid w:val="0"/>
          <w:color w:val="auto"/>
          <w:spacing w:val="4"/>
          <w:kern w:val="0"/>
          <w:sz w:val="24"/>
          <w:highlight w:val="none"/>
        </w:rPr>
        <w:t>（三）合同未尽事宜，买卖双方另行签订补充协议，补充协议是合同的组成部分。</w:t>
      </w:r>
    </w:p>
    <w:p w14:paraId="0DA8B6B4">
      <w:pPr>
        <w:widowControl/>
        <w:kinsoku w:val="0"/>
        <w:autoSpaceDE w:val="0"/>
        <w:autoSpaceDN w:val="0"/>
        <w:adjustRightInd w:val="0"/>
        <w:snapToGrid w:val="0"/>
        <w:spacing w:line="360" w:lineRule="auto"/>
        <w:ind w:firstLine="496" w:firstLineChars="200"/>
        <w:jc w:val="left"/>
        <w:textAlignment w:val="baseline"/>
        <w:rPr>
          <w:rFonts w:ascii="仿宋" w:hAnsi="仿宋" w:eastAsia="仿宋" w:cs="微软雅黑"/>
          <w:snapToGrid w:val="0"/>
          <w:color w:val="auto"/>
          <w:spacing w:val="4"/>
          <w:kern w:val="0"/>
          <w:sz w:val="24"/>
          <w:highlight w:val="none"/>
        </w:rPr>
      </w:pPr>
      <w:r>
        <w:rPr>
          <w:rFonts w:ascii="仿宋" w:hAnsi="仿宋" w:eastAsia="仿宋" w:cs="微软雅黑"/>
          <w:snapToGrid w:val="0"/>
          <w:color w:val="auto"/>
          <w:spacing w:val="4"/>
          <w:kern w:val="0"/>
          <w:sz w:val="24"/>
          <w:highlight w:val="none"/>
        </w:rPr>
        <w:t>（四）本合同如发生纠纷，买卖双方应当及时协商解决，协商不成时，按以下第（</w:t>
      </w:r>
      <w:r>
        <w:rPr>
          <w:rFonts w:hint="eastAsia" w:ascii="仿宋" w:hAnsi="仿宋" w:eastAsia="仿宋" w:cs="微软雅黑"/>
          <w:snapToGrid w:val="0"/>
          <w:color w:val="auto"/>
          <w:spacing w:val="4"/>
          <w:kern w:val="0"/>
          <w:sz w:val="24"/>
          <w:highlight w:val="none"/>
          <w:lang w:val="en-US" w:eastAsia="zh-CN"/>
        </w:rPr>
        <w:t>②</w:t>
      </w:r>
      <w:r>
        <w:rPr>
          <w:rFonts w:ascii="仿宋" w:hAnsi="仿宋" w:eastAsia="仿宋" w:cs="微软雅黑"/>
          <w:snapToGrid w:val="0"/>
          <w:color w:val="auto"/>
          <w:spacing w:val="4"/>
          <w:kern w:val="0"/>
          <w:sz w:val="24"/>
          <w:highlight w:val="none"/>
        </w:rPr>
        <w:t>）项方式处理：①根据《中华人民共和国仲裁法》 的规定向</w:t>
      </w:r>
      <w:r>
        <w:rPr>
          <w:rFonts w:hint="eastAsia" w:ascii="仿宋" w:hAnsi="仿宋" w:eastAsia="仿宋" w:cs="微软雅黑"/>
          <w:snapToGrid w:val="0"/>
          <w:color w:val="auto"/>
          <w:spacing w:val="4"/>
          <w:kern w:val="0"/>
          <w:sz w:val="24"/>
          <w:highlight w:val="none"/>
          <w:u w:val="single"/>
        </w:rPr>
        <w:t xml:space="preserve"> 合肥</w:t>
      </w:r>
      <w:r>
        <w:rPr>
          <w:rFonts w:hint="eastAsia" w:ascii="仿宋" w:hAnsi="仿宋" w:eastAsia="仿宋" w:cs="微软雅黑"/>
          <w:snapToGrid w:val="0"/>
          <w:color w:val="auto"/>
          <w:spacing w:val="4"/>
          <w:kern w:val="0"/>
          <w:sz w:val="24"/>
          <w:highlight w:val="none"/>
          <w:u w:val="single"/>
          <w:lang w:val="en-US" w:eastAsia="zh-CN"/>
        </w:rPr>
        <w:t>市</w:t>
      </w:r>
      <w:r>
        <w:rPr>
          <w:rFonts w:ascii="仿宋" w:hAnsi="仿宋" w:eastAsia="仿宋" w:cs="微软雅黑"/>
          <w:snapToGrid w:val="0"/>
          <w:color w:val="auto"/>
          <w:spacing w:val="4"/>
          <w:kern w:val="0"/>
          <w:sz w:val="24"/>
          <w:highlight w:val="none"/>
          <w:u w:val="single"/>
        </w:rPr>
        <w:t xml:space="preserve"> </w:t>
      </w:r>
      <w:r>
        <w:rPr>
          <w:rFonts w:hint="eastAsia" w:ascii="仿宋" w:hAnsi="仿宋" w:eastAsia="仿宋" w:cs="微软雅黑"/>
          <w:snapToGrid w:val="0"/>
          <w:color w:val="auto"/>
          <w:spacing w:val="4"/>
          <w:kern w:val="0"/>
          <w:sz w:val="24"/>
          <w:highlight w:val="none"/>
        </w:rPr>
        <w:t>仲裁委</w:t>
      </w:r>
      <w:r>
        <w:rPr>
          <w:rFonts w:ascii="仿宋" w:hAnsi="仿宋" w:eastAsia="仿宋" w:cs="微软雅黑"/>
          <w:snapToGrid w:val="0"/>
          <w:color w:val="auto"/>
          <w:spacing w:val="4"/>
          <w:kern w:val="0"/>
          <w:sz w:val="24"/>
          <w:highlight w:val="none"/>
        </w:rPr>
        <w:t>申请仲裁 。②向</w:t>
      </w:r>
      <w:r>
        <w:rPr>
          <w:rFonts w:hint="eastAsia" w:ascii="仿宋" w:hAnsi="仿宋" w:eastAsia="仿宋" w:cs="微软雅黑"/>
          <w:snapToGrid w:val="0"/>
          <w:color w:val="auto"/>
          <w:spacing w:val="4"/>
          <w:kern w:val="0"/>
          <w:sz w:val="24"/>
          <w:highlight w:val="none"/>
        </w:rPr>
        <w:t>项目所在地所在</w:t>
      </w:r>
      <w:r>
        <w:rPr>
          <w:rFonts w:ascii="仿宋" w:hAnsi="仿宋" w:eastAsia="仿宋" w:cs="微软雅黑"/>
          <w:snapToGrid w:val="0"/>
          <w:color w:val="auto"/>
          <w:spacing w:val="4"/>
          <w:kern w:val="0"/>
          <w:sz w:val="24"/>
          <w:highlight w:val="none"/>
        </w:rPr>
        <w:t>人民法院起诉。</w:t>
      </w:r>
    </w:p>
    <w:p w14:paraId="5E51F910">
      <w:pPr>
        <w:widowControl/>
        <w:kinsoku w:val="0"/>
        <w:autoSpaceDE w:val="0"/>
        <w:autoSpaceDN w:val="0"/>
        <w:adjustRightInd w:val="0"/>
        <w:snapToGrid w:val="0"/>
        <w:spacing w:line="360" w:lineRule="auto"/>
        <w:ind w:left="25" w:right="66" w:firstLine="539"/>
        <w:jc w:val="left"/>
        <w:textAlignment w:val="baseline"/>
        <w:rPr>
          <w:rFonts w:ascii="仿宋" w:hAnsi="仿宋" w:eastAsia="仿宋" w:cs="微软雅黑"/>
          <w:snapToGrid w:val="0"/>
          <w:color w:val="auto"/>
          <w:spacing w:val="-3"/>
          <w:kern w:val="0"/>
          <w:sz w:val="24"/>
          <w:highlight w:val="none"/>
        </w:rPr>
      </w:pPr>
      <w:r>
        <w:rPr>
          <w:rFonts w:hint="eastAsia" w:ascii="仿宋" w:hAnsi="仿宋" w:eastAsia="仿宋" w:cs="微软雅黑"/>
          <w:snapToGrid w:val="0"/>
          <w:color w:val="auto"/>
          <w:spacing w:val="-1"/>
          <w:kern w:val="0"/>
          <w:sz w:val="24"/>
          <w:highlight w:val="none"/>
        </w:rPr>
        <w:t>（五）</w:t>
      </w:r>
      <w:r>
        <w:rPr>
          <w:rFonts w:ascii="仿宋" w:hAnsi="仿宋" w:eastAsia="仿宋" w:cs="微软雅黑"/>
          <w:snapToGrid w:val="0"/>
          <w:color w:val="auto"/>
          <w:spacing w:val="-1"/>
          <w:kern w:val="0"/>
          <w:sz w:val="24"/>
          <w:highlight w:val="none"/>
        </w:rPr>
        <w:t>本合同一式</w:t>
      </w:r>
      <w:r>
        <w:rPr>
          <w:rFonts w:hint="eastAsia" w:ascii="仿宋" w:hAnsi="仿宋" w:eastAsia="仿宋" w:cs="微软雅黑"/>
          <w:snapToGrid w:val="0"/>
          <w:color w:val="auto"/>
          <w:spacing w:val="-1"/>
          <w:kern w:val="0"/>
          <w:sz w:val="24"/>
          <w:highlight w:val="none"/>
          <w:u w:val="single"/>
        </w:rPr>
        <w:t xml:space="preserve"> </w:t>
      </w:r>
      <w:r>
        <w:rPr>
          <w:rFonts w:ascii="仿宋" w:hAnsi="仿宋" w:eastAsia="仿宋" w:cs="微软雅黑"/>
          <w:snapToGrid w:val="0"/>
          <w:color w:val="auto"/>
          <w:spacing w:val="-1"/>
          <w:kern w:val="0"/>
          <w:sz w:val="24"/>
          <w:highlight w:val="none"/>
          <w:u w:val="single"/>
        </w:rPr>
        <w:t xml:space="preserve"> </w:t>
      </w:r>
      <w:r>
        <w:rPr>
          <w:rFonts w:hint="eastAsia" w:ascii="仿宋" w:hAnsi="仿宋" w:eastAsia="仿宋" w:cs="微软雅黑"/>
          <w:snapToGrid w:val="0"/>
          <w:color w:val="auto"/>
          <w:spacing w:val="-1"/>
          <w:kern w:val="0"/>
          <w:sz w:val="24"/>
          <w:highlight w:val="none"/>
          <w:u w:val="single"/>
        </w:rPr>
        <w:t>6</w:t>
      </w:r>
      <w:r>
        <w:rPr>
          <w:rFonts w:ascii="仿宋" w:hAnsi="仿宋" w:eastAsia="仿宋" w:cs="微软雅黑"/>
          <w:snapToGrid w:val="0"/>
          <w:color w:val="auto"/>
          <w:spacing w:val="-1"/>
          <w:kern w:val="0"/>
          <w:sz w:val="24"/>
          <w:highlight w:val="none"/>
          <w:u w:val="single"/>
        </w:rPr>
        <w:t xml:space="preserve">  </w:t>
      </w:r>
      <w:r>
        <w:rPr>
          <w:rFonts w:ascii="仿宋" w:hAnsi="仿宋" w:eastAsia="仿宋" w:cs="微软雅黑"/>
          <w:snapToGrid w:val="0"/>
          <w:color w:val="auto"/>
          <w:spacing w:val="-1"/>
          <w:kern w:val="0"/>
          <w:sz w:val="24"/>
          <w:highlight w:val="none"/>
        </w:rPr>
        <w:t>份</w:t>
      </w:r>
      <w:r>
        <w:rPr>
          <w:rFonts w:ascii="仿宋" w:hAnsi="仿宋" w:eastAsia="仿宋" w:cs="微软雅黑"/>
          <w:snapToGrid w:val="0"/>
          <w:color w:val="auto"/>
          <w:spacing w:val="-22"/>
          <w:kern w:val="0"/>
          <w:sz w:val="24"/>
          <w:highlight w:val="none"/>
        </w:rPr>
        <w:t xml:space="preserve"> </w:t>
      </w:r>
      <w:r>
        <w:rPr>
          <w:rFonts w:ascii="仿宋" w:hAnsi="仿宋" w:eastAsia="仿宋" w:cs="微软雅黑"/>
          <w:snapToGrid w:val="0"/>
          <w:color w:val="auto"/>
          <w:spacing w:val="-1"/>
          <w:kern w:val="0"/>
          <w:sz w:val="24"/>
          <w:highlight w:val="none"/>
        </w:rPr>
        <w:t>，自买卖双方法定代表人或委托代理人签字加盖单位公章</w:t>
      </w:r>
      <w:r>
        <w:rPr>
          <w:rFonts w:ascii="仿宋" w:hAnsi="仿宋" w:eastAsia="仿宋" w:cs="微软雅黑"/>
          <w:snapToGrid w:val="0"/>
          <w:color w:val="auto"/>
          <w:spacing w:val="-3"/>
          <w:kern w:val="0"/>
          <w:sz w:val="24"/>
          <w:highlight w:val="none"/>
        </w:rPr>
        <w:t>后生效。</w:t>
      </w:r>
    </w:p>
    <w:p w14:paraId="51363E14">
      <w:pPr>
        <w:widowControl/>
        <w:kinsoku w:val="0"/>
        <w:autoSpaceDE w:val="0"/>
        <w:autoSpaceDN w:val="0"/>
        <w:adjustRightInd w:val="0"/>
        <w:snapToGrid w:val="0"/>
        <w:spacing w:line="360" w:lineRule="auto"/>
        <w:ind w:left="25" w:right="66" w:firstLine="539"/>
        <w:jc w:val="left"/>
        <w:textAlignment w:val="baseline"/>
        <w:rPr>
          <w:rFonts w:ascii="仿宋" w:hAnsi="仿宋" w:eastAsia="仿宋" w:cs="微软雅黑"/>
          <w:snapToGrid w:val="0"/>
          <w:color w:val="auto"/>
          <w:spacing w:val="-3"/>
          <w:kern w:val="0"/>
          <w:sz w:val="24"/>
          <w:highlight w:val="none"/>
          <w:u w:val="single"/>
        </w:rPr>
      </w:pPr>
      <w:r>
        <w:rPr>
          <w:rFonts w:hint="eastAsia" w:ascii="仿宋" w:hAnsi="仿宋" w:eastAsia="仿宋" w:cs="微软雅黑"/>
          <w:snapToGrid w:val="0"/>
          <w:color w:val="auto"/>
          <w:spacing w:val="-3"/>
          <w:kern w:val="0"/>
          <w:sz w:val="24"/>
          <w:highlight w:val="none"/>
        </w:rPr>
        <w:t>以下无正文。</w:t>
      </w:r>
    </w:p>
    <w:p w14:paraId="5A62C54F">
      <w:pPr>
        <w:widowControl/>
        <w:kinsoku w:val="0"/>
        <w:autoSpaceDE w:val="0"/>
        <w:autoSpaceDN w:val="0"/>
        <w:adjustRightInd w:val="0"/>
        <w:snapToGrid w:val="0"/>
        <w:spacing w:line="360" w:lineRule="auto"/>
        <w:ind w:left="32"/>
        <w:jc w:val="left"/>
        <w:textAlignment w:val="baseline"/>
        <w:rPr>
          <w:rFonts w:ascii="仿宋" w:hAnsi="仿宋" w:eastAsia="仿宋" w:cs="微软雅黑"/>
          <w:snapToGrid w:val="0"/>
          <w:color w:val="auto"/>
          <w:spacing w:val="-8"/>
          <w:kern w:val="0"/>
          <w:sz w:val="24"/>
          <w:highlight w:val="none"/>
        </w:rPr>
      </w:pPr>
    </w:p>
    <w:p w14:paraId="14559900">
      <w:pPr>
        <w:widowControl/>
        <w:kinsoku w:val="0"/>
        <w:autoSpaceDE w:val="0"/>
        <w:autoSpaceDN w:val="0"/>
        <w:adjustRightInd w:val="0"/>
        <w:snapToGrid w:val="0"/>
        <w:spacing w:line="360" w:lineRule="auto"/>
        <w:ind w:left="32"/>
        <w:jc w:val="left"/>
        <w:textAlignment w:val="baseline"/>
        <w:rPr>
          <w:rFonts w:ascii="仿宋" w:hAnsi="仿宋" w:eastAsia="仿宋" w:cs="微软雅黑"/>
          <w:snapToGrid w:val="0"/>
          <w:color w:val="auto"/>
          <w:spacing w:val="-8"/>
          <w:kern w:val="0"/>
          <w:sz w:val="24"/>
          <w:highlight w:val="none"/>
        </w:rPr>
      </w:pPr>
    </w:p>
    <w:p w14:paraId="6AA09CB7">
      <w:pPr>
        <w:widowControl/>
        <w:kinsoku w:val="0"/>
        <w:autoSpaceDE w:val="0"/>
        <w:autoSpaceDN w:val="0"/>
        <w:adjustRightInd w:val="0"/>
        <w:snapToGrid w:val="0"/>
        <w:spacing w:line="360" w:lineRule="auto"/>
        <w:ind w:left="32"/>
        <w:jc w:val="left"/>
        <w:textAlignment w:val="baseline"/>
        <w:rPr>
          <w:rFonts w:ascii="仿宋" w:hAnsi="仿宋" w:eastAsia="仿宋" w:cs="微软雅黑"/>
          <w:snapToGrid w:val="0"/>
          <w:color w:val="auto"/>
          <w:spacing w:val="-9"/>
          <w:kern w:val="0"/>
          <w:sz w:val="24"/>
          <w:highlight w:val="none"/>
          <w:u w:val="single"/>
        </w:rPr>
      </w:pPr>
      <w:r>
        <w:rPr>
          <w:rFonts w:ascii="仿宋" w:hAnsi="仿宋" w:eastAsia="仿宋" w:cs="微软雅黑"/>
          <w:snapToGrid w:val="0"/>
          <w:color w:val="auto"/>
          <w:spacing w:val="-8"/>
          <w:kern w:val="0"/>
          <w:sz w:val="24"/>
          <w:highlight w:val="none"/>
        </w:rPr>
        <w:t>买</w:t>
      </w:r>
      <w:r>
        <w:rPr>
          <w:rFonts w:ascii="仿宋" w:hAnsi="仿宋" w:eastAsia="仿宋" w:cs="微软雅黑"/>
          <w:snapToGrid w:val="0"/>
          <w:color w:val="auto"/>
          <w:spacing w:val="10"/>
          <w:kern w:val="0"/>
          <w:sz w:val="24"/>
          <w:highlight w:val="none"/>
        </w:rPr>
        <w:t xml:space="preserve">  </w:t>
      </w:r>
      <w:r>
        <w:rPr>
          <w:rFonts w:ascii="仿宋" w:hAnsi="仿宋" w:eastAsia="仿宋" w:cs="微软雅黑"/>
          <w:snapToGrid w:val="0"/>
          <w:color w:val="auto"/>
          <w:spacing w:val="-8"/>
          <w:kern w:val="0"/>
          <w:sz w:val="24"/>
          <w:highlight w:val="none"/>
        </w:rPr>
        <w:t>方</w:t>
      </w:r>
      <w:r>
        <w:rPr>
          <w:rFonts w:ascii="仿宋" w:hAnsi="仿宋" w:eastAsia="仿宋" w:cs="微软雅黑"/>
          <w:snapToGrid w:val="0"/>
          <w:color w:val="auto"/>
          <w:spacing w:val="-36"/>
          <w:kern w:val="0"/>
          <w:sz w:val="24"/>
          <w:highlight w:val="none"/>
        </w:rPr>
        <w:t xml:space="preserve"> </w:t>
      </w:r>
      <w:r>
        <w:rPr>
          <w:rFonts w:ascii="仿宋" w:hAnsi="仿宋" w:eastAsia="仿宋" w:cs="微软雅黑"/>
          <w:snapToGrid w:val="0"/>
          <w:color w:val="auto"/>
          <w:spacing w:val="-8"/>
          <w:kern w:val="0"/>
          <w:sz w:val="24"/>
          <w:highlight w:val="none"/>
        </w:rPr>
        <w:t>：</w:t>
      </w:r>
      <w:r>
        <w:rPr>
          <w:rFonts w:ascii="仿宋" w:hAnsi="仿宋" w:eastAsia="仿宋" w:cs="微软雅黑"/>
          <w:snapToGrid w:val="0"/>
          <w:color w:val="auto"/>
          <w:kern w:val="0"/>
          <w:sz w:val="24"/>
          <w:highlight w:val="none"/>
          <w:u w:val="single"/>
        </w:rPr>
        <w:t xml:space="preserve">                    </w:t>
      </w:r>
      <w:r>
        <w:rPr>
          <w:rFonts w:ascii="仿宋" w:hAnsi="仿宋" w:eastAsia="仿宋" w:cs="微软雅黑"/>
          <w:snapToGrid w:val="0"/>
          <w:color w:val="auto"/>
          <w:spacing w:val="2"/>
          <w:kern w:val="0"/>
          <w:sz w:val="24"/>
          <w:highlight w:val="none"/>
        </w:rPr>
        <w:t xml:space="preserve">  </w:t>
      </w:r>
      <w:r>
        <w:rPr>
          <w:rFonts w:hint="eastAsia" w:ascii="仿宋" w:hAnsi="仿宋" w:eastAsia="仿宋" w:cs="微软雅黑"/>
          <w:snapToGrid w:val="0"/>
          <w:color w:val="auto"/>
          <w:spacing w:val="2"/>
          <w:kern w:val="0"/>
          <w:sz w:val="24"/>
          <w:highlight w:val="none"/>
        </w:rPr>
        <w:t xml:space="preserve">   </w:t>
      </w:r>
      <w:r>
        <w:rPr>
          <w:rFonts w:ascii="仿宋" w:hAnsi="仿宋" w:eastAsia="仿宋" w:cs="微软雅黑"/>
          <w:snapToGrid w:val="0"/>
          <w:color w:val="auto"/>
          <w:spacing w:val="2"/>
          <w:kern w:val="0"/>
          <w:sz w:val="24"/>
          <w:highlight w:val="none"/>
        </w:rPr>
        <w:t xml:space="preserve"> </w:t>
      </w:r>
      <w:r>
        <w:rPr>
          <w:rFonts w:hint="eastAsia" w:ascii="仿宋" w:hAnsi="仿宋" w:eastAsia="仿宋" w:cs="微软雅黑"/>
          <w:snapToGrid w:val="0"/>
          <w:color w:val="auto"/>
          <w:spacing w:val="2"/>
          <w:kern w:val="0"/>
          <w:sz w:val="24"/>
          <w:highlight w:val="none"/>
        </w:rPr>
        <w:t xml:space="preserve">      </w:t>
      </w:r>
      <w:r>
        <w:rPr>
          <w:rFonts w:ascii="仿宋" w:hAnsi="仿宋" w:eastAsia="仿宋" w:cs="微软雅黑"/>
          <w:snapToGrid w:val="0"/>
          <w:color w:val="auto"/>
          <w:spacing w:val="-8"/>
          <w:kern w:val="0"/>
          <w:sz w:val="24"/>
          <w:highlight w:val="none"/>
        </w:rPr>
        <w:t>卖</w:t>
      </w:r>
      <w:r>
        <w:rPr>
          <w:rFonts w:ascii="仿宋" w:hAnsi="仿宋" w:eastAsia="仿宋" w:cs="微软雅黑"/>
          <w:snapToGrid w:val="0"/>
          <w:color w:val="auto"/>
          <w:spacing w:val="11"/>
          <w:kern w:val="0"/>
          <w:sz w:val="24"/>
          <w:highlight w:val="none"/>
        </w:rPr>
        <w:t xml:space="preserve">  </w:t>
      </w:r>
      <w:r>
        <w:rPr>
          <w:rFonts w:ascii="仿宋" w:hAnsi="仿宋" w:eastAsia="仿宋" w:cs="微软雅黑"/>
          <w:snapToGrid w:val="0"/>
          <w:color w:val="auto"/>
          <w:spacing w:val="-8"/>
          <w:kern w:val="0"/>
          <w:sz w:val="24"/>
          <w:highlight w:val="none"/>
        </w:rPr>
        <w:t>方</w:t>
      </w:r>
      <w:r>
        <w:rPr>
          <w:rFonts w:ascii="仿宋" w:hAnsi="仿宋" w:eastAsia="仿宋" w:cs="微软雅黑"/>
          <w:snapToGrid w:val="0"/>
          <w:color w:val="auto"/>
          <w:spacing w:val="-39"/>
          <w:kern w:val="0"/>
          <w:sz w:val="24"/>
          <w:highlight w:val="none"/>
        </w:rPr>
        <w:t xml:space="preserve"> </w:t>
      </w:r>
      <w:r>
        <w:rPr>
          <w:rFonts w:ascii="仿宋" w:hAnsi="仿宋" w:eastAsia="仿宋" w:cs="微软雅黑"/>
          <w:snapToGrid w:val="0"/>
          <w:color w:val="auto"/>
          <w:spacing w:val="-8"/>
          <w:kern w:val="0"/>
          <w:sz w:val="24"/>
          <w:highlight w:val="none"/>
        </w:rPr>
        <w:t>：</w:t>
      </w:r>
      <w:r>
        <w:rPr>
          <w:rFonts w:ascii="仿宋" w:hAnsi="仿宋" w:eastAsia="仿宋" w:cs="微软雅黑"/>
          <w:snapToGrid w:val="0"/>
          <w:color w:val="auto"/>
          <w:spacing w:val="-8"/>
          <w:kern w:val="0"/>
          <w:sz w:val="24"/>
          <w:highlight w:val="none"/>
          <w:u w:val="single"/>
        </w:rPr>
        <w:t xml:space="preserve">             </w:t>
      </w:r>
      <w:r>
        <w:rPr>
          <w:rFonts w:ascii="仿宋" w:hAnsi="仿宋" w:eastAsia="仿宋" w:cs="微软雅黑"/>
          <w:snapToGrid w:val="0"/>
          <w:color w:val="auto"/>
          <w:spacing w:val="-9"/>
          <w:kern w:val="0"/>
          <w:sz w:val="24"/>
          <w:highlight w:val="none"/>
          <w:u w:val="single"/>
        </w:rPr>
        <w:t xml:space="preserve">         </w:t>
      </w:r>
      <w:r>
        <w:rPr>
          <w:rFonts w:hint="eastAsia" w:ascii="仿宋" w:hAnsi="仿宋" w:eastAsia="仿宋" w:cs="微软雅黑"/>
          <w:snapToGrid w:val="0"/>
          <w:color w:val="auto"/>
          <w:spacing w:val="-9"/>
          <w:kern w:val="0"/>
          <w:sz w:val="24"/>
          <w:highlight w:val="none"/>
          <w:u w:val="single"/>
        </w:rPr>
        <w:t xml:space="preserve">  </w:t>
      </w:r>
    </w:p>
    <w:p w14:paraId="38FD8CD5">
      <w:pPr>
        <w:widowControl/>
        <w:kinsoku w:val="0"/>
        <w:autoSpaceDE w:val="0"/>
        <w:autoSpaceDN w:val="0"/>
        <w:adjustRightInd w:val="0"/>
        <w:snapToGrid w:val="0"/>
        <w:spacing w:line="360" w:lineRule="auto"/>
        <w:ind w:left="32"/>
        <w:jc w:val="left"/>
        <w:textAlignment w:val="baseline"/>
        <w:rPr>
          <w:rFonts w:ascii="仿宋" w:hAnsi="仿宋" w:eastAsia="仿宋" w:cs="微软雅黑"/>
          <w:snapToGrid w:val="0"/>
          <w:color w:val="auto"/>
          <w:kern w:val="0"/>
          <w:sz w:val="24"/>
          <w:highlight w:val="none"/>
        </w:rPr>
      </w:pPr>
    </w:p>
    <w:p w14:paraId="34CD5E1A">
      <w:pPr>
        <w:widowControl/>
        <w:kinsoku w:val="0"/>
        <w:autoSpaceDE w:val="0"/>
        <w:autoSpaceDN w:val="0"/>
        <w:adjustRightInd w:val="0"/>
        <w:snapToGrid w:val="0"/>
        <w:spacing w:line="360" w:lineRule="auto"/>
        <w:ind w:left="25"/>
        <w:jc w:val="left"/>
        <w:textAlignment w:val="baseline"/>
        <w:rPr>
          <w:rFonts w:ascii="仿宋" w:hAnsi="仿宋" w:eastAsia="仿宋" w:cs="微软雅黑"/>
          <w:snapToGrid w:val="0"/>
          <w:color w:val="auto"/>
          <w:spacing w:val="-1"/>
          <w:kern w:val="0"/>
          <w:sz w:val="24"/>
          <w:highlight w:val="none"/>
        </w:rPr>
      </w:pPr>
      <w:r>
        <w:rPr>
          <w:rFonts w:ascii="仿宋" w:hAnsi="仿宋" w:eastAsia="仿宋" w:cs="微软雅黑"/>
          <w:snapToGrid w:val="0"/>
          <w:color w:val="auto"/>
          <w:spacing w:val="-1"/>
          <w:kern w:val="0"/>
          <w:sz w:val="24"/>
          <w:highlight w:val="none"/>
        </w:rPr>
        <w:t xml:space="preserve">单位盖章：     </w:t>
      </w:r>
      <w:r>
        <w:rPr>
          <w:rFonts w:hint="eastAsia" w:ascii="仿宋" w:hAnsi="仿宋" w:eastAsia="仿宋" w:cs="微软雅黑"/>
          <w:snapToGrid w:val="0"/>
          <w:color w:val="auto"/>
          <w:spacing w:val="-1"/>
          <w:kern w:val="0"/>
          <w:sz w:val="24"/>
          <w:highlight w:val="none"/>
        </w:rPr>
        <w:t xml:space="preserve">                           </w:t>
      </w:r>
      <w:r>
        <w:rPr>
          <w:rFonts w:ascii="仿宋" w:hAnsi="仿宋" w:eastAsia="仿宋" w:cs="微软雅黑"/>
          <w:snapToGrid w:val="0"/>
          <w:color w:val="auto"/>
          <w:spacing w:val="-1"/>
          <w:kern w:val="0"/>
          <w:sz w:val="24"/>
          <w:highlight w:val="none"/>
        </w:rPr>
        <w:t>单位盖章：</w:t>
      </w:r>
    </w:p>
    <w:p w14:paraId="1F3F92CA">
      <w:pPr>
        <w:widowControl/>
        <w:kinsoku w:val="0"/>
        <w:autoSpaceDE w:val="0"/>
        <w:autoSpaceDN w:val="0"/>
        <w:adjustRightInd w:val="0"/>
        <w:snapToGrid w:val="0"/>
        <w:spacing w:line="360" w:lineRule="auto"/>
        <w:ind w:left="25"/>
        <w:jc w:val="left"/>
        <w:textAlignment w:val="baseline"/>
        <w:rPr>
          <w:rFonts w:ascii="仿宋" w:hAnsi="仿宋" w:eastAsia="仿宋" w:cs="微软雅黑"/>
          <w:snapToGrid w:val="0"/>
          <w:color w:val="auto"/>
          <w:kern w:val="0"/>
          <w:sz w:val="24"/>
          <w:highlight w:val="none"/>
        </w:rPr>
      </w:pPr>
      <w:r>
        <w:rPr>
          <w:rFonts w:ascii="仿宋" w:hAnsi="仿宋" w:eastAsia="仿宋" w:cs="微软雅黑"/>
          <w:snapToGrid w:val="0"/>
          <w:color w:val="auto"/>
          <w:spacing w:val="-1"/>
          <w:kern w:val="0"/>
          <w:sz w:val="24"/>
          <w:highlight w:val="none"/>
        </w:rPr>
        <w:t xml:space="preserve">                         </w:t>
      </w:r>
    </w:p>
    <w:p w14:paraId="0A001A38">
      <w:pPr>
        <w:widowControl/>
        <w:kinsoku w:val="0"/>
        <w:autoSpaceDE w:val="0"/>
        <w:autoSpaceDN w:val="0"/>
        <w:adjustRightInd w:val="0"/>
        <w:snapToGrid w:val="0"/>
        <w:spacing w:line="360" w:lineRule="auto"/>
        <w:ind w:left="24"/>
        <w:jc w:val="left"/>
        <w:textAlignment w:val="baseline"/>
        <w:rPr>
          <w:rFonts w:ascii="仿宋" w:hAnsi="仿宋" w:eastAsia="仿宋" w:cs="微软雅黑"/>
          <w:snapToGrid w:val="0"/>
          <w:color w:val="auto"/>
          <w:kern w:val="0"/>
          <w:sz w:val="24"/>
          <w:highlight w:val="none"/>
        </w:rPr>
      </w:pPr>
      <w:r>
        <w:rPr>
          <w:rFonts w:ascii="仿宋" w:hAnsi="仿宋" w:eastAsia="仿宋" w:cs="微软雅黑"/>
          <w:snapToGrid w:val="0"/>
          <w:color w:val="auto"/>
          <w:kern w:val="0"/>
          <w:sz w:val="24"/>
          <w:highlight w:val="none"/>
        </w:rPr>
        <w:t xml:space="preserve">法定代表人或委托代理人：                 </w:t>
      </w:r>
      <w:r>
        <w:rPr>
          <w:rFonts w:ascii="仿宋" w:hAnsi="仿宋" w:eastAsia="仿宋" w:cs="微软雅黑"/>
          <w:snapToGrid w:val="0"/>
          <w:color w:val="auto"/>
          <w:spacing w:val="-1"/>
          <w:kern w:val="0"/>
          <w:sz w:val="24"/>
          <w:highlight w:val="none"/>
        </w:rPr>
        <w:t>法定代表人或委托代理人：</w:t>
      </w:r>
    </w:p>
    <w:p w14:paraId="75508EAE">
      <w:pPr>
        <w:widowControl/>
        <w:kinsoku w:val="0"/>
        <w:autoSpaceDE w:val="0"/>
        <w:autoSpaceDN w:val="0"/>
        <w:adjustRightInd w:val="0"/>
        <w:snapToGrid w:val="0"/>
        <w:spacing w:line="360" w:lineRule="auto"/>
        <w:ind w:left="64"/>
        <w:jc w:val="left"/>
        <w:textAlignment w:val="baseline"/>
        <w:rPr>
          <w:rFonts w:ascii="仿宋" w:hAnsi="仿宋" w:eastAsia="仿宋" w:cs="微软雅黑"/>
          <w:snapToGrid w:val="0"/>
          <w:color w:val="auto"/>
          <w:spacing w:val="-8"/>
          <w:kern w:val="0"/>
          <w:sz w:val="24"/>
          <w:highlight w:val="none"/>
        </w:rPr>
      </w:pPr>
    </w:p>
    <w:p w14:paraId="1AA83E62">
      <w:pPr>
        <w:widowControl/>
        <w:kinsoku w:val="0"/>
        <w:autoSpaceDE w:val="0"/>
        <w:autoSpaceDN w:val="0"/>
        <w:adjustRightInd w:val="0"/>
        <w:snapToGrid w:val="0"/>
        <w:spacing w:line="360" w:lineRule="auto"/>
        <w:ind w:left="64"/>
        <w:jc w:val="left"/>
        <w:textAlignment w:val="baseline"/>
        <w:rPr>
          <w:rFonts w:ascii="仿宋" w:hAnsi="仿宋" w:eastAsia="仿宋" w:cs="微软雅黑"/>
          <w:snapToGrid w:val="0"/>
          <w:color w:val="auto"/>
          <w:kern w:val="0"/>
          <w:sz w:val="24"/>
          <w:highlight w:val="none"/>
        </w:rPr>
      </w:pPr>
      <w:r>
        <w:rPr>
          <w:rFonts w:ascii="仿宋" w:hAnsi="仿宋" w:eastAsia="仿宋" w:cs="微软雅黑"/>
          <w:snapToGrid w:val="0"/>
          <w:color w:val="auto"/>
          <w:spacing w:val="-8"/>
          <w:kern w:val="0"/>
          <w:sz w:val="24"/>
          <w:highlight w:val="none"/>
        </w:rPr>
        <w:t>日</w:t>
      </w:r>
      <w:r>
        <w:rPr>
          <w:rFonts w:hint="eastAsia" w:ascii="仿宋" w:hAnsi="仿宋" w:eastAsia="仿宋" w:cs="微软雅黑"/>
          <w:snapToGrid w:val="0"/>
          <w:color w:val="auto"/>
          <w:spacing w:val="-8"/>
          <w:kern w:val="0"/>
          <w:sz w:val="24"/>
          <w:highlight w:val="none"/>
        </w:rPr>
        <w:t xml:space="preserve">  </w:t>
      </w:r>
      <w:r>
        <w:rPr>
          <w:rFonts w:ascii="仿宋" w:hAnsi="仿宋" w:eastAsia="仿宋" w:cs="微软雅黑"/>
          <w:snapToGrid w:val="0"/>
          <w:color w:val="auto"/>
          <w:spacing w:val="-8"/>
          <w:kern w:val="0"/>
          <w:sz w:val="24"/>
          <w:highlight w:val="none"/>
        </w:rPr>
        <w:t>期</w:t>
      </w:r>
      <w:r>
        <w:rPr>
          <w:rFonts w:ascii="仿宋" w:hAnsi="仿宋" w:eastAsia="仿宋" w:cs="微软雅黑"/>
          <w:snapToGrid w:val="0"/>
          <w:color w:val="auto"/>
          <w:spacing w:val="-23"/>
          <w:kern w:val="0"/>
          <w:sz w:val="24"/>
          <w:highlight w:val="none"/>
        </w:rPr>
        <w:t xml:space="preserve"> </w:t>
      </w:r>
      <w:r>
        <w:rPr>
          <w:rFonts w:ascii="仿宋" w:hAnsi="仿宋" w:eastAsia="仿宋" w:cs="微软雅黑"/>
          <w:snapToGrid w:val="0"/>
          <w:color w:val="auto"/>
          <w:spacing w:val="-8"/>
          <w:kern w:val="0"/>
          <w:sz w:val="24"/>
          <w:highlight w:val="none"/>
        </w:rPr>
        <w:t>:</w:t>
      </w:r>
      <w:r>
        <w:rPr>
          <w:rFonts w:hint="eastAsia" w:ascii="仿宋" w:hAnsi="仿宋" w:eastAsia="仿宋" w:cs="微软雅黑"/>
          <w:snapToGrid w:val="0"/>
          <w:color w:val="auto"/>
          <w:spacing w:val="-8"/>
          <w:kern w:val="0"/>
          <w:sz w:val="24"/>
          <w:highlight w:val="none"/>
        </w:rPr>
        <w:t xml:space="preserve">                                          </w:t>
      </w:r>
      <w:r>
        <w:rPr>
          <w:rFonts w:ascii="仿宋" w:hAnsi="仿宋" w:eastAsia="仿宋" w:cs="微软雅黑"/>
          <w:snapToGrid w:val="0"/>
          <w:color w:val="auto"/>
          <w:spacing w:val="-8"/>
          <w:kern w:val="0"/>
          <w:sz w:val="24"/>
          <w:highlight w:val="none"/>
        </w:rPr>
        <w:t>日</w:t>
      </w:r>
      <w:r>
        <w:rPr>
          <w:rFonts w:hint="eastAsia" w:ascii="仿宋" w:hAnsi="仿宋" w:eastAsia="仿宋" w:cs="微软雅黑"/>
          <w:snapToGrid w:val="0"/>
          <w:color w:val="auto"/>
          <w:spacing w:val="-8"/>
          <w:kern w:val="0"/>
          <w:sz w:val="24"/>
          <w:highlight w:val="none"/>
        </w:rPr>
        <w:t xml:space="preserve">  </w:t>
      </w:r>
      <w:r>
        <w:rPr>
          <w:rFonts w:ascii="仿宋" w:hAnsi="仿宋" w:eastAsia="仿宋" w:cs="微软雅黑"/>
          <w:snapToGrid w:val="0"/>
          <w:color w:val="auto"/>
          <w:spacing w:val="-8"/>
          <w:kern w:val="0"/>
          <w:sz w:val="24"/>
          <w:highlight w:val="none"/>
        </w:rPr>
        <w:t>期</w:t>
      </w:r>
      <w:r>
        <w:rPr>
          <w:rFonts w:ascii="仿宋" w:hAnsi="仿宋" w:eastAsia="仿宋" w:cs="微软雅黑"/>
          <w:snapToGrid w:val="0"/>
          <w:color w:val="auto"/>
          <w:spacing w:val="-23"/>
          <w:kern w:val="0"/>
          <w:sz w:val="24"/>
          <w:highlight w:val="none"/>
        </w:rPr>
        <w:t xml:space="preserve"> </w:t>
      </w:r>
      <w:r>
        <w:rPr>
          <w:rFonts w:ascii="仿宋" w:hAnsi="仿宋" w:eastAsia="仿宋" w:cs="微软雅黑"/>
          <w:snapToGrid w:val="0"/>
          <w:color w:val="auto"/>
          <w:spacing w:val="-8"/>
          <w:kern w:val="0"/>
          <w:sz w:val="24"/>
          <w:highlight w:val="none"/>
        </w:rPr>
        <w:t>:</w:t>
      </w:r>
    </w:p>
    <w:p w14:paraId="395319ED">
      <w:pPr>
        <w:pStyle w:val="3"/>
        <w:adjustRightInd w:val="0"/>
        <w:snapToGrid w:val="0"/>
        <w:spacing w:line="400" w:lineRule="exact"/>
        <w:jc w:val="center"/>
        <w:rPr>
          <w:rFonts w:ascii="黑体" w:hAnsi="黑体" w:eastAsia="黑体"/>
          <w:b w:val="0"/>
          <w:bCs w:val="0"/>
          <w:color w:val="auto"/>
          <w:sz w:val="28"/>
          <w:szCs w:val="28"/>
          <w:highlight w:val="none"/>
        </w:rPr>
      </w:pPr>
      <w:r>
        <w:rPr>
          <w:rFonts w:ascii="宋体" w:hAnsi="宋体" w:eastAsia="仿宋"/>
          <w:color w:val="auto"/>
          <w:highlight w:val="none"/>
        </w:rPr>
        <w:br w:type="page"/>
      </w:r>
      <w:r>
        <w:rPr>
          <w:rFonts w:hint="eastAsia" w:ascii="黑体" w:hAnsi="黑体" w:eastAsia="黑体"/>
          <w:b w:val="0"/>
          <w:bCs w:val="0"/>
          <w:color w:val="auto"/>
          <w:sz w:val="28"/>
          <w:szCs w:val="28"/>
          <w:highlight w:val="none"/>
        </w:rPr>
        <w:t>安徽省紧密型县域医共体设备更新一期项目</w:t>
      </w:r>
    </w:p>
    <w:p w14:paraId="43C3B0F9">
      <w:pPr>
        <w:keepNext/>
        <w:keepLines/>
        <w:adjustRightInd w:val="0"/>
        <w:snapToGrid w:val="0"/>
        <w:spacing w:before="260" w:after="260" w:line="400" w:lineRule="exact"/>
        <w:jc w:val="center"/>
        <w:outlineLvl w:val="1"/>
        <w:rPr>
          <w:rFonts w:ascii="黑体" w:hAnsi="黑体" w:eastAsia="黑体"/>
          <w:color w:val="auto"/>
          <w:sz w:val="28"/>
          <w:szCs w:val="28"/>
          <w:highlight w:val="none"/>
        </w:rPr>
      </w:pPr>
      <w:r>
        <w:rPr>
          <w:rFonts w:hint="eastAsia" w:ascii="黑体" w:hAnsi="黑体" w:eastAsia="黑体"/>
          <w:color w:val="auto"/>
          <w:sz w:val="28"/>
          <w:szCs w:val="28"/>
          <w:highlight w:val="none"/>
        </w:rPr>
        <w:t>采购合同（分合同）</w:t>
      </w:r>
    </w:p>
    <w:p w14:paraId="08FB69BF">
      <w:pPr>
        <w:keepNext/>
        <w:keepLines/>
        <w:adjustRightInd w:val="0"/>
        <w:snapToGrid w:val="0"/>
        <w:spacing w:before="260" w:after="260" w:line="400" w:lineRule="exact"/>
        <w:jc w:val="center"/>
        <w:outlineLvl w:val="1"/>
        <w:rPr>
          <w:rFonts w:ascii="黑体" w:hAnsi="华文中宋" w:eastAsia="黑体"/>
          <w:color w:val="auto"/>
          <w:sz w:val="28"/>
          <w:szCs w:val="28"/>
          <w:highlight w:val="none"/>
        </w:rPr>
      </w:pPr>
      <w:r>
        <w:rPr>
          <w:rFonts w:hint="eastAsia" w:ascii="黑体" w:hAnsi="黑体" w:eastAsia="黑体"/>
          <w:color w:val="auto"/>
          <w:sz w:val="28"/>
          <w:szCs w:val="28"/>
          <w:highlight w:val="none"/>
        </w:rPr>
        <w:t xml:space="preserve">第一节 </w:t>
      </w:r>
      <w:r>
        <w:rPr>
          <w:rFonts w:hint="eastAsia" w:ascii="黑体" w:hAnsi="华文中宋" w:eastAsia="黑体"/>
          <w:color w:val="auto"/>
          <w:sz w:val="28"/>
          <w:szCs w:val="28"/>
          <w:highlight w:val="none"/>
        </w:rPr>
        <w:t>政府采购合同协议书</w:t>
      </w:r>
    </w:p>
    <w:p w14:paraId="02C5A0F4">
      <w:pPr>
        <w:keepNext/>
        <w:keepLines/>
        <w:adjustRightInd w:val="0"/>
        <w:snapToGrid w:val="0"/>
        <w:spacing w:before="260" w:after="260" w:line="400" w:lineRule="exact"/>
        <w:jc w:val="center"/>
        <w:outlineLvl w:val="1"/>
        <w:rPr>
          <w:rFonts w:ascii="黑体" w:hAnsi="华文中宋" w:eastAsia="黑体"/>
          <w:color w:val="auto"/>
          <w:sz w:val="28"/>
          <w:szCs w:val="28"/>
          <w:highlight w:val="none"/>
        </w:rPr>
      </w:pPr>
    </w:p>
    <w:p w14:paraId="397634A8">
      <w:pPr>
        <w:adjustRightInd w:val="0"/>
        <w:snapToGrid w:val="0"/>
        <w:spacing w:line="400" w:lineRule="exact"/>
        <w:rPr>
          <w:rFonts w:ascii="宋体" w:hAnsi="宋体"/>
          <w:color w:val="auto"/>
          <w:szCs w:val="21"/>
          <w:highlight w:val="none"/>
        </w:rPr>
      </w:pPr>
      <w:r>
        <w:rPr>
          <w:rFonts w:hint="eastAsia" w:ascii="宋体" w:hAnsi="宋体"/>
          <w:color w:val="auto"/>
          <w:szCs w:val="21"/>
          <w:highlight w:val="none"/>
        </w:rPr>
        <w:t>甲方（全称）：</w:t>
      </w:r>
      <w:r>
        <w:rPr>
          <w:rFonts w:hint="eastAsia" w:ascii="宋体" w:hAnsi="宋体"/>
          <w:color w:val="auto"/>
          <w:szCs w:val="21"/>
          <w:highlight w:val="none"/>
          <w:u w:val="single"/>
        </w:rPr>
        <w:t xml:space="preserve">                        </w:t>
      </w:r>
      <w:r>
        <w:rPr>
          <w:rFonts w:hint="eastAsia" w:ascii="宋体" w:hAnsi="宋体"/>
          <w:color w:val="auto"/>
          <w:szCs w:val="21"/>
          <w:highlight w:val="none"/>
        </w:rPr>
        <w:t>（使用单位）</w:t>
      </w:r>
    </w:p>
    <w:p w14:paraId="518AA716">
      <w:pPr>
        <w:adjustRightInd w:val="0"/>
        <w:snapToGrid w:val="0"/>
        <w:spacing w:line="400" w:lineRule="exact"/>
        <w:rPr>
          <w:rFonts w:ascii="宋体" w:hAnsi="宋体"/>
          <w:color w:val="auto"/>
          <w:szCs w:val="21"/>
          <w:highlight w:val="none"/>
        </w:rPr>
      </w:pPr>
      <w:r>
        <w:rPr>
          <w:rFonts w:hint="eastAsia" w:ascii="宋体" w:hAnsi="宋体"/>
          <w:color w:val="auto"/>
          <w:szCs w:val="21"/>
          <w:highlight w:val="none"/>
        </w:rPr>
        <w:t>乙方（全称）：</w:t>
      </w:r>
      <w:r>
        <w:rPr>
          <w:rFonts w:hint="eastAsia" w:ascii="宋体" w:hAnsi="宋体"/>
          <w:color w:val="auto"/>
          <w:szCs w:val="21"/>
          <w:highlight w:val="none"/>
          <w:u w:val="single"/>
        </w:rPr>
        <w:t xml:space="preserve">                       </w:t>
      </w:r>
      <w:r>
        <w:rPr>
          <w:rFonts w:hint="eastAsia" w:ascii="宋体" w:hAnsi="宋体"/>
          <w:color w:val="auto"/>
          <w:szCs w:val="21"/>
          <w:highlight w:val="none"/>
        </w:rPr>
        <w:t>（供应商）</w:t>
      </w:r>
    </w:p>
    <w:p w14:paraId="5542EBCA">
      <w:pPr>
        <w:spacing w:line="400" w:lineRule="exact"/>
        <w:rPr>
          <w:color w:val="auto"/>
          <w:highlight w:val="none"/>
        </w:rPr>
      </w:pPr>
    </w:p>
    <w:p w14:paraId="5CB03CE5">
      <w:pPr>
        <w:adjustRightInd w:val="0"/>
        <w:snapToGrid w:val="0"/>
        <w:spacing w:line="400" w:lineRule="exact"/>
        <w:ind w:firstLine="420" w:firstLineChars="200"/>
        <w:rPr>
          <w:rFonts w:ascii="宋体" w:hAnsi="宋体"/>
          <w:color w:val="auto"/>
          <w:szCs w:val="21"/>
          <w:highlight w:val="none"/>
        </w:rPr>
      </w:pPr>
      <w:r>
        <w:rPr>
          <w:rFonts w:hint="eastAsia" w:ascii="宋体" w:hAnsi="宋体"/>
          <w:color w:val="auto"/>
          <w:szCs w:val="21"/>
          <w:highlight w:val="none"/>
        </w:rPr>
        <w:t>依据《中华人民共和国民法典》、《中华人民共和国政府采购法》等有关的法律法规，以及本采购项目的招标/谈判文件等采购文件、乙方的《投标（响应）文件》及《中标（成交）通知书》，甲乙双方同意签订本合同。具体情况及要求如下：</w:t>
      </w:r>
    </w:p>
    <w:p w14:paraId="7B2F0701">
      <w:pPr>
        <w:numPr>
          <w:ilvl w:val="0"/>
          <w:numId w:val="7"/>
        </w:numPr>
        <w:adjustRightInd w:val="0"/>
        <w:snapToGrid w:val="0"/>
        <w:spacing w:line="400" w:lineRule="exact"/>
        <w:ind w:firstLine="422" w:firstLineChars="200"/>
        <w:rPr>
          <w:rFonts w:ascii="宋体" w:hAnsi="宋体"/>
          <w:b/>
          <w:color w:val="auto"/>
          <w:szCs w:val="21"/>
          <w:highlight w:val="none"/>
        </w:rPr>
      </w:pPr>
      <w:r>
        <w:rPr>
          <w:rFonts w:hint="eastAsia" w:ascii="宋体" w:hAnsi="宋体"/>
          <w:b/>
          <w:color w:val="auto"/>
          <w:szCs w:val="21"/>
          <w:highlight w:val="none"/>
        </w:rPr>
        <w:t>项目信息</w:t>
      </w:r>
    </w:p>
    <w:p w14:paraId="2036B4D6">
      <w:pPr>
        <w:numPr>
          <w:ilvl w:val="0"/>
          <w:numId w:val="8"/>
        </w:numPr>
        <w:adjustRightInd w:val="0"/>
        <w:snapToGrid w:val="0"/>
        <w:spacing w:line="400" w:lineRule="exact"/>
        <w:ind w:firstLine="420" w:firstLineChars="200"/>
        <w:rPr>
          <w:rFonts w:ascii="宋体" w:hAnsi="宋体"/>
          <w:color w:val="auto"/>
          <w:szCs w:val="21"/>
          <w:highlight w:val="none"/>
          <w:u w:val="single"/>
        </w:rPr>
      </w:pPr>
      <w:r>
        <w:rPr>
          <w:rFonts w:hint="eastAsia" w:ascii="宋体" w:hAnsi="宋体"/>
          <w:color w:val="auto"/>
          <w:szCs w:val="21"/>
          <w:highlight w:val="none"/>
        </w:rPr>
        <w:t>采购项目名称：</w:t>
      </w:r>
      <w:r>
        <w:rPr>
          <w:rFonts w:hint="eastAsia" w:ascii="宋体" w:hAnsi="宋体" w:eastAsia="仿宋"/>
          <w:color w:val="auto"/>
          <w:szCs w:val="21"/>
          <w:highlight w:val="none"/>
          <w:lang w:eastAsia="zh-CN"/>
        </w:rPr>
        <w:t>安徽省紧密型县域医共体设备更新一期项目-超声诊断仪三</w:t>
      </w:r>
    </w:p>
    <w:p w14:paraId="474BFFC3">
      <w:pPr>
        <w:tabs>
          <w:tab w:val="left" w:pos="999"/>
        </w:tabs>
        <w:adjustRightInd w:val="0"/>
        <w:snapToGrid w:val="0"/>
        <w:spacing w:line="400" w:lineRule="exact"/>
        <w:ind w:firstLine="945" w:firstLineChars="450"/>
        <w:rPr>
          <w:rFonts w:hint="eastAsia" w:ascii="宋体" w:hAnsi="宋体" w:eastAsia="仿宋"/>
          <w:color w:val="auto"/>
          <w:szCs w:val="21"/>
          <w:highlight w:val="none"/>
          <w:lang w:eastAsia="zh-CN"/>
        </w:rPr>
      </w:pPr>
      <w:r>
        <w:rPr>
          <w:rFonts w:hint="eastAsia" w:ascii="宋体" w:hAnsi="宋体"/>
          <w:color w:val="auto"/>
          <w:szCs w:val="21"/>
          <w:highlight w:val="none"/>
        </w:rPr>
        <w:t>采购项目编号：</w:t>
      </w:r>
      <w:r>
        <w:rPr>
          <w:rFonts w:hint="eastAsia" w:ascii="宋体" w:hAnsi="宋体" w:eastAsia="仿宋"/>
          <w:color w:val="auto"/>
          <w:szCs w:val="21"/>
          <w:highlight w:val="none"/>
          <w:lang w:eastAsia="zh-CN"/>
        </w:rPr>
        <w:t>ZF2025-36-1978</w:t>
      </w:r>
    </w:p>
    <w:p w14:paraId="13F4D9D2">
      <w:pPr>
        <w:adjustRightInd w:val="0"/>
        <w:snapToGrid w:val="0"/>
        <w:spacing w:line="400" w:lineRule="exact"/>
        <w:ind w:firstLine="420" w:firstLineChars="200"/>
        <w:rPr>
          <w:rFonts w:ascii="宋体" w:hAnsi="宋体"/>
          <w:color w:val="auto"/>
          <w:szCs w:val="21"/>
          <w:highlight w:val="none"/>
        </w:rPr>
      </w:pPr>
      <w:r>
        <w:rPr>
          <w:rFonts w:hint="eastAsia" w:ascii="宋体" w:hAnsi="宋体"/>
          <w:color w:val="auto"/>
          <w:szCs w:val="21"/>
          <w:highlight w:val="none"/>
        </w:rPr>
        <w:t>（2）采购计划编号：</w:t>
      </w:r>
      <w:r>
        <w:rPr>
          <w:rFonts w:hint="eastAsia" w:ascii="宋体" w:hAnsi="宋体" w:eastAsia="仿宋"/>
          <w:color w:val="auto"/>
          <w:szCs w:val="21"/>
          <w:highlight w:val="none"/>
        </w:rPr>
        <w:t>/</w:t>
      </w:r>
    </w:p>
    <w:p w14:paraId="240D296B">
      <w:pPr>
        <w:adjustRightInd w:val="0"/>
        <w:snapToGrid w:val="0"/>
        <w:spacing w:line="400" w:lineRule="exact"/>
        <w:ind w:firstLine="420" w:firstLineChars="200"/>
        <w:rPr>
          <w:rFonts w:ascii="宋体" w:hAnsi="宋体"/>
          <w:color w:val="auto"/>
          <w:szCs w:val="21"/>
          <w:highlight w:val="none"/>
        </w:rPr>
      </w:pPr>
      <w:r>
        <w:rPr>
          <w:rFonts w:hint="eastAsia" w:ascii="宋体" w:hAnsi="宋体"/>
          <w:color w:val="auto"/>
          <w:szCs w:val="21"/>
          <w:highlight w:val="none"/>
        </w:rPr>
        <w:t>（3）项目内容：</w:t>
      </w:r>
    </w:p>
    <w:p w14:paraId="0B57FEE9">
      <w:pPr>
        <w:adjustRightInd w:val="0"/>
        <w:snapToGrid w:val="0"/>
        <w:spacing w:line="400" w:lineRule="exact"/>
        <w:ind w:firstLine="945" w:firstLineChars="450"/>
        <w:rPr>
          <w:rFonts w:ascii="宋体" w:hAnsi="宋体"/>
          <w:color w:val="auto"/>
          <w:szCs w:val="21"/>
          <w:highlight w:val="none"/>
        </w:rPr>
      </w:pPr>
      <w:r>
        <w:rPr>
          <w:rFonts w:hint="eastAsia" w:ascii="宋体" w:hAnsi="宋体"/>
          <w:color w:val="auto"/>
          <w:szCs w:val="21"/>
          <w:highlight w:val="none"/>
        </w:rPr>
        <w:t>采购标的及数量（台/套</w:t>
      </w:r>
      <w:r>
        <w:rPr>
          <w:rFonts w:ascii="宋体" w:hAnsi="宋体"/>
          <w:color w:val="auto"/>
          <w:szCs w:val="21"/>
          <w:highlight w:val="none"/>
          <w:lang w:val="en"/>
        </w:rPr>
        <w:t>/</w:t>
      </w:r>
      <w:r>
        <w:rPr>
          <w:rFonts w:hint="eastAsia" w:ascii="宋体" w:hAnsi="宋体"/>
          <w:color w:val="auto"/>
          <w:szCs w:val="21"/>
          <w:highlight w:val="none"/>
          <w:lang w:val="en"/>
        </w:rPr>
        <w:t>个</w:t>
      </w:r>
      <w:r>
        <w:rPr>
          <w:rFonts w:ascii="宋体" w:hAnsi="宋体"/>
          <w:color w:val="auto"/>
          <w:szCs w:val="21"/>
          <w:highlight w:val="none"/>
          <w:lang w:val="en"/>
        </w:rPr>
        <w:t>/</w:t>
      </w:r>
      <w:r>
        <w:rPr>
          <w:rFonts w:hint="eastAsia" w:ascii="宋体" w:hAnsi="宋体"/>
          <w:color w:val="auto"/>
          <w:szCs w:val="21"/>
          <w:highlight w:val="none"/>
          <w:lang w:val="en"/>
        </w:rPr>
        <w:t>架</w:t>
      </w:r>
      <w:r>
        <w:rPr>
          <w:rFonts w:ascii="宋体" w:hAnsi="宋体"/>
          <w:color w:val="auto"/>
          <w:szCs w:val="21"/>
          <w:highlight w:val="none"/>
          <w:lang w:val="en"/>
        </w:rPr>
        <w:t>/</w:t>
      </w:r>
      <w:r>
        <w:rPr>
          <w:rFonts w:hint="eastAsia" w:ascii="宋体" w:hAnsi="宋体"/>
          <w:color w:val="auto"/>
          <w:szCs w:val="21"/>
          <w:highlight w:val="none"/>
          <w:lang w:val="en"/>
        </w:rPr>
        <w:t>组等</w:t>
      </w:r>
      <w:r>
        <w:rPr>
          <w:rFonts w:hint="eastAsia" w:ascii="宋体" w:hAnsi="宋体"/>
          <w:color w:val="auto"/>
          <w:szCs w:val="21"/>
          <w:highlight w:val="none"/>
        </w:rPr>
        <w:t>）：</w:t>
      </w:r>
      <w:r>
        <w:rPr>
          <w:rFonts w:hint="eastAsia" w:ascii="宋体" w:hAnsi="宋体"/>
          <w:color w:val="auto"/>
          <w:szCs w:val="21"/>
          <w:highlight w:val="none"/>
          <w:u w:val="single"/>
        </w:rPr>
        <w:t xml:space="preserve">                       </w:t>
      </w:r>
    </w:p>
    <w:p w14:paraId="7A1BCDF3">
      <w:pPr>
        <w:adjustRightInd w:val="0"/>
        <w:snapToGrid w:val="0"/>
        <w:spacing w:line="400" w:lineRule="exact"/>
        <w:ind w:firstLine="945" w:firstLineChars="450"/>
        <w:rPr>
          <w:rFonts w:ascii="宋体" w:hAnsi="宋体" w:cs="宋体"/>
          <w:color w:val="auto"/>
          <w:szCs w:val="21"/>
          <w:highlight w:val="none"/>
          <w:lang w:val="en"/>
        </w:rPr>
      </w:pPr>
      <w:r>
        <w:rPr>
          <w:rFonts w:hint="eastAsia" w:ascii="宋体" w:hAnsi="宋体" w:cs="宋体"/>
          <w:color w:val="auto"/>
          <w:szCs w:val="21"/>
          <w:highlight w:val="none"/>
        </w:rPr>
        <w:t>品牌：</w:t>
      </w:r>
      <w:r>
        <w:rPr>
          <w:rFonts w:hint="eastAsia" w:ascii="宋体" w:hAnsi="宋体" w:cs="宋体"/>
          <w:color w:val="auto"/>
          <w:szCs w:val="21"/>
          <w:highlight w:val="none"/>
          <w:u w:val="single"/>
        </w:rPr>
        <w:t xml:space="preserve">      </w:t>
      </w:r>
      <w:r>
        <w:rPr>
          <w:rFonts w:ascii="宋体" w:hAnsi="宋体" w:cs="宋体"/>
          <w:color w:val="auto"/>
          <w:szCs w:val="21"/>
          <w:highlight w:val="none"/>
          <w:u w:val="single"/>
          <w:lang w:val="en"/>
        </w:rPr>
        <w:t xml:space="preserve">   </w:t>
      </w:r>
      <w:r>
        <w:rPr>
          <w:rFonts w:hint="eastAsia" w:ascii="宋体" w:hAnsi="宋体" w:cs="宋体"/>
          <w:color w:val="auto"/>
          <w:szCs w:val="21"/>
          <w:highlight w:val="none"/>
          <w:u w:val="single"/>
        </w:rPr>
        <w:t xml:space="preserve">    </w:t>
      </w:r>
      <w:r>
        <w:rPr>
          <w:rFonts w:ascii="宋体" w:hAnsi="宋体" w:cs="宋体"/>
          <w:color w:val="auto"/>
          <w:szCs w:val="21"/>
          <w:highlight w:val="none"/>
          <w:u w:val="single"/>
          <w:lang w:val="en"/>
        </w:rPr>
        <w:t xml:space="preserve"> </w:t>
      </w:r>
      <w:r>
        <w:rPr>
          <w:rFonts w:hint="eastAsia" w:ascii="宋体" w:hAnsi="宋体" w:cs="宋体"/>
          <w:color w:val="auto"/>
          <w:szCs w:val="21"/>
          <w:highlight w:val="none"/>
          <w:u w:val="single"/>
        </w:rPr>
        <w:t xml:space="preserve"> </w:t>
      </w:r>
      <w:r>
        <w:rPr>
          <w:rFonts w:ascii="宋体" w:hAnsi="宋体" w:cs="宋体"/>
          <w:color w:val="auto"/>
          <w:szCs w:val="21"/>
          <w:highlight w:val="none"/>
          <w:lang w:val="en"/>
        </w:rPr>
        <w:t xml:space="preserve">     </w:t>
      </w:r>
      <w:r>
        <w:rPr>
          <w:rFonts w:hint="eastAsia" w:ascii="宋体" w:hAnsi="宋体" w:cs="宋体"/>
          <w:color w:val="auto"/>
          <w:szCs w:val="21"/>
          <w:highlight w:val="none"/>
        </w:rPr>
        <w:t>规格型号：</w:t>
      </w:r>
      <w:r>
        <w:rPr>
          <w:rFonts w:hint="eastAsia" w:ascii="宋体" w:hAnsi="宋体" w:cs="宋体"/>
          <w:color w:val="auto"/>
          <w:szCs w:val="21"/>
          <w:highlight w:val="none"/>
          <w:u w:val="single"/>
        </w:rPr>
        <w:t xml:space="preserve">   </w:t>
      </w:r>
      <w:r>
        <w:rPr>
          <w:rFonts w:ascii="宋体" w:hAnsi="宋体" w:cs="宋体"/>
          <w:color w:val="auto"/>
          <w:szCs w:val="21"/>
          <w:highlight w:val="none"/>
          <w:u w:val="single"/>
          <w:lang w:val="en"/>
        </w:rPr>
        <w:t xml:space="preserve">  </w:t>
      </w:r>
      <w:r>
        <w:rPr>
          <w:rFonts w:hint="eastAsia" w:ascii="宋体" w:hAnsi="宋体" w:cs="宋体"/>
          <w:color w:val="auto"/>
          <w:szCs w:val="21"/>
          <w:highlight w:val="none"/>
          <w:u w:val="single"/>
        </w:rPr>
        <w:t xml:space="preserve">       </w:t>
      </w:r>
      <w:r>
        <w:rPr>
          <w:rFonts w:ascii="宋体" w:hAnsi="宋体" w:cs="宋体"/>
          <w:color w:val="auto"/>
          <w:szCs w:val="21"/>
          <w:highlight w:val="none"/>
          <w:u w:val="single"/>
          <w:lang w:val="en"/>
        </w:rPr>
        <w:t xml:space="preserve">   </w:t>
      </w:r>
    </w:p>
    <w:p w14:paraId="277F0A70">
      <w:pPr>
        <w:adjustRightInd w:val="0"/>
        <w:snapToGrid w:val="0"/>
        <w:spacing w:line="400" w:lineRule="exact"/>
        <w:ind w:firstLine="945" w:firstLineChars="450"/>
        <w:rPr>
          <w:rFonts w:ascii="宋体" w:hAnsi="宋体"/>
          <w:color w:val="auto"/>
          <w:szCs w:val="21"/>
          <w:highlight w:val="none"/>
          <w:u w:val="single"/>
        </w:rPr>
      </w:pPr>
      <w:r>
        <w:rPr>
          <w:rFonts w:hint="eastAsia" w:ascii="宋体" w:hAnsi="宋体"/>
          <w:color w:val="auto"/>
          <w:szCs w:val="21"/>
          <w:highlight w:val="none"/>
        </w:rPr>
        <w:t>采购标的的技术要求、商务要求具体见附件。</w:t>
      </w:r>
    </w:p>
    <w:p w14:paraId="5993E428">
      <w:pPr>
        <w:widowControl/>
        <w:autoSpaceDE w:val="0"/>
        <w:autoSpaceDN w:val="0"/>
        <w:adjustRightInd w:val="0"/>
        <w:snapToGrid w:val="0"/>
        <w:spacing w:line="400" w:lineRule="exact"/>
        <w:ind w:firstLine="420" w:firstLineChars="200"/>
        <w:jc w:val="left"/>
        <w:rPr>
          <w:rFonts w:ascii="宋体" w:hAnsi="宋体" w:cs="宋体"/>
          <w:color w:val="auto"/>
          <w:kern w:val="0"/>
          <w:szCs w:val="21"/>
          <w:highlight w:val="none"/>
        </w:rPr>
      </w:pPr>
      <w:r>
        <w:rPr>
          <w:rFonts w:hint="eastAsia" w:ascii="宋体" w:hAnsi="宋体" w:cs="宋体"/>
          <w:color w:val="auto"/>
          <w:kern w:val="0"/>
          <w:szCs w:val="21"/>
          <w:highlight w:val="none"/>
        </w:rPr>
        <w:t>（</w:t>
      </w:r>
      <w:r>
        <w:rPr>
          <w:rFonts w:ascii="宋体" w:hAnsi="宋体" w:cs="宋体"/>
          <w:color w:val="auto"/>
          <w:kern w:val="0"/>
          <w:szCs w:val="21"/>
          <w:highlight w:val="none"/>
          <w:lang w:val="en"/>
        </w:rPr>
        <w:t>4</w:t>
      </w:r>
      <w:r>
        <w:rPr>
          <w:rFonts w:hint="eastAsia" w:ascii="宋体" w:hAnsi="宋体" w:cs="宋体"/>
          <w:color w:val="auto"/>
          <w:kern w:val="0"/>
          <w:szCs w:val="21"/>
          <w:highlight w:val="none"/>
        </w:rPr>
        <w:t>）政府采购组织形式：</w:t>
      </w:r>
      <w:r>
        <w:rPr>
          <w:rFonts w:hint="eastAsia" w:ascii="宋体" w:hAnsi="宋体" w:cs="宋体"/>
          <w:color w:val="auto"/>
          <w:kern w:val="0"/>
          <w:szCs w:val="21"/>
          <w:highlight w:val="none"/>
        </w:rPr>
        <w:sym w:font="Wingdings" w:char="00A8"/>
      </w:r>
      <w:r>
        <w:rPr>
          <w:rFonts w:hint="eastAsia" w:ascii="宋体" w:hAnsi="宋体" w:cs="宋体"/>
          <w:color w:val="auto"/>
          <w:kern w:val="0"/>
          <w:szCs w:val="21"/>
          <w:highlight w:val="none"/>
        </w:rPr>
        <w:t xml:space="preserve">政府集中采购  </w:t>
      </w:r>
      <w:r>
        <w:rPr>
          <w:rFonts w:hint="eastAsia" w:ascii="宋体" w:hAnsi="宋体" w:cs="宋体"/>
          <w:color w:val="auto"/>
          <w:kern w:val="0"/>
          <w:szCs w:val="21"/>
          <w:highlight w:val="none"/>
        </w:rPr>
        <w:sym w:font="Wingdings" w:char="00A8"/>
      </w:r>
      <w:r>
        <w:rPr>
          <w:rFonts w:hint="eastAsia" w:ascii="宋体" w:hAnsi="宋体" w:cs="宋体"/>
          <w:color w:val="auto"/>
          <w:kern w:val="0"/>
          <w:szCs w:val="21"/>
          <w:highlight w:val="none"/>
        </w:rPr>
        <w:t xml:space="preserve">部门集中采购  </w:t>
      </w:r>
      <w:r>
        <w:rPr>
          <w:rFonts w:hint="eastAsia" w:ascii="宋体" w:hAnsi="宋体" w:cs="宋体"/>
          <w:color w:val="auto"/>
          <w:kern w:val="0"/>
          <w:szCs w:val="21"/>
          <w:highlight w:val="none"/>
        </w:rPr>
        <w:sym w:font="Wingdings" w:char="00FE"/>
      </w:r>
      <w:r>
        <w:rPr>
          <w:rFonts w:hint="eastAsia" w:ascii="宋体" w:hAnsi="宋体" w:cs="宋体"/>
          <w:color w:val="auto"/>
          <w:kern w:val="0"/>
          <w:szCs w:val="21"/>
          <w:highlight w:val="none"/>
        </w:rPr>
        <w:t>分散采购</w:t>
      </w:r>
    </w:p>
    <w:p w14:paraId="63148599">
      <w:pPr>
        <w:widowControl/>
        <w:autoSpaceDE w:val="0"/>
        <w:autoSpaceDN w:val="0"/>
        <w:adjustRightInd w:val="0"/>
        <w:snapToGrid w:val="0"/>
        <w:spacing w:line="400" w:lineRule="exact"/>
        <w:ind w:firstLine="420" w:firstLineChars="200"/>
        <w:jc w:val="left"/>
        <w:rPr>
          <w:rFonts w:ascii="宋体" w:hAnsi="宋体" w:cs="宋体"/>
          <w:color w:val="auto"/>
          <w:kern w:val="0"/>
          <w:szCs w:val="21"/>
          <w:highlight w:val="none"/>
        </w:rPr>
      </w:pPr>
      <w:r>
        <w:rPr>
          <w:rFonts w:hint="eastAsia" w:ascii="宋体" w:hAnsi="宋体" w:cs="宋体"/>
          <w:color w:val="auto"/>
          <w:kern w:val="0"/>
          <w:szCs w:val="21"/>
          <w:highlight w:val="none"/>
        </w:rPr>
        <w:t>（</w:t>
      </w:r>
      <w:r>
        <w:rPr>
          <w:rFonts w:ascii="宋体" w:hAnsi="宋体" w:cs="宋体"/>
          <w:color w:val="auto"/>
          <w:kern w:val="0"/>
          <w:szCs w:val="21"/>
          <w:highlight w:val="none"/>
          <w:lang w:val="en"/>
        </w:rPr>
        <w:t>5</w:t>
      </w:r>
      <w:r>
        <w:rPr>
          <w:rFonts w:hint="eastAsia" w:ascii="宋体" w:hAnsi="宋体" w:cs="宋体"/>
          <w:color w:val="auto"/>
          <w:kern w:val="0"/>
          <w:szCs w:val="21"/>
          <w:highlight w:val="none"/>
        </w:rPr>
        <w:t>）政府采购方式：</w:t>
      </w:r>
      <w:r>
        <w:rPr>
          <w:rFonts w:hint="eastAsia" w:ascii="宋体" w:hAnsi="宋体" w:cs="宋体"/>
          <w:color w:val="auto"/>
          <w:kern w:val="0"/>
          <w:szCs w:val="21"/>
          <w:highlight w:val="none"/>
        </w:rPr>
        <w:sym w:font="Wingdings" w:char="00FE"/>
      </w:r>
      <w:r>
        <w:rPr>
          <w:rFonts w:hint="eastAsia" w:ascii="宋体" w:hAnsi="宋体" w:cs="宋体"/>
          <w:color w:val="auto"/>
          <w:kern w:val="0"/>
          <w:szCs w:val="21"/>
          <w:highlight w:val="none"/>
        </w:rPr>
        <w:t xml:space="preserve">公开招标 </w:t>
      </w:r>
      <w:r>
        <w:rPr>
          <w:rFonts w:hint="eastAsia" w:ascii="宋体" w:hAnsi="宋体" w:cs="宋体"/>
          <w:color w:val="auto"/>
          <w:kern w:val="0"/>
          <w:szCs w:val="21"/>
          <w:highlight w:val="none"/>
        </w:rPr>
        <w:sym w:font="Wingdings" w:char="00A8"/>
      </w:r>
      <w:r>
        <w:rPr>
          <w:rFonts w:hint="eastAsia" w:ascii="宋体" w:hAnsi="宋体" w:cs="宋体"/>
          <w:color w:val="auto"/>
          <w:kern w:val="0"/>
          <w:szCs w:val="21"/>
          <w:highlight w:val="none"/>
        </w:rPr>
        <w:t>邀请招标</w:t>
      </w:r>
    </w:p>
    <w:p w14:paraId="4E8FBC5C">
      <w:pPr>
        <w:widowControl/>
        <w:autoSpaceDE w:val="0"/>
        <w:autoSpaceDN w:val="0"/>
        <w:adjustRightInd w:val="0"/>
        <w:snapToGrid w:val="0"/>
        <w:spacing w:line="400" w:lineRule="exact"/>
        <w:ind w:firstLine="440" w:firstLineChars="200"/>
        <w:jc w:val="left"/>
        <w:rPr>
          <w:rFonts w:ascii="宋体" w:hAnsi="宋体"/>
          <w:color w:val="auto"/>
          <w:szCs w:val="21"/>
          <w:highlight w:val="none"/>
        </w:rPr>
      </w:pPr>
      <w:r>
        <w:rPr>
          <w:rFonts w:hint="eastAsia" w:ascii="宋体" w:hAnsi="宋体" w:eastAsia="华文楷体" w:cs="华文楷体"/>
          <w:color w:val="auto"/>
          <w:kern w:val="0"/>
          <w:sz w:val="22"/>
          <w:szCs w:val="21"/>
          <w:highlight w:val="none"/>
        </w:rPr>
        <w:t>（</w:t>
      </w:r>
      <w:r>
        <w:rPr>
          <w:rFonts w:ascii="宋体" w:hAnsi="宋体" w:eastAsia="华文楷体" w:cs="华文楷体"/>
          <w:color w:val="auto"/>
          <w:kern w:val="0"/>
          <w:sz w:val="22"/>
          <w:szCs w:val="21"/>
          <w:highlight w:val="none"/>
          <w:lang w:val="en"/>
        </w:rPr>
        <w:t>6</w:t>
      </w:r>
      <w:r>
        <w:rPr>
          <w:rFonts w:hint="eastAsia" w:ascii="宋体" w:hAnsi="宋体" w:eastAsia="华文楷体" w:cs="华文楷体"/>
          <w:color w:val="auto"/>
          <w:kern w:val="0"/>
          <w:sz w:val="22"/>
          <w:szCs w:val="21"/>
          <w:highlight w:val="none"/>
        </w:rPr>
        <w:t>）</w:t>
      </w:r>
      <w:r>
        <w:rPr>
          <w:rFonts w:hint="eastAsia" w:ascii="宋体" w:hAnsi="宋体"/>
          <w:color w:val="auto"/>
          <w:szCs w:val="21"/>
          <w:highlight w:val="none"/>
        </w:rPr>
        <w:t>中标（成交）采购标的制造商是否为中小企业：</w:t>
      </w:r>
      <w:r>
        <w:rPr>
          <w:rFonts w:hint="eastAsia" w:ascii="宋体" w:hAnsi="宋体"/>
          <w:color w:val="auto"/>
          <w:szCs w:val="21"/>
          <w:highlight w:val="none"/>
        </w:rPr>
        <w:sym w:font="Wingdings" w:char="00A8"/>
      </w:r>
      <w:r>
        <w:rPr>
          <w:rFonts w:hint="eastAsia" w:ascii="宋体" w:hAnsi="宋体"/>
          <w:color w:val="auto"/>
          <w:szCs w:val="21"/>
          <w:highlight w:val="none"/>
        </w:rPr>
        <w:t xml:space="preserve">是      </w:t>
      </w:r>
      <w:r>
        <w:rPr>
          <w:rFonts w:hint="eastAsia" w:ascii="宋体" w:hAnsi="宋体"/>
          <w:color w:val="auto"/>
          <w:szCs w:val="21"/>
          <w:highlight w:val="none"/>
        </w:rPr>
        <w:sym w:font="Wingdings" w:char="00A8"/>
      </w:r>
      <w:r>
        <w:rPr>
          <w:rFonts w:hint="eastAsia" w:ascii="宋体" w:hAnsi="宋体"/>
          <w:color w:val="auto"/>
          <w:szCs w:val="21"/>
          <w:highlight w:val="none"/>
        </w:rPr>
        <w:t>否</w:t>
      </w:r>
    </w:p>
    <w:p w14:paraId="35237465">
      <w:pPr>
        <w:adjustRightInd w:val="0"/>
        <w:snapToGrid w:val="0"/>
        <w:spacing w:line="400" w:lineRule="exact"/>
        <w:ind w:firstLine="945" w:firstLineChars="450"/>
        <w:rPr>
          <w:rFonts w:ascii="宋体" w:hAnsi="宋体"/>
          <w:iCs/>
          <w:color w:val="auto"/>
          <w:szCs w:val="21"/>
          <w:highlight w:val="none"/>
        </w:rPr>
      </w:pPr>
      <w:r>
        <w:rPr>
          <w:rFonts w:hint="eastAsia" w:ascii="宋体" w:hAnsi="宋体"/>
          <w:color w:val="auto"/>
          <w:szCs w:val="21"/>
          <w:highlight w:val="none"/>
        </w:rPr>
        <w:t>本合同是否为专门面向中小企业的采购合同（中小企业预留合同）：</w:t>
      </w:r>
      <w:r>
        <w:rPr>
          <w:rFonts w:hint="eastAsia" w:ascii="宋体" w:hAnsi="宋体"/>
          <w:iCs/>
          <w:color w:val="auto"/>
          <w:szCs w:val="21"/>
          <w:highlight w:val="none"/>
        </w:rPr>
        <w:sym w:font="Wingdings" w:char="00A8"/>
      </w:r>
      <w:r>
        <w:rPr>
          <w:rFonts w:hint="eastAsia" w:ascii="宋体" w:hAnsi="宋体"/>
          <w:iCs/>
          <w:color w:val="auto"/>
          <w:szCs w:val="21"/>
          <w:highlight w:val="none"/>
        </w:rPr>
        <w:t xml:space="preserve">是    </w:t>
      </w:r>
      <w:r>
        <w:rPr>
          <w:rFonts w:hint="eastAsia" w:ascii="宋体" w:hAnsi="宋体"/>
          <w:iCs/>
          <w:color w:val="auto"/>
          <w:szCs w:val="21"/>
          <w:highlight w:val="none"/>
        </w:rPr>
        <w:sym w:font="Wingdings" w:char="00FE"/>
      </w:r>
      <w:r>
        <w:rPr>
          <w:rFonts w:hint="eastAsia" w:ascii="宋体" w:hAnsi="宋体"/>
          <w:iCs/>
          <w:color w:val="auto"/>
          <w:szCs w:val="21"/>
          <w:highlight w:val="none"/>
        </w:rPr>
        <w:t>否</w:t>
      </w:r>
    </w:p>
    <w:p w14:paraId="3068BD58">
      <w:pPr>
        <w:adjustRightInd w:val="0"/>
        <w:snapToGrid w:val="0"/>
        <w:spacing w:line="400" w:lineRule="exact"/>
        <w:ind w:firstLine="945" w:firstLineChars="450"/>
        <w:rPr>
          <w:rFonts w:ascii="宋体" w:hAnsi="宋体"/>
          <w:iCs/>
          <w:color w:val="auto"/>
          <w:szCs w:val="21"/>
          <w:highlight w:val="none"/>
        </w:rPr>
      </w:pPr>
      <w:r>
        <w:rPr>
          <w:rFonts w:hint="eastAsia"/>
          <w:color w:val="auto"/>
          <w:highlight w:val="none"/>
        </w:rPr>
        <w:t>若本项目不专门面向中小企业采购，是否给予小微企业评审优惠：</w:t>
      </w:r>
      <w:r>
        <w:rPr>
          <w:rFonts w:hint="eastAsia" w:ascii="宋体" w:hAnsi="宋体"/>
          <w:iCs/>
          <w:color w:val="auto"/>
          <w:szCs w:val="21"/>
          <w:highlight w:val="none"/>
        </w:rPr>
        <w:sym w:font="Wingdings" w:char="00FE"/>
      </w:r>
      <w:r>
        <w:rPr>
          <w:rFonts w:hint="eastAsia" w:ascii="宋体" w:hAnsi="宋体"/>
          <w:iCs/>
          <w:color w:val="auto"/>
          <w:szCs w:val="21"/>
          <w:highlight w:val="none"/>
        </w:rPr>
        <w:t xml:space="preserve">是   </w:t>
      </w:r>
      <w:r>
        <w:rPr>
          <w:rFonts w:hint="eastAsia" w:ascii="宋体" w:hAnsi="宋体"/>
          <w:iCs/>
          <w:color w:val="auto"/>
          <w:szCs w:val="21"/>
          <w:highlight w:val="none"/>
        </w:rPr>
        <w:sym w:font="Wingdings" w:char="00A8"/>
      </w:r>
      <w:r>
        <w:rPr>
          <w:rFonts w:hint="eastAsia" w:ascii="宋体" w:hAnsi="宋体"/>
          <w:iCs/>
          <w:color w:val="auto"/>
          <w:szCs w:val="21"/>
          <w:highlight w:val="none"/>
        </w:rPr>
        <w:t>否</w:t>
      </w:r>
    </w:p>
    <w:p w14:paraId="66B4CBE5">
      <w:pPr>
        <w:adjustRightInd w:val="0"/>
        <w:snapToGrid w:val="0"/>
        <w:spacing w:line="400" w:lineRule="exact"/>
        <w:ind w:firstLine="945" w:firstLineChars="450"/>
        <w:rPr>
          <w:rFonts w:ascii="宋体" w:hAnsi="宋体"/>
          <w:iCs/>
          <w:color w:val="auto"/>
          <w:szCs w:val="21"/>
          <w:highlight w:val="none"/>
        </w:rPr>
      </w:pPr>
      <w:r>
        <w:rPr>
          <w:rFonts w:hint="eastAsia"/>
          <w:color w:val="auto"/>
          <w:highlight w:val="none"/>
        </w:rPr>
        <w:t>中标（成交）采购标的制造商是否为残疾人福利性单位：</w:t>
      </w:r>
      <w:r>
        <w:rPr>
          <w:rFonts w:hint="eastAsia" w:ascii="宋体" w:hAnsi="宋体"/>
          <w:iCs/>
          <w:color w:val="auto"/>
          <w:szCs w:val="21"/>
          <w:highlight w:val="none"/>
        </w:rPr>
        <w:sym w:font="Wingdings" w:char="00A8"/>
      </w:r>
      <w:r>
        <w:rPr>
          <w:rFonts w:hint="eastAsia" w:ascii="宋体" w:hAnsi="宋体"/>
          <w:iCs/>
          <w:color w:val="auto"/>
          <w:szCs w:val="21"/>
          <w:highlight w:val="none"/>
        </w:rPr>
        <w:t xml:space="preserve">是   </w:t>
      </w:r>
      <w:r>
        <w:rPr>
          <w:rFonts w:hint="eastAsia" w:ascii="宋体" w:hAnsi="宋体"/>
          <w:iCs/>
          <w:color w:val="auto"/>
          <w:szCs w:val="21"/>
          <w:highlight w:val="none"/>
        </w:rPr>
        <w:sym w:font="Wingdings" w:char="00A8"/>
      </w:r>
      <w:r>
        <w:rPr>
          <w:rFonts w:hint="eastAsia" w:ascii="宋体" w:hAnsi="宋体"/>
          <w:iCs/>
          <w:color w:val="auto"/>
          <w:szCs w:val="21"/>
          <w:highlight w:val="none"/>
        </w:rPr>
        <w:t>否</w:t>
      </w:r>
    </w:p>
    <w:p w14:paraId="244A1E3B">
      <w:pPr>
        <w:snapToGrid w:val="0"/>
        <w:spacing w:line="400" w:lineRule="exact"/>
        <w:ind w:firstLine="945" w:firstLineChars="450"/>
        <w:rPr>
          <w:color w:val="auto"/>
          <w:highlight w:val="none"/>
        </w:rPr>
      </w:pPr>
      <w:r>
        <w:rPr>
          <w:rFonts w:hint="eastAsia"/>
          <w:color w:val="auto"/>
          <w:highlight w:val="none"/>
        </w:rPr>
        <w:t>中标（成交）采购标的制造商是否为监狱企业：</w:t>
      </w:r>
      <w:r>
        <w:rPr>
          <w:rFonts w:hint="eastAsia" w:ascii="宋体" w:hAnsi="宋体"/>
          <w:iCs/>
          <w:color w:val="auto"/>
          <w:szCs w:val="21"/>
          <w:highlight w:val="none"/>
        </w:rPr>
        <w:sym w:font="Wingdings" w:char="00A8"/>
      </w:r>
      <w:r>
        <w:rPr>
          <w:rFonts w:hint="eastAsia" w:ascii="宋体" w:hAnsi="宋体"/>
          <w:iCs/>
          <w:color w:val="auto"/>
          <w:szCs w:val="21"/>
          <w:highlight w:val="none"/>
        </w:rPr>
        <w:t xml:space="preserve">是       </w:t>
      </w:r>
      <w:r>
        <w:rPr>
          <w:rFonts w:hint="eastAsia" w:ascii="宋体" w:hAnsi="宋体"/>
          <w:iCs/>
          <w:color w:val="auto"/>
          <w:szCs w:val="21"/>
          <w:highlight w:val="none"/>
        </w:rPr>
        <w:sym w:font="Wingdings" w:char="00A8"/>
      </w:r>
      <w:r>
        <w:rPr>
          <w:rFonts w:hint="eastAsia" w:ascii="宋体" w:hAnsi="宋体"/>
          <w:iCs/>
          <w:color w:val="auto"/>
          <w:szCs w:val="21"/>
          <w:highlight w:val="none"/>
        </w:rPr>
        <w:t>否</w:t>
      </w:r>
    </w:p>
    <w:p w14:paraId="021110D5">
      <w:pPr>
        <w:adjustRightInd w:val="0"/>
        <w:snapToGrid w:val="0"/>
        <w:spacing w:line="400" w:lineRule="exact"/>
        <w:ind w:firstLine="420" w:firstLineChars="200"/>
        <w:rPr>
          <w:rFonts w:ascii="宋体" w:hAnsi="宋体"/>
          <w:color w:val="auto"/>
          <w:szCs w:val="21"/>
          <w:highlight w:val="none"/>
        </w:rPr>
      </w:pPr>
      <w:r>
        <w:rPr>
          <w:rFonts w:hint="eastAsia" w:ascii="宋体" w:hAnsi="宋体"/>
          <w:color w:val="auto"/>
          <w:szCs w:val="21"/>
          <w:highlight w:val="none"/>
        </w:rPr>
        <w:t>（</w:t>
      </w:r>
      <w:r>
        <w:rPr>
          <w:rFonts w:ascii="宋体" w:hAnsi="宋体"/>
          <w:color w:val="auto"/>
          <w:szCs w:val="21"/>
          <w:highlight w:val="none"/>
          <w:lang w:val="en"/>
        </w:rPr>
        <w:t>7</w:t>
      </w:r>
      <w:r>
        <w:rPr>
          <w:rFonts w:hint="eastAsia" w:ascii="宋体" w:hAnsi="宋体"/>
          <w:color w:val="auto"/>
          <w:szCs w:val="21"/>
          <w:highlight w:val="none"/>
        </w:rPr>
        <w:t>）合同是否分包：</w:t>
      </w:r>
      <w:r>
        <w:rPr>
          <w:rFonts w:hint="eastAsia" w:ascii="宋体" w:hAnsi="宋体"/>
          <w:iCs/>
          <w:color w:val="auto"/>
          <w:szCs w:val="21"/>
          <w:highlight w:val="none"/>
        </w:rPr>
        <w:sym w:font="Wingdings" w:char="00A8"/>
      </w:r>
      <w:r>
        <w:rPr>
          <w:rFonts w:hint="eastAsia" w:ascii="宋体" w:hAnsi="宋体"/>
          <w:iCs/>
          <w:color w:val="auto"/>
          <w:szCs w:val="21"/>
          <w:highlight w:val="none"/>
        </w:rPr>
        <w:t xml:space="preserve">是       </w:t>
      </w:r>
      <w:r>
        <w:rPr>
          <w:rFonts w:hint="eastAsia" w:ascii="宋体" w:hAnsi="宋体"/>
          <w:iCs/>
          <w:color w:val="auto"/>
          <w:szCs w:val="21"/>
          <w:highlight w:val="none"/>
        </w:rPr>
        <w:sym w:font="Wingdings" w:char="00FE"/>
      </w:r>
      <w:r>
        <w:rPr>
          <w:rFonts w:hint="eastAsia" w:ascii="宋体" w:hAnsi="宋体"/>
          <w:iCs/>
          <w:color w:val="auto"/>
          <w:szCs w:val="21"/>
          <w:highlight w:val="none"/>
        </w:rPr>
        <w:t>否</w:t>
      </w:r>
    </w:p>
    <w:p w14:paraId="05FC2399">
      <w:pPr>
        <w:adjustRightInd w:val="0"/>
        <w:snapToGrid w:val="0"/>
        <w:spacing w:line="400" w:lineRule="exact"/>
        <w:ind w:firstLine="945" w:firstLineChars="450"/>
        <w:rPr>
          <w:rFonts w:ascii="宋体" w:hAnsi="宋体"/>
          <w:color w:val="auto"/>
          <w:szCs w:val="21"/>
          <w:highlight w:val="none"/>
          <w:u w:val="single"/>
        </w:rPr>
      </w:pPr>
      <w:r>
        <w:rPr>
          <w:rFonts w:hint="eastAsia" w:ascii="宋体" w:hAnsi="宋体"/>
          <w:color w:val="auto"/>
          <w:szCs w:val="21"/>
          <w:highlight w:val="none"/>
        </w:rPr>
        <w:t>分包主要内容：</w:t>
      </w:r>
      <w:r>
        <w:rPr>
          <w:rFonts w:hint="eastAsia" w:ascii="宋体" w:hAnsi="宋体"/>
          <w:color w:val="auto"/>
          <w:szCs w:val="21"/>
          <w:highlight w:val="none"/>
          <w:u w:val="single"/>
        </w:rPr>
        <w:t xml:space="preserve">                                            </w:t>
      </w:r>
    </w:p>
    <w:p w14:paraId="24F92D02">
      <w:pPr>
        <w:adjustRightInd w:val="0"/>
        <w:snapToGrid w:val="0"/>
        <w:spacing w:line="400" w:lineRule="exact"/>
        <w:ind w:firstLine="945" w:firstLineChars="450"/>
        <w:rPr>
          <w:rFonts w:ascii="宋体" w:hAnsi="宋体"/>
          <w:color w:val="auto"/>
          <w:szCs w:val="21"/>
          <w:highlight w:val="none"/>
        </w:rPr>
      </w:pPr>
      <w:r>
        <w:rPr>
          <w:rFonts w:hint="eastAsia" w:ascii="宋体" w:hAnsi="宋体"/>
          <w:color w:val="auto"/>
          <w:szCs w:val="21"/>
          <w:highlight w:val="none"/>
        </w:rPr>
        <w:t>分包供应商/制造商名称（如供应商和制造商不同，请分别填写）：</w:t>
      </w:r>
    </w:p>
    <w:p w14:paraId="12DB34E4">
      <w:pPr>
        <w:adjustRightInd w:val="0"/>
        <w:snapToGrid w:val="0"/>
        <w:spacing w:line="400" w:lineRule="exact"/>
        <w:ind w:firstLine="945" w:firstLineChars="450"/>
        <w:rPr>
          <w:rFonts w:ascii="宋体" w:hAnsi="宋体"/>
          <w:color w:val="auto"/>
          <w:szCs w:val="21"/>
          <w:highlight w:val="none"/>
          <w:u w:val="single"/>
        </w:rPr>
      </w:pPr>
      <w:r>
        <w:rPr>
          <w:rFonts w:hint="eastAsia" w:ascii="宋体" w:hAnsi="宋体"/>
          <w:color w:val="auto"/>
          <w:szCs w:val="21"/>
          <w:highlight w:val="none"/>
          <w:u w:val="single"/>
        </w:rPr>
        <w:t xml:space="preserve">                                                          </w:t>
      </w:r>
    </w:p>
    <w:p w14:paraId="0DE8375E">
      <w:pPr>
        <w:adjustRightInd w:val="0"/>
        <w:snapToGrid w:val="0"/>
        <w:spacing w:line="400" w:lineRule="exact"/>
        <w:ind w:firstLine="945" w:firstLineChars="450"/>
        <w:rPr>
          <w:rFonts w:ascii="宋体" w:hAnsi="宋体"/>
          <w:color w:val="auto"/>
          <w:szCs w:val="21"/>
          <w:highlight w:val="none"/>
        </w:rPr>
      </w:pPr>
      <w:r>
        <w:rPr>
          <w:rFonts w:hint="eastAsia" w:ascii="宋体" w:hAnsi="宋体"/>
          <w:color w:val="auto"/>
          <w:szCs w:val="21"/>
          <w:highlight w:val="none"/>
        </w:rPr>
        <w:t>分包供应商/制造商类型（如果供应商和制造商不同，只填写制造商类型）：</w:t>
      </w:r>
    </w:p>
    <w:p w14:paraId="6632C606">
      <w:pPr>
        <w:adjustRightInd w:val="0"/>
        <w:snapToGrid w:val="0"/>
        <w:spacing w:line="400" w:lineRule="exact"/>
        <w:ind w:firstLine="945" w:firstLineChars="450"/>
        <w:rPr>
          <w:rFonts w:ascii="宋体" w:hAnsi="宋体"/>
          <w:iCs/>
          <w:color w:val="auto"/>
          <w:szCs w:val="21"/>
          <w:highlight w:val="none"/>
        </w:rPr>
      </w:pPr>
      <w:r>
        <w:rPr>
          <w:rFonts w:hint="eastAsia" w:ascii="宋体" w:hAnsi="宋体"/>
          <w:iCs/>
          <w:color w:val="auto"/>
          <w:szCs w:val="21"/>
          <w:highlight w:val="none"/>
        </w:rPr>
        <w:sym w:font="Wingdings" w:char="00A8"/>
      </w:r>
      <w:r>
        <w:rPr>
          <w:rFonts w:hint="eastAsia" w:ascii="宋体" w:hAnsi="宋体"/>
          <w:iCs/>
          <w:color w:val="auto"/>
          <w:szCs w:val="21"/>
          <w:highlight w:val="none"/>
        </w:rPr>
        <w:t xml:space="preserve">大型企业  </w:t>
      </w:r>
      <w:r>
        <w:rPr>
          <w:rFonts w:hint="eastAsia" w:ascii="宋体" w:hAnsi="宋体"/>
          <w:iCs/>
          <w:color w:val="auto"/>
          <w:szCs w:val="21"/>
          <w:highlight w:val="none"/>
        </w:rPr>
        <w:sym w:font="Wingdings" w:char="00A8"/>
      </w:r>
      <w:r>
        <w:rPr>
          <w:rFonts w:hint="eastAsia" w:ascii="宋体" w:hAnsi="宋体"/>
          <w:iCs/>
          <w:color w:val="auto"/>
          <w:szCs w:val="21"/>
          <w:highlight w:val="none"/>
        </w:rPr>
        <w:t xml:space="preserve">中型企业  </w:t>
      </w:r>
      <w:r>
        <w:rPr>
          <w:rFonts w:hint="eastAsia" w:ascii="宋体" w:hAnsi="宋体"/>
          <w:iCs/>
          <w:color w:val="auto"/>
          <w:szCs w:val="21"/>
          <w:highlight w:val="none"/>
        </w:rPr>
        <w:sym w:font="Wingdings" w:char="00A8"/>
      </w:r>
      <w:r>
        <w:rPr>
          <w:rFonts w:hint="eastAsia" w:ascii="宋体" w:hAnsi="宋体"/>
          <w:iCs/>
          <w:color w:val="auto"/>
          <w:szCs w:val="21"/>
          <w:highlight w:val="none"/>
        </w:rPr>
        <w:t>小微型企业</w:t>
      </w:r>
    </w:p>
    <w:p w14:paraId="432487C0">
      <w:pPr>
        <w:adjustRightInd w:val="0"/>
        <w:snapToGrid w:val="0"/>
        <w:spacing w:line="400" w:lineRule="exact"/>
        <w:ind w:firstLine="945" w:firstLineChars="450"/>
        <w:rPr>
          <w:rFonts w:eastAsia="华文楷体"/>
          <w:color w:val="auto"/>
          <w:highlight w:val="none"/>
        </w:rPr>
      </w:pPr>
      <w:r>
        <w:rPr>
          <w:rFonts w:hint="eastAsia" w:ascii="宋体" w:hAnsi="宋体"/>
          <w:iCs/>
          <w:color w:val="auto"/>
          <w:szCs w:val="21"/>
          <w:highlight w:val="none"/>
        </w:rPr>
        <w:sym w:font="Wingdings" w:char="00A8"/>
      </w:r>
      <w:r>
        <w:rPr>
          <w:rFonts w:hint="eastAsia" w:ascii="宋体" w:hAnsi="宋体"/>
          <w:iCs/>
          <w:color w:val="auto"/>
          <w:szCs w:val="21"/>
          <w:highlight w:val="none"/>
        </w:rPr>
        <w:t xml:space="preserve">残疾人福利性单位 </w:t>
      </w:r>
      <w:r>
        <w:rPr>
          <w:rFonts w:hint="eastAsia" w:ascii="宋体" w:hAnsi="宋体"/>
          <w:iCs/>
          <w:color w:val="auto"/>
          <w:szCs w:val="21"/>
          <w:highlight w:val="none"/>
        </w:rPr>
        <w:sym w:font="Wingdings" w:char="00A8"/>
      </w:r>
      <w:r>
        <w:rPr>
          <w:rFonts w:hint="eastAsia" w:ascii="宋体" w:hAnsi="宋体"/>
          <w:iCs/>
          <w:color w:val="auto"/>
          <w:szCs w:val="21"/>
          <w:highlight w:val="none"/>
        </w:rPr>
        <w:t xml:space="preserve">监狱企业 </w:t>
      </w:r>
      <w:r>
        <w:rPr>
          <w:rFonts w:hint="eastAsia" w:ascii="宋体" w:hAnsi="宋体"/>
          <w:iCs/>
          <w:color w:val="auto"/>
          <w:szCs w:val="21"/>
          <w:highlight w:val="none"/>
        </w:rPr>
        <w:sym w:font="Wingdings" w:char="00A8"/>
      </w:r>
      <w:r>
        <w:rPr>
          <w:rFonts w:hint="eastAsia" w:ascii="宋体" w:hAnsi="宋体"/>
          <w:iCs/>
          <w:color w:val="auto"/>
          <w:szCs w:val="21"/>
          <w:highlight w:val="none"/>
        </w:rPr>
        <w:t>其他</w:t>
      </w:r>
    </w:p>
    <w:p w14:paraId="0AB08BAA">
      <w:pPr>
        <w:adjustRightInd w:val="0"/>
        <w:snapToGrid w:val="0"/>
        <w:spacing w:line="400" w:lineRule="exact"/>
        <w:ind w:firstLine="420" w:firstLineChars="200"/>
        <w:rPr>
          <w:rFonts w:ascii="宋体" w:hAnsi="宋体" w:cs="宋体"/>
          <w:iCs/>
          <w:color w:val="auto"/>
          <w:szCs w:val="21"/>
          <w:highlight w:val="none"/>
        </w:rPr>
      </w:pPr>
      <w:r>
        <w:rPr>
          <w:rFonts w:hint="eastAsia" w:ascii="宋体" w:hAnsi="宋体" w:cs="宋体"/>
          <w:color w:val="auto"/>
          <w:szCs w:val="21"/>
          <w:highlight w:val="none"/>
        </w:rPr>
        <w:t>（</w:t>
      </w:r>
      <w:r>
        <w:rPr>
          <w:rFonts w:ascii="宋体" w:hAnsi="宋体" w:cs="宋体"/>
          <w:color w:val="auto"/>
          <w:szCs w:val="21"/>
          <w:highlight w:val="none"/>
          <w:lang w:val="en"/>
        </w:rPr>
        <w:t>8</w:t>
      </w:r>
      <w:r>
        <w:rPr>
          <w:rFonts w:hint="eastAsia" w:ascii="宋体" w:hAnsi="宋体" w:cs="宋体"/>
          <w:color w:val="auto"/>
          <w:szCs w:val="21"/>
          <w:highlight w:val="none"/>
        </w:rPr>
        <w:t>）中标（成交）供应商是否为外商投资企业：</w:t>
      </w:r>
      <w:r>
        <w:rPr>
          <w:rFonts w:hint="eastAsia" w:ascii="宋体" w:hAnsi="宋体" w:cs="宋体"/>
          <w:iCs/>
          <w:color w:val="auto"/>
          <w:szCs w:val="21"/>
          <w:highlight w:val="none"/>
        </w:rPr>
        <w:sym w:font="Wingdings" w:char="00A8"/>
      </w:r>
      <w:r>
        <w:rPr>
          <w:rFonts w:hint="eastAsia" w:ascii="宋体" w:hAnsi="宋体" w:cs="宋体"/>
          <w:iCs/>
          <w:color w:val="auto"/>
          <w:szCs w:val="21"/>
          <w:highlight w:val="none"/>
        </w:rPr>
        <w:t xml:space="preserve">是       </w:t>
      </w:r>
      <w:r>
        <w:rPr>
          <w:rFonts w:hint="eastAsia" w:ascii="宋体" w:hAnsi="宋体" w:cs="宋体"/>
          <w:iCs/>
          <w:color w:val="auto"/>
          <w:szCs w:val="21"/>
          <w:highlight w:val="none"/>
        </w:rPr>
        <w:sym w:font="Wingdings" w:char="00A8"/>
      </w:r>
      <w:r>
        <w:rPr>
          <w:rFonts w:hint="eastAsia" w:ascii="宋体" w:hAnsi="宋体" w:cs="宋体"/>
          <w:iCs/>
          <w:color w:val="auto"/>
          <w:szCs w:val="21"/>
          <w:highlight w:val="none"/>
        </w:rPr>
        <w:t>否</w:t>
      </w:r>
    </w:p>
    <w:p w14:paraId="3D9B5A7D">
      <w:pPr>
        <w:adjustRightInd w:val="0"/>
        <w:snapToGrid w:val="0"/>
        <w:spacing w:line="400" w:lineRule="exact"/>
        <w:ind w:firstLine="945" w:firstLineChars="450"/>
        <w:rPr>
          <w:rFonts w:ascii="宋体" w:hAnsi="宋体"/>
          <w:iCs/>
          <w:color w:val="auto"/>
          <w:szCs w:val="21"/>
          <w:highlight w:val="none"/>
        </w:rPr>
      </w:pPr>
      <w:r>
        <w:rPr>
          <w:rFonts w:hint="eastAsia" w:ascii="宋体" w:hAnsi="宋体"/>
          <w:iCs/>
          <w:color w:val="auto"/>
          <w:szCs w:val="21"/>
          <w:highlight w:val="none"/>
        </w:rPr>
        <w:t>外商投资企业类型：</w:t>
      </w:r>
      <w:r>
        <w:rPr>
          <w:rFonts w:hint="eastAsia" w:ascii="宋体" w:hAnsi="宋体"/>
          <w:iCs/>
          <w:color w:val="auto"/>
          <w:szCs w:val="21"/>
          <w:highlight w:val="none"/>
        </w:rPr>
        <w:sym w:font="Wingdings" w:char="00A8"/>
      </w:r>
      <w:r>
        <w:rPr>
          <w:rFonts w:hint="eastAsia" w:ascii="宋体" w:hAnsi="宋体"/>
          <w:iCs/>
          <w:color w:val="auto"/>
          <w:szCs w:val="21"/>
          <w:highlight w:val="none"/>
        </w:rPr>
        <w:t xml:space="preserve">全部由外国投资者投资  </w:t>
      </w:r>
      <w:r>
        <w:rPr>
          <w:rFonts w:hint="eastAsia" w:ascii="宋体" w:hAnsi="宋体"/>
          <w:iCs/>
          <w:color w:val="auto"/>
          <w:szCs w:val="21"/>
          <w:highlight w:val="none"/>
        </w:rPr>
        <w:sym w:font="Wingdings" w:char="00A8"/>
      </w:r>
      <w:r>
        <w:rPr>
          <w:rFonts w:hint="eastAsia" w:ascii="宋体" w:hAnsi="宋体"/>
          <w:iCs/>
          <w:color w:val="auto"/>
          <w:szCs w:val="21"/>
          <w:highlight w:val="none"/>
        </w:rPr>
        <w:t>部分由外国投资者投资</w:t>
      </w:r>
    </w:p>
    <w:p w14:paraId="6EF796DE">
      <w:pPr>
        <w:adjustRightInd w:val="0"/>
        <w:snapToGrid w:val="0"/>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w:t>
      </w:r>
      <w:r>
        <w:rPr>
          <w:rFonts w:ascii="宋体" w:hAnsi="宋体" w:cs="宋体"/>
          <w:color w:val="auto"/>
          <w:szCs w:val="21"/>
          <w:highlight w:val="none"/>
          <w:lang w:val="en"/>
        </w:rPr>
        <w:t>9</w:t>
      </w:r>
      <w:r>
        <w:rPr>
          <w:rFonts w:hint="eastAsia" w:ascii="宋体" w:hAnsi="宋体" w:cs="宋体"/>
          <w:color w:val="auto"/>
          <w:szCs w:val="21"/>
          <w:highlight w:val="none"/>
        </w:rPr>
        <w:t>）是否涉及进口产品：</w:t>
      </w:r>
    </w:p>
    <w:p w14:paraId="7441201F">
      <w:pPr>
        <w:adjustRightInd w:val="0"/>
        <w:snapToGrid w:val="0"/>
        <w:spacing w:line="400" w:lineRule="exact"/>
        <w:ind w:firstLine="945" w:firstLineChars="450"/>
        <w:rPr>
          <w:rFonts w:ascii="宋体" w:hAnsi="宋体"/>
          <w:iCs/>
          <w:color w:val="auto"/>
          <w:szCs w:val="21"/>
          <w:highlight w:val="none"/>
        </w:rPr>
      </w:pPr>
      <w:r>
        <w:rPr>
          <w:rFonts w:hint="eastAsia" w:ascii="宋体" w:hAnsi="宋体"/>
          <w:iCs/>
          <w:color w:val="auto"/>
          <w:szCs w:val="21"/>
          <w:highlight w:val="none"/>
        </w:rPr>
        <w:sym w:font="Wingdings" w:char="00A8"/>
      </w:r>
      <w:r>
        <w:rPr>
          <w:rFonts w:hint="eastAsia" w:ascii="宋体" w:hAnsi="宋体"/>
          <w:iCs/>
          <w:color w:val="auto"/>
          <w:szCs w:val="21"/>
          <w:highlight w:val="none"/>
        </w:rPr>
        <w:t xml:space="preserve">是，《政府采购品目分类目录》底级品目名称：          金额：        </w:t>
      </w:r>
    </w:p>
    <w:p w14:paraId="00598319">
      <w:pPr>
        <w:adjustRightInd w:val="0"/>
        <w:snapToGrid w:val="0"/>
        <w:spacing w:line="400" w:lineRule="exact"/>
        <w:ind w:firstLine="945" w:firstLineChars="450"/>
        <w:rPr>
          <w:rFonts w:ascii="宋体" w:hAnsi="宋体"/>
          <w:iCs/>
          <w:color w:val="auto"/>
          <w:szCs w:val="21"/>
          <w:highlight w:val="none"/>
        </w:rPr>
      </w:pPr>
      <w:r>
        <w:rPr>
          <w:rFonts w:hint="eastAsia" w:ascii="宋体" w:hAnsi="宋体"/>
          <w:iCs/>
          <w:color w:val="auto"/>
          <w:szCs w:val="21"/>
          <w:highlight w:val="none"/>
        </w:rPr>
        <w:t xml:space="preserve">       国别：         品牌：         规格型号：              </w:t>
      </w:r>
    </w:p>
    <w:p w14:paraId="51B00350">
      <w:pPr>
        <w:adjustRightInd w:val="0"/>
        <w:snapToGrid w:val="0"/>
        <w:spacing w:line="400" w:lineRule="exact"/>
        <w:ind w:firstLine="945" w:firstLineChars="450"/>
        <w:rPr>
          <w:rFonts w:ascii="宋体" w:hAnsi="宋体"/>
          <w:iCs/>
          <w:color w:val="auto"/>
          <w:szCs w:val="21"/>
          <w:highlight w:val="none"/>
        </w:rPr>
      </w:pPr>
      <w:r>
        <w:rPr>
          <w:rFonts w:hint="eastAsia" w:ascii="宋体" w:hAnsi="宋体"/>
          <w:iCs/>
          <w:color w:val="auto"/>
          <w:szCs w:val="21"/>
          <w:highlight w:val="none"/>
        </w:rPr>
        <w:sym w:font="Wingdings" w:char="00FE"/>
      </w:r>
      <w:r>
        <w:rPr>
          <w:rFonts w:hint="eastAsia" w:ascii="宋体" w:hAnsi="宋体"/>
          <w:iCs/>
          <w:color w:val="auto"/>
          <w:szCs w:val="21"/>
          <w:highlight w:val="none"/>
        </w:rPr>
        <w:t>否</w:t>
      </w:r>
    </w:p>
    <w:p w14:paraId="0C1AAEE2">
      <w:pPr>
        <w:adjustRightInd w:val="0"/>
        <w:snapToGrid w:val="0"/>
        <w:spacing w:line="400" w:lineRule="exact"/>
        <w:ind w:firstLine="420" w:firstLineChars="200"/>
        <w:rPr>
          <w:rFonts w:ascii="宋体" w:hAnsi="宋体"/>
          <w:iCs/>
          <w:color w:val="auto"/>
          <w:szCs w:val="21"/>
          <w:highlight w:val="none"/>
        </w:rPr>
      </w:pPr>
      <w:r>
        <w:rPr>
          <w:rFonts w:hint="eastAsia" w:ascii="宋体" w:hAnsi="宋体" w:cs="宋体"/>
          <w:color w:val="auto"/>
          <w:szCs w:val="21"/>
          <w:highlight w:val="none"/>
        </w:rPr>
        <w:t>（1</w:t>
      </w:r>
      <w:r>
        <w:rPr>
          <w:rFonts w:ascii="宋体" w:hAnsi="宋体" w:cs="宋体"/>
          <w:color w:val="auto"/>
          <w:szCs w:val="21"/>
          <w:highlight w:val="none"/>
          <w:lang w:val="en"/>
        </w:rPr>
        <w:t>0</w:t>
      </w:r>
      <w:r>
        <w:rPr>
          <w:rFonts w:hint="eastAsia" w:ascii="宋体" w:hAnsi="宋体" w:cs="宋体"/>
          <w:color w:val="auto"/>
          <w:szCs w:val="21"/>
          <w:highlight w:val="none"/>
        </w:rPr>
        <w:t>）是否涉及节能产品：</w:t>
      </w:r>
    </w:p>
    <w:p w14:paraId="1EADDBBD">
      <w:pPr>
        <w:adjustRightInd w:val="0"/>
        <w:snapToGrid w:val="0"/>
        <w:spacing w:line="400" w:lineRule="exact"/>
        <w:ind w:firstLine="945" w:firstLineChars="450"/>
        <w:rPr>
          <w:rFonts w:ascii="宋体" w:hAnsi="宋体"/>
          <w:iCs/>
          <w:color w:val="auto"/>
          <w:szCs w:val="21"/>
          <w:highlight w:val="none"/>
        </w:rPr>
      </w:pPr>
      <w:r>
        <w:rPr>
          <w:rFonts w:hint="eastAsia" w:ascii="宋体" w:hAnsi="宋体"/>
          <w:iCs/>
          <w:color w:val="auto"/>
          <w:szCs w:val="21"/>
          <w:highlight w:val="none"/>
        </w:rPr>
        <w:sym w:font="Wingdings" w:char="00A8"/>
      </w:r>
      <w:r>
        <w:rPr>
          <w:rFonts w:hint="eastAsia" w:ascii="宋体" w:hAnsi="宋体"/>
          <w:iCs/>
          <w:color w:val="auto"/>
          <w:szCs w:val="21"/>
          <w:highlight w:val="none"/>
        </w:rPr>
        <w:t xml:space="preserve">是，《节能产品政府采购品目清单》的底级品目名称：              </w:t>
      </w:r>
    </w:p>
    <w:p w14:paraId="2D89941E">
      <w:pPr>
        <w:adjustRightInd w:val="0"/>
        <w:snapToGrid w:val="0"/>
        <w:spacing w:line="400" w:lineRule="exact"/>
        <w:ind w:firstLine="945" w:firstLineChars="450"/>
        <w:rPr>
          <w:rFonts w:ascii="宋体" w:hAnsi="宋体"/>
          <w:iCs/>
          <w:color w:val="auto"/>
          <w:szCs w:val="21"/>
          <w:highlight w:val="none"/>
        </w:rPr>
      </w:pPr>
      <w:r>
        <w:rPr>
          <w:rFonts w:hint="eastAsia" w:ascii="宋体" w:hAnsi="宋体"/>
          <w:iCs/>
          <w:color w:val="auto"/>
          <w:szCs w:val="21"/>
          <w:highlight w:val="none"/>
        </w:rPr>
        <w:t xml:space="preserve">     </w:t>
      </w:r>
      <w:r>
        <w:rPr>
          <w:rFonts w:hint="eastAsia" w:ascii="宋体" w:hAnsi="宋体"/>
          <w:iCs/>
          <w:color w:val="auto"/>
          <w:szCs w:val="21"/>
          <w:highlight w:val="none"/>
        </w:rPr>
        <w:sym w:font="Wingdings" w:char="00A8"/>
      </w:r>
      <w:r>
        <w:rPr>
          <w:rFonts w:hint="eastAsia" w:ascii="宋体" w:hAnsi="宋体"/>
          <w:iCs/>
          <w:color w:val="auto"/>
          <w:szCs w:val="21"/>
          <w:highlight w:val="none"/>
        </w:rPr>
        <w:t xml:space="preserve">强制采购       </w:t>
      </w:r>
      <w:r>
        <w:rPr>
          <w:rFonts w:hint="eastAsia" w:ascii="宋体" w:hAnsi="宋体"/>
          <w:iCs/>
          <w:color w:val="auto"/>
          <w:szCs w:val="21"/>
          <w:highlight w:val="none"/>
        </w:rPr>
        <w:sym w:font="Wingdings" w:char="00A8"/>
      </w:r>
      <w:r>
        <w:rPr>
          <w:rFonts w:hint="eastAsia" w:ascii="宋体" w:hAnsi="宋体"/>
          <w:iCs/>
          <w:color w:val="auto"/>
          <w:szCs w:val="21"/>
          <w:highlight w:val="none"/>
        </w:rPr>
        <w:t xml:space="preserve">优先采购    </w:t>
      </w:r>
    </w:p>
    <w:p w14:paraId="23CDE1F7">
      <w:pPr>
        <w:adjustRightInd w:val="0"/>
        <w:snapToGrid w:val="0"/>
        <w:spacing w:line="400" w:lineRule="exact"/>
        <w:ind w:firstLine="945" w:firstLineChars="450"/>
        <w:rPr>
          <w:rFonts w:ascii="宋体" w:hAnsi="宋体"/>
          <w:iCs/>
          <w:color w:val="auto"/>
          <w:szCs w:val="21"/>
          <w:highlight w:val="none"/>
        </w:rPr>
      </w:pPr>
      <w:r>
        <w:rPr>
          <w:rFonts w:hint="eastAsia" w:ascii="宋体" w:hAnsi="宋体"/>
          <w:iCs/>
          <w:color w:val="auto"/>
          <w:szCs w:val="21"/>
          <w:highlight w:val="none"/>
        </w:rPr>
        <w:sym w:font="Wingdings" w:char="00FE"/>
      </w:r>
      <w:r>
        <w:rPr>
          <w:rFonts w:hint="eastAsia" w:ascii="宋体" w:hAnsi="宋体"/>
          <w:iCs/>
          <w:color w:val="auto"/>
          <w:szCs w:val="21"/>
          <w:highlight w:val="none"/>
        </w:rPr>
        <w:t>否</w:t>
      </w:r>
    </w:p>
    <w:p w14:paraId="3F882A66">
      <w:pPr>
        <w:widowControl/>
        <w:autoSpaceDE w:val="0"/>
        <w:autoSpaceDN w:val="0"/>
        <w:adjustRightInd w:val="0"/>
        <w:spacing w:line="400" w:lineRule="exact"/>
        <w:ind w:firstLine="420" w:firstLineChars="200"/>
        <w:jc w:val="left"/>
        <w:rPr>
          <w:rFonts w:ascii="宋体" w:hAnsi="宋体"/>
          <w:iCs/>
          <w:color w:val="auto"/>
          <w:szCs w:val="21"/>
          <w:highlight w:val="none"/>
        </w:rPr>
      </w:pPr>
    </w:p>
    <w:p w14:paraId="4EEC72E4">
      <w:pPr>
        <w:adjustRightInd w:val="0"/>
        <w:snapToGrid w:val="0"/>
        <w:spacing w:line="400" w:lineRule="exact"/>
        <w:ind w:firstLine="945" w:firstLineChars="450"/>
        <w:rPr>
          <w:rFonts w:ascii="宋体" w:hAnsi="宋体"/>
          <w:iCs/>
          <w:color w:val="auto"/>
          <w:szCs w:val="21"/>
          <w:highlight w:val="none"/>
        </w:rPr>
      </w:pPr>
      <w:r>
        <w:rPr>
          <w:rFonts w:hint="eastAsia" w:ascii="宋体" w:hAnsi="宋体"/>
          <w:iCs/>
          <w:color w:val="auto"/>
          <w:szCs w:val="21"/>
          <w:highlight w:val="none"/>
        </w:rPr>
        <w:t>是否涉及环境标志产品：</w:t>
      </w:r>
    </w:p>
    <w:p w14:paraId="127E435C">
      <w:pPr>
        <w:adjustRightInd w:val="0"/>
        <w:snapToGrid w:val="0"/>
        <w:spacing w:line="400" w:lineRule="exact"/>
        <w:ind w:firstLine="945" w:firstLineChars="450"/>
        <w:rPr>
          <w:rFonts w:ascii="宋体" w:hAnsi="宋体"/>
          <w:iCs/>
          <w:color w:val="auto"/>
          <w:szCs w:val="21"/>
          <w:highlight w:val="none"/>
        </w:rPr>
      </w:pPr>
      <w:r>
        <w:rPr>
          <w:rFonts w:hint="eastAsia" w:ascii="宋体" w:hAnsi="宋体"/>
          <w:iCs/>
          <w:color w:val="auto"/>
          <w:szCs w:val="21"/>
          <w:highlight w:val="none"/>
        </w:rPr>
        <w:sym w:font="Wingdings" w:char="00A8"/>
      </w:r>
      <w:r>
        <w:rPr>
          <w:rFonts w:hint="eastAsia" w:ascii="宋体" w:hAnsi="宋体"/>
          <w:iCs/>
          <w:color w:val="auto"/>
          <w:szCs w:val="21"/>
          <w:highlight w:val="none"/>
        </w:rPr>
        <w:t xml:space="preserve">是，《环境标志产品政府采购品目清单》的底级品目名称：          </w:t>
      </w:r>
    </w:p>
    <w:p w14:paraId="7FD91600">
      <w:pPr>
        <w:adjustRightInd w:val="0"/>
        <w:snapToGrid w:val="0"/>
        <w:spacing w:line="400" w:lineRule="exact"/>
        <w:ind w:firstLine="945" w:firstLineChars="450"/>
        <w:rPr>
          <w:rFonts w:ascii="宋体" w:hAnsi="宋体"/>
          <w:iCs/>
          <w:color w:val="auto"/>
          <w:szCs w:val="21"/>
          <w:highlight w:val="none"/>
        </w:rPr>
      </w:pPr>
      <w:r>
        <w:rPr>
          <w:rFonts w:hint="eastAsia" w:ascii="宋体" w:hAnsi="宋体"/>
          <w:iCs/>
          <w:color w:val="auto"/>
          <w:szCs w:val="21"/>
          <w:highlight w:val="none"/>
        </w:rPr>
        <w:t xml:space="preserve">     </w:t>
      </w:r>
      <w:r>
        <w:rPr>
          <w:rFonts w:hint="eastAsia" w:ascii="宋体" w:hAnsi="宋体"/>
          <w:iCs/>
          <w:color w:val="auto"/>
          <w:szCs w:val="21"/>
          <w:highlight w:val="none"/>
        </w:rPr>
        <w:sym w:font="Wingdings" w:char="00A8"/>
      </w:r>
      <w:r>
        <w:rPr>
          <w:rFonts w:hint="eastAsia" w:ascii="宋体" w:hAnsi="宋体"/>
          <w:iCs/>
          <w:color w:val="auto"/>
          <w:szCs w:val="21"/>
          <w:highlight w:val="none"/>
        </w:rPr>
        <w:t xml:space="preserve">强制采购       </w:t>
      </w:r>
      <w:r>
        <w:rPr>
          <w:rFonts w:hint="eastAsia" w:ascii="宋体" w:hAnsi="宋体"/>
          <w:iCs/>
          <w:color w:val="auto"/>
          <w:szCs w:val="21"/>
          <w:highlight w:val="none"/>
        </w:rPr>
        <w:sym w:font="Wingdings" w:char="00A8"/>
      </w:r>
      <w:r>
        <w:rPr>
          <w:rFonts w:hint="eastAsia" w:ascii="宋体" w:hAnsi="宋体"/>
          <w:iCs/>
          <w:color w:val="auto"/>
          <w:szCs w:val="21"/>
          <w:highlight w:val="none"/>
        </w:rPr>
        <w:t xml:space="preserve">优先采购    </w:t>
      </w:r>
    </w:p>
    <w:p w14:paraId="521B45E2">
      <w:pPr>
        <w:adjustRightInd w:val="0"/>
        <w:snapToGrid w:val="0"/>
        <w:spacing w:line="400" w:lineRule="exact"/>
        <w:ind w:firstLine="945" w:firstLineChars="450"/>
        <w:rPr>
          <w:rFonts w:ascii="宋体" w:hAnsi="宋体"/>
          <w:iCs/>
          <w:color w:val="auto"/>
          <w:szCs w:val="21"/>
          <w:highlight w:val="none"/>
        </w:rPr>
      </w:pPr>
      <w:r>
        <w:rPr>
          <w:rFonts w:hint="eastAsia" w:ascii="宋体" w:hAnsi="宋体"/>
          <w:iCs/>
          <w:color w:val="auto"/>
          <w:szCs w:val="21"/>
          <w:highlight w:val="none"/>
        </w:rPr>
        <w:sym w:font="Wingdings" w:char="00FE"/>
      </w:r>
      <w:r>
        <w:rPr>
          <w:rFonts w:hint="eastAsia" w:ascii="宋体" w:hAnsi="宋体"/>
          <w:iCs/>
          <w:color w:val="auto"/>
          <w:szCs w:val="21"/>
          <w:highlight w:val="none"/>
        </w:rPr>
        <w:t>否</w:t>
      </w:r>
    </w:p>
    <w:p w14:paraId="662A7DF9">
      <w:pPr>
        <w:widowControl/>
        <w:autoSpaceDE w:val="0"/>
        <w:autoSpaceDN w:val="0"/>
        <w:adjustRightInd w:val="0"/>
        <w:spacing w:line="400" w:lineRule="exact"/>
        <w:ind w:firstLine="420" w:firstLineChars="200"/>
        <w:jc w:val="left"/>
        <w:rPr>
          <w:rFonts w:ascii="宋体" w:hAnsi="宋体"/>
          <w:iCs/>
          <w:color w:val="auto"/>
          <w:szCs w:val="21"/>
          <w:highlight w:val="none"/>
        </w:rPr>
      </w:pPr>
    </w:p>
    <w:p w14:paraId="4FB836B6">
      <w:pPr>
        <w:adjustRightInd w:val="0"/>
        <w:snapToGrid w:val="0"/>
        <w:spacing w:line="400" w:lineRule="exact"/>
        <w:ind w:firstLine="945" w:firstLineChars="450"/>
        <w:rPr>
          <w:rFonts w:ascii="宋体" w:hAnsi="宋体"/>
          <w:iCs/>
          <w:color w:val="auto"/>
          <w:szCs w:val="21"/>
          <w:highlight w:val="none"/>
        </w:rPr>
      </w:pPr>
      <w:r>
        <w:rPr>
          <w:rFonts w:hint="eastAsia" w:ascii="宋体" w:hAnsi="宋体"/>
          <w:iCs/>
          <w:color w:val="auto"/>
          <w:szCs w:val="21"/>
          <w:highlight w:val="none"/>
        </w:rPr>
        <w:t>是否涉及绿色产品：</w:t>
      </w:r>
    </w:p>
    <w:p w14:paraId="7DED5101">
      <w:pPr>
        <w:adjustRightInd w:val="0"/>
        <w:snapToGrid w:val="0"/>
        <w:spacing w:line="400" w:lineRule="exact"/>
        <w:ind w:firstLine="945" w:firstLineChars="450"/>
        <w:rPr>
          <w:rFonts w:ascii="宋体" w:hAnsi="宋体"/>
          <w:iCs/>
          <w:color w:val="auto"/>
          <w:szCs w:val="21"/>
          <w:highlight w:val="none"/>
        </w:rPr>
      </w:pPr>
      <w:r>
        <w:rPr>
          <w:rFonts w:hint="eastAsia" w:ascii="宋体" w:hAnsi="宋体"/>
          <w:iCs/>
          <w:color w:val="auto"/>
          <w:szCs w:val="21"/>
          <w:highlight w:val="none"/>
        </w:rPr>
        <w:sym w:font="Wingdings" w:char="00A8"/>
      </w:r>
      <w:r>
        <w:rPr>
          <w:rFonts w:hint="eastAsia" w:ascii="宋体" w:hAnsi="宋体"/>
          <w:iCs/>
          <w:color w:val="auto"/>
          <w:szCs w:val="21"/>
          <w:highlight w:val="none"/>
        </w:rPr>
        <w:t xml:space="preserve">是，绿色产品政府采购相关政策确定的底级品目名称：         </w:t>
      </w:r>
    </w:p>
    <w:p w14:paraId="745AB40E">
      <w:pPr>
        <w:adjustRightInd w:val="0"/>
        <w:snapToGrid w:val="0"/>
        <w:spacing w:line="400" w:lineRule="exact"/>
        <w:ind w:firstLine="945" w:firstLineChars="450"/>
        <w:rPr>
          <w:rFonts w:ascii="宋体" w:hAnsi="宋体"/>
          <w:iCs/>
          <w:color w:val="auto"/>
          <w:szCs w:val="21"/>
          <w:highlight w:val="none"/>
        </w:rPr>
      </w:pPr>
      <w:r>
        <w:rPr>
          <w:rFonts w:hint="eastAsia" w:ascii="宋体" w:hAnsi="宋体"/>
          <w:iCs/>
          <w:color w:val="auto"/>
          <w:szCs w:val="21"/>
          <w:highlight w:val="none"/>
        </w:rPr>
        <w:t xml:space="preserve">     </w:t>
      </w:r>
      <w:r>
        <w:rPr>
          <w:rFonts w:hint="eastAsia" w:ascii="宋体" w:hAnsi="宋体"/>
          <w:iCs/>
          <w:color w:val="auto"/>
          <w:szCs w:val="21"/>
          <w:highlight w:val="none"/>
        </w:rPr>
        <w:sym w:font="Wingdings" w:char="00A8"/>
      </w:r>
      <w:r>
        <w:rPr>
          <w:rFonts w:hint="eastAsia" w:ascii="宋体" w:hAnsi="宋体"/>
          <w:iCs/>
          <w:color w:val="auto"/>
          <w:szCs w:val="21"/>
          <w:highlight w:val="none"/>
        </w:rPr>
        <w:t xml:space="preserve">强制采购       </w:t>
      </w:r>
      <w:r>
        <w:rPr>
          <w:rFonts w:hint="eastAsia" w:ascii="宋体" w:hAnsi="宋体"/>
          <w:iCs/>
          <w:color w:val="auto"/>
          <w:szCs w:val="21"/>
          <w:highlight w:val="none"/>
        </w:rPr>
        <w:sym w:font="Wingdings" w:char="00A8"/>
      </w:r>
      <w:r>
        <w:rPr>
          <w:rFonts w:hint="eastAsia" w:ascii="宋体" w:hAnsi="宋体"/>
          <w:iCs/>
          <w:color w:val="auto"/>
          <w:szCs w:val="21"/>
          <w:highlight w:val="none"/>
        </w:rPr>
        <w:t xml:space="preserve">优先采购    </w:t>
      </w:r>
    </w:p>
    <w:p w14:paraId="65044A4D">
      <w:pPr>
        <w:adjustRightInd w:val="0"/>
        <w:snapToGrid w:val="0"/>
        <w:spacing w:line="400" w:lineRule="exact"/>
        <w:ind w:firstLine="945" w:firstLineChars="450"/>
        <w:rPr>
          <w:rFonts w:ascii="宋体" w:hAnsi="宋体" w:cs="宋体"/>
          <w:color w:val="auto"/>
          <w:szCs w:val="21"/>
          <w:highlight w:val="none"/>
        </w:rPr>
      </w:pPr>
      <w:r>
        <w:rPr>
          <w:rFonts w:hint="eastAsia" w:ascii="宋体" w:hAnsi="宋体"/>
          <w:iCs/>
          <w:color w:val="auto"/>
          <w:szCs w:val="21"/>
          <w:highlight w:val="none"/>
        </w:rPr>
        <w:sym w:font="Wingdings" w:char="00FE"/>
      </w:r>
      <w:r>
        <w:rPr>
          <w:rFonts w:hint="eastAsia" w:ascii="宋体" w:hAnsi="宋体"/>
          <w:iCs/>
          <w:color w:val="auto"/>
          <w:szCs w:val="21"/>
          <w:highlight w:val="none"/>
        </w:rPr>
        <w:t>否</w:t>
      </w:r>
    </w:p>
    <w:p w14:paraId="1ED4329D">
      <w:pPr>
        <w:adjustRightInd w:val="0"/>
        <w:snapToGrid w:val="0"/>
        <w:spacing w:line="400" w:lineRule="exact"/>
        <w:ind w:firstLine="420" w:firstLineChars="200"/>
        <w:rPr>
          <w:rFonts w:ascii="宋体" w:hAnsi="宋体"/>
          <w:color w:val="auto"/>
          <w:szCs w:val="21"/>
          <w:highlight w:val="none"/>
        </w:rPr>
      </w:pPr>
      <w:r>
        <w:rPr>
          <w:rFonts w:hint="eastAsia" w:ascii="宋体" w:hAnsi="宋体" w:cs="宋体"/>
          <w:color w:val="auto"/>
          <w:szCs w:val="21"/>
          <w:highlight w:val="none"/>
        </w:rPr>
        <w:t>（</w:t>
      </w:r>
      <w:r>
        <w:rPr>
          <w:rFonts w:hint="eastAsia" w:ascii="宋体" w:hAnsi="宋体"/>
          <w:color w:val="auto"/>
          <w:szCs w:val="21"/>
          <w:highlight w:val="none"/>
        </w:rPr>
        <w:t>1</w:t>
      </w:r>
      <w:r>
        <w:rPr>
          <w:rFonts w:ascii="宋体" w:hAnsi="宋体"/>
          <w:color w:val="auto"/>
          <w:szCs w:val="21"/>
          <w:highlight w:val="none"/>
          <w:lang w:val="en"/>
        </w:rPr>
        <w:t>1</w:t>
      </w:r>
      <w:r>
        <w:rPr>
          <w:rFonts w:hint="eastAsia" w:ascii="宋体" w:hAnsi="宋体"/>
          <w:color w:val="auto"/>
          <w:szCs w:val="21"/>
          <w:highlight w:val="none"/>
        </w:rPr>
        <w:t>）涉及商品包装和快递包装的，是否参考《商品包装政府采购需求标准（试行）》、《快递包装政府采购需求标准（试行）》明确产品及相关快递服务的具体包装要求：</w:t>
      </w:r>
    </w:p>
    <w:p w14:paraId="189CD7ED">
      <w:pPr>
        <w:adjustRightInd w:val="0"/>
        <w:snapToGrid w:val="0"/>
        <w:spacing w:line="400" w:lineRule="exact"/>
        <w:ind w:firstLine="945" w:firstLineChars="450"/>
        <w:rPr>
          <w:rFonts w:ascii="宋体" w:hAnsi="宋体"/>
          <w:iCs/>
          <w:color w:val="auto"/>
          <w:szCs w:val="21"/>
          <w:highlight w:val="none"/>
        </w:rPr>
      </w:pPr>
      <w:r>
        <w:rPr>
          <w:rFonts w:hint="eastAsia" w:ascii="宋体" w:hAnsi="宋体"/>
          <w:iCs/>
          <w:color w:val="auto"/>
          <w:szCs w:val="21"/>
          <w:highlight w:val="none"/>
        </w:rPr>
        <w:sym w:font="Wingdings" w:char="00FE"/>
      </w:r>
      <w:r>
        <w:rPr>
          <w:rFonts w:hint="eastAsia" w:ascii="宋体" w:hAnsi="宋体"/>
          <w:iCs/>
          <w:color w:val="auto"/>
          <w:szCs w:val="21"/>
          <w:highlight w:val="none"/>
        </w:rPr>
        <w:t xml:space="preserve">是       </w:t>
      </w:r>
      <w:r>
        <w:rPr>
          <w:rFonts w:hint="eastAsia" w:ascii="宋体" w:hAnsi="宋体"/>
          <w:iCs/>
          <w:color w:val="auto"/>
          <w:szCs w:val="21"/>
          <w:highlight w:val="none"/>
        </w:rPr>
        <w:sym w:font="Wingdings" w:char="00A8"/>
      </w:r>
      <w:r>
        <w:rPr>
          <w:rFonts w:hint="eastAsia" w:ascii="宋体" w:hAnsi="宋体"/>
          <w:iCs/>
          <w:color w:val="auto"/>
          <w:szCs w:val="21"/>
          <w:highlight w:val="none"/>
        </w:rPr>
        <w:t xml:space="preserve">否      </w:t>
      </w:r>
      <w:r>
        <w:rPr>
          <w:rFonts w:hint="eastAsia" w:ascii="宋体" w:hAnsi="宋体"/>
          <w:iCs/>
          <w:color w:val="auto"/>
          <w:szCs w:val="21"/>
          <w:highlight w:val="none"/>
        </w:rPr>
        <w:sym w:font="Wingdings" w:char="00A8"/>
      </w:r>
      <w:r>
        <w:rPr>
          <w:rFonts w:hint="eastAsia" w:ascii="宋体" w:hAnsi="宋体"/>
          <w:iCs/>
          <w:color w:val="auto"/>
          <w:szCs w:val="21"/>
          <w:highlight w:val="none"/>
        </w:rPr>
        <w:t>不涉及</w:t>
      </w:r>
    </w:p>
    <w:p w14:paraId="52279781">
      <w:pPr>
        <w:numPr>
          <w:ilvl w:val="0"/>
          <w:numId w:val="7"/>
        </w:numPr>
        <w:adjustRightInd w:val="0"/>
        <w:snapToGrid w:val="0"/>
        <w:spacing w:line="400" w:lineRule="exact"/>
        <w:ind w:firstLine="422" w:firstLineChars="200"/>
        <w:rPr>
          <w:rFonts w:ascii="宋体" w:hAnsi="宋体"/>
          <w:b/>
          <w:color w:val="auto"/>
          <w:szCs w:val="21"/>
          <w:highlight w:val="none"/>
        </w:rPr>
      </w:pPr>
      <w:r>
        <w:rPr>
          <w:rFonts w:hint="eastAsia" w:ascii="宋体" w:hAnsi="宋体"/>
          <w:b/>
          <w:color w:val="auto"/>
          <w:szCs w:val="21"/>
          <w:highlight w:val="none"/>
        </w:rPr>
        <w:t>合同金额</w:t>
      </w:r>
    </w:p>
    <w:p w14:paraId="491C493A">
      <w:pPr>
        <w:adjustRightInd w:val="0"/>
        <w:snapToGrid w:val="0"/>
        <w:spacing w:line="400" w:lineRule="exact"/>
        <w:ind w:firstLine="420" w:firstLineChars="200"/>
        <w:rPr>
          <w:rFonts w:ascii="宋体" w:hAnsi="宋体"/>
          <w:color w:val="auto"/>
          <w:szCs w:val="21"/>
          <w:highlight w:val="none"/>
        </w:rPr>
      </w:pPr>
      <w:r>
        <w:rPr>
          <w:rFonts w:hint="eastAsia" w:ascii="宋体" w:hAnsi="宋体"/>
          <w:color w:val="auto"/>
          <w:szCs w:val="21"/>
          <w:highlight w:val="none"/>
        </w:rPr>
        <w:t>（1）合同金额小写：</w:t>
      </w:r>
      <w:r>
        <w:rPr>
          <w:rFonts w:hint="eastAsia" w:ascii="宋体" w:hAnsi="宋体"/>
          <w:color w:val="auto"/>
          <w:szCs w:val="21"/>
          <w:highlight w:val="none"/>
          <w:u w:val="single"/>
        </w:rPr>
        <w:t xml:space="preserve">                           </w:t>
      </w:r>
    </w:p>
    <w:p w14:paraId="35B302B4">
      <w:pPr>
        <w:adjustRightInd w:val="0"/>
        <w:snapToGrid w:val="0"/>
        <w:spacing w:line="400" w:lineRule="exact"/>
        <w:rPr>
          <w:rFonts w:ascii="宋体" w:hAnsi="宋体"/>
          <w:color w:val="auto"/>
          <w:szCs w:val="21"/>
          <w:highlight w:val="none"/>
          <w:u w:val="single"/>
        </w:rPr>
      </w:pPr>
      <w:r>
        <w:rPr>
          <w:rFonts w:hint="eastAsia" w:ascii="宋体" w:hAnsi="宋体"/>
          <w:color w:val="auto"/>
          <w:szCs w:val="21"/>
          <w:highlight w:val="none"/>
        </w:rPr>
        <w:t xml:space="preserve">                 大写：</w:t>
      </w:r>
      <w:r>
        <w:rPr>
          <w:rFonts w:hint="eastAsia" w:ascii="宋体" w:hAnsi="宋体"/>
          <w:color w:val="auto"/>
          <w:szCs w:val="21"/>
          <w:highlight w:val="none"/>
          <w:u w:val="single"/>
        </w:rPr>
        <w:t xml:space="preserve">                           </w:t>
      </w:r>
    </w:p>
    <w:p w14:paraId="13226AC0">
      <w:pPr>
        <w:adjustRightInd w:val="0"/>
        <w:snapToGrid w:val="0"/>
        <w:spacing w:line="400" w:lineRule="exact"/>
        <w:rPr>
          <w:rFonts w:ascii="宋体" w:hAnsi="宋体"/>
          <w:color w:val="auto"/>
          <w:szCs w:val="21"/>
          <w:highlight w:val="none"/>
        </w:rPr>
      </w:pPr>
      <w:r>
        <w:rPr>
          <w:rFonts w:hint="eastAsia" w:ascii="宋体" w:hAnsi="宋体"/>
          <w:color w:val="auto"/>
          <w:szCs w:val="21"/>
          <w:highlight w:val="none"/>
        </w:rPr>
        <w:t xml:space="preserve">         分包金额（如有）小写：</w:t>
      </w:r>
      <w:r>
        <w:rPr>
          <w:rFonts w:hint="eastAsia" w:ascii="宋体" w:hAnsi="宋体"/>
          <w:color w:val="auto"/>
          <w:szCs w:val="21"/>
          <w:highlight w:val="none"/>
          <w:u w:val="single"/>
        </w:rPr>
        <w:t xml:space="preserve">                   </w:t>
      </w:r>
    </w:p>
    <w:p w14:paraId="57778F47">
      <w:pPr>
        <w:adjustRightInd w:val="0"/>
        <w:snapToGrid w:val="0"/>
        <w:spacing w:line="400" w:lineRule="exact"/>
        <w:rPr>
          <w:rFonts w:ascii="宋体" w:hAnsi="宋体"/>
          <w:color w:val="auto"/>
          <w:szCs w:val="21"/>
          <w:highlight w:val="none"/>
          <w:u w:val="single"/>
        </w:rPr>
      </w:pPr>
      <w:r>
        <w:rPr>
          <w:rFonts w:hint="eastAsia" w:ascii="宋体" w:hAnsi="宋体"/>
          <w:color w:val="auto"/>
          <w:szCs w:val="21"/>
          <w:highlight w:val="none"/>
        </w:rPr>
        <w:t xml:space="preserve">                     大写：</w:t>
      </w:r>
      <w:r>
        <w:rPr>
          <w:rFonts w:hint="eastAsia" w:ascii="宋体" w:hAnsi="宋体"/>
          <w:color w:val="auto"/>
          <w:szCs w:val="21"/>
          <w:highlight w:val="none"/>
          <w:u w:val="single"/>
        </w:rPr>
        <w:t xml:space="preserve">                       </w:t>
      </w:r>
    </w:p>
    <w:p w14:paraId="4753FC04">
      <w:pPr>
        <w:adjustRightInd w:val="0"/>
        <w:snapToGrid w:val="0"/>
        <w:spacing w:line="400" w:lineRule="exact"/>
        <w:rPr>
          <w:rFonts w:ascii="宋体" w:hAnsi="宋体"/>
          <w:color w:val="auto"/>
          <w:szCs w:val="21"/>
          <w:highlight w:val="none"/>
        </w:rPr>
      </w:pPr>
      <w:r>
        <w:rPr>
          <w:rFonts w:hint="eastAsia" w:ascii="宋体" w:hAnsi="宋体"/>
          <w:color w:val="auto"/>
          <w:szCs w:val="21"/>
          <w:highlight w:val="none"/>
        </w:rPr>
        <w:t xml:space="preserve">    （注：固定单价合同应填写单价和最高限价）</w:t>
      </w:r>
    </w:p>
    <w:p w14:paraId="28FA0580">
      <w:pPr>
        <w:adjustRightInd w:val="0"/>
        <w:snapToGrid w:val="0"/>
        <w:spacing w:line="400" w:lineRule="exact"/>
        <w:ind w:firstLine="420" w:firstLineChars="200"/>
        <w:rPr>
          <w:rFonts w:ascii="宋体" w:hAnsi="宋体"/>
          <w:color w:val="auto"/>
          <w:szCs w:val="21"/>
          <w:highlight w:val="none"/>
        </w:rPr>
      </w:pPr>
      <w:r>
        <w:rPr>
          <w:rFonts w:hint="eastAsia" w:ascii="宋体" w:hAnsi="宋体"/>
          <w:color w:val="auto"/>
          <w:szCs w:val="21"/>
          <w:highlight w:val="none"/>
        </w:rPr>
        <w:t>（2）</w:t>
      </w:r>
      <w:r>
        <w:rPr>
          <w:rFonts w:hint="eastAsia" w:ascii="宋体" w:hAnsi="宋体" w:cs="宋体"/>
          <w:color w:val="auto"/>
          <w:szCs w:val="21"/>
          <w:highlight w:val="none"/>
        </w:rPr>
        <w:t>合同</w:t>
      </w:r>
      <w:r>
        <w:rPr>
          <w:rFonts w:hint="eastAsia" w:ascii="宋体" w:hAnsi="宋体"/>
          <w:color w:val="auto"/>
          <w:szCs w:val="21"/>
          <w:highlight w:val="none"/>
        </w:rPr>
        <w:t>定价方式：</w:t>
      </w:r>
    </w:p>
    <w:p w14:paraId="6EF116FD">
      <w:pPr>
        <w:adjustRightInd w:val="0"/>
        <w:snapToGrid w:val="0"/>
        <w:spacing w:line="400" w:lineRule="exact"/>
        <w:ind w:firstLine="945" w:firstLineChars="450"/>
        <w:rPr>
          <w:rFonts w:ascii="宋体" w:hAnsi="宋体"/>
          <w:color w:val="auto"/>
          <w:szCs w:val="21"/>
          <w:highlight w:val="none"/>
        </w:rPr>
      </w:pPr>
      <w:r>
        <w:rPr>
          <w:rFonts w:hint="eastAsia" w:ascii="宋体" w:hAnsi="宋体"/>
          <w:iCs/>
          <w:color w:val="auto"/>
          <w:szCs w:val="21"/>
          <w:highlight w:val="none"/>
        </w:rPr>
        <w:sym w:font="Wingdings" w:char="00A8"/>
      </w:r>
      <w:r>
        <w:rPr>
          <w:rFonts w:hint="eastAsia" w:ascii="宋体" w:hAnsi="宋体"/>
          <w:iCs/>
          <w:color w:val="auto"/>
          <w:szCs w:val="21"/>
          <w:highlight w:val="none"/>
        </w:rPr>
        <w:t xml:space="preserve">固定总价 </w:t>
      </w:r>
      <w:r>
        <w:rPr>
          <w:rFonts w:hint="eastAsia" w:ascii="宋体" w:hAnsi="宋体"/>
          <w:iCs/>
          <w:color w:val="auto"/>
          <w:szCs w:val="21"/>
          <w:highlight w:val="none"/>
        </w:rPr>
        <w:sym w:font="Wingdings" w:char="00FE"/>
      </w:r>
      <w:r>
        <w:rPr>
          <w:rFonts w:hint="eastAsia" w:ascii="宋体" w:hAnsi="宋体"/>
          <w:iCs/>
          <w:color w:val="auto"/>
          <w:szCs w:val="21"/>
          <w:highlight w:val="none"/>
        </w:rPr>
        <w:t xml:space="preserve">固定单价 </w:t>
      </w:r>
      <w:r>
        <w:rPr>
          <w:rFonts w:hint="eastAsia" w:ascii="宋体" w:hAnsi="宋体"/>
          <w:iCs/>
          <w:color w:val="auto"/>
          <w:szCs w:val="21"/>
          <w:highlight w:val="none"/>
        </w:rPr>
        <w:sym w:font="Wingdings" w:char="00A8"/>
      </w:r>
      <w:r>
        <w:rPr>
          <w:rFonts w:hint="eastAsia" w:ascii="宋体" w:hAnsi="宋体"/>
          <w:iCs/>
          <w:color w:val="auto"/>
          <w:szCs w:val="21"/>
          <w:highlight w:val="none"/>
        </w:rPr>
        <w:t xml:space="preserve">固定费率 </w:t>
      </w:r>
      <w:r>
        <w:rPr>
          <w:rFonts w:hint="eastAsia" w:ascii="宋体" w:hAnsi="宋体"/>
          <w:iCs/>
          <w:color w:val="auto"/>
          <w:szCs w:val="21"/>
          <w:highlight w:val="none"/>
        </w:rPr>
        <w:sym w:font="Wingdings" w:char="00A8"/>
      </w:r>
      <w:r>
        <w:rPr>
          <w:rFonts w:hint="eastAsia" w:ascii="宋体" w:hAnsi="宋体"/>
          <w:iCs/>
          <w:color w:val="auto"/>
          <w:szCs w:val="21"/>
          <w:highlight w:val="none"/>
        </w:rPr>
        <w:t xml:space="preserve">成本补偿 </w:t>
      </w:r>
      <w:r>
        <w:rPr>
          <w:rFonts w:hint="eastAsia" w:ascii="宋体" w:hAnsi="宋体"/>
          <w:iCs/>
          <w:color w:val="auto"/>
          <w:szCs w:val="21"/>
          <w:highlight w:val="none"/>
        </w:rPr>
        <w:sym w:font="Wingdings" w:char="00A8"/>
      </w:r>
      <w:r>
        <w:rPr>
          <w:rFonts w:hint="eastAsia" w:ascii="宋体" w:hAnsi="宋体"/>
          <w:iCs/>
          <w:color w:val="auto"/>
          <w:szCs w:val="21"/>
          <w:highlight w:val="none"/>
        </w:rPr>
        <w:t xml:space="preserve">绩效激励 </w:t>
      </w:r>
      <w:r>
        <w:rPr>
          <w:rFonts w:hint="eastAsia" w:ascii="宋体" w:hAnsi="宋体"/>
          <w:iCs/>
          <w:color w:val="auto"/>
          <w:szCs w:val="21"/>
          <w:highlight w:val="none"/>
        </w:rPr>
        <w:sym w:font="Wingdings" w:char="00A8"/>
      </w:r>
      <w:r>
        <w:rPr>
          <w:rFonts w:hint="eastAsia" w:ascii="宋体" w:hAnsi="宋体"/>
          <w:iCs/>
          <w:color w:val="auto"/>
          <w:szCs w:val="21"/>
          <w:highlight w:val="none"/>
        </w:rPr>
        <w:t>其他</w:t>
      </w:r>
      <w:r>
        <w:rPr>
          <w:rFonts w:hint="eastAsia" w:ascii="宋体" w:hAnsi="宋体"/>
          <w:color w:val="auto"/>
          <w:szCs w:val="21"/>
          <w:highlight w:val="none"/>
          <w:u w:val="single"/>
        </w:rPr>
        <w:t xml:space="preserve">       </w:t>
      </w:r>
    </w:p>
    <w:p w14:paraId="5B7FE07A">
      <w:pPr>
        <w:adjustRightInd w:val="0"/>
        <w:snapToGrid w:val="0"/>
        <w:spacing w:line="400" w:lineRule="exact"/>
        <w:ind w:firstLine="420" w:firstLineChars="200"/>
        <w:rPr>
          <w:color w:val="auto"/>
          <w:highlight w:val="none"/>
        </w:rPr>
      </w:pPr>
      <w:r>
        <w:rPr>
          <w:rFonts w:hint="eastAsia" w:ascii="宋体" w:hAnsi="宋体"/>
          <w:color w:val="auto"/>
          <w:highlight w:val="none"/>
        </w:rPr>
        <w:t>（3）</w:t>
      </w:r>
      <w:r>
        <w:rPr>
          <w:rFonts w:hint="eastAsia" w:ascii="宋体" w:hAnsi="宋体" w:cs="宋体"/>
          <w:color w:val="auto"/>
          <w:szCs w:val="21"/>
          <w:highlight w:val="none"/>
        </w:rPr>
        <w:t>付款</w:t>
      </w:r>
      <w:r>
        <w:rPr>
          <w:rFonts w:hint="eastAsia" w:ascii="宋体" w:hAnsi="宋体"/>
          <w:color w:val="auto"/>
          <w:highlight w:val="none"/>
        </w:rPr>
        <w:t>方式：甲方与乙方供货合同签订且货到甲方指定地点后，提交所在市卫健委汇总后报安徽省卫生健康委员会，由安徽省卫生健康委员会统一支付超长期国债资金（以下简称“到货款”），货物安装、验收合格，甲方在收到发票后向乙方支付剩余款项（以下简称“尾款”），安徽省卫生健康委员会支付的到货款与甲方支付的尾款之和为分合同合同总额。（如果招标公告附件中列明的甲方“超长期国债资金付款金额”不小于分合同合同总额的90%，则安徽省卫生健康委员会支付的到货款为分合同合同总额的90%，甲方支付的尾款为分合同合同总额的10%；如果招标公告附件中列明的甲方“超长期国债资金付款金额”小于分合同合同总额的90%，则安徽省卫生健康委员会支付的到货款为招标公告附件中列明的“超长期国债资金付款金额”，甲方支付的尾款为分合同合同总额扣除招标公告附件中列明的“超长期国债资金付款金额”的剩余金额。）</w:t>
      </w:r>
    </w:p>
    <w:p w14:paraId="262D60A6">
      <w:pPr>
        <w:adjustRightInd w:val="0"/>
        <w:snapToGrid w:val="0"/>
        <w:spacing w:line="400" w:lineRule="exact"/>
        <w:ind w:firstLine="945" w:firstLineChars="450"/>
        <w:rPr>
          <w:rFonts w:ascii="宋体" w:hAnsi="宋体"/>
          <w:iCs/>
          <w:color w:val="auto"/>
          <w:szCs w:val="21"/>
          <w:highlight w:val="none"/>
        </w:rPr>
      </w:pPr>
      <w:r>
        <w:rPr>
          <w:rFonts w:hint="eastAsia" w:ascii="宋体" w:hAnsi="宋体"/>
          <w:iCs/>
          <w:color w:val="auto"/>
          <w:szCs w:val="21"/>
          <w:highlight w:val="none"/>
        </w:rPr>
        <w:t xml:space="preserve">      </w:t>
      </w:r>
    </w:p>
    <w:p w14:paraId="2CCC4F17">
      <w:pPr>
        <w:numPr>
          <w:ilvl w:val="0"/>
          <w:numId w:val="7"/>
        </w:numPr>
        <w:adjustRightInd w:val="0"/>
        <w:snapToGrid w:val="0"/>
        <w:spacing w:line="400" w:lineRule="exact"/>
        <w:ind w:firstLine="422" w:firstLineChars="200"/>
        <w:rPr>
          <w:rFonts w:ascii="宋体" w:hAnsi="宋体"/>
          <w:b/>
          <w:color w:val="auto"/>
          <w:szCs w:val="21"/>
          <w:highlight w:val="none"/>
          <w:u w:val="single"/>
        </w:rPr>
      </w:pPr>
      <w:r>
        <w:rPr>
          <w:rFonts w:hint="eastAsia" w:ascii="宋体" w:hAnsi="宋体"/>
          <w:b/>
          <w:color w:val="auto"/>
          <w:szCs w:val="21"/>
          <w:highlight w:val="none"/>
        </w:rPr>
        <w:t>合同履行</w:t>
      </w:r>
    </w:p>
    <w:p w14:paraId="21A88AAF">
      <w:pPr>
        <w:adjustRightInd w:val="0"/>
        <w:snapToGrid w:val="0"/>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（1）合同履行期限：起始日期：</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年</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月</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日，完成日期：</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年</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月</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日。</w:t>
      </w:r>
    </w:p>
    <w:p w14:paraId="3A238502">
      <w:pPr>
        <w:adjustRightInd w:val="0"/>
        <w:snapToGrid w:val="0"/>
        <w:spacing w:line="400" w:lineRule="exact"/>
        <w:ind w:firstLine="420" w:firstLineChars="200"/>
        <w:rPr>
          <w:rFonts w:ascii="宋体" w:hAnsi="宋体" w:cs="宋体"/>
          <w:color w:val="auto"/>
          <w:szCs w:val="21"/>
          <w:highlight w:val="none"/>
          <w:u w:val="single"/>
        </w:rPr>
      </w:pPr>
      <w:r>
        <w:rPr>
          <w:rFonts w:hint="eastAsia" w:ascii="宋体" w:hAnsi="宋体" w:cs="宋体"/>
          <w:color w:val="auto"/>
          <w:szCs w:val="21"/>
          <w:highlight w:val="none"/>
        </w:rPr>
        <w:t>（2）履约地点</w:t>
      </w:r>
      <w:r>
        <w:rPr>
          <w:rFonts w:hint="eastAsia" w:ascii="宋体" w:hAnsi="宋体" w:cs="宋体"/>
          <w:bCs/>
          <w:color w:val="auto"/>
          <w:szCs w:val="21"/>
          <w:highlight w:val="none"/>
        </w:rPr>
        <w:t>：</w:t>
      </w:r>
    </w:p>
    <w:p w14:paraId="00874559">
      <w:pPr>
        <w:adjustRightInd w:val="0"/>
        <w:snapToGrid w:val="0"/>
        <w:spacing w:line="400" w:lineRule="exact"/>
        <w:ind w:firstLine="420" w:firstLineChars="200"/>
        <w:rPr>
          <w:rFonts w:ascii="宋体" w:hAnsi="宋体" w:cs="宋体"/>
          <w:color w:val="auto"/>
          <w:szCs w:val="21"/>
          <w:highlight w:val="none"/>
        </w:rPr>
      </w:pPr>
      <w:r>
        <w:rPr>
          <w:rFonts w:hint="eastAsia" w:ascii="宋体" w:hAnsi="宋体" w:cs="宋体"/>
          <w:bCs/>
          <w:color w:val="auto"/>
          <w:szCs w:val="21"/>
          <w:highlight w:val="none"/>
        </w:rPr>
        <w:t>（3）履约担保：</w:t>
      </w:r>
      <w:r>
        <w:rPr>
          <w:rFonts w:hint="eastAsia" w:ascii="宋体" w:hAnsi="宋体" w:cs="宋体"/>
          <w:color w:val="auto"/>
          <w:highlight w:val="none"/>
        </w:rPr>
        <w:t>是否收取履约保证金：</w:t>
      </w:r>
      <w:r>
        <w:rPr>
          <w:rFonts w:hint="eastAsia" w:ascii="宋体" w:hAnsi="宋体" w:cs="宋体"/>
          <w:color w:val="auto"/>
          <w:szCs w:val="21"/>
          <w:highlight w:val="none"/>
        </w:rPr>
        <w:sym w:font="Wingdings" w:char="00FE"/>
      </w:r>
      <w:r>
        <w:rPr>
          <w:rFonts w:hint="eastAsia" w:ascii="宋体" w:hAnsi="宋体" w:cs="宋体"/>
          <w:color w:val="auto"/>
          <w:szCs w:val="21"/>
          <w:highlight w:val="none"/>
        </w:rPr>
        <w:t xml:space="preserve">是    </w:t>
      </w:r>
      <w:r>
        <w:rPr>
          <w:rFonts w:hint="eastAsia" w:ascii="宋体" w:hAnsi="宋体" w:cs="宋体"/>
          <w:color w:val="auto"/>
          <w:szCs w:val="21"/>
          <w:highlight w:val="none"/>
        </w:rPr>
        <w:sym w:font="Wingdings" w:char="00A8"/>
      </w:r>
      <w:r>
        <w:rPr>
          <w:rFonts w:hint="eastAsia" w:ascii="宋体" w:hAnsi="宋体" w:cs="宋体"/>
          <w:color w:val="auto"/>
          <w:szCs w:val="21"/>
          <w:highlight w:val="none"/>
        </w:rPr>
        <w:t>否</w:t>
      </w:r>
    </w:p>
    <w:p w14:paraId="6B0962B7">
      <w:pPr>
        <w:adjustRightInd w:val="0"/>
        <w:snapToGrid w:val="0"/>
        <w:spacing w:line="400" w:lineRule="exact"/>
        <w:ind w:firstLine="945" w:firstLineChars="450"/>
        <w:rPr>
          <w:rFonts w:ascii="宋体" w:hAnsi="宋体"/>
          <w:iCs/>
          <w:color w:val="auto"/>
          <w:szCs w:val="21"/>
          <w:highlight w:val="none"/>
        </w:rPr>
      </w:pPr>
      <w:r>
        <w:rPr>
          <w:rFonts w:hint="eastAsia" w:ascii="宋体" w:hAnsi="宋体"/>
          <w:iCs/>
          <w:color w:val="auto"/>
          <w:szCs w:val="21"/>
          <w:highlight w:val="none"/>
        </w:rPr>
        <w:t>收取履约保证金形式：见采购文件第二章投标人须知7.3.1</w:t>
      </w:r>
    </w:p>
    <w:p w14:paraId="0AB7D1F5">
      <w:pPr>
        <w:adjustRightInd w:val="0"/>
        <w:snapToGrid w:val="0"/>
        <w:spacing w:line="400" w:lineRule="exact"/>
        <w:ind w:firstLine="945" w:firstLineChars="450"/>
        <w:rPr>
          <w:rFonts w:ascii="宋体" w:hAnsi="宋体"/>
          <w:iCs/>
          <w:color w:val="auto"/>
          <w:szCs w:val="21"/>
          <w:highlight w:val="none"/>
        </w:rPr>
      </w:pPr>
      <w:r>
        <w:rPr>
          <w:rFonts w:hint="eastAsia" w:ascii="宋体" w:hAnsi="宋体"/>
          <w:iCs/>
          <w:color w:val="auto"/>
          <w:szCs w:val="21"/>
          <w:highlight w:val="none"/>
        </w:rPr>
        <w:t xml:space="preserve">收取履约保证金金额：                            </w:t>
      </w:r>
    </w:p>
    <w:p w14:paraId="45B8C693">
      <w:pPr>
        <w:adjustRightInd w:val="0"/>
        <w:snapToGrid w:val="0"/>
        <w:spacing w:line="400" w:lineRule="exact"/>
        <w:ind w:firstLine="945" w:firstLineChars="450"/>
        <w:rPr>
          <w:rFonts w:ascii="宋体" w:hAnsi="宋体"/>
          <w:iCs/>
          <w:color w:val="auto"/>
          <w:szCs w:val="21"/>
          <w:highlight w:val="none"/>
        </w:rPr>
      </w:pPr>
      <w:r>
        <w:rPr>
          <w:rFonts w:hint="eastAsia" w:ascii="宋体" w:hAnsi="宋体"/>
          <w:iCs/>
          <w:color w:val="auto"/>
          <w:szCs w:val="21"/>
          <w:highlight w:val="none"/>
        </w:rPr>
        <w:t xml:space="preserve">履约担保期限：                                  </w:t>
      </w:r>
    </w:p>
    <w:p w14:paraId="47879335">
      <w:pPr>
        <w:adjustRightInd w:val="0"/>
        <w:snapToGrid w:val="0"/>
        <w:spacing w:line="400" w:lineRule="exact"/>
        <w:ind w:firstLine="420" w:firstLineChars="200"/>
        <w:rPr>
          <w:rFonts w:ascii="宋体" w:hAnsi="宋体" w:cs="宋体"/>
          <w:bCs/>
          <w:color w:val="auto"/>
          <w:szCs w:val="21"/>
          <w:highlight w:val="none"/>
        </w:rPr>
      </w:pPr>
      <w:r>
        <w:rPr>
          <w:rFonts w:hint="eastAsia" w:ascii="宋体" w:hAnsi="宋体" w:cs="宋体"/>
          <w:bCs/>
          <w:color w:val="auto"/>
          <w:szCs w:val="21"/>
          <w:highlight w:val="none"/>
        </w:rPr>
        <w:t>（4）</w:t>
      </w:r>
      <w:r>
        <w:rPr>
          <w:rFonts w:hint="eastAsia" w:ascii="宋体" w:hAnsi="宋体" w:cs="宋体"/>
          <w:color w:val="auto"/>
          <w:szCs w:val="21"/>
          <w:highlight w:val="none"/>
        </w:rPr>
        <w:t>分期</w:t>
      </w:r>
      <w:r>
        <w:rPr>
          <w:rFonts w:hint="eastAsia" w:ascii="宋体" w:hAnsi="宋体" w:cs="宋体"/>
          <w:bCs/>
          <w:color w:val="auto"/>
          <w:szCs w:val="21"/>
          <w:highlight w:val="none"/>
        </w:rPr>
        <w:t>履行要求：</w:t>
      </w:r>
      <w:r>
        <w:rPr>
          <w:rFonts w:hint="eastAsia" w:ascii="宋体" w:hAnsi="宋体" w:cs="宋体"/>
          <w:bCs/>
          <w:color w:val="auto"/>
          <w:szCs w:val="21"/>
          <w:highlight w:val="none"/>
          <w:u w:val="single"/>
        </w:rPr>
        <w:t xml:space="preserve">                                                        </w:t>
      </w:r>
    </w:p>
    <w:p w14:paraId="5E09C29A">
      <w:pPr>
        <w:adjustRightInd w:val="0"/>
        <w:snapToGrid w:val="0"/>
        <w:spacing w:line="400" w:lineRule="exact"/>
        <w:ind w:firstLine="420" w:firstLineChars="200"/>
        <w:rPr>
          <w:rFonts w:ascii="宋体" w:hAnsi="宋体" w:cs="宋体"/>
          <w:color w:val="auto"/>
          <w:szCs w:val="21"/>
          <w:highlight w:val="none"/>
          <w:u w:val="single"/>
        </w:rPr>
      </w:pPr>
      <w:r>
        <w:rPr>
          <w:rFonts w:hint="eastAsia" w:ascii="宋体" w:hAnsi="宋体" w:cs="宋体"/>
          <w:bCs/>
          <w:color w:val="auto"/>
          <w:szCs w:val="21"/>
          <w:highlight w:val="none"/>
        </w:rPr>
        <w:t>（5）</w:t>
      </w:r>
      <w:r>
        <w:rPr>
          <w:rFonts w:hint="eastAsia" w:ascii="宋体" w:hAnsi="宋体" w:cs="宋体"/>
          <w:color w:val="auto"/>
          <w:szCs w:val="21"/>
          <w:highlight w:val="none"/>
        </w:rPr>
        <w:t>风险</w:t>
      </w:r>
      <w:r>
        <w:rPr>
          <w:rFonts w:hint="eastAsia" w:ascii="宋体" w:hAnsi="宋体" w:cs="宋体"/>
          <w:bCs/>
          <w:color w:val="auto"/>
          <w:szCs w:val="21"/>
          <w:highlight w:val="none"/>
        </w:rPr>
        <w:t>处置措施和替代方案：</w:t>
      </w:r>
      <w:r>
        <w:rPr>
          <w:rFonts w:hint="eastAsia" w:ascii="宋体" w:hAnsi="宋体" w:cs="宋体"/>
          <w:color w:val="auto"/>
          <w:szCs w:val="21"/>
          <w:highlight w:val="none"/>
          <w:u w:val="single"/>
        </w:rPr>
        <w:t xml:space="preserve">                                                               </w:t>
      </w:r>
    </w:p>
    <w:p w14:paraId="08F041E9">
      <w:pPr>
        <w:numPr>
          <w:ilvl w:val="0"/>
          <w:numId w:val="7"/>
        </w:numPr>
        <w:adjustRightInd w:val="0"/>
        <w:snapToGrid w:val="0"/>
        <w:spacing w:line="400" w:lineRule="exact"/>
        <w:ind w:firstLine="422" w:firstLineChars="200"/>
        <w:rPr>
          <w:rFonts w:ascii="宋体" w:hAnsi="宋体"/>
          <w:b/>
          <w:color w:val="auto"/>
          <w:szCs w:val="21"/>
          <w:highlight w:val="none"/>
        </w:rPr>
      </w:pPr>
      <w:r>
        <w:rPr>
          <w:rFonts w:hint="eastAsia" w:ascii="宋体" w:hAnsi="宋体"/>
          <w:b/>
          <w:color w:val="auto"/>
          <w:szCs w:val="21"/>
          <w:highlight w:val="none"/>
        </w:rPr>
        <w:t>合同验收</w:t>
      </w:r>
    </w:p>
    <w:p w14:paraId="63FCFC90">
      <w:pPr>
        <w:numPr>
          <w:ilvl w:val="0"/>
          <w:numId w:val="9"/>
        </w:numPr>
        <w:adjustRightInd w:val="0"/>
        <w:snapToGrid w:val="0"/>
        <w:spacing w:line="400" w:lineRule="exact"/>
        <w:ind w:firstLine="420" w:firstLineChars="200"/>
        <w:rPr>
          <w:rFonts w:ascii="宋体" w:hAnsi="宋体"/>
          <w:bCs/>
          <w:color w:val="auto"/>
          <w:szCs w:val="21"/>
          <w:highlight w:val="none"/>
        </w:rPr>
      </w:pPr>
      <w:r>
        <w:rPr>
          <w:rFonts w:hint="eastAsia" w:ascii="宋体" w:hAnsi="宋体"/>
          <w:bCs/>
          <w:color w:val="auto"/>
          <w:szCs w:val="21"/>
          <w:highlight w:val="none"/>
        </w:rPr>
        <w:t>验收组织方式：</w:t>
      </w:r>
      <w:r>
        <w:rPr>
          <w:rFonts w:hint="eastAsia" w:ascii="宋体" w:hAnsi="宋体" w:cs="宋体"/>
          <w:color w:val="auto"/>
          <w:szCs w:val="21"/>
          <w:highlight w:val="none"/>
        </w:rPr>
        <w:sym w:font="Wingdings" w:char="00A8"/>
      </w:r>
      <w:r>
        <w:rPr>
          <w:rFonts w:hint="eastAsia" w:ascii="宋体" w:hAnsi="宋体"/>
          <w:bCs/>
          <w:color w:val="auto"/>
          <w:szCs w:val="21"/>
          <w:highlight w:val="none"/>
        </w:rPr>
        <w:t xml:space="preserve">自行组织 </w:t>
      </w:r>
      <w:r>
        <w:rPr>
          <w:rFonts w:hint="eastAsia" w:ascii="宋体" w:hAnsi="宋体" w:cs="宋体"/>
          <w:color w:val="auto"/>
          <w:szCs w:val="21"/>
          <w:highlight w:val="none"/>
        </w:rPr>
        <w:sym w:font="Wingdings" w:char="00A8"/>
      </w:r>
      <w:r>
        <w:rPr>
          <w:rFonts w:hint="eastAsia" w:ascii="宋体" w:hAnsi="宋体"/>
          <w:bCs/>
          <w:color w:val="auto"/>
          <w:szCs w:val="21"/>
          <w:highlight w:val="none"/>
        </w:rPr>
        <w:t>委托第三方组织</w:t>
      </w:r>
    </w:p>
    <w:p w14:paraId="219DA69F">
      <w:pPr>
        <w:adjustRightInd w:val="0"/>
        <w:snapToGrid w:val="0"/>
        <w:spacing w:line="400" w:lineRule="exact"/>
        <w:ind w:firstLine="945" w:firstLineChars="450"/>
        <w:rPr>
          <w:rFonts w:ascii="宋体" w:hAnsi="宋体"/>
          <w:iCs/>
          <w:color w:val="auto"/>
          <w:szCs w:val="21"/>
          <w:highlight w:val="none"/>
        </w:rPr>
      </w:pPr>
      <w:r>
        <w:rPr>
          <w:rFonts w:hint="eastAsia" w:ascii="宋体" w:hAnsi="宋体"/>
          <w:iCs/>
          <w:color w:val="auto"/>
          <w:szCs w:val="21"/>
          <w:highlight w:val="none"/>
        </w:rPr>
        <w:t xml:space="preserve">验收主体：                  </w:t>
      </w:r>
    </w:p>
    <w:p w14:paraId="0B8B8FD9">
      <w:pPr>
        <w:adjustRightInd w:val="0"/>
        <w:snapToGrid w:val="0"/>
        <w:spacing w:line="400" w:lineRule="exact"/>
        <w:ind w:firstLine="945" w:firstLineChars="450"/>
        <w:rPr>
          <w:rFonts w:ascii="宋体" w:hAnsi="宋体"/>
          <w:iCs/>
          <w:color w:val="auto"/>
          <w:szCs w:val="21"/>
          <w:highlight w:val="none"/>
        </w:rPr>
      </w:pPr>
      <w:r>
        <w:rPr>
          <w:rFonts w:hint="eastAsia" w:ascii="宋体" w:hAnsi="宋体"/>
          <w:iCs/>
          <w:color w:val="auto"/>
          <w:szCs w:val="21"/>
          <w:highlight w:val="none"/>
        </w:rPr>
        <w:t>是否邀请本项目的其他供应商参加验收：</w:t>
      </w:r>
      <w:r>
        <w:rPr>
          <w:rFonts w:hint="eastAsia" w:ascii="宋体" w:hAnsi="宋体"/>
          <w:iCs/>
          <w:color w:val="auto"/>
          <w:szCs w:val="21"/>
          <w:highlight w:val="none"/>
        </w:rPr>
        <w:sym w:font="Wingdings" w:char="00A8"/>
      </w:r>
      <w:r>
        <w:rPr>
          <w:rFonts w:hint="eastAsia" w:ascii="宋体" w:hAnsi="宋体"/>
          <w:iCs/>
          <w:color w:val="auto"/>
          <w:szCs w:val="21"/>
          <w:highlight w:val="none"/>
        </w:rPr>
        <w:t xml:space="preserve">是  </w:t>
      </w:r>
      <w:r>
        <w:rPr>
          <w:rFonts w:hint="eastAsia" w:ascii="宋体" w:hAnsi="宋体"/>
          <w:iCs/>
          <w:color w:val="auto"/>
          <w:szCs w:val="21"/>
          <w:highlight w:val="none"/>
        </w:rPr>
        <w:sym w:font="Wingdings" w:char="00A8"/>
      </w:r>
      <w:r>
        <w:rPr>
          <w:rFonts w:hint="eastAsia" w:ascii="宋体" w:hAnsi="宋体"/>
          <w:iCs/>
          <w:color w:val="auto"/>
          <w:szCs w:val="21"/>
          <w:highlight w:val="none"/>
        </w:rPr>
        <w:t>否</w:t>
      </w:r>
    </w:p>
    <w:p w14:paraId="28F838A6">
      <w:pPr>
        <w:adjustRightInd w:val="0"/>
        <w:snapToGrid w:val="0"/>
        <w:spacing w:line="400" w:lineRule="exact"/>
        <w:ind w:firstLine="945" w:firstLineChars="450"/>
        <w:rPr>
          <w:rFonts w:ascii="宋体" w:hAnsi="宋体"/>
          <w:iCs/>
          <w:color w:val="auto"/>
          <w:szCs w:val="21"/>
          <w:highlight w:val="none"/>
        </w:rPr>
      </w:pPr>
      <w:r>
        <w:rPr>
          <w:rFonts w:hint="eastAsia" w:ascii="宋体" w:hAnsi="宋体"/>
          <w:iCs/>
          <w:color w:val="auto"/>
          <w:szCs w:val="21"/>
          <w:highlight w:val="none"/>
        </w:rPr>
        <w:t>是否邀请专家参加验收：</w:t>
      </w:r>
      <w:r>
        <w:rPr>
          <w:rFonts w:hint="eastAsia" w:ascii="宋体" w:hAnsi="宋体"/>
          <w:iCs/>
          <w:color w:val="auto"/>
          <w:szCs w:val="21"/>
          <w:highlight w:val="none"/>
        </w:rPr>
        <w:sym w:font="Wingdings" w:char="00A8"/>
      </w:r>
      <w:r>
        <w:rPr>
          <w:rFonts w:hint="eastAsia" w:ascii="宋体" w:hAnsi="宋体"/>
          <w:iCs/>
          <w:color w:val="auto"/>
          <w:szCs w:val="21"/>
          <w:highlight w:val="none"/>
        </w:rPr>
        <w:t xml:space="preserve">是  </w:t>
      </w:r>
      <w:r>
        <w:rPr>
          <w:rFonts w:hint="eastAsia" w:ascii="宋体" w:hAnsi="宋体"/>
          <w:iCs/>
          <w:color w:val="auto"/>
          <w:szCs w:val="21"/>
          <w:highlight w:val="none"/>
        </w:rPr>
        <w:sym w:font="Wingdings" w:char="00A8"/>
      </w:r>
      <w:r>
        <w:rPr>
          <w:rFonts w:hint="eastAsia" w:ascii="宋体" w:hAnsi="宋体"/>
          <w:iCs/>
          <w:color w:val="auto"/>
          <w:szCs w:val="21"/>
          <w:highlight w:val="none"/>
        </w:rPr>
        <w:t>否</w:t>
      </w:r>
    </w:p>
    <w:p w14:paraId="306799A6">
      <w:pPr>
        <w:adjustRightInd w:val="0"/>
        <w:snapToGrid w:val="0"/>
        <w:spacing w:line="400" w:lineRule="exact"/>
        <w:ind w:firstLine="945" w:firstLineChars="450"/>
        <w:rPr>
          <w:rFonts w:ascii="宋体" w:hAnsi="宋体"/>
          <w:iCs/>
          <w:color w:val="auto"/>
          <w:szCs w:val="21"/>
          <w:highlight w:val="none"/>
        </w:rPr>
      </w:pPr>
      <w:r>
        <w:rPr>
          <w:rFonts w:hint="eastAsia" w:ascii="宋体" w:hAnsi="宋体"/>
          <w:iCs/>
          <w:color w:val="auto"/>
          <w:szCs w:val="21"/>
          <w:highlight w:val="none"/>
        </w:rPr>
        <w:t>是否邀请服务对象参加验收：</w:t>
      </w:r>
      <w:r>
        <w:rPr>
          <w:rFonts w:hint="eastAsia" w:ascii="宋体" w:hAnsi="宋体"/>
          <w:iCs/>
          <w:color w:val="auto"/>
          <w:szCs w:val="21"/>
          <w:highlight w:val="none"/>
        </w:rPr>
        <w:sym w:font="Wingdings" w:char="00A8"/>
      </w:r>
      <w:r>
        <w:rPr>
          <w:rFonts w:hint="eastAsia" w:ascii="宋体" w:hAnsi="宋体"/>
          <w:iCs/>
          <w:color w:val="auto"/>
          <w:szCs w:val="21"/>
          <w:highlight w:val="none"/>
        </w:rPr>
        <w:t xml:space="preserve">是  </w:t>
      </w:r>
      <w:r>
        <w:rPr>
          <w:rFonts w:hint="eastAsia" w:ascii="宋体" w:hAnsi="宋体"/>
          <w:iCs/>
          <w:color w:val="auto"/>
          <w:szCs w:val="21"/>
          <w:highlight w:val="none"/>
        </w:rPr>
        <w:sym w:font="Wingdings" w:char="00A8"/>
      </w:r>
      <w:r>
        <w:rPr>
          <w:rFonts w:hint="eastAsia" w:ascii="宋体" w:hAnsi="宋体"/>
          <w:iCs/>
          <w:color w:val="auto"/>
          <w:szCs w:val="21"/>
          <w:highlight w:val="none"/>
        </w:rPr>
        <w:t>否</w:t>
      </w:r>
    </w:p>
    <w:p w14:paraId="34DF64AC">
      <w:pPr>
        <w:adjustRightInd w:val="0"/>
        <w:snapToGrid w:val="0"/>
        <w:spacing w:line="400" w:lineRule="exact"/>
        <w:ind w:firstLine="945" w:firstLineChars="450"/>
        <w:rPr>
          <w:rFonts w:ascii="宋体" w:hAnsi="宋体"/>
          <w:iCs/>
          <w:color w:val="auto"/>
          <w:szCs w:val="21"/>
          <w:highlight w:val="none"/>
        </w:rPr>
      </w:pPr>
      <w:r>
        <w:rPr>
          <w:rFonts w:hint="eastAsia" w:ascii="宋体" w:hAnsi="宋体"/>
          <w:iCs/>
          <w:color w:val="auto"/>
          <w:szCs w:val="21"/>
          <w:highlight w:val="none"/>
        </w:rPr>
        <w:t>是否邀请第三方检测机构参加验收：</w:t>
      </w:r>
      <w:r>
        <w:rPr>
          <w:rFonts w:hint="eastAsia" w:ascii="宋体" w:hAnsi="宋体"/>
          <w:iCs/>
          <w:color w:val="auto"/>
          <w:szCs w:val="21"/>
          <w:highlight w:val="none"/>
        </w:rPr>
        <w:sym w:font="Wingdings" w:char="00A8"/>
      </w:r>
      <w:r>
        <w:rPr>
          <w:rFonts w:hint="eastAsia" w:ascii="宋体" w:hAnsi="宋体"/>
          <w:iCs/>
          <w:color w:val="auto"/>
          <w:szCs w:val="21"/>
          <w:highlight w:val="none"/>
        </w:rPr>
        <w:t xml:space="preserve">是  </w:t>
      </w:r>
      <w:r>
        <w:rPr>
          <w:rFonts w:hint="eastAsia" w:ascii="宋体" w:hAnsi="宋体"/>
          <w:iCs/>
          <w:color w:val="auto"/>
          <w:szCs w:val="21"/>
          <w:highlight w:val="none"/>
        </w:rPr>
        <w:sym w:font="Wingdings" w:char="00A8"/>
      </w:r>
      <w:r>
        <w:rPr>
          <w:rFonts w:hint="eastAsia" w:ascii="宋体" w:hAnsi="宋体"/>
          <w:iCs/>
          <w:color w:val="auto"/>
          <w:szCs w:val="21"/>
          <w:highlight w:val="none"/>
        </w:rPr>
        <w:t>否</w:t>
      </w:r>
    </w:p>
    <w:p w14:paraId="14DE0F29">
      <w:pPr>
        <w:adjustRightInd w:val="0"/>
        <w:snapToGrid w:val="0"/>
        <w:spacing w:line="400" w:lineRule="exact"/>
        <w:ind w:firstLine="945" w:firstLineChars="450"/>
        <w:rPr>
          <w:rFonts w:ascii="宋体" w:hAnsi="宋体"/>
          <w:iCs/>
          <w:color w:val="auto"/>
          <w:szCs w:val="21"/>
          <w:highlight w:val="none"/>
        </w:rPr>
      </w:pPr>
      <w:r>
        <w:rPr>
          <w:rFonts w:hint="eastAsia" w:ascii="宋体" w:hAnsi="宋体"/>
          <w:iCs/>
          <w:color w:val="auto"/>
          <w:szCs w:val="21"/>
          <w:highlight w:val="none"/>
        </w:rPr>
        <w:t>是否进行抽查检测：</w:t>
      </w:r>
      <w:r>
        <w:rPr>
          <w:rFonts w:hint="eastAsia" w:ascii="宋体" w:hAnsi="宋体"/>
          <w:iCs/>
          <w:color w:val="auto"/>
          <w:szCs w:val="21"/>
          <w:highlight w:val="none"/>
        </w:rPr>
        <w:sym w:font="Wingdings" w:char="00A8"/>
      </w:r>
      <w:r>
        <w:rPr>
          <w:rFonts w:hint="eastAsia" w:ascii="宋体" w:hAnsi="宋体"/>
          <w:iCs/>
          <w:color w:val="auto"/>
          <w:szCs w:val="21"/>
          <w:highlight w:val="none"/>
        </w:rPr>
        <w:t xml:space="preserve">是，抽查比例：         </w:t>
      </w:r>
      <w:r>
        <w:rPr>
          <w:rFonts w:hint="eastAsia" w:ascii="宋体" w:hAnsi="宋体"/>
          <w:iCs/>
          <w:color w:val="auto"/>
          <w:szCs w:val="21"/>
          <w:highlight w:val="none"/>
        </w:rPr>
        <w:sym w:font="Wingdings" w:char="00A8"/>
      </w:r>
      <w:r>
        <w:rPr>
          <w:rFonts w:hint="eastAsia" w:ascii="宋体" w:hAnsi="宋体"/>
          <w:iCs/>
          <w:color w:val="auto"/>
          <w:szCs w:val="21"/>
          <w:highlight w:val="none"/>
        </w:rPr>
        <w:t>否</w:t>
      </w:r>
    </w:p>
    <w:p w14:paraId="3BD68FF8">
      <w:pPr>
        <w:adjustRightInd w:val="0"/>
        <w:snapToGrid w:val="0"/>
        <w:spacing w:line="400" w:lineRule="exact"/>
        <w:ind w:firstLine="945" w:firstLineChars="450"/>
        <w:rPr>
          <w:rFonts w:ascii="宋体" w:hAnsi="宋体"/>
          <w:iCs/>
          <w:color w:val="auto"/>
          <w:szCs w:val="21"/>
          <w:highlight w:val="none"/>
        </w:rPr>
      </w:pPr>
      <w:r>
        <w:rPr>
          <w:rFonts w:hint="eastAsia" w:ascii="宋体" w:hAnsi="宋体"/>
          <w:iCs/>
          <w:color w:val="auto"/>
          <w:szCs w:val="21"/>
          <w:highlight w:val="none"/>
        </w:rPr>
        <w:t>是否存在破坏性检测：</w:t>
      </w:r>
      <w:r>
        <w:rPr>
          <w:rFonts w:hint="eastAsia" w:ascii="宋体" w:hAnsi="宋体"/>
          <w:iCs/>
          <w:color w:val="auto"/>
          <w:szCs w:val="21"/>
          <w:highlight w:val="none"/>
        </w:rPr>
        <w:sym w:font="Wingdings" w:char="00A8"/>
      </w:r>
      <w:r>
        <w:rPr>
          <w:rFonts w:hint="eastAsia" w:ascii="宋体" w:hAnsi="宋体"/>
          <w:iCs/>
          <w:color w:val="auto"/>
          <w:szCs w:val="21"/>
          <w:highlight w:val="none"/>
        </w:rPr>
        <w:t>是，</w:t>
      </w:r>
      <w:r>
        <w:rPr>
          <w:rFonts w:hint="eastAsia" w:ascii="宋体" w:hAnsi="宋体"/>
          <w:i/>
          <w:iCs/>
          <w:color w:val="auto"/>
          <w:szCs w:val="21"/>
          <w:highlight w:val="none"/>
        </w:rPr>
        <w:t>（应明确对被破坏的检测产品的处理方式）</w:t>
      </w:r>
    </w:p>
    <w:p w14:paraId="2A016D34">
      <w:pPr>
        <w:adjustRightInd w:val="0"/>
        <w:snapToGrid w:val="0"/>
        <w:spacing w:line="400" w:lineRule="exact"/>
        <w:ind w:firstLine="840" w:firstLineChars="400"/>
        <w:rPr>
          <w:rFonts w:ascii="宋体" w:hAnsi="宋体"/>
          <w:bCs/>
          <w:color w:val="auto"/>
          <w:szCs w:val="21"/>
          <w:highlight w:val="none"/>
        </w:rPr>
      </w:pPr>
      <w:r>
        <w:rPr>
          <w:rFonts w:hint="eastAsia" w:ascii="宋体" w:hAnsi="宋体"/>
          <w:bCs/>
          <w:color w:val="auto"/>
          <w:szCs w:val="21"/>
          <w:highlight w:val="none"/>
        </w:rPr>
        <w:t xml:space="preserve">                    </w:t>
      </w:r>
      <w:r>
        <w:rPr>
          <w:rFonts w:hint="eastAsia" w:ascii="宋体" w:hAnsi="宋体" w:cs="宋体"/>
          <w:color w:val="auto"/>
          <w:szCs w:val="21"/>
          <w:highlight w:val="none"/>
        </w:rPr>
        <w:sym w:font="Wingdings" w:char="00A8"/>
      </w:r>
      <w:r>
        <w:rPr>
          <w:rFonts w:hint="eastAsia" w:ascii="宋体" w:hAnsi="宋体"/>
          <w:bCs/>
          <w:color w:val="auto"/>
          <w:szCs w:val="21"/>
          <w:highlight w:val="none"/>
        </w:rPr>
        <w:t>否</w:t>
      </w:r>
    </w:p>
    <w:p w14:paraId="70E40346">
      <w:pPr>
        <w:adjustRightInd w:val="0"/>
        <w:snapToGrid w:val="0"/>
        <w:spacing w:line="400" w:lineRule="exact"/>
        <w:ind w:firstLine="945" w:firstLineChars="450"/>
        <w:rPr>
          <w:rFonts w:ascii="宋体" w:hAnsi="宋体"/>
          <w:iCs/>
          <w:color w:val="auto"/>
          <w:szCs w:val="21"/>
          <w:highlight w:val="none"/>
        </w:rPr>
      </w:pPr>
      <w:r>
        <w:rPr>
          <w:rFonts w:hint="eastAsia" w:ascii="宋体" w:hAnsi="宋体"/>
          <w:iCs/>
          <w:color w:val="auto"/>
          <w:szCs w:val="21"/>
          <w:highlight w:val="none"/>
        </w:rPr>
        <w:t xml:space="preserve">验收组织的其他事项：                </w:t>
      </w:r>
    </w:p>
    <w:p w14:paraId="56B23DB9">
      <w:pPr>
        <w:adjustRightInd w:val="0"/>
        <w:snapToGrid w:val="0"/>
        <w:spacing w:line="400" w:lineRule="exact"/>
        <w:ind w:firstLine="420" w:firstLineChars="200"/>
        <w:rPr>
          <w:rFonts w:ascii="宋体" w:hAnsi="宋体"/>
          <w:bCs/>
          <w:color w:val="auto"/>
          <w:szCs w:val="21"/>
          <w:highlight w:val="none"/>
          <w:u w:val="single"/>
        </w:rPr>
      </w:pPr>
      <w:r>
        <w:rPr>
          <w:rFonts w:hint="eastAsia" w:ascii="宋体" w:hAnsi="宋体"/>
          <w:bCs/>
          <w:color w:val="auto"/>
          <w:szCs w:val="21"/>
          <w:highlight w:val="none"/>
        </w:rPr>
        <w:t>（2）履约验收时间：</w:t>
      </w:r>
      <w:r>
        <w:rPr>
          <w:rFonts w:hint="eastAsia" w:ascii="宋体" w:hAnsi="宋体"/>
          <w:i/>
          <w:iCs/>
          <w:color w:val="auto"/>
          <w:szCs w:val="21"/>
          <w:highlight w:val="none"/>
          <w:u w:val="single"/>
        </w:rPr>
        <w:t>（计划于何时验收/供应商提出验收申请之日起 30日内组织验收）</w:t>
      </w:r>
      <w:r>
        <w:rPr>
          <w:rFonts w:hint="eastAsia" w:ascii="宋体" w:hAnsi="宋体"/>
          <w:bCs/>
          <w:color w:val="auto"/>
          <w:szCs w:val="21"/>
          <w:highlight w:val="none"/>
          <w:u w:val="single"/>
        </w:rPr>
        <w:t xml:space="preserve"> </w:t>
      </w:r>
    </w:p>
    <w:p w14:paraId="1F0813C4">
      <w:pPr>
        <w:adjustRightInd w:val="0"/>
        <w:snapToGrid w:val="0"/>
        <w:spacing w:line="400" w:lineRule="exact"/>
        <w:ind w:firstLine="420" w:firstLineChars="200"/>
        <w:rPr>
          <w:rFonts w:ascii="宋体" w:hAnsi="宋体"/>
          <w:bCs/>
          <w:color w:val="auto"/>
          <w:szCs w:val="21"/>
          <w:highlight w:val="none"/>
        </w:rPr>
      </w:pPr>
      <w:r>
        <w:rPr>
          <w:rFonts w:hint="eastAsia" w:ascii="宋体" w:hAnsi="宋体"/>
          <w:bCs/>
          <w:color w:val="auto"/>
          <w:szCs w:val="21"/>
          <w:highlight w:val="none"/>
        </w:rPr>
        <w:t>（3）履约验收方式：</w:t>
      </w:r>
      <w:r>
        <w:rPr>
          <w:rFonts w:hint="eastAsia" w:ascii="宋体" w:hAnsi="宋体" w:cs="宋体"/>
          <w:color w:val="auto"/>
          <w:szCs w:val="21"/>
          <w:highlight w:val="none"/>
        </w:rPr>
        <w:sym w:font="Wingdings" w:char="00A8"/>
      </w:r>
      <w:r>
        <w:rPr>
          <w:rFonts w:hint="eastAsia" w:ascii="宋体" w:hAnsi="宋体"/>
          <w:bCs/>
          <w:color w:val="auto"/>
          <w:szCs w:val="21"/>
          <w:highlight w:val="none"/>
        </w:rPr>
        <w:t xml:space="preserve">一次性验收         </w:t>
      </w:r>
    </w:p>
    <w:p w14:paraId="0638065F">
      <w:pPr>
        <w:adjustRightInd w:val="0"/>
        <w:snapToGrid w:val="0"/>
        <w:spacing w:line="400" w:lineRule="exact"/>
        <w:rPr>
          <w:rFonts w:ascii="宋体" w:hAnsi="宋体"/>
          <w:bCs/>
          <w:color w:val="auto"/>
          <w:szCs w:val="21"/>
          <w:highlight w:val="none"/>
        </w:rPr>
      </w:pPr>
      <w:r>
        <w:rPr>
          <w:rFonts w:hint="eastAsia" w:ascii="宋体" w:hAnsi="宋体"/>
          <w:bCs/>
          <w:color w:val="auto"/>
          <w:szCs w:val="21"/>
          <w:highlight w:val="none"/>
        </w:rPr>
        <w:t xml:space="preserve">                       </w:t>
      </w:r>
      <w:r>
        <w:rPr>
          <w:rFonts w:hint="eastAsia" w:ascii="宋体" w:hAnsi="宋体" w:cs="宋体"/>
          <w:color w:val="auto"/>
          <w:szCs w:val="21"/>
          <w:highlight w:val="none"/>
        </w:rPr>
        <w:sym w:font="Wingdings" w:char="00A8"/>
      </w:r>
      <w:r>
        <w:rPr>
          <w:rFonts w:hint="eastAsia" w:ascii="宋体" w:hAnsi="宋体"/>
          <w:bCs/>
          <w:color w:val="auto"/>
          <w:szCs w:val="21"/>
          <w:highlight w:val="none"/>
        </w:rPr>
        <w:t>分期/分项验收：</w:t>
      </w:r>
      <w:r>
        <w:rPr>
          <w:rFonts w:hint="eastAsia" w:ascii="宋体" w:hAnsi="宋体"/>
          <w:bCs/>
          <w:color w:val="auto"/>
          <w:szCs w:val="21"/>
          <w:highlight w:val="none"/>
          <w:u w:val="single"/>
        </w:rPr>
        <w:t xml:space="preserve">           </w:t>
      </w:r>
    </w:p>
    <w:p w14:paraId="6BB5BA82">
      <w:pPr>
        <w:adjustRightInd w:val="0"/>
        <w:snapToGrid w:val="0"/>
        <w:spacing w:line="400" w:lineRule="exact"/>
        <w:ind w:firstLine="420" w:firstLineChars="200"/>
        <w:rPr>
          <w:rFonts w:ascii="宋体" w:hAnsi="宋体"/>
          <w:bCs/>
          <w:color w:val="auto"/>
          <w:szCs w:val="21"/>
          <w:highlight w:val="none"/>
        </w:rPr>
      </w:pPr>
      <w:r>
        <w:rPr>
          <w:rFonts w:hint="eastAsia" w:ascii="宋体" w:hAnsi="宋体"/>
          <w:bCs/>
          <w:color w:val="auto"/>
          <w:szCs w:val="21"/>
          <w:highlight w:val="none"/>
        </w:rPr>
        <w:t>（4）履约验收程序：</w:t>
      </w:r>
      <w:r>
        <w:rPr>
          <w:rFonts w:hint="eastAsia" w:ascii="宋体" w:hAnsi="宋体"/>
          <w:bCs/>
          <w:color w:val="auto"/>
          <w:szCs w:val="21"/>
          <w:highlight w:val="none"/>
          <w:u w:val="single"/>
        </w:rPr>
        <w:t xml:space="preserve">                                         </w:t>
      </w:r>
    </w:p>
    <w:p w14:paraId="1895D183">
      <w:pPr>
        <w:adjustRightInd w:val="0"/>
        <w:snapToGrid w:val="0"/>
        <w:spacing w:line="400" w:lineRule="exact"/>
        <w:ind w:firstLine="420" w:firstLineChars="200"/>
        <w:rPr>
          <w:rFonts w:ascii="宋体" w:hAnsi="宋体"/>
          <w:bCs/>
          <w:color w:val="auto"/>
          <w:szCs w:val="21"/>
          <w:highlight w:val="none"/>
          <w:u w:val="single"/>
        </w:rPr>
      </w:pPr>
      <w:r>
        <w:rPr>
          <w:rFonts w:hint="eastAsia" w:ascii="宋体" w:hAnsi="宋体"/>
          <w:bCs/>
          <w:color w:val="auto"/>
          <w:szCs w:val="21"/>
          <w:highlight w:val="none"/>
        </w:rPr>
        <w:t>（5）履约验收的内容：</w:t>
      </w:r>
      <w:r>
        <w:rPr>
          <w:rFonts w:hint="eastAsia" w:ascii="宋体" w:hAnsi="宋体"/>
          <w:bCs/>
          <w:color w:val="auto"/>
          <w:szCs w:val="21"/>
          <w:highlight w:val="none"/>
          <w:u w:val="single"/>
        </w:rPr>
        <w:t xml:space="preserve">                                    </w:t>
      </w:r>
    </w:p>
    <w:p w14:paraId="5F268641">
      <w:pPr>
        <w:adjustRightInd w:val="0"/>
        <w:snapToGrid w:val="0"/>
        <w:spacing w:line="400" w:lineRule="exact"/>
        <w:ind w:firstLine="420" w:firstLineChars="200"/>
        <w:rPr>
          <w:rFonts w:ascii="宋体" w:hAnsi="宋体"/>
          <w:bCs/>
          <w:color w:val="auto"/>
          <w:szCs w:val="21"/>
          <w:highlight w:val="none"/>
          <w:u w:val="single"/>
        </w:rPr>
      </w:pPr>
      <w:r>
        <w:rPr>
          <w:rFonts w:hint="eastAsia" w:ascii="宋体" w:hAnsi="宋体"/>
          <w:bCs/>
          <w:color w:val="auto"/>
          <w:szCs w:val="21"/>
          <w:highlight w:val="none"/>
        </w:rPr>
        <w:t>（6）履约验收标准：</w:t>
      </w:r>
      <w:r>
        <w:rPr>
          <w:rFonts w:hint="eastAsia" w:ascii="宋体" w:hAnsi="宋体"/>
          <w:bCs/>
          <w:color w:val="auto"/>
          <w:szCs w:val="21"/>
          <w:highlight w:val="none"/>
          <w:u w:val="single"/>
        </w:rPr>
        <w:t xml:space="preserve">                                         </w:t>
      </w:r>
    </w:p>
    <w:p w14:paraId="7C304BC5">
      <w:pPr>
        <w:widowControl/>
        <w:autoSpaceDE w:val="0"/>
        <w:autoSpaceDN w:val="0"/>
        <w:adjustRightInd w:val="0"/>
        <w:spacing w:line="400" w:lineRule="exact"/>
        <w:ind w:firstLine="420" w:firstLineChars="200"/>
        <w:jc w:val="left"/>
        <w:rPr>
          <w:rFonts w:ascii="宋体" w:hAnsi="宋体" w:cs="宋体"/>
          <w:color w:val="auto"/>
          <w:kern w:val="0"/>
          <w:szCs w:val="21"/>
          <w:highlight w:val="none"/>
        </w:rPr>
      </w:pPr>
      <w:r>
        <w:rPr>
          <w:rFonts w:hint="eastAsia" w:ascii="宋体" w:hAnsi="宋体" w:cs="宋体"/>
          <w:bCs/>
          <w:color w:val="auto"/>
          <w:kern w:val="0"/>
          <w:szCs w:val="21"/>
          <w:highlight w:val="none"/>
        </w:rPr>
        <w:t>（7）是否以采购活动中供应商提供的样品作为参考：</w:t>
      </w:r>
      <w:r>
        <w:rPr>
          <w:rFonts w:hint="eastAsia" w:ascii="宋体" w:hAnsi="宋体" w:cs="宋体"/>
          <w:color w:val="auto"/>
          <w:kern w:val="0"/>
          <w:szCs w:val="21"/>
          <w:highlight w:val="none"/>
        </w:rPr>
        <w:sym w:font="Wingdings" w:char="00A8"/>
      </w:r>
      <w:r>
        <w:rPr>
          <w:rFonts w:hint="eastAsia" w:ascii="宋体" w:hAnsi="宋体" w:cs="宋体"/>
          <w:bCs/>
          <w:color w:val="auto"/>
          <w:kern w:val="0"/>
          <w:szCs w:val="21"/>
          <w:highlight w:val="none"/>
        </w:rPr>
        <w:t xml:space="preserve">是  </w:t>
      </w:r>
      <w:r>
        <w:rPr>
          <w:rFonts w:hint="eastAsia" w:ascii="宋体" w:hAnsi="宋体" w:cs="宋体"/>
          <w:color w:val="auto"/>
          <w:kern w:val="0"/>
          <w:szCs w:val="21"/>
          <w:highlight w:val="none"/>
        </w:rPr>
        <w:sym w:font="Wingdings" w:char="00A8"/>
      </w:r>
      <w:r>
        <w:rPr>
          <w:rFonts w:hint="eastAsia" w:ascii="宋体" w:hAnsi="宋体" w:cs="宋体"/>
          <w:bCs/>
          <w:color w:val="auto"/>
          <w:kern w:val="0"/>
          <w:szCs w:val="21"/>
          <w:highlight w:val="none"/>
        </w:rPr>
        <w:t>否</w:t>
      </w:r>
    </w:p>
    <w:p w14:paraId="13D88A12">
      <w:pPr>
        <w:adjustRightInd w:val="0"/>
        <w:snapToGrid w:val="0"/>
        <w:spacing w:line="400" w:lineRule="exact"/>
        <w:ind w:firstLine="420" w:firstLineChars="200"/>
        <w:rPr>
          <w:rFonts w:ascii="宋体" w:hAnsi="宋体" w:cs="宋体"/>
          <w:bCs/>
          <w:color w:val="auto"/>
          <w:szCs w:val="21"/>
          <w:highlight w:val="none"/>
          <w:u w:val="single"/>
        </w:rPr>
      </w:pPr>
      <w:r>
        <w:rPr>
          <w:rFonts w:hint="eastAsia" w:ascii="宋体" w:hAnsi="宋体" w:cs="宋体"/>
          <w:bCs/>
          <w:color w:val="auto"/>
          <w:szCs w:val="21"/>
          <w:highlight w:val="none"/>
        </w:rPr>
        <w:t>（8）履约验收其他事项：</w:t>
      </w:r>
      <w:r>
        <w:rPr>
          <w:rFonts w:hint="eastAsia" w:ascii="宋体" w:hAnsi="宋体" w:cs="宋体"/>
          <w:bCs/>
          <w:color w:val="auto"/>
          <w:szCs w:val="21"/>
          <w:highlight w:val="none"/>
          <w:u w:val="single"/>
        </w:rPr>
        <w:t xml:space="preserve">             </w:t>
      </w:r>
    </w:p>
    <w:p w14:paraId="5A3CA909">
      <w:pPr>
        <w:numPr>
          <w:ilvl w:val="0"/>
          <w:numId w:val="7"/>
        </w:numPr>
        <w:adjustRightInd w:val="0"/>
        <w:snapToGrid w:val="0"/>
        <w:spacing w:line="400" w:lineRule="exact"/>
        <w:ind w:firstLine="422" w:firstLineChars="200"/>
        <w:rPr>
          <w:rFonts w:ascii="宋体" w:hAnsi="宋体"/>
          <w:b/>
          <w:color w:val="auto"/>
          <w:szCs w:val="21"/>
          <w:highlight w:val="none"/>
        </w:rPr>
      </w:pPr>
      <w:r>
        <w:rPr>
          <w:rFonts w:hint="eastAsia" w:ascii="宋体" w:hAnsi="宋体"/>
          <w:b/>
          <w:color w:val="auto"/>
          <w:szCs w:val="21"/>
          <w:highlight w:val="none"/>
        </w:rPr>
        <w:t>组成合同的文件</w:t>
      </w:r>
    </w:p>
    <w:p w14:paraId="184E4776">
      <w:pPr>
        <w:adjustRightInd w:val="0"/>
        <w:snapToGrid w:val="0"/>
        <w:spacing w:line="400" w:lineRule="exact"/>
        <w:ind w:firstLine="420" w:firstLineChars="200"/>
        <w:rPr>
          <w:rFonts w:ascii="宋体" w:hAnsi="宋体"/>
          <w:color w:val="auto"/>
          <w:szCs w:val="21"/>
          <w:highlight w:val="none"/>
        </w:rPr>
      </w:pPr>
      <w:r>
        <w:rPr>
          <w:rFonts w:hint="eastAsia" w:ascii="宋体" w:hAnsi="宋体"/>
          <w:color w:val="auto"/>
          <w:szCs w:val="21"/>
          <w:highlight w:val="none"/>
        </w:rPr>
        <w:t>本协议书与下列文件一起构成合同文件，如下述文件之间有任何抵触、矛盾或歧义，应按以下顺序解释：</w:t>
      </w:r>
    </w:p>
    <w:p w14:paraId="2325F0CA">
      <w:pPr>
        <w:adjustRightInd w:val="0"/>
        <w:snapToGrid w:val="0"/>
        <w:spacing w:line="400" w:lineRule="exact"/>
        <w:ind w:firstLine="420" w:firstLineChars="200"/>
        <w:rPr>
          <w:rFonts w:ascii="宋体" w:hAnsi="宋体"/>
          <w:color w:val="auto"/>
          <w:szCs w:val="21"/>
          <w:highlight w:val="none"/>
        </w:rPr>
      </w:pPr>
      <w:r>
        <w:rPr>
          <w:rFonts w:hint="eastAsia" w:ascii="宋体" w:hAnsi="宋体"/>
          <w:color w:val="auto"/>
          <w:szCs w:val="21"/>
          <w:highlight w:val="none"/>
        </w:rPr>
        <w:t>（1）安徽省紧密型县域医共体设备更新一期项目框架协议</w:t>
      </w:r>
    </w:p>
    <w:p w14:paraId="3EE69089">
      <w:pPr>
        <w:adjustRightInd w:val="0"/>
        <w:snapToGrid w:val="0"/>
        <w:spacing w:line="400" w:lineRule="exact"/>
        <w:ind w:firstLine="420" w:firstLineChars="200"/>
        <w:rPr>
          <w:rFonts w:ascii="宋体" w:hAnsi="宋体"/>
          <w:color w:val="auto"/>
          <w:szCs w:val="21"/>
          <w:highlight w:val="none"/>
        </w:rPr>
      </w:pPr>
      <w:r>
        <w:rPr>
          <w:rFonts w:hint="eastAsia" w:ascii="宋体" w:hAnsi="宋体"/>
          <w:color w:val="auto"/>
          <w:szCs w:val="21"/>
          <w:highlight w:val="none"/>
        </w:rPr>
        <w:t>（2）政府采购合同协议书及其变更、补充协议</w:t>
      </w:r>
    </w:p>
    <w:p w14:paraId="6764FBA3">
      <w:pPr>
        <w:adjustRightInd w:val="0"/>
        <w:snapToGrid w:val="0"/>
        <w:spacing w:line="400" w:lineRule="exact"/>
        <w:ind w:firstLine="420" w:firstLineChars="200"/>
        <w:rPr>
          <w:rFonts w:ascii="宋体" w:hAnsi="宋体"/>
          <w:color w:val="auto"/>
          <w:szCs w:val="21"/>
          <w:highlight w:val="none"/>
        </w:rPr>
      </w:pPr>
      <w:r>
        <w:rPr>
          <w:rFonts w:hint="eastAsia" w:ascii="宋体" w:hAnsi="宋体"/>
          <w:color w:val="auto"/>
          <w:szCs w:val="21"/>
          <w:highlight w:val="none"/>
        </w:rPr>
        <w:t>（3）政府采购合同专用条款</w:t>
      </w:r>
    </w:p>
    <w:p w14:paraId="0E24D7FE">
      <w:pPr>
        <w:adjustRightInd w:val="0"/>
        <w:snapToGrid w:val="0"/>
        <w:spacing w:line="400" w:lineRule="exact"/>
        <w:ind w:firstLine="420" w:firstLineChars="200"/>
        <w:rPr>
          <w:rFonts w:ascii="宋体" w:hAnsi="宋体"/>
          <w:color w:val="auto"/>
          <w:szCs w:val="21"/>
          <w:highlight w:val="none"/>
        </w:rPr>
      </w:pPr>
      <w:r>
        <w:rPr>
          <w:rFonts w:hint="eastAsia" w:ascii="宋体" w:hAnsi="宋体"/>
          <w:color w:val="auto"/>
          <w:szCs w:val="21"/>
          <w:highlight w:val="none"/>
        </w:rPr>
        <w:t>（4）政府采购合同通用条款</w:t>
      </w:r>
    </w:p>
    <w:p w14:paraId="4F3906BA">
      <w:pPr>
        <w:adjustRightInd w:val="0"/>
        <w:snapToGrid w:val="0"/>
        <w:spacing w:line="400" w:lineRule="exact"/>
        <w:ind w:firstLine="420" w:firstLineChars="200"/>
        <w:rPr>
          <w:rFonts w:ascii="宋体" w:hAnsi="宋体"/>
          <w:color w:val="auto"/>
          <w:szCs w:val="21"/>
          <w:highlight w:val="none"/>
        </w:rPr>
      </w:pPr>
      <w:r>
        <w:rPr>
          <w:rFonts w:hint="eastAsia" w:ascii="宋体" w:hAnsi="宋体"/>
          <w:color w:val="auto"/>
          <w:szCs w:val="21"/>
          <w:highlight w:val="none"/>
        </w:rPr>
        <w:t>（5）中标（成交）通知书</w:t>
      </w:r>
    </w:p>
    <w:p w14:paraId="67C924AD">
      <w:pPr>
        <w:adjustRightInd w:val="0"/>
        <w:snapToGrid w:val="0"/>
        <w:spacing w:line="400" w:lineRule="exact"/>
        <w:ind w:firstLine="420" w:firstLineChars="200"/>
        <w:rPr>
          <w:rFonts w:ascii="宋体" w:hAnsi="宋体"/>
          <w:color w:val="auto"/>
          <w:szCs w:val="21"/>
          <w:highlight w:val="none"/>
        </w:rPr>
      </w:pPr>
      <w:r>
        <w:rPr>
          <w:rFonts w:hint="eastAsia" w:ascii="宋体" w:hAnsi="宋体"/>
          <w:color w:val="auto"/>
          <w:szCs w:val="21"/>
          <w:highlight w:val="none"/>
        </w:rPr>
        <w:t>（6）投标（响应）文件</w:t>
      </w:r>
    </w:p>
    <w:p w14:paraId="49948CDA">
      <w:pPr>
        <w:adjustRightInd w:val="0"/>
        <w:snapToGrid w:val="0"/>
        <w:spacing w:line="400" w:lineRule="exact"/>
        <w:ind w:firstLine="420" w:firstLineChars="200"/>
        <w:rPr>
          <w:rFonts w:ascii="宋体" w:hAnsi="宋体"/>
          <w:color w:val="auto"/>
          <w:szCs w:val="21"/>
          <w:highlight w:val="none"/>
        </w:rPr>
      </w:pPr>
      <w:r>
        <w:rPr>
          <w:rFonts w:hint="eastAsia" w:ascii="宋体" w:hAnsi="宋体"/>
          <w:color w:val="auto"/>
          <w:szCs w:val="21"/>
          <w:highlight w:val="none"/>
        </w:rPr>
        <w:t>（7）采购文件</w:t>
      </w:r>
    </w:p>
    <w:p w14:paraId="56C98A24">
      <w:pPr>
        <w:adjustRightInd w:val="0"/>
        <w:snapToGrid w:val="0"/>
        <w:spacing w:line="400" w:lineRule="exact"/>
        <w:ind w:firstLine="420" w:firstLineChars="200"/>
        <w:rPr>
          <w:rFonts w:ascii="宋体" w:hAnsi="宋体"/>
          <w:color w:val="auto"/>
          <w:szCs w:val="21"/>
          <w:highlight w:val="none"/>
        </w:rPr>
      </w:pPr>
      <w:r>
        <w:rPr>
          <w:rFonts w:hint="eastAsia" w:ascii="宋体" w:hAnsi="宋体"/>
          <w:color w:val="auto"/>
          <w:szCs w:val="21"/>
          <w:highlight w:val="none"/>
        </w:rPr>
        <w:t>（8）有关技术文件，图纸</w:t>
      </w:r>
    </w:p>
    <w:p w14:paraId="18C6FF26">
      <w:pPr>
        <w:widowControl/>
        <w:autoSpaceDE w:val="0"/>
        <w:autoSpaceDN w:val="0"/>
        <w:adjustRightInd w:val="0"/>
        <w:spacing w:line="400" w:lineRule="exact"/>
        <w:ind w:firstLine="420" w:firstLineChars="200"/>
        <w:jc w:val="left"/>
        <w:rPr>
          <w:rFonts w:ascii="宋体" w:hAnsi="宋体" w:cs="宋体"/>
          <w:color w:val="auto"/>
          <w:szCs w:val="21"/>
          <w:highlight w:val="none"/>
        </w:rPr>
      </w:pPr>
      <w:r>
        <w:rPr>
          <w:rFonts w:hint="eastAsia" w:ascii="宋体" w:hAnsi="宋体" w:cs="宋体"/>
          <w:color w:val="auto"/>
          <w:kern w:val="0"/>
          <w:szCs w:val="21"/>
          <w:highlight w:val="none"/>
        </w:rPr>
        <w:t>（9）</w:t>
      </w:r>
      <w:r>
        <w:rPr>
          <w:rFonts w:hint="eastAsia" w:ascii="宋体" w:hAnsi="宋体" w:cs="宋体"/>
          <w:color w:val="auto"/>
          <w:szCs w:val="21"/>
          <w:highlight w:val="none"/>
        </w:rPr>
        <w:t>国家法律、行政法规和规章制度规定或合同约定的作为合同组成部分的其他文件</w:t>
      </w:r>
    </w:p>
    <w:p w14:paraId="382C68B0">
      <w:pPr>
        <w:numPr>
          <w:ilvl w:val="0"/>
          <w:numId w:val="7"/>
        </w:numPr>
        <w:adjustRightInd w:val="0"/>
        <w:snapToGrid w:val="0"/>
        <w:spacing w:line="400" w:lineRule="exact"/>
        <w:ind w:firstLine="422" w:firstLineChars="200"/>
        <w:rPr>
          <w:rFonts w:ascii="宋体" w:hAnsi="宋体"/>
          <w:b/>
          <w:color w:val="auto"/>
          <w:szCs w:val="21"/>
          <w:highlight w:val="none"/>
        </w:rPr>
      </w:pPr>
      <w:r>
        <w:rPr>
          <w:rFonts w:hint="eastAsia" w:ascii="宋体" w:hAnsi="宋体"/>
          <w:b/>
          <w:color w:val="auto"/>
          <w:szCs w:val="21"/>
          <w:highlight w:val="none"/>
        </w:rPr>
        <w:t>合同生效</w:t>
      </w:r>
    </w:p>
    <w:p w14:paraId="47F10808">
      <w:pPr>
        <w:adjustRightInd w:val="0"/>
        <w:snapToGrid w:val="0"/>
        <w:spacing w:line="400" w:lineRule="exact"/>
        <w:ind w:firstLine="420" w:firstLineChars="200"/>
        <w:rPr>
          <w:rFonts w:ascii="宋体" w:hAnsi="宋体"/>
          <w:color w:val="auto"/>
          <w:szCs w:val="21"/>
          <w:highlight w:val="none"/>
        </w:rPr>
      </w:pPr>
      <w:r>
        <w:rPr>
          <w:rFonts w:hint="eastAsia" w:ascii="宋体" w:hAnsi="宋体"/>
          <w:color w:val="auto"/>
          <w:szCs w:val="21"/>
          <w:highlight w:val="none"/>
        </w:rPr>
        <w:t>本合同自</w:t>
      </w:r>
      <w:r>
        <w:rPr>
          <w:rFonts w:hint="eastAsia" w:ascii="宋体" w:hAnsi="宋体"/>
          <w:color w:val="auto"/>
          <w:szCs w:val="21"/>
          <w:highlight w:val="none"/>
          <w:u w:val="single"/>
        </w:rPr>
        <w:t>双方盖章后</w:t>
      </w:r>
      <w:r>
        <w:rPr>
          <w:rFonts w:hint="eastAsia" w:ascii="宋体" w:hAnsi="宋体"/>
          <w:color w:val="auto"/>
          <w:szCs w:val="21"/>
          <w:highlight w:val="none"/>
        </w:rPr>
        <w:t>生效。</w:t>
      </w:r>
    </w:p>
    <w:p w14:paraId="468050CE">
      <w:pPr>
        <w:numPr>
          <w:ilvl w:val="0"/>
          <w:numId w:val="7"/>
        </w:numPr>
        <w:adjustRightInd w:val="0"/>
        <w:snapToGrid w:val="0"/>
        <w:spacing w:line="400" w:lineRule="exact"/>
        <w:ind w:firstLine="422" w:firstLineChars="200"/>
        <w:rPr>
          <w:rFonts w:ascii="宋体" w:hAnsi="宋体"/>
          <w:b/>
          <w:color w:val="auto"/>
          <w:szCs w:val="21"/>
          <w:highlight w:val="none"/>
        </w:rPr>
      </w:pPr>
      <w:r>
        <w:rPr>
          <w:rFonts w:hint="eastAsia" w:ascii="宋体" w:hAnsi="宋体"/>
          <w:b/>
          <w:color w:val="auto"/>
          <w:szCs w:val="21"/>
          <w:highlight w:val="none"/>
        </w:rPr>
        <w:t>合同份数</w:t>
      </w:r>
    </w:p>
    <w:p w14:paraId="35A49DC9">
      <w:pPr>
        <w:adjustRightInd w:val="0"/>
        <w:snapToGrid w:val="0"/>
        <w:spacing w:line="400" w:lineRule="exact"/>
        <w:ind w:firstLine="420" w:firstLineChars="200"/>
        <w:rPr>
          <w:rFonts w:ascii="宋体" w:hAnsi="宋体"/>
          <w:color w:val="auto"/>
          <w:szCs w:val="21"/>
          <w:highlight w:val="none"/>
        </w:rPr>
      </w:pPr>
      <w:r>
        <w:rPr>
          <w:rFonts w:hint="eastAsia" w:ascii="宋体" w:hAnsi="宋体"/>
          <w:color w:val="auto"/>
          <w:szCs w:val="21"/>
          <w:highlight w:val="none"/>
        </w:rPr>
        <w:t>本合同一式</w:t>
      </w:r>
      <w:r>
        <w:rPr>
          <w:rFonts w:hint="eastAsia" w:ascii="宋体" w:hAnsi="宋体"/>
          <w:color w:val="auto"/>
          <w:szCs w:val="21"/>
          <w:highlight w:val="none"/>
          <w:u w:val="single"/>
        </w:rPr>
        <w:t>6</w:t>
      </w:r>
      <w:r>
        <w:rPr>
          <w:rFonts w:hint="eastAsia" w:ascii="宋体" w:hAnsi="宋体"/>
          <w:color w:val="auto"/>
          <w:szCs w:val="21"/>
          <w:highlight w:val="none"/>
        </w:rPr>
        <w:t>份，甲方执</w:t>
      </w:r>
      <w:r>
        <w:rPr>
          <w:rFonts w:hint="eastAsia" w:ascii="宋体" w:hAnsi="宋体"/>
          <w:color w:val="auto"/>
          <w:szCs w:val="21"/>
          <w:highlight w:val="none"/>
          <w:u w:val="single"/>
        </w:rPr>
        <w:t>4</w:t>
      </w:r>
      <w:r>
        <w:rPr>
          <w:rFonts w:hint="eastAsia" w:ascii="宋体" w:hAnsi="宋体"/>
          <w:color w:val="auto"/>
          <w:szCs w:val="21"/>
          <w:highlight w:val="none"/>
        </w:rPr>
        <w:t>份，乙方执</w:t>
      </w:r>
      <w:r>
        <w:rPr>
          <w:rFonts w:hint="eastAsia" w:ascii="宋体" w:hAnsi="宋体"/>
          <w:color w:val="auto"/>
          <w:szCs w:val="21"/>
          <w:highlight w:val="none"/>
          <w:u w:val="single"/>
        </w:rPr>
        <w:t>2</w:t>
      </w:r>
      <w:r>
        <w:rPr>
          <w:rFonts w:hint="eastAsia" w:ascii="宋体" w:hAnsi="宋体"/>
          <w:color w:val="auto"/>
          <w:szCs w:val="21"/>
          <w:highlight w:val="none"/>
        </w:rPr>
        <w:t>份，均具有同等法律效力。</w:t>
      </w:r>
    </w:p>
    <w:p w14:paraId="3B6AC11F">
      <w:pPr>
        <w:adjustRightInd w:val="0"/>
        <w:snapToGrid w:val="0"/>
        <w:spacing w:line="400" w:lineRule="exact"/>
        <w:ind w:firstLine="420" w:firstLineChars="200"/>
        <w:rPr>
          <w:rFonts w:ascii="宋体" w:hAnsi="宋体"/>
          <w:color w:val="auto"/>
          <w:szCs w:val="21"/>
          <w:highlight w:val="none"/>
        </w:rPr>
      </w:pPr>
      <w:r>
        <w:rPr>
          <w:rFonts w:hint="eastAsia" w:ascii="宋体" w:hAnsi="宋体"/>
          <w:color w:val="auto"/>
          <w:szCs w:val="21"/>
          <w:highlight w:val="none"/>
        </w:rPr>
        <w:t>合同订立时间：</w:t>
      </w:r>
      <w:r>
        <w:rPr>
          <w:rFonts w:hint="eastAsia" w:ascii="宋体" w:hAnsi="宋体"/>
          <w:color w:val="auto"/>
          <w:szCs w:val="21"/>
          <w:highlight w:val="none"/>
          <w:u w:val="single"/>
        </w:rPr>
        <w:t xml:space="preserve">         </w:t>
      </w:r>
      <w:r>
        <w:rPr>
          <w:rFonts w:hint="eastAsia" w:ascii="宋体" w:hAnsi="宋体"/>
          <w:color w:val="auto"/>
          <w:szCs w:val="21"/>
          <w:highlight w:val="none"/>
        </w:rPr>
        <w:t>年</w:t>
      </w:r>
      <w:r>
        <w:rPr>
          <w:rFonts w:hint="eastAsia" w:ascii="宋体" w:hAnsi="宋体"/>
          <w:color w:val="auto"/>
          <w:szCs w:val="21"/>
          <w:highlight w:val="none"/>
          <w:u w:val="single"/>
        </w:rPr>
        <w:t xml:space="preserve">      </w:t>
      </w:r>
      <w:r>
        <w:rPr>
          <w:rFonts w:hint="eastAsia" w:ascii="宋体" w:hAnsi="宋体"/>
          <w:color w:val="auto"/>
          <w:szCs w:val="21"/>
          <w:highlight w:val="none"/>
        </w:rPr>
        <w:t>月</w:t>
      </w:r>
      <w:r>
        <w:rPr>
          <w:rFonts w:hint="eastAsia" w:ascii="宋体" w:hAnsi="宋体"/>
          <w:color w:val="auto"/>
          <w:szCs w:val="21"/>
          <w:highlight w:val="none"/>
          <w:u w:val="single"/>
        </w:rPr>
        <w:t xml:space="preserve">      </w:t>
      </w:r>
      <w:r>
        <w:rPr>
          <w:rFonts w:hint="eastAsia" w:ascii="宋体" w:hAnsi="宋体"/>
          <w:color w:val="auto"/>
          <w:szCs w:val="21"/>
          <w:highlight w:val="none"/>
        </w:rPr>
        <w:t>日</w:t>
      </w:r>
    </w:p>
    <w:p w14:paraId="30FF35C8">
      <w:pPr>
        <w:adjustRightInd w:val="0"/>
        <w:snapToGrid w:val="0"/>
        <w:spacing w:line="400" w:lineRule="exact"/>
        <w:ind w:firstLine="420" w:firstLineChars="200"/>
        <w:rPr>
          <w:rFonts w:ascii="宋体" w:hAnsi="宋体"/>
          <w:color w:val="auto"/>
          <w:szCs w:val="21"/>
          <w:highlight w:val="none"/>
        </w:rPr>
      </w:pPr>
      <w:r>
        <w:rPr>
          <w:rFonts w:hint="eastAsia" w:ascii="宋体" w:hAnsi="宋体"/>
          <w:color w:val="auto"/>
          <w:szCs w:val="21"/>
          <w:highlight w:val="none"/>
        </w:rPr>
        <w:t>合同订立地点：</w:t>
      </w:r>
      <w:r>
        <w:rPr>
          <w:rFonts w:hint="eastAsia" w:ascii="宋体" w:hAnsi="宋体"/>
          <w:color w:val="auto"/>
          <w:szCs w:val="21"/>
          <w:highlight w:val="none"/>
          <w:u w:val="single"/>
        </w:rPr>
        <w:t xml:space="preserve">                           </w:t>
      </w:r>
    </w:p>
    <w:p w14:paraId="0FED800F">
      <w:pPr>
        <w:adjustRightInd w:val="0"/>
        <w:snapToGrid w:val="0"/>
        <w:spacing w:line="400" w:lineRule="exact"/>
        <w:ind w:firstLine="420" w:firstLineChars="200"/>
        <w:rPr>
          <w:color w:val="auto"/>
          <w:highlight w:val="none"/>
        </w:rPr>
      </w:pPr>
      <w:r>
        <w:rPr>
          <w:rFonts w:hint="eastAsia" w:ascii="宋体" w:hAnsi="宋体"/>
          <w:color w:val="auto"/>
          <w:szCs w:val="21"/>
          <w:highlight w:val="none"/>
        </w:rPr>
        <w:t>附件：具体标的及其技术要求和商务要求、联合协议、分包意向协议等。</w:t>
      </w:r>
    </w:p>
    <w:p w14:paraId="412385F7">
      <w:pPr>
        <w:jc w:val="center"/>
        <w:rPr>
          <w:rFonts w:eastAsia="仿宋"/>
          <w:color w:val="auto"/>
          <w:highlight w:val="none"/>
        </w:rPr>
      </w:pPr>
    </w:p>
    <w:p w14:paraId="40459407">
      <w:pPr>
        <w:spacing w:line="400" w:lineRule="exact"/>
        <w:ind w:firstLine="480" w:firstLineChars="200"/>
        <w:jc w:val="center"/>
        <w:rPr>
          <w:color w:val="auto"/>
          <w:highlight w:val="none"/>
        </w:rPr>
      </w:pPr>
      <w:r>
        <w:rPr>
          <w:rFonts w:hint="eastAsia" w:eastAsia="仿宋"/>
          <w:color w:val="auto"/>
          <w:sz w:val="24"/>
          <w:highlight w:val="none"/>
          <w:u w:val="single"/>
        </w:rPr>
        <w:t>（以下无正文，为签字页）</w:t>
      </w:r>
    </w:p>
    <w:p w14:paraId="391AC0FB">
      <w:pPr>
        <w:snapToGrid w:val="0"/>
        <w:spacing w:line="360" w:lineRule="auto"/>
        <w:ind w:firstLine="420" w:firstLineChars="200"/>
        <w:jc w:val="center"/>
        <w:rPr>
          <w:rFonts w:ascii="宋体" w:hAnsi="宋体" w:eastAsia="仿宋"/>
          <w:color w:val="auto"/>
          <w:sz w:val="24"/>
          <w:highlight w:val="none"/>
        </w:rPr>
      </w:pPr>
      <w:r>
        <w:rPr>
          <w:rFonts w:hint="eastAsia"/>
          <w:color w:val="auto"/>
          <w:highlight w:val="none"/>
        </w:rPr>
        <w:br w:type="page"/>
      </w:r>
      <w:r>
        <w:rPr>
          <w:rFonts w:hint="eastAsia" w:ascii="宋体" w:hAnsi="宋体" w:eastAsia="仿宋"/>
          <w:color w:val="auto"/>
          <w:sz w:val="24"/>
          <w:highlight w:val="none"/>
        </w:rPr>
        <w:t>（本页无正文，为签字页）</w:t>
      </w:r>
    </w:p>
    <w:tbl>
      <w:tblPr>
        <w:tblStyle w:val="48"/>
        <w:tblW w:w="4925" w:type="pct"/>
        <w:jc w:val="center"/>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autofit"/>
        <w:tblCellMar>
          <w:top w:w="0" w:type="dxa"/>
          <w:left w:w="108" w:type="dxa"/>
          <w:bottom w:w="0" w:type="dxa"/>
          <w:right w:w="108" w:type="dxa"/>
        </w:tblCellMar>
      </w:tblPr>
      <w:tblGrid>
        <w:gridCol w:w="2181"/>
        <w:gridCol w:w="2788"/>
        <w:gridCol w:w="2285"/>
        <w:gridCol w:w="2452"/>
      </w:tblGrid>
      <w:tr w14:paraId="7ED775C2">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90" w:hRule="atLeast"/>
          <w:jc w:val="center"/>
        </w:trPr>
        <w:tc>
          <w:tcPr>
            <w:tcW w:w="2560" w:type="pct"/>
            <w:gridSpan w:val="2"/>
            <w:tcBorders>
              <w:bottom w:val="single" w:color="auto" w:sz="2" w:space="0"/>
              <w:right w:val="single" w:color="auto" w:sz="2" w:space="0"/>
            </w:tcBorders>
            <w:noWrap w:val="0"/>
            <w:vAlign w:val="center"/>
          </w:tcPr>
          <w:p w14:paraId="054BD9E6">
            <w:pPr>
              <w:keepNext w:val="0"/>
              <w:keepLines w:val="0"/>
              <w:suppressLineNumbers w:val="0"/>
              <w:adjustRightInd w:val="0"/>
              <w:snapToGrid w:val="0"/>
              <w:spacing w:before="0" w:beforeAutospacing="0" w:after="0" w:afterAutospacing="0" w:line="300" w:lineRule="exact"/>
              <w:ind w:left="0" w:right="0"/>
              <w:jc w:val="center"/>
              <w:rPr>
                <w:rFonts w:hint="default" w:ascii="Calibri" w:hAnsi="Calibri" w:cs="Times New Roman"/>
                <w:color w:val="auto"/>
                <w:highlight w:val="none"/>
              </w:rPr>
            </w:pPr>
            <w:r>
              <w:rPr>
                <w:rFonts w:hint="default" w:ascii="Calibri" w:hAnsi="Calibri" w:cs="Times New Roman"/>
                <w:color w:val="auto"/>
                <w:szCs w:val="21"/>
                <w:highlight w:val="none"/>
              </w:rPr>
              <w:t>甲方</w:t>
            </w:r>
            <w:r>
              <w:rPr>
                <w:rFonts w:hint="eastAsia" w:ascii="Calibri" w:hAnsi="Calibri" w:cs="Times New Roman"/>
                <w:color w:val="auto"/>
                <w:szCs w:val="21"/>
                <w:highlight w:val="none"/>
              </w:rPr>
              <w:t>（采购人</w:t>
            </w:r>
            <w:r>
              <w:rPr>
                <w:rFonts w:hint="eastAsia" w:ascii="宋体" w:hAnsi="宋体" w:cs="Times New Roman"/>
                <w:color w:val="auto"/>
                <w:szCs w:val="21"/>
                <w:highlight w:val="none"/>
              </w:rPr>
              <w:t>、受采购人委托签订合同的单位或</w:t>
            </w:r>
            <w:r>
              <w:rPr>
                <w:rFonts w:hint="eastAsia" w:ascii="Calibri" w:hAnsi="Calibri" w:cs="Times New Roman"/>
                <w:color w:val="auto"/>
                <w:szCs w:val="21"/>
                <w:highlight w:val="none"/>
              </w:rPr>
              <w:t>采购文件约定的合同甲方）</w:t>
            </w:r>
          </w:p>
        </w:tc>
        <w:tc>
          <w:tcPr>
            <w:tcW w:w="2439" w:type="pct"/>
            <w:gridSpan w:val="2"/>
            <w:tcBorders>
              <w:left w:val="single" w:color="auto" w:sz="2" w:space="0"/>
              <w:bottom w:val="single" w:color="auto" w:sz="2" w:space="0"/>
            </w:tcBorders>
            <w:noWrap w:val="0"/>
            <w:vAlign w:val="center"/>
          </w:tcPr>
          <w:p w14:paraId="1720F79D">
            <w:pPr>
              <w:keepNext w:val="0"/>
              <w:keepLines w:val="0"/>
              <w:suppressLineNumbers w:val="0"/>
              <w:adjustRightInd w:val="0"/>
              <w:snapToGrid w:val="0"/>
              <w:spacing w:before="0" w:beforeAutospacing="0" w:after="0" w:afterAutospacing="0" w:line="300" w:lineRule="exact"/>
              <w:ind w:left="0" w:right="0"/>
              <w:jc w:val="center"/>
              <w:rPr>
                <w:rFonts w:hint="default" w:ascii="Calibri" w:hAnsi="Calibri" w:cs="Times New Roman"/>
                <w:color w:val="auto"/>
                <w:highlight w:val="none"/>
              </w:rPr>
            </w:pPr>
            <w:r>
              <w:rPr>
                <w:rFonts w:hint="default" w:ascii="Calibri" w:hAnsi="Calibri" w:cs="Times New Roman"/>
                <w:color w:val="auto"/>
                <w:szCs w:val="21"/>
                <w:highlight w:val="none"/>
              </w:rPr>
              <w:t>乙方</w:t>
            </w:r>
            <w:r>
              <w:rPr>
                <w:rFonts w:hint="eastAsia" w:ascii="Calibri" w:hAnsi="Calibri" w:cs="Times New Roman"/>
                <w:color w:val="auto"/>
                <w:szCs w:val="21"/>
                <w:highlight w:val="none"/>
              </w:rPr>
              <w:t>（供应商）</w:t>
            </w:r>
          </w:p>
        </w:tc>
      </w:tr>
      <w:tr w14:paraId="0EEFDA4C">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917" w:hRule="atLeast"/>
          <w:jc w:val="center"/>
        </w:trPr>
        <w:tc>
          <w:tcPr>
            <w:tcW w:w="1124" w:type="pct"/>
            <w:tcBorders>
              <w:top w:val="single" w:color="auto" w:sz="2" w:space="0"/>
              <w:bottom w:val="single" w:color="auto" w:sz="2" w:space="0"/>
              <w:right w:val="single" w:color="auto" w:sz="2" w:space="0"/>
            </w:tcBorders>
            <w:noWrap w:val="0"/>
            <w:vAlign w:val="center"/>
          </w:tcPr>
          <w:p w14:paraId="2FF2C21E">
            <w:pPr>
              <w:keepNext w:val="0"/>
              <w:keepLines w:val="0"/>
              <w:suppressLineNumbers w:val="0"/>
              <w:adjustRightInd w:val="0"/>
              <w:snapToGrid w:val="0"/>
              <w:spacing w:before="0" w:beforeAutospacing="0" w:after="0" w:afterAutospacing="0" w:line="300" w:lineRule="exact"/>
              <w:ind w:left="0" w:right="0"/>
              <w:jc w:val="center"/>
              <w:rPr>
                <w:rFonts w:hint="default" w:ascii="Calibri" w:hAnsi="Calibri" w:cs="Times New Roman"/>
                <w:color w:val="auto"/>
                <w:szCs w:val="21"/>
                <w:highlight w:val="none"/>
              </w:rPr>
            </w:pPr>
            <w:r>
              <w:rPr>
                <w:rFonts w:hint="default" w:ascii="Calibri" w:hAnsi="Calibri" w:cs="Times New Roman"/>
                <w:color w:val="auto"/>
                <w:szCs w:val="21"/>
                <w:highlight w:val="none"/>
              </w:rPr>
              <w:t>单位名称</w:t>
            </w:r>
            <w:r>
              <w:rPr>
                <w:rFonts w:hint="eastAsia" w:ascii="Calibri" w:hAnsi="Calibri" w:cs="Times New Roman"/>
                <w:color w:val="auto"/>
                <w:szCs w:val="21"/>
                <w:highlight w:val="none"/>
              </w:rPr>
              <w:t>（公章或合同章）</w:t>
            </w:r>
          </w:p>
        </w:tc>
        <w:tc>
          <w:tcPr>
            <w:tcW w:w="1435" w:type="pct"/>
            <w:tcBorders>
              <w:top w:val="single" w:color="auto" w:sz="2" w:space="0"/>
              <w:left w:val="single" w:color="auto" w:sz="2" w:space="0"/>
              <w:bottom w:val="single" w:color="auto" w:sz="2" w:space="0"/>
              <w:right w:val="single" w:color="auto" w:sz="2" w:space="0"/>
            </w:tcBorders>
            <w:noWrap w:val="0"/>
            <w:vAlign w:val="center"/>
          </w:tcPr>
          <w:p w14:paraId="50EF4165">
            <w:pPr>
              <w:keepNext w:val="0"/>
              <w:keepLines w:val="0"/>
              <w:suppressLineNumbers w:val="0"/>
              <w:adjustRightInd w:val="0"/>
              <w:snapToGrid w:val="0"/>
              <w:spacing w:before="0" w:beforeAutospacing="0" w:after="0" w:afterAutospacing="0" w:line="300" w:lineRule="exact"/>
              <w:ind w:left="0" w:right="0"/>
              <w:jc w:val="center"/>
              <w:rPr>
                <w:rFonts w:hint="default" w:ascii="Calibri" w:hAnsi="Calibri" w:cs="Times New Roman"/>
                <w:color w:val="auto"/>
                <w:szCs w:val="21"/>
                <w:highlight w:val="none"/>
              </w:rPr>
            </w:pPr>
          </w:p>
        </w:tc>
        <w:tc>
          <w:tcPr>
            <w:tcW w:w="1177" w:type="pct"/>
            <w:tcBorders>
              <w:top w:val="single" w:color="auto" w:sz="2" w:space="0"/>
              <w:left w:val="single" w:color="auto" w:sz="2" w:space="0"/>
              <w:bottom w:val="single" w:color="auto" w:sz="2" w:space="0"/>
              <w:right w:val="single" w:color="auto" w:sz="2" w:space="0"/>
            </w:tcBorders>
            <w:noWrap w:val="0"/>
            <w:vAlign w:val="center"/>
          </w:tcPr>
          <w:p w14:paraId="2541A035">
            <w:pPr>
              <w:keepNext w:val="0"/>
              <w:keepLines w:val="0"/>
              <w:suppressLineNumbers w:val="0"/>
              <w:adjustRightInd w:val="0"/>
              <w:snapToGrid w:val="0"/>
              <w:spacing w:before="0" w:beforeAutospacing="0" w:after="0" w:afterAutospacing="0" w:line="300" w:lineRule="exact"/>
              <w:ind w:left="0" w:right="0"/>
              <w:jc w:val="center"/>
              <w:rPr>
                <w:rFonts w:hint="default" w:ascii="Calibri" w:hAnsi="Calibri" w:cs="Times New Roman"/>
                <w:color w:val="auto"/>
                <w:szCs w:val="21"/>
                <w:highlight w:val="none"/>
              </w:rPr>
            </w:pPr>
            <w:r>
              <w:rPr>
                <w:rFonts w:hint="default" w:ascii="Calibri" w:hAnsi="Calibri" w:cs="Times New Roman"/>
                <w:color w:val="auto"/>
                <w:szCs w:val="21"/>
                <w:highlight w:val="none"/>
              </w:rPr>
              <w:t>单位名称</w:t>
            </w:r>
            <w:r>
              <w:rPr>
                <w:rFonts w:hint="eastAsia" w:ascii="Calibri" w:hAnsi="Calibri" w:cs="Times New Roman"/>
                <w:color w:val="auto"/>
                <w:szCs w:val="21"/>
                <w:highlight w:val="none"/>
              </w:rPr>
              <w:t>（公章或合同章）</w:t>
            </w:r>
          </w:p>
        </w:tc>
        <w:tc>
          <w:tcPr>
            <w:tcW w:w="1261" w:type="pct"/>
            <w:tcBorders>
              <w:top w:val="single" w:color="auto" w:sz="2" w:space="0"/>
              <w:left w:val="single" w:color="auto" w:sz="2" w:space="0"/>
              <w:bottom w:val="single" w:color="auto" w:sz="2" w:space="0"/>
            </w:tcBorders>
            <w:noWrap w:val="0"/>
            <w:vAlign w:val="center"/>
          </w:tcPr>
          <w:p w14:paraId="6EE11E03">
            <w:pPr>
              <w:keepNext w:val="0"/>
              <w:keepLines w:val="0"/>
              <w:suppressLineNumbers w:val="0"/>
              <w:adjustRightInd w:val="0"/>
              <w:snapToGrid w:val="0"/>
              <w:spacing w:before="0" w:beforeAutospacing="0" w:after="0" w:afterAutospacing="0" w:line="300" w:lineRule="exact"/>
              <w:ind w:left="0" w:right="0"/>
              <w:jc w:val="center"/>
              <w:rPr>
                <w:rFonts w:hint="default" w:ascii="Calibri" w:hAnsi="Calibri" w:cs="Times New Roman"/>
                <w:color w:val="auto"/>
                <w:spacing w:val="20"/>
                <w:szCs w:val="21"/>
                <w:highlight w:val="none"/>
              </w:rPr>
            </w:pPr>
          </w:p>
        </w:tc>
      </w:tr>
      <w:tr w14:paraId="089D2358">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1171" w:hRule="atLeast"/>
          <w:jc w:val="center"/>
        </w:trPr>
        <w:tc>
          <w:tcPr>
            <w:tcW w:w="1124" w:type="pct"/>
            <w:vMerge w:val="restart"/>
            <w:tcBorders>
              <w:top w:val="single" w:color="auto" w:sz="2" w:space="0"/>
              <w:right w:val="single" w:color="auto" w:sz="2" w:space="0"/>
            </w:tcBorders>
            <w:noWrap w:val="0"/>
            <w:vAlign w:val="center"/>
          </w:tcPr>
          <w:p w14:paraId="633FD8BA">
            <w:pPr>
              <w:keepNext w:val="0"/>
              <w:keepLines w:val="0"/>
              <w:suppressLineNumbers w:val="0"/>
              <w:adjustRightInd w:val="0"/>
              <w:snapToGrid w:val="0"/>
              <w:spacing w:before="0" w:beforeAutospacing="0" w:after="0" w:afterAutospacing="0" w:line="300" w:lineRule="exact"/>
              <w:ind w:left="0" w:right="0"/>
              <w:jc w:val="center"/>
              <w:rPr>
                <w:rFonts w:hint="default" w:ascii="Calibri" w:hAnsi="Calibri" w:cs="Times New Roman"/>
                <w:color w:val="auto"/>
                <w:szCs w:val="21"/>
                <w:highlight w:val="none"/>
              </w:rPr>
            </w:pPr>
            <w:r>
              <w:rPr>
                <w:rFonts w:hint="default" w:ascii="Calibri" w:hAnsi="Calibri" w:cs="Times New Roman"/>
                <w:color w:val="auto"/>
                <w:szCs w:val="21"/>
                <w:highlight w:val="none"/>
              </w:rPr>
              <w:t>法定代表人</w:t>
            </w:r>
          </w:p>
          <w:p w14:paraId="2EEB0C9E">
            <w:pPr>
              <w:keepNext w:val="0"/>
              <w:keepLines w:val="0"/>
              <w:suppressLineNumbers w:val="0"/>
              <w:adjustRightInd w:val="0"/>
              <w:snapToGrid w:val="0"/>
              <w:spacing w:before="0" w:beforeAutospacing="0" w:after="0" w:afterAutospacing="0" w:line="300" w:lineRule="exact"/>
              <w:ind w:left="0" w:right="0" w:firstLine="100" w:firstLineChars="48"/>
              <w:jc w:val="center"/>
              <w:rPr>
                <w:rFonts w:hint="default" w:ascii="Calibri" w:hAnsi="Calibri" w:cs="Times New Roman"/>
                <w:color w:val="auto"/>
                <w:szCs w:val="21"/>
                <w:highlight w:val="none"/>
              </w:rPr>
            </w:pPr>
            <w:r>
              <w:rPr>
                <w:rFonts w:hint="eastAsia" w:ascii="Calibri" w:hAnsi="Calibri" w:cs="Times New Roman"/>
                <w:color w:val="auto"/>
                <w:szCs w:val="21"/>
                <w:highlight w:val="none"/>
              </w:rPr>
              <w:t>或其</w:t>
            </w:r>
            <w:r>
              <w:rPr>
                <w:rFonts w:hint="default" w:ascii="Calibri" w:hAnsi="Calibri" w:cs="Times New Roman"/>
                <w:color w:val="auto"/>
                <w:szCs w:val="21"/>
                <w:highlight w:val="none"/>
              </w:rPr>
              <w:t>委托代理人</w:t>
            </w:r>
            <w:r>
              <w:rPr>
                <w:rFonts w:hint="eastAsia" w:ascii="Calibri" w:hAnsi="Calibri" w:cs="Times New Roman"/>
                <w:color w:val="auto"/>
                <w:szCs w:val="21"/>
                <w:highlight w:val="none"/>
              </w:rPr>
              <w:t>（签章）</w:t>
            </w:r>
          </w:p>
        </w:tc>
        <w:tc>
          <w:tcPr>
            <w:tcW w:w="1435" w:type="pct"/>
            <w:vMerge w:val="restart"/>
            <w:tcBorders>
              <w:top w:val="single" w:color="auto" w:sz="2" w:space="0"/>
              <w:left w:val="single" w:color="auto" w:sz="2" w:space="0"/>
              <w:right w:val="single" w:color="auto" w:sz="2" w:space="0"/>
            </w:tcBorders>
            <w:noWrap w:val="0"/>
            <w:vAlign w:val="center"/>
          </w:tcPr>
          <w:p w14:paraId="02CC817F">
            <w:pPr>
              <w:keepNext w:val="0"/>
              <w:keepLines w:val="0"/>
              <w:suppressLineNumbers w:val="0"/>
              <w:adjustRightInd w:val="0"/>
              <w:snapToGrid w:val="0"/>
              <w:spacing w:before="0" w:beforeAutospacing="0" w:after="0" w:afterAutospacing="0" w:line="300" w:lineRule="exact"/>
              <w:ind w:left="0" w:right="0"/>
              <w:jc w:val="center"/>
              <w:rPr>
                <w:rFonts w:hint="default" w:ascii="Calibri" w:hAnsi="Calibri" w:cs="Times New Roman"/>
                <w:color w:val="auto"/>
                <w:szCs w:val="21"/>
                <w:highlight w:val="none"/>
              </w:rPr>
            </w:pPr>
          </w:p>
        </w:tc>
        <w:tc>
          <w:tcPr>
            <w:tcW w:w="1177" w:type="pct"/>
            <w:tcBorders>
              <w:top w:val="single" w:color="auto" w:sz="2" w:space="0"/>
              <w:left w:val="single" w:color="auto" w:sz="2" w:space="0"/>
              <w:right w:val="single" w:color="auto" w:sz="2" w:space="0"/>
            </w:tcBorders>
            <w:noWrap w:val="0"/>
            <w:vAlign w:val="center"/>
          </w:tcPr>
          <w:p w14:paraId="57523AE2">
            <w:pPr>
              <w:keepNext w:val="0"/>
              <w:keepLines w:val="0"/>
              <w:suppressLineNumbers w:val="0"/>
              <w:adjustRightInd w:val="0"/>
              <w:snapToGrid w:val="0"/>
              <w:spacing w:before="0" w:beforeAutospacing="0" w:after="0" w:afterAutospacing="0" w:line="300" w:lineRule="exact"/>
              <w:ind w:left="0" w:right="0"/>
              <w:jc w:val="center"/>
              <w:rPr>
                <w:rFonts w:hint="default" w:ascii="Calibri" w:hAnsi="Calibri" w:cs="Times New Roman"/>
                <w:color w:val="auto"/>
                <w:szCs w:val="21"/>
                <w:highlight w:val="none"/>
              </w:rPr>
            </w:pPr>
            <w:r>
              <w:rPr>
                <w:rFonts w:hint="default" w:ascii="Calibri" w:hAnsi="Calibri" w:cs="Times New Roman"/>
                <w:color w:val="auto"/>
                <w:szCs w:val="21"/>
                <w:highlight w:val="none"/>
              </w:rPr>
              <w:t>法定代表人</w:t>
            </w:r>
          </w:p>
          <w:p w14:paraId="1BE29BD6">
            <w:pPr>
              <w:keepNext w:val="0"/>
              <w:keepLines w:val="0"/>
              <w:suppressLineNumbers w:val="0"/>
              <w:adjustRightInd w:val="0"/>
              <w:snapToGrid w:val="0"/>
              <w:spacing w:before="0" w:beforeAutospacing="0" w:after="0" w:afterAutospacing="0" w:line="300" w:lineRule="exact"/>
              <w:ind w:left="0" w:right="0"/>
              <w:jc w:val="center"/>
              <w:rPr>
                <w:rFonts w:hint="default" w:ascii="Calibri" w:hAnsi="Calibri" w:cs="Times New Roman"/>
                <w:color w:val="auto"/>
                <w:szCs w:val="21"/>
                <w:highlight w:val="none"/>
              </w:rPr>
            </w:pPr>
            <w:r>
              <w:rPr>
                <w:rFonts w:hint="eastAsia" w:ascii="Calibri" w:hAnsi="Calibri" w:cs="Times New Roman"/>
                <w:color w:val="auto"/>
                <w:szCs w:val="21"/>
                <w:highlight w:val="none"/>
              </w:rPr>
              <w:t>或其</w:t>
            </w:r>
            <w:r>
              <w:rPr>
                <w:rFonts w:hint="default" w:ascii="Calibri" w:hAnsi="Calibri" w:cs="Times New Roman"/>
                <w:color w:val="auto"/>
                <w:szCs w:val="21"/>
                <w:highlight w:val="none"/>
              </w:rPr>
              <w:t>委托代理人</w:t>
            </w:r>
            <w:r>
              <w:rPr>
                <w:rFonts w:hint="eastAsia" w:ascii="Calibri" w:hAnsi="Calibri" w:cs="Times New Roman"/>
                <w:color w:val="auto"/>
                <w:szCs w:val="21"/>
                <w:highlight w:val="none"/>
              </w:rPr>
              <w:t>（签章）</w:t>
            </w:r>
          </w:p>
        </w:tc>
        <w:tc>
          <w:tcPr>
            <w:tcW w:w="1261" w:type="pct"/>
            <w:tcBorders>
              <w:top w:val="single" w:color="auto" w:sz="2" w:space="0"/>
              <w:left w:val="single" w:color="auto" w:sz="2" w:space="0"/>
              <w:bottom w:val="single" w:color="auto" w:sz="2" w:space="0"/>
            </w:tcBorders>
            <w:noWrap w:val="0"/>
            <w:vAlign w:val="center"/>
          </w:tcPr>
          <w:p w14:paraId="5AB7DFDD">
            <w:pPr>
              <w:keepNext w:val="0"/>
              <w:keepLines w:val="0"/>
              <w:suppressLineNumbers w:val="0"/>
              <w:adjustRightInd w:val="0"/>
              <w:snapToGrid w:val="0"/>
              <w:spacing w:before="0" w:beforeAutospacing="0" w:after="0" w:afterAutospacing="0" w:line="300" w:lineRule="exact"/>
              <w:ind w:left="0" w:right="0"/>
              <w:jc w:val="center"/>
              <w:rPr>
                <w:rFonts w:hint="default" w:ascii="Calibri" w:hAnsi="Calibri" w:cs="Times New Roman"/>
                <w:color w:val="auto"/>
                <w:szCs w:val="21"/>
                <w:highlight w:val="none"/>
              </w:rPr>
            </w:pPr>
          </w:p>
        </w:tc>
      </w:tr>
      <w:tr w14:paraId="2D300566">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jc w:val="center"/>
        </w:trPr>
        <w:tc>
          <w:tcPr>
            <w:tcW w:w="1124" w:type="pct"/>
            <w:vMerge w:val="continue"/>
            <w:tcBorders>
              <w:bottom w:val="single" w:color="auto" w:sz="2" w:space="0"/>
              <w:right w:val="single" w:color="auto" w:sz="2" w:space="0"/>
            </w:tcBorders>
            <w:noWrap w:val="0"/>
            <w:vAlign w:val="center"/>
          </w:tcPr>
          <w:p w14:paraId="1D76E8BA">
            <w:pPr>
              <w:keepNext w:val="0"/>
              <w:keepLines w:val="0"/>
              <w:suppressLineNumbers w:val="0"/>
              <w:adjustRightInd w:val="0"/>
              <w:snapToGrid w:val="0"/>
              <w:spacing w:before="0" w:beforeAutospacing="0" w:after="0" w:afterAutospacing="0" w:line="300" w:lineRule="exact"/>
              <w:ind w:left="0" w:right="0"/>
              <w:jc w:val="center"/>
              <w:rPr>
                <w:rFonts w:hint="default" w:ascii="Calibri" w:hAnsi="Calibri" w:cs="Times New Roman"/>
                <w:color w:val="auto"/>
                <w:szCs w:val="21"/>
                <w:highlight w:val="none"/>
              </w:rPr>
            </w:pPr>
          </w:p>
        </w:tc>
        <w:tc>
          <w:tcPr>
            <w:tcW w:w="1435" w:type="pct"/>
            <w:vMerge w:val="continue"/>
            <w:tcBorders>
              <w:left w:val="single" w:color="auto" w:sz="2" w:space="0"/>
              <w:bottom w:val="single" w:color="auto" w:sz="2" w:space="0"/>
              <w:right w:val="single" w:color="auto" w:sz="2" w:space="0"/>
            </w:tcBorders>
            <w:noWrap w:val="0"/>
            <w:vAlign w:val="center"/>
          </w:tcPr>
          <w:p w14:paraId="159B1A58">
            <w:pPr>
              <w:keepNext w:val="0"/>
              <w:keepLines w:val="0"/>
              <w:suppressLineNumbers w:val="0"/>
              <w:adjustRightInd w:val="0"/>
              <w:snapToGrid w:val="0"/>
              <w:spacing w:before="0" w:beforeAutospacing="0" w:after="0" w:afterAutospacing="0" w:line="300" w:lineRule="exact"/>
              <w:ind w:left="0" w:right="0"/>
              <w:jc w:val="center"/>
              <w:rPr>
                <w:rFonts w:hint="default" w:ascii="Calibri" w:hAnsi="Calibri" w:cs="Times New Roman"/>
                <w:color w:val="auto"/>
                <w:szCs w:val="21"/>
                <w:highlight w:val="none"/>
              </w:rPr>
            </w:pPr>
          </w:p>
        </w:tc>
        <w:tc>
          <w:tcPr>
            <w:tcW w:w="1177" w:type="pct"/>
            <w:tcBorders>
              <w:top w:val="single" w:color="auto" w:sz="2" w:space="0"/>
              <w:left w:val="single" w:color="auto" w:sz="2" w:space="0"/>
              <w:bottom w:val="single" w:color="auto" w:sz="2" w:space="0"/>
              <w:right w:val="single" w:color="auto" w:sz="2" w:space="0"/>
            </w:tcBorders>
            <w:noWrap w:val="0"/>
            <w:vAlign w:val="center"/>
          </w:tcPr>
          <w:p w14:paraId="49A05E4D">
            <w:pPr>
              <w:keepNext w:val="0"/>
              <w:keepLines w:val="0"/>
              <w:suppressLineNumbers w:val="0"/>
              <w:adjustRightInd w:val="0"/>
              <w:snapToGrid w:val="0"/>
              <w:spacing w:before="0" w:beforeAutospacing="0" w:after="0" w:afterAutospacing="0" w:line="300" w:lineRule="exact"/>
              <w:ind w:left="0" w:right="0"/>
              <w:jc w:val="center"/>
              <w:rPr>
                <w:rFonts w:hint="default" w:ascii="Calibri" w:hAnsi="Calibri" w:cs="Times New Roman"/>
                <w:color w:val="auto"/>
                <w:szCs w:val="21"/>
                <w:highlight w:val="none"/>
              </w:rPr>
            </w:pPr>
            <w:r>
              <w:rPr>
                <w:rFonts w:hint="eastAsia" w:ascii="Calibri" w:hAnsi="Calibri" w:cs="Times New Roman"/>
                <w:color w:val="auto"/>
                <w:szCs w:val="21"/>
                <w:highlight w:val="none"/>
              </w:rPr>
              <w:t>拥有者性别</w:t>
            </w:r>
          </w:p>
        </w:tc>
        <w:tc>
          <w:tcPr>
            <w:tcW w:w="1261" w:type="pct"/>
            <w:tcBorders>
              <w:top w:val="single" w:color="auto" w:sz="2" w:space="0"/>
              <w:left w:val="single" w:color="auto" w:sz="2" w:space="0"/>
              <w:bottom w:val="single" w:color="auto" w:sz="2" w:space="0"/>
            </w:tcBorders>
            <w:noWrap w:val="0"/>
            <w:vAlign w:val="center"/>
          </w:tcPr>
          <w:p w14:paraId="593368B0">
            <w:pPr>
              <w:keepNext w:val="0"/>
              <w:keepLines w:val="0"/>
              <w:suppressLineNumbers w:val="0"/>
              <w:adjustRightInd w:val="0"/>
              <w:snapToGrid w:val="0"/>
              <w:spacing w:before="0" w:beforeAutospacing="0" w:after="0" w:afterAutospacing="0" w:line="300" w:lineRule="exact"/>
              <w:ind w:left="0" w:right="0"/>
              <w:jc w:val="center"/>
              <w:rPr>
                <w:rFonts w:hint="default" w:ascii="Calibri" w:hAnsi="Calibri" w:cs="Times New Roman"/>
                <w:color w:val="auto"/>
                <w:spacing w:val="20"/>
                <w:szCs w:val="21"/>
                <w:highlight w:val="none"/>
              </w:rPr>
            </w:pPr>
          </w:p>
        </w:tc>
      </w:tr>
      <w:tr w14:paraId="5630D165">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jc w:val="center"/>
        </w:trPr>
        <w:tc>
          <w:tcPr>
            <w:tcW w:w="1124" w:type="pct"/>
            <w:tcBorders>
              <w:top w:val="single" w:color="auto" w:sz="2" w:space="0"/>
              <w:bottom w:val="single" w:color="auto" w:sz="2" w:space="0"/>
              <w:right w:val="single" w:color="auto" w:sz="2" w:space="0"/>
            </w:tcBorders>
            <w:noWrap w:val="0"/>
            <w:vAlign w:val="center"/>
          </w:tcPr>
          <w:p w14:paraId="15854110">
            <w:pPr>
              <w:keepNext w:val="0"/>
              <w:keepLines w:val="0"/>
              <w:suppressLineNumbers w:val="0"/>
              <w:adjustRightInd w:val="0"/>
              <w:snapToGrid w:val="0"/>
              <w:spacing w:before="0" w:beforeAutospacing="0" w:after="0" w:afterAutospacing="0" w:line="300" w:lineRule="exact"/>
              <w:ind w:left="0" w:right="0"/>
              <w:jc w:val="center"/>
              <w:rPr>
                <w:rFonts w:hint="default" w:ascii="Calibri" w:hAnsi="Calibri" w:cs="Times New Roman"/>
                <w:color w:val="auto"/>
                <w:szCs w:val="21"/>
                <w:highlight w:val="none"/>
              </w:rPr>
            </w:pPr>
            <w:r>
              <w:rPr>
                <w:rFonts w:hint="eastAsia" w:ascii="Calibri" w:hAnsi="Calibri" w:cs="Times New Roman"/>
                <w:color w:val="auto"/>
                <w:szCs w:val="21"/>
                <w:highlight w:val="none"/>
              </w:rPr>
              <w:t>住  所</w:t>
            </w:r>
          </w:p>
        </w:tc>
        <w:tc>
          <w:tcPr>
            <w:tcW w:w="1435" w:type="pct"/>
            <w:tcBorders>
              <w:top w:val="single" w:color="auto" w:sz="2" w:space="0"/>
              <w:left w:val="single" w:color="auto" w:sz="2" w:space="0"/>
              <w:bottom w:val="single" w:color="auto" w:sz="2" w:space="0"/>
              <w:right w:val="single" w:color="auto" w:sz="2" w:space="0"/>
            </w:tcBorders>
            <w:noWrap w:val="0"/>
            <w:vAlign w:val="center"/>
          </w:tcPr>
          <w:p w14:paraId="75170C98">
            <w:pPr>
              <w:keepNext w:val="0"/>
              <w:keepLines w:val="0"/>
              <w:suppressLineNumbers w:val="0"/>
              <w:adjustRightInd w:val="0"/>
              <w:snapToGrid w:val="0"/>
              <w:spacing w:before="0" w:beforeAutospacing="0" w:after="0" w:afterAutospacing="0" w:line="300" w:lineRule="exact"/>
              <w:ind w:left="0" w:right="0"/>
              <w:jc w:val="center"/>
              <w:rPr>
                <w:rFonts w:hint="default" w:ascii="Calibri" w:hAnsi="Calibri" w:cs="Times New Roman"/>
                <w:color w:val="auto"/>
                <w:szCs w:val="21"/>
                <w:highlight w:val="none"/>
              </w:rPr>
            </w:pPr>
          </w:p>
        </w:tc>
        <w:tc>
          <w:tcPr>
            <w:tcW w:w="1177" w:type="pct"/>
            <w:tcBorders>
              <w:top w:val="single" w:color="auto" w:sz="2" w:space="0"/>
              <w:left w:val="single" w:color="auto" w:sz="2" w:space="0"/>
              <w:bottom w:val="single" w:color="auto" w:sz="2" w:space="0"/>
              <w:right w:val="single" w:color="auto" w:sz="2" w:space="0"/>
            </w:tcBorders>
            <w:noWrap w:val="0"/>
            <w:vAlign w:val="center"/>
          </w:tcPr>
          <w:p w14:paraId="3772DB82">
            <w:pPr>
              <w:keepNext w:val="0"/>
              <w:keepLines w:val="0"/>
              <w:suppressLineNumbers w:val="0"/>
              <w:adjustRightInd w:val="0"/>
              <w:snapToGrid w:val="0"/>
              <w:spacing w:before="0" w:beforeAutospacing="0" w:after="0" w:afterAutospacing="0" w:line="300" w:lineRule="exact"/>
              <w:ind w:left="0" w:right="0"/>
              <w:jc w:val="center"/>
              <w:rPr>
                <w:rFonts w:hint="default" w:ascii="Calibri" w:hAnsi="Calibri" w:cs="Times New Roman"/>
                <w:color w:val="auto"/>
                <w:szCs w:val="21"/>
                <w:highlight w:val="none"/>
              </w:rPr>
            </w:pPr>
            <w:r>
              <w:rPr>
                <w:rFonts w:hint="eastAsia" w:ascii="Calibri" w:hAnsi="Calibri" w:cs="Times New Roman"/>
                <w:color w:val="auto"/>
                <w:szCs w:val="21"/>
                <w:highlight w:val="none"/>
              </w:rPr>
              <w:t>住  所</w:t>
            </w:r>
          </w:p>
        </w:tc>
        <w:tc>
          <w:tcPr>
            <w:tcW w:w="1261" w:type="pct"/>
            <w:tcBorders>
              <w:top w:val="single" w:color="auto" w:sz="2" w:space="0"/>
              <w:left w:val="single" w:color="auto" w:sz="2" w:space="0"/>
              <w:bottom w:val="single" w:color="auto" w:sz="2" w:space="0"/>
            </w:tcBorders>
            <w:noWrap w:val="0"/>
            <w:vAlign w:val="center"/>
          </w:tcPr>
          <w:p w14:paraId="6E612FA7">
            <w:pPr>
              <w:keepNext w:val="0"/>
              <w:keepLines w:val="0"/>
              <w:suppressLineNumbers w:val="0"/>
              <w:adjustRightInd w:val="0"/>
              <w:snapToGrid w:val="0"/>
              <w:spacing w:before="0" w:beforeAutospacing="0" w:after="0" w:afterAutospacing="0" w:line="300" w:lineRule="exact"/>
              <w:ind w:left="0" w:right="0"/>
              <w:jc w:val="center"/>
              <w:rPr>
                <w:rFonts w:hint="default" w:ascii="Calibri" w:hAnsi="Calibri" w:cs="Times New Roman"/>
                <w:color w:val="auto"/>
                <w:spacing w:val="20"/>
                <w:szCs w:val="21"/>
                <w:highlight w:val="none"/>
              </w:rPr>
            </w:pPr>
          </w:p>
        </w:tc>
      </w:tr>
      <w:tr w14:paraId="605DE2C3">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jc w:val="center"/>
        </w:trPr>
        <w:tc>
          <w:tcPr>
            <w:tcW w:w="1124" w:type="pct"/>
            <w:tcBorders>
              <w:top w:val="single" w:color="auto" w:sz="2" w:space="0"/>
              <w:bottom w:val="single" w:color="auto" w:sz="2" w:space="0"/>
              <w:right w:val="single" w:color="auto" w:sz="2" w:space="0"/>
            </w:tcBorders>
            <w:noWrap w:val="0"/>
            <w:vAlign w:val="center"/>
          </w:tcPr>
          <w:p w14:paraId="5AA2BFCC">
            <w:pPr>
              <w:keepNext w:val="0"/>
              <w:keepLines w:val="0"/>
              <w:suppressLineNumbers w:val="0"/>
              <w:adjustRightInd w:val="0"/>
              <w:snapToGrid w:val="0"/>
              <w:spacing w:before="0" w:beforeAutospacing="0" w:after="0" w:afterAutospacing="0" w:line="300" w:lineRule="exact"/>
              <w:ind w:left="0" w:right="0"/>
              <w:jc w:val="center"/>
              <w:rPr>
                <w:rFonts w:hint="default" w:ascii="Calibri" w:hAnsi="Calibri" w:cs="Times New Roman"/>
                <w:color w:val="auto"/>
                <w:szCs w:val="21"/>
                <w:highlight w:val="none"/>
              </w:rPr>
            </w:pPr>
            <w:r>
              <w:rPr>
                <w:rFonts w:hint="default" w:ascii="Calibri" w:hAnsi="Calibri" w:cs="Times New Roman"/>
                <w:color w:val="auto"/>
                <w:szCs w:val="21"/>
                <w:highlight w:val="none"/>
              </w:rPr>
              <w:t>联 系 人</w:t>
            </w:r>
          </w:p>
        </w:tc>
        <w:tc>
          <w:tcPr>
            <w:tcW w:w="1435" w:type="pct"/>
            <w:tcBorders>
              <w:top w:val="single" w:color="auto" w:sz="2" w:space="0"/>
              <w:left w:val="single" w:color="auto" w:sz="2" w:space="0"/>
              <w:bottom w:val="single" w:color="auto" w:sz="2" w:space="0"/>
              <w:right w:val="single" w:color="auto" w:sz="2" w:space="0"/>
            </w:tcBorders>
            <w:noWrap w:val="0"/>
            <w:vAlign w:val="center"/>
          </w:tcPr>
          <w:p w14:paraId="5517E8F0">
            <w:pPr>
              <w:keepNext w:val="0"/>
              <w:keepLines w:val="0"/>
              <w:suppressLineNumbers w:val="0"/>
              <w:adjustRightInd w:val="0"/>
              <w:snapToGrid w:val="0"/>
              <w:spacing w:before="0" w:beforeAutospacing="0" w:after="0" w:afterAutospacing="0" w:line="300" w:lineRule="exact"/>
              <w:ind w:left="0" w:right="0"/>
              <w:jc w:val="center"/>
              <w:rPr>
                <w:rFonts w:hint="default" w:ascii="Calibri" w:hAnsi="Calibri" w:cs="Times New Roman"/>
                <w:color w:val="auto"/>
                <w:szCs w:val="21"/>
                <w:highlight w:val="none"/>
              </w:rPr>
            </w:pPr>
          </w:p>
        </w:tc>
        <w:tc>
          <w:tcPr>
            <w:tcW w:w="1177" w:type="pct"/>
            <w:tcBorders>
              <w:top w:val="single" w:color="auto" w:sz="2" w:space="0"/>
              <w:left w:val="single" w:color="auto" w:sz="2" w:space="0"/>
              <w:bottom w:val="single" w:color="auto" w:sz="2" w:space="0"/>
              <w:right w:val="single" w:color="auto" w:sz="2" w:space="0"/>
            </w:tcBorders>
            <w:noWrap w:val="0"/>
            <w:vAlign w:val="center"/>
          </w:tcPr>
          <w:p w14:paraId="7F1440B4">
            <w:pPr>
              <w:keepNext w:val="0"/>
              <w:keepLines w:val="0"/>
              <w:suppressLineNumbers w:val="0"/>
              <w:adjustRightInd w:val="0"/>
              <w:snapToGrid w:val="0"/>
              <w:spacing w:before="0" w:beforeAutospacing="0" w:after="0" w:afterAutospacing="0" w:line="300" w:lineRule="exact"/>
              <w:ind w:left="0" w:right="0"/>
              <w:jc w:val="center"/>
              <w:rPr>
                <w:rFonts w:hint="default" w:ascii="Calibri" w:hAnsi="Calibri" w:cs="Times New Roman"/>
                <w:color w:val="auto"/>
                <w:szCs w:val="21"/>
                <w:highlight w:val="none"/>
              </w:rPr>
            </w:pPr>
            <w:r>
              <w:rPr>
                <w:rFonts w:hint="default" w:ascii="Calibri" w:hAnsi="Calibri" w:cs="Times New Roman"/>
                <w:color w:val="auto"/>
                <w:szCs w:val="21"/>
                <w:highlight w:val="none"/>
              </w:rPr>
              <w:t>联 系 人</w:t>
            </w:r>
          </w:p>
        </w:tc>
        <w:tc>
          <w:tcPr>
            <w:tcW w:w="1261" w:type="pct"/>
            <w:tcBorders>
              <w:top w:val="single" w:color="auto" w:sz="2" w:space="0"/>
              <w:left w:val="single" w:color="auto" w:sz="2" w:space="0"/>
              <w:bottom w:val="single" w:color="auto" w:sz="2" w:space="0"/>
            </w:tcBorders>
            <w:noWrap w:val="0"/>
            <w:vAlign w:val="center"/>
          </w:tcPr>
          <w:p w14:paraId="6C1A82BD">
            <w:pPr>
              <w:keepNext w:val="0"/>
              <w:keepLines w:val="0"/>
              <w:suppressLineNumbers w:val="0"/>
              <w:adjustRightInd w:val="0"/>
              <w:snapToGrid w:val="0"/>
              <w:spacing w:before="0" w:beforeAutospacing="0" w:after="0" w:afterAutospacing="0" w:line="300" w:lineRule="exact"/>
              <w:ind w:left="0" w:right="0"/>
              <w:jc w:val="center"/>
              <w:rPr>
                <w:rFonts w:hint="default" w:ascii="Calibri" w:hAnsi="Calibri" w:cs="Times New Roman"/>
                <w:color w:val="auto"/>
                <w:spacing w:val="20"/>
                <w:szCs w:val="21"/>
                <w:highlight w:val="none"/>
              </w:rPr>
            </w:pPr>
          </w:p>
        </w:tc>
      </w:tr>
      <w:tr w14:paraId="40F06DAD">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jc w:val="center"/>
        </w:trPr>
        <w:tc>
          <w:tcPr>
            <w:tcW w:w="1124" w:type="pct"/>
            <w:tcBorders>
              <w:top w:val="single" w:color="auto" w:sz="2" w:space="0"/>
              <w:bottom w:val="single" w:color="auto" w:sz="2" w:space="0"/>
              <w:right w:val="single" w:color="auto" w:sz="2" w:space="0"/>
            </w:tcBorders>
            <w:noWrap w:val="0"/>
            <w:vAlign w:val="center"/>
          </w:tcPr>
          <w:p w14:paraId="13D2A334">
            <w:pPr>
              <w:keepNext w:val="0"/>
              <w:keepLines w:val="0"/>
              <w:suppressLineNumbers w:val="0"/>
              <w:adjustRightInd w:val="0"/>
              <w:snapToGrid w:val="0"/>
              <w:spacing w:before="0" w:beforeAutospacing="0" w:after="0" w:afterAutospacing="0" w:line="300" w:lineRule="exact"/>
              <w:ind w:left="0" w:right="0"/>
              <w:jc w:val="center"/>
              <w:rPr>
                <w:rFonts w:hint="default" w:ascii="Calibri" w:hAnsi="Calibri" w:cs="Times New Roman"/>
                <w:color w:val="auto"/>
                <w:szCs w:val="21"/>
                <w:highlight w:val="none"/>
              </w:rPr>
            </w:pPr>
            <w:r>
              <w:rPr>
                <w:rFonts w:hint="default" w:ascii="Calibri" w:hAnsi="Calibri" w:cs="Times New Roman"/>
                <w:color w:val="auto"/>
                <w:szCs w:val="21"/>
                <w:highlight w:val="none"/>
              </w:rPr>
              <w:t>联系电话</w:t>
            </w:r>
          </w:p>
        </w:tc>
        <w:tc>
          <w:tcPr>
            <w:tcW w:w="1435" w:type="pct"/>
            <w:tcBorders>
              <w:top w:val="single" w:color="auto" w:sz="2" w:space="0"/>
              <w:left w:val="single" w:color="auto" w:sz="2" w:space="0"/>
              <w:bottom w:val="single" w:color="auto" w:sz="2" w:space="0"/>
              <w:right w:val="single" w:color="auto" w:sz="2" w:space="0"/>
            </w:tcBorders>
            <w:noWrap w:val="0"/>
            <w:vAlign w:val="center"/>
          </w:tcPr>
          <w:p w14:paraId="3BF6BC41">
            <w:pPr>
              <w:keepNext w:val="0"/>
              <w:keepLines w:val="0"/>
              <w:suppressLineNumbers w:val="0"/>
              <w:adjustRightInd w:val="0"/>
              <w:snapToGrid w:val="0"/>
              <w:spacing w:before="0" w:beforeAutospacing="0" w:after="0" w:afterAutospacing="0" w:line="300" w:lineRule="exact"/>
              <w:ind w:left="0" w:right="0"/>
              <w:jc w:val="center"/>
              <w:rPr>
                <w:rFonts w:hint="default" w:ascii="Calibri" w:hAnsi="Calibri" w:cs="Times New Roman"/>
                <w:color w:val="auto"/>
                <w:szCs w:val="21"/>
                <w:highlight w:val="none"/>
              </w:rPr>
            </w:pPr>
          </w:p>
        </w:tc>
        <w:tc>
          <w:tcPr>
            <w:tcW w:w="1177" w:type="pct"/>
            <w:tcBorders>
              <w:top w:val="single" w:color="auto" w:sz="2" w:space="0"/>
              <w:left w:val="single" w:color="auto" w:sz="2" w:space="0"/>
              <w:bottom w:val="single" w:color="auto" w:sz="2" w:space="0"/>
              <w:right w:val="single" w:color="auto" w:sz="2" w:space="0"/>
            </w:tcBorders>
            <w:noWrap w:val="0"/>
            <w:vAlign w:val="center"/>
          </w:tcPr>
          <w:p w14:paraId="100F9E87">
            <w:pPr>
              <w:keepNext w:val="0"/>
              <w:keepLines w:val="0"/>
              <w:suppressLineNumbers w:val="0"/>
              <w:adjustRightInd w:val="0"/>
              <w:snapToGrid w:val="0"/>
              <w:spacing w:before="0" w:beforeAutospacing="0" w:after="0" w:afterAutospacing="0" w:line="300" w:lineRule="exact"/>
              <w:ind w:left="0" w:right="0"/>
              <w:jc w:val="center"/>
              <w:rPr>
                <w:rFonts w:hint="default" w:ascii="Calibri" w:hAnsi="Calibri" w:cs="Times New Roman"/>
                <w:color w:val="auto"/>
                <w:szCs w:val="21"/>
                <w:highlight w:val="none"/>
              </w:rPr>
            </w:pPr>
            <w:r>
              <w:rPr>
                <w:rFonts w:hint="default" w:ascii="Calibri" w:hAnsi="Calibri" w:cs="Times New Roman"/>
                <w:color w:val="auto"/>
                <w:szCs w:val="21"/>
                <w:highlight w:val="none"/>
              </w:rPr>
              <w:t>联系电话</w:t>
            </w:r>
          </w:p>
        </w:tc>
        <w:tc>
          <w:tcPr>
            <w:tcW w:w="1261" w:type="pct"/>
            <w:tcBorders>
              <w:top w:val="single" w:color="auto" w:sz="2" w:space="0"/>
              <w:left w:val="single" w:color="auto" w:sz="2" w:space="0"/>
              <w:bottom w:val="single" w:color="auto" w:sz="2" w:space="0"/>
            </w:tcBorders>
            <w:noWrap w:val="0"/>
            <w:vAlign w:val="center"/>
          </w:tcPr>
          <w:p w14:paraId="3A052A06">
            <w:pPr>
              <w:keepNext w:val="0"/>
              <w:keepLines w:val="0"/>
              <w:suppressLineNumbers w:val="0"/>
              <w:adjustRightInd w:val="0"/>
              <w:snapToGrid w:val="0"/>
              <w:spacing w:before="0" w:beforeAutospacing="0" w:after="0" w:afterAutospacing="0" w:line="300" w:lineRule="exact"/>
              <w:ind w:left="0" w:right="0"/>
              <w:jc w:val="center"/>
              <w:rPr>
                <w:rFonts w:hint="default" w:ascii="Calibri" w:hAnsi="Calibri" w:cs="Times New Roman"/>
                <w:color w:val="auto"/>
                <w:spacing w:val="20"/>
                <w:szCs w:val="21"/>
                <w:highlight w:val="none"/>
              </w:rPr>
            </w:pPr>
          </w:p>
        </w:tc>
      </w:tr>
      <w:tr w14:paraId="03724CB1">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jc w:val="center"/>
        </w:trPr>
        <w:tc>
          <w:tcPr>
            <w:tcW w:w="1124" w:type="pct"/>
            <w:tcBorders>
              <w:top w:val="single" w:color="auto" w:sz="2" w:space="0"/>
              <w:bottom w:val="single" w:color="auto" w:sz="2" w:space="0"/>
              <w:right w:val="single" w:color="auto" w:sz="2" w:space="0"/>
            </w:tcBorders>
            <w:noWrap w:val="0"/>
            <w:vAlign w:val="center"/>
          </w:tcPr>
          <w:p w14:paraId="06B706FF">
            <w:pPr>
              <w:keepNext w:val="0"/>
              <w:keepLines w:val="0"/>
              <w:suppressLineNumbers w:val="0"/>
              <w:adjustRightInd w:val="0"/>
              <w:snapToGrid w:val="0"/>
              <w:spacing w:before="0" w:beforeAutospacing="0" w:after="0" w:afterAutospacing="0" w:line="300" w:lineRule="exact"/>
              <w:ind w:left="0" w:right="0"/>
              <w:jc w:val="center"/>
              <w:rPr>
                <w:rFonts w:hint="default" w:ascii="Calibri" w:hAnsi="Calibri" w:cs="Times New Roman"/>
                <w:color w:val="auto"/>
                <w:szCs w:val="21"/>
                <w:highlight w:val="none"/>
              </w:rPr>
            </w:pPr>
            <w:r>
              <w:rPr>
                <w:rFonts w:hint="eastAsia" w:ascii="Calibri" w:hAnsi="Calibri" w:cs="Times New Roman"/>
                <w:color w:val="auto"/>
                <w:szCs w:val="21"/>
                <w:highlight w:val="none"/>
              </w:rPr>
              <w:t>通信地址</w:t>
            </w:r>
          </w:p>
        </w:tc>
        <w:tc>
          <w:tcPr>
            <w:tcW w:w="1435" w:type="pct"/>
            <w:tcBorders>
              <w:top w:val="single" w:color="auto" w:sz="2" w:space="0"/>
              <w:left w:val="single" w:color="auto" w:sz="2" w:space="0"/>
              <w:bottom w:val="single" w:color="auto" w:sz="2" w:space="0"/>
              <w:right w:val="single" w:color="auto" w:sz="2" w:space="0"/>
            </w:tcBorders>
            <w:noWrap w:val="0"/>
            <w:vAlign w:val="center"/>
          </w:tcPr>
          <w:p w14:paraId="6744973D">
            <w:pPr>
              <w:keepNext w:val="0"/>
              <w:keepLines w:val="0"/>
              <w:suppressLineNumbers w:val="0"/>
              <w:adjustRightInd w:val="0"/>
              <w:snapToGrid w:val="0"/>
              <w:spacing w:before="0" w:beforeAutospacing="0" w:after="0" w:afterAutospacing="0" w:line="300" w:lineRule="exact"/>
              <w:ind w:left="0" w:right="0"/>
              <w:jc w:val="center"/>
              <w:rPr>
                <w:rFonts w:hint="default" w:ascii="Calibri" w:hAnsi="Calibri" w:cs="Times New Roman"/>
                <w:color w:val="auto"/>
                <w:szCs w:val="21"/>
                <w:highlight w:val="none"/>
              </w:rPr>
            </w:pPr>
          </w:p>
        </w:tc>
        <w:tc>
          <w:tcPr>
            <w:tcW w:w="1177" w:type="pct"/>
            <w:tcBorders>
              <w:top w:val="single" w:color="auto" w:sz="2" w:space="0"/>
              <w:left w:val="single" w:color="auto" w:sz="2" w:space="0"/>
              <w:bottom w:val="single" w:color="auto" w:sz="2" w:space="0"/>
              <w:right w:val="single" w:color="auto" w:sz="2" w:space="0"/>
            </w:tcBorders>
            <w:noWrap w:val="0"/>
            <w:vAlign w:val="center"/>
          </w:tcPr>
          <w:p w14:paraId="0B2F5ED2">
            <w:pPr>
              <w:keepNext w:val="0"/>
              <w:keepLines w:val="0"/>
              <w:suppressLineNumbers w:val="0"/>
              <w:adjustRightInd w:val="0"/>
              <w:snapToGrid w:val="0"/>
              <w:spacing w:before="0" w:beforeAutospacing="0" w:after="0" w:afterAutospacing="0" w:line="300" w:lineRule="exact"/>
              <w:ind w:left="0" w:right="0"/>
              <w:jc w:val="center"/>
              <w:rPr>
                <w:rFonts w:hint="default" w:ascii="Calibri" w:hAnsi="Calibri" w:cs="Times New Roman"/>
                <w:color w:val="auto"/>
                <w:szCs w:val="21"/>
                <w:highlight w:val="none"/>
              </w:rPr>
            </w:pPr>
            <w:r>
              <w:rPr>
                <w:rFonts w:hint="eastAsia" w:ascii="Calibri" w:hAnsi="Calibri" w:cs="Times New Roman"/>
                <w:color w:val="auto"/>
                <w:szCs w:val="21"/>
                <w:highlight w:val="none"/>
              </w:rPr>
              <w:t>通信地址</w:t>
            </w:r>
          </w:p>
        </w:tc>
        <w:tc>
          <w:tcPr>
            <w:tcW w:w="1261" w:type="pct"/>
            <w:tcBorders>
              <w:top w:val="single" w:color="auto" w:sz="2" w:space="0"/>
              <w:left w:val="single" w:color="auto" w:sz="2" w:space="0"/>
              <w:bottom w:val="single" w:color="auto" w:sz="2" w:space="0"/>
            </w:tcBorders>
            <w:noWrap w:val="0"/>
            <w:vAlign w:val="center"/>
          </w:tcPr>
          <w:p w14:paraId="640BAE81">
            <w:pPr>
              <w:keepNext w:val="0"/>
              <w:keepLines w:val="0"/>
              <w:suppressLineNumbers w:val="0"/>
              <w:adjustRightInd w:val="0"/>
              <w:snapToGrid w:val="0"/>
              <w:spacing w:before="0" w:beforeAutospacing="0" w:after="0" w:afterAutospacing="0" w:line="300" w:lineRule="exact"/>
              <w:ind w:left="0" w:right="0"/>
              <w:jc w:val="center"/>
              <w:rPr>
                <w:rFonts w:hint="default" w:ascii="Calibri" w:hAnsi="Calibri" w:cs="Times New Roman"/>
                <w:color w:val="auto"/>
                <w:spacing w:val="20"/>
                <w:szCs w:val="21"/>
                <w:highlight w:val="none"/>
              </w:rPr>
            </w:pPr>
          </w:p>
        </w:tc>
      </w:tr>
      <w:tr w14:paraId="2CF1AF7E">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jc w:val="center"/>
        </w:trPr>
        <w:tc>
          <w:tcPr>
            <w:tcW w:w="1124" w:type="pct"/>
            <w:tcBorders>
              <w:top w:val="single" w:color="auto" w:sz="2" w:space="0"/>
              <w:bottom w:val="single" w:color="auto" w:sz="2" w:space="0"/>
              <w:right w:val="single" w:color="auto" w:sz="2" w:space="0"/>
            </w:tcBorders>
            <w:noWrap w:val="0"/>
            <w:vAlign w:val="center"/>
          </w:tcPr>
          <w:p w14:paraId="6F733AEB">
            <w:pPr>
              <w:keepNext w:val="0"/>
              <w:keepLines w:val="0"/>
              <w:suppressLineNumbers w:val="0"/>
              <w:adjustRightInd w:val="0"/>
              <w:snapToGrid w:val="0"/>
              <w:spacing w:before="0" w:beforeAutospacing="0" w:after="0" w:afterAutospacing="0" w:line="300" w:lineRule="exact"/>
              <w:ind w:left="0" w:right="0"/>
              <w:jc w:val="center"/>
              <w:rPr>
                <w:rFonts w:hint="default" w:ascii="Calibri" w:hAnsi="Calibri" w:cs="Times New Roman"/>
                <w:color w:val="auto"/>
                <w:szCs w:val="21"/>
                <w:highlight w:val="none"/>
              </w:rPr>
            </w:pPr>
            <w:r>
              <w:rPr>
                <w:rFonts w:hint="default" w:ascii="Calibri" w:hAnsi="Calibri" w:cs="Times New Roman"/>
                <w:color w:val="auto"/>
                <w:szCs w:val="21"/>
                <w:highlight w:val="none"/>
              </w:rPr>
              <w:t>邮政编码</w:t>
            </w:r>
          </w:p>
        </w:tc>
        <w:tc>
          <w:tcPr>
            <w:tcW w:w="1435" w:type="pct"/>
            <w:tcBorders>
              <w:top w:val="single" w:color="auto" w:sz="2" w:space="0"/>
              <w:left w:val="single" w:color="auto" w:sz="2" w:space="0"/>
              <w:bottom w:val="single" w:color="auto" w:sz="2" w:space="0"/>
              <w:right w:val="single" w:color="auto" w:sz="2" w:space="0"/>
            </w:tcBorders>
            <w:noWrap w:val="0"/>
            <w:vAlign w:val="center"/>
          </w:tcPr>
          <w:p w14:paraId="1E066DEB">
            <w:pPr>
              <w:keepNext w:val="0"/>
              <w:keepLines w:val="0"/>
              <w:suppressLineNumbers w:val="0"/>
              <w:adjustRightInd w:val="0"/>
              <w:snapToGrid w:val="0"/>
              <w:spacing w:before="0" w:beforeAutospacing="0" w:after="0" w:afterAutospacing="0" w:line="300" w:lineRule="exact"/>
              <w:ind w:left="0" w:right="0"/>
              <w:jc w:val="center"/>
              <w:rPr>
                <w:rFonts w:hint="default" w:ascii="Calibri" w:hAnsi="Calibri" w:cs="Times New Roman"/>
                <w:color w:val="auto"/>
                <w:szCs w:val="21"/>
                <w:highlight w:val="none"/>
              </w:rPr>
            </w:pPr>
          </w:p>
        </w:tc>
        <w:tc>
          <w:tcPr>
            <w:tcW w:w="1177" w:type="pct"/>
            <w:tcBorders>
              <w:top w:val="single" w:color="auto" w:sz="2" w:space="0"/>
              <w:left w:val="single" w:color="auto" w:sz="2" w:space="0"/>
              <w:bottom w:val="single" w:color="auto" w:sz="2" w:space="0"/>
              <w:right w:val="single" w:color="auto" w:sz="2" w:space="0"/>
            </w:tcBorders>
            <w:noWrap w:val="0"/>
            <w:vAlign w:val="center"/>
          </w:tcPr>
          <w:p w14:paraId="58CE47F8">
            <w:pPr>
              <w:keepNext w:val="0"/>
              <w:keepLines w:val="0"/>
              <w:suppressLineNumbers w:val="0"/>
              <w:adjustRightInd w:val="0"/>
              <w:snapToGrid w:val="0"/>
              <w:spacing w:before="0" w:beforeAutospacing="0" w:after="0" w:afterAutospacing="0" w:line="300" w:lineRule="exact"/>
              <w:ind w:left="0" w:right="0"/>
              <w:jc w:val="center"/>
              <w:rPr>
                <w:rFonts w:hint="default" w:ascii="Calibri" w:hAnsi="Calibri" w:cs="Times New Roman"/>
                <w:color w:val="auto"/>
                <w:szCs w:val="21"/>
                <w:highlight w:val="none"/>
              </w:rPr>
            </w:pPr>
            <w:r>
              <w:rPr>
                <w:rFonts w:hint="default" w:ascii="Calibri" w:hAnsi="Calibri" w:cs="Times New Roman"/>
                <w:color w:val="auto"/>
                <w:szCs w:val="21"/>
                <w:highlight w:val="none"/>
              </w:rPr>
              <w:t>邮政编码</w:t>
            </w:r>
          </w:p>
        </w:tc>
        <w:tc>
          <w:tcPr>
            <w:tcW w:w="1261" w:type="pct"/>
            <w:tcBorders>
              <w:top w:val="single" w:color="auto" w:sz="2" w:space="0"/>
              <w:left w:val="single" w:color="auto" w:sz="2" w:space="0"/>
              <w:bottom w:val="single" w:color="auto" w:sz="2" w:space="0"/>
            </w:tcBorders>
            <w:noWrap w:val="0"/>
            <w:vAlign w:val="center"/>
          </w:tcPr>
          <w:p w14:paraId="3D86FC4D">
            <w:pPr>
              <w:keepNext w:val="0"/>
              <w:keepLines w:val="0"/>
              <w:suppressLineNumbers w:val="0"/>
              <w:adjustRightInd w:val="0"/>
              <w:snapToGrid w:val="0"/>
              <w:spacing w:before="0" w:beforeAutospacing="0" w:after="0" w:afterAutospacing="0" w:line="300" w:lineRule="exact"/>
              <w:ind w:left="0" w:right="0"/>
              <w:jc w:val="center"/>
              <w:rPr>
                <w:rFonts w:hint="default" w:ascii="Calibri" w:hAnsi="Calibri" w:cs="Times New Roman"/>
                <w:color w:val="auto"/>
                <w:spacing w:val="20"/>
                <w:szCs w:val="21"/>
                <w:highlight w:val="none"/>
              </w:rPr>
            </w:pPr>
          </w:p>
        </w:tc>
      </w:tr>
      <w:tr w14:paraId="35352DA8">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jc w:val="center"/>
        </w:trPr>
        <w:tc>
          <w:tcPr>
            <w:tcW w:w="1124" w:type="pct"/>
            <w:tcBorders>
              <w:top w:val="single" w:color="auto" w:sz="2" w:space="0"/>
              <w:bottom w:val="single" w:color="auto" w:sz="2" w:space="0"/>
              <w:right w:val="single" w:color="auto" w:sz="2" w:space="0"/>
            </w:tcBorders>
            <w:noWrap w:val="0"/>
            <w:vAlign w:val="center"/>
          </w:tcPr>
          <w:p w14:paraId="22BF440F">
            <w:pPr>
              <w:keepNext w:val="0"/>
              <w:keepLines w:val="0"/>
              <w:suppressLineNumbers w:val="0"/>
              <w:adjustRightInd w:val="0"/>
              <w:snapToGrid w:val="0"/>
              <w:spacing w:before="0" w:beforeAutospacing="0" w:after="0" w:afterAutospacing="0" w:line="300" w:lineRule="exact"/>
              <w:ind w:left="0" w:right="0"/>
              <w:jc w:val="center"/>
              <w:rPr>
                <w:rFonts w:hint="default" w:ascii="Calibri" w:hAnsi="Calibri" w:cs="Times New Roman"/>
                <w:color w:val="auto"/>
                <w:szCs w:val="21"/>
                <w:highlight w:val="none"/>
              </w:rPr>
            </w:pPr>
            <w:r>
              <w:rPr>
                <w:rFonts w:hint="eastAsia" w:ascii="Calibri" w:hAnsi="Calibri" w:cs="Times New Roman"/>
                <w:color w:val="auto"/>
                <w:szCs w:val="21"/>
                <w:highlight w:val="none"/>
              </w:rPr>
              <w:t>电子邮箱</w:t>
            </w:r>
          </w:p>
        </w:tc>
        <w:tc>
          <w:tcPr>
            <w:tcW w:w="1435" w:type="pct"/>
            <w:tcBorders>
              <w:top w:val="single" w:color="auto" w:sz="2" w:space="0"/>
              <w:left w:val="single" w:color="auto" w:sz="2" w:space="0"/>
              <w:bottom w:val="single" w:color="auto" w:sz="2" w:space="0"/>
              <w:right w:val="single" w:color="auto" w:sz="2" w:space="0"/>
            </w:tcBorders>
            <w:noWrap w:val="0"/>
            <w:vAlign w:val="center"/>
          </w:tcPr>
          <w:p w14:paraId="7F4E2CD0">
            <w:pPr>
              <w:keepNext w:val="0"/>
              <w:keepLines w:val="0"/>
              <w:suppressLineNumbers w:val="0"/>
              <w:adjustRightInd w:val="0"/>
              <w:snapToGrid w:val="0"/>
              <w:spacing w:before="0" w:beforeAutospacing="0" w:after="0" w:afterAutospacing="0" w:line="300" w:lineRule="exact"/>
              <w:ind w:left="0" w:right="0"/>
              <w:jc w:val="center"/>
              <w:rPr>
                <w:rFonts w:hint="default" w:ascii="Calibri" w:hAnsi="Calibri" w:cs="Times New Roman"/>
                <w:color w:val="auto"/>
                <w:szCs w:val="21"/>
                <w:highlight w:val="none"/>
              </w:rPr>
            </w:pPr>
          </w:p>
        </w:tc>
        <w:tc>
          <w:tcPr>
            <w:tcW w:w="1177" w:type="pct"/>
            <w:tcBorders>
              <w:top w:val="single" w:color="auto" w:sz="2" w:space="0"/>
              <w:left w:val="single" w:color="auto" w:sz="2" w:space="0"/>
              <w:bottom w:val="single" w:color="auto" w:sz="2" w:space="0"/>
              <w:right w:val="single" w:color="auto" w:sz="2" w:space="0"/>
            </w:tcBorders>
            <w:noWrap w:val="0"/>
            <w:vAlign w:val="center"/>
          </w:tcPr>
          <w:p w14:paraId="112B15BA">
            <w:pPr>
              <w:keepNext w:val="0"/>
              <w:keepLines w:val="0"/>
              <w:suppressLineNumbers w:val="0"/>
              <w:adjustRightInd w:val="0"/>
              <w:snapToGrid w:val="0"/>
              <w:spacing w:before="0" w:beforeAutospacing="0" w:after="0" w:afterAutospacing="0" w:line="300" w:lineRule="exact"/>
              <w:ind w:left="0" w:right="0"/>
              <w:jc w:val="center"/>
              <w:rPr>
                <w:rFonts w:hint="default" w:ascii="Calibri" w:hAnsi="Calibri" w:cs="Times New Roman"/>
                <w:color w:val="auto"/>
                <w:szCs w:val="21"/>
                <w:highlight w:val="none"/>
              </w:rPr>
            </w:pPr>
            <w:r>
              <w:rPr>
                <w:rFonts w:hint="eastAsia" w:ascii="Calibri" w:hAnsi="Calibri" w:cs="Times New Roman"/>
                <w:color w:val="auto"/>
                <w:szCs w:val="21"/>
                <w:highlight w:val="none"/>
              </w:rPr>
              <w:t>电子邮箱</w:t>
            </w:r>
          </w:p>
        </w:tc>
        <w:tc>
          <w:tcPr>
            <w:tcW w:w="1261" w:type="pct"/>
            <w:tcBorders>
              <w:top w:val="single" w:color="auto" w:sz="2" w:space="0"/>
              <w:left w:val="single" w:color="auto" w:sz="2" w:space="0"/>
              <w:bottom w:val="single" w:color="auto" w:sz="2" w:space="0"/>
            </w:tcBorders>
            <w:noWrap w:val="0"/>
            <w:vAlign w:val="center"/>
          </w:tcPr>
          <w:p w14:paraId="6C57D961">
            <w:pPr>
              <w:keepNext w:val="0"/>
              <w:keepLines w:val="0"/>
              <w:suppressLineNumbers w:val="0"/>
              <w:adjustRightInd w:val="0"/>
              <w:snapToGrid w:val="0"/>
              <w:spacing w:before="0" w:beforeAutospacing="0" w:after="0" w:afterAutospacing="0" w:line="300" w:lineRule="exact"/>
              <w:ind w:left="0" w:right="0"/>
              <w:jc w:val="center"/>
              <w:rPr>
                <w:rFonts w:hint="default" w:ascii="Calibri" w:hAnsi="Calibri" w:cs="Times New Roman"/>
                <w:color w:val="auto"/>
                <w:spacing w:val="20"/>
                <w:szCs w:val="21"/>
                <w:highlight w:val="none"/>
              </w:rPr>
            </w:pPr>
          </w:p>
        </w:tc>
      </w:tr>
      <w:tr w14:paraId="2B57A3F4">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jc w:val="center"/>
        </w:trPr>
        <w:tc>
          <w:tcPr>
            <w:tcW w:w="1124" w:type="pct"/>
            <w:tcBorders>
              <w:top w:val="single" w:color="auto" w:sz="2" w:space="0"/>
              <w:bottom w:val="single" w:color="auto" w:sz="2" w:space="0"/>
              <w:right w:val="single" w:color="auto" w:sz="2" w:space="0"/>
            </w:tcBorders>
            <w:noWrap w:val="0"/>
            <w:vAlign w:val="center"/>
          </w:tcPr>
          <w:p w14:paraId="5510BA5D">
            <w:pPr>
              <w:keepNext w:val="0"/>
              <w:keepLines w:val="0"/>
              <w:suppressLineNumbers w:val="0"/>
              <w:adjustRightInd w:val="0"/>
              <w:snapToGrid w:val="0"/>
              <w:spacing w:before="0" w:beforeAutospacing="0" w:after="0" w:afterAutospacing="0" w:line="300" w:lineRule="exact"/>
              <w:ind w:left="0" w:right="0"/>
              <w:jc w:val="center"/>
              <w:rPr>
                <w:rFonts w:hint="default" w:ascii="Calibri" w:hAnsi="Calibri" w:cs="Times New Roman"/>
                <w:color w:val="auto"/>
                <w:szCs w:val="21"/>
                <w:highlight w:val="none"/>
              </w:rPr>
            </w:pPr>
            <w:r>
              <w:rPr>
                <w:rFonts w:hint="eastAsia" w:ascii="Calibri" w:hAnsi="Calibri" w:cs="Times New Roman"/>
                <w:color w:val="auto"/>
                <w:szCs w:val="21"/>
                <w:highlight w:val="none"/>
              </w:rPr>
              <w:t>统一社会信用代码</w:t>
            </w:r>
          </w:p>
        </w:tc>
        <w:tc>
          <w:tcPr>
            <w:tcW w:w="1435" w:type="pct"/>
            <w:tcBorders>
              <w:top w:val="single" w:color="auto" w:sz="2" w:space="0"/>
              <w:left w:val="single" w:color="auto" w:sz="2" w:space="0"/>
              <w:bottom w:val="single" w:color="auto" w:sz="2" w:space="0"/>
              <w:right w:val="single" w:color="auto" w:sz="2" w:space="0"/>
            </w:tcBorders>
            <w:noWrap w:val="0"/>
            <w:vAlign w:val="center"/>
          </w:tcPr>
          <w:p w14:paraId="6577542F">
            <w:pPr>
              <w:keepNext w:val="0"/>
              <w:keepLines w:val="0"/>
              <w:suppressLineNumbers w:val="0"/>
              <w:adjustRightInd w:val="0"/>
              <w:snapToGrid w:val="0"/>
              <w:spacing w:before="0" w:beforeAutospacing="0" w:after="0" w:afterAutospacing="0" w:line="300" w:lineRule="exact"/>
              <w:ind w:left="0" w:right="0"/>
              <w:jc w:val="center"/>
              <w:rPr>
                <w:rFonts w:hint="default" w:ascii="Calibri" w:hAnsi="Calibri" w:cs="Times New Roman"/>
                <w:color w:val="auto"/>
                <w:szCs w:val="21"/>
                <w:highlight w:val="none"/>
              </w:rPr>
            </w:pPr>
          </w:p>
        </w:tc>
        <w:tc>
          <w:tcPr>
            <w:tcW w:w="1177" w:type="pct"/>
            <w:tcBorders>
              <w:top w:val="single" w:color="auto" w:sz="2" w:space="0"/>
              <w:left w:val="single" w:color="auto" w:sz="2" w:space="0"/>
              <w:bottom w:val="single" w:color="auto" w:sz="2" w:space="0"/>
              <w:right w:val="single" w:color="auto" w:sz="2" w:space="0"/>
            </w:tcBorders>
            <w:noWrap w:val="0"/>
            <w:vAlign w:val="center"/>
          </w:tcPr>
          <w:p w14:paraId="7BDC6DA0">
            <w:pPr>
              <w:keepNext w:val="0"/>
              <w:keepLines w:val="0"/>
              <w:suppressLineNumbers w:val="0"/>
              <w:adjustRightInd w:val="0"/>
              <w:snapToGrid w:val="0"/>
              <w:spacing w:before="0" w:beforeAutospacing="0" w:after="0" w:afterAutospacing="0" w:line="300" w:lineRule="exact"/>
              <w:ind w:left="0" w:right="0"/>
              <w:jc w:val="center"/>
              <w:rPr>
                <w:rFonts w:hint="default" w:ascii="Calibri" w:hAnsi="Calibri" w:cs="Times New Roman"/>
                <w:color w:val="auto"/>
                <w:szCs w:val="21"/>
                <w:highlight w:val="none"/>
              </w:rPr>
            </w:pPr>
            <w:r>
              <w:rPr>
                <w:rFonts w:hint="eastAsia" w:ascii="Calibri" w:hAnsi="Calibri" w:cs="Times New Roman"/>
                <w:color w:val="auto"/>
                <w:szCs w:val="21"/>
                <w:highlight w:val="none"/>
              </w:rPr>
              <w:t>统一社会信用代码</w:t>
            </w:r>
          </w:p>
        </w:tc>
        <w:tc>
          <w:tcPr>
            <w:tcW w:w="1261" w:type="pct"/>
            <w:tcBorders>
              <w:top w:val="single" w:color="auto" w:sz="2" w:space="0"/>
              <w:left w:val="single" w:color="auto" w:sz="2" w:space="0"/>
              <w:bottom w:val="single" w:color="auto" w:sz="2" w:space="0"/>
            </w:tcBorders>
            <w:noWrap w:val="0"/>
            <w:vAlign w:val="center"/>
          </w:tcPr>
          <w:p w14:paraId="41DB5CE0">
            <w:pPr>
              <w:keepNext w:val="0"/>
              <w:keepLines w:val="0"/>
              <w:suppressLineNumbers w:val="0"/>
              <w:adjustRightInd w:val="0"/>
              <w:snapToGrid w:val="0"/>
              <w:spacing w:before="0" w:beforeAutospacing="0" w:after="0" w:afterAutospacing="0" w:line="300" w:lineRule="exact"/>
              <w:ind w:left="0" w:right="0"/>
              <w:jc w:val="center"/>
              <w:rPr>
                <w:rFonts w:hint="default" w:ascii="Calibri" w:hAnsi="Calibri" w:cs="Times New Roman"/>
                <w:color w:val="auto"/>
                <w:spacing w:val="20"/>
                <w:szCs w:val="21"/>
                <w:highlight w:val="none"/>
              </w:rPr>
            </w:pPr>
          </w:p>
        </w:tc>
      </w:tr>
      <w:tr w14:paraId="5445D1DE">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jc w:val="center"/>
        </w:trPr>
        <w:tc>
          <w:tcPr>
            <w:tcW w:w="1124" w:type="pct"/>
            <w:tcBorders>
              <w:top w:val="single" w:color="auto" w:sz="2" w:space="0"/>
              <w:bottom w:val="single" w:color="auto" w:sz="2" w:space="0"/>
              <w:right w:val="single" w:color="auto" w:sz="2" w:space="0"/>
            </w:tcBorders>
            <w:noWrap w:val="0"/>
            <w:vAlign w:val="center"/>
          </w:tcPr>
          <w:p w14:paraId="49496A74">
            <w:pPr>
              <w:keepNext w:val="0"/>
              <w:keepLines w:val="0"/>
              <w:suppressLineNumbers w:val="0"/>
              <w:adjustRightInd w:val="0"/>
              <w:snapToGrid w:val="0"/>
              <w:spacing w:before="0" w:beforeAutospacing="0" w:after="0" w:afterAutospacing="0" w:line="300" w:lineRule="exact"/>
              <w:ind w:left="0" w:right="0"/>
              <w:jc w:val="center"/>
              <w:rPr>
                <w:rFonts w:hint="default" w:ascii="Calibri" w:hAnsi="Calibri" w:cs="Times New Roman"/>
                <w:color w:val="auto"/>
                <w:szCs w:val="21"/>
                <w:highlight w:val="none"/>
              </w:rPr>
            </w:pPr>
          </w:p>
        </w:tc>
        <w:tc>
          <w:tcPr>
            <w:tcW w:w="1435" w:type="pct"/>
            <w:tcBorders>
              <w:top w:val="single" w:color="auto" w:sz="2" w:space="0"/>
              <w:left w:val="single" w:color="auto" w:sz="2" w:space="0"/>
              <w:bottom w:val="single" w:color="auto" w:sz="2" w:space="0"/>
              <w:right w:val="single" w:color="auto" w:sz="2" w:space="0"/>
            </w:tcBorders>
            <w:noWrap w:val="0"/>
            <w:vAlign w:val="center"/>
          </w:tcPr>
          <w:p w14:paraId="7E470D3B">
            <w:pPr>
              <w:keepNext w:val="0"/>
              <w:keepLines w:val="0"/>
              <w:suppressLineNumbers w:val="0"/>
              <w:adjustRightInd w:val="0"/>
              <w:snapToGrid w:val="0"/>
              <w:spacing w:before="0" w:beforeAutospacing="0" w:after="0" w:afterAutospacing="0" w:line="300" w:lineRule="exact"/>
              <w:ind w:left="0" w:right="0"/>
              <w:jc w:val="center"/>
              <w:rPr>
                <w:rFonts w:hint="default" w:ascii="Calibri" w:hAnsi="Calibri" w:cs="Times New Roman"/>
                <w:color w:val="auto"/>
                <w:szCs w:val="21"/>
                <w:highlight w:val="none"/>
              </w:rPr>
            </w:pPr>
          </w:p>
        </w:tc>
        <w:tc>
          <w:tcPr>
            <w:tcW w:w="1177" w:type="pct"/>
            <w:tcBorders>
              <w:top w:val="single" w:color="auto" w:sz="2" w:space="0"/>
              <w:left w:val="single" w:color="auto" w:sz="2" w:space="0"/>
              <w:bottom w:val="single" w:color="auto" w:sz="2" w:space="0"/>
              <w:right w:val="single" w:color="auto" w:sz="2" w:space="0"/>
            </w:tcBorders>
            <w:noWrap w:val="0"/>
            <w:vAlign w:val="center"/>
          </w:tcPr>
          <w:p w14:paraId="637D710C">
            <w:pPr>
              <w:keepNext w:val="0"/>
              <w:keepLines w:val="0"/>
              <w:suppressLineNumbers w:val="0"/>
              <w:adjustRightInd w:val="0"/>
              <w:snapToGrid w:val="0"/>
              <w:spacing w:before="0" w:beforeAutospacing="0" w:after="0" w:afterAutospacing="0" w:line="300" w:lineRule="exact"/>
              <w:ind w:left="0" w:right="0"/>
              <w:jc w:val="center"/>
              <w:rPr>
                <w:rFonts w:hint="default" w:ascii="Calibri" w:hAnsi="Calibri" w:cs="Times New Roman"/>
                <w:color w:val="auto"/>
                <w:szCs w:val="21"/>
                <w:highlight w:val="none"/>
              </w:rPr>
            </w:pPr>
            <w:r>
              <w:rPr>
                <w:rFonts w:hint="default" w:ascii="Calibri" w:hAnsi="Calibri" w:cs="Times New Roman"/>
                <w:color w:val="auto"/>
                <w:szCs w:val="21"/>
                <w:highlight w:val="none"/>
              </w:rPr>
              <w:t>开户名称</w:t>
            </w:r>
          </w:p>
        </w:tc>
        <w:tc>
          <w:tcPr>
            <w:tcW w:w="1261" w:type="pct"/>
            <w:tcBorders>
              <w:top w:val="single" w:color="auto" w:sz="2" w:space="0"/>
              <w:left w:val="single" w:color="auto" w:sz="2" w:space="0"/>
              <w:bottom w:val="single" w:color="auto" w:sz="2" w:space="0"/>
            </w:tcBorders>
            <w:noWrap w:val="0"/>
            <w:vAlign w:val="center"/>
          </w:tcPr>
          <w:p w14:paraId="17713086">
            <w:pPr>
              <w:keepNext w:val="0"/>
              <w:keepLines w:val="0"/>
              <w:suppressLineNumbers w:val="0"/>
              <w:adjustRightInd w:val="0"/>
              <w:snapToGrid w:val="0"/>
              <w:spacing w:before="0" w:beforeAutospacing="0" w:after="0" w:afterAutospacing="0" w:line="300" w:lineRule="exact"/>
              <w:ind w:left="0" w:right="0"/>
              <w:jc w:val="center"/>
              <w:rPr>
                <w:rFonts w:hint="default" w:ascii="Calibri" w:hAnsi="Calibri" w:cs="Times New Roman"/>
                <w:color w:val="auto"/>
                <w:spacing w:val="20"/>
                <w:szCs w:val="21"/>
                <w:highlight w:val="none"/>
              </w:rPr>
            </w:pPr>
          </w:p>
        </w:tc>
      </w:tr>
      <w:tr w14:paraId="7F74C8BE">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jc w:val="center"/>
        </w:trPr>
        <w:tc>
          <w:tcPr>
            <w:tcW w:w="1124" w:type="pct"/>
            <w:tcBorders>
              <w:top w:val="single" w:color="auto" w:sz="2" w:space="0"/>
              <w:bottom w:val="single" w:color="auto" w:sz="2" w:space="0"/>
              <w:right w:val="single" w:color="auto" w:sz="2" w:space="0"/>
            </w:tcBorders>
            <w:noWrap w:val="0"/>
            <w:vAlign w:val="center"/>
          </w:tcPr>
          <w:p w14:paraId="675204AC">
            <w:pPr>
              <w:keepNext w:val="0"/>
              <w:keepLines w:val="0"/>
              <w:suppressLineNumbers w:val="0"/>
              <w:adjustRightInd w:val="0"/>
              <w:snapToGrid w:val="0"/>
              <w:spacing w:before="0" w:beforeAutospacing="0" w:after="0" w:afterAutospacing="0" w:line="300" w:lineRule="exact"/>
              <w:ind w:left="0" w:right="0"/>
              <w:jc w:val="center"/>
              <w:rPr>
                <w:rFonts w:hint="default" w:ascii="Calibri" w:hAnsi="Calibri" w:cs="Times New Roman"/>
                <w:color w:val="auto"/>
                <w:szCs w:val="21"/>
                <w:highlight w:val="none"/>
              </w:rPr>
            </w:pPr>
          </w:p>
        </w:tc>
        <w:tc>
          <w:tcPr>
            <w:tcW w:w="1435" w:type="pct"/>
            <w:tcBorders>
              <w:top w:val="single" w:color="auto" w:sz="2" w:space="0"/>
              <w:left w:val="single" w:color="auto" w:sz="2" w:space="0"/>
              <w:bottom w:val="single" w:color="auto" w:sz="2" w:space="0"/>
              <w:right w:val="single" w:color="auto" w:sz="2" w:space="0"/>
            </w:tcBorders>
            <w:noWrap w:val="0"/>
            <w:vAlign w:val="center"/>
          </w:tcPr>
          <w:p w14:paraId="5D773BE2">
            <w:pPr>
              <w:keepNext w:val="0"/>
              <w:keepLines w:val="0"/>
              <w:suppressLineNumbers w:val="0"/>
              <w:adjustRightInd w:val="0"/>
              <w:snapToGrid w:val="0"/>
              <w:spacing w:before="0" w:beforeAutospacing="0" w:after="0" w:afterAutospacing="0" w:line="300" w:lineRule="exact"/>
              <w:ind w:left="0" w:right="0"/>
              <w:jc w:val="center"/>
              <w:rPr>
                <w:rFonts w:hint="default" w:ascii="Calibri" w:hAnsi="Calibri" w:cs="Times New Roman"/>
                <w:color w:val="auto"/>
                <w:szCs w:val="21"/>
                <w:highlight w:val="none"/>
              </w:rPr>
            </w:pPr>
          </w:p>
        </w:tc>
        <w:tc>
          <w:tcPr>
            <w:tcW w:w="1177" w:type="pct"/>
            <w:tcBorders>
              <w:top w:val="single" w:color="auto" w:sz="2" w:space="0"/>
              <w:left w:val="single" w:color="auto" w:sz="2" w:space="0"/>
              <w:bottom w:val="single" w:color="auto" w:sz="2" w:space="0"/>
              <w:right w:val="single" w:color="auto" w:sz="2" w:space="0"/>
            </w:tcBorders>
            <w:noWrap w:val="0"/>
            <w:vAlign w:val="center"/>
          </w:tcPr>
          <w:p w14:paraId="070BDAFB">
            <w:pPr>
              <w:keepNext w:val="0"/>
              <w:keepLines w:val="0"/>
              <w:suppressLineNumbers w:val="0"/>
              <w:adjustRightInd w:val="0"/>
              <w:snapToGrid w:val="0"/>
              <w:spacing w:before="0" w:beforeAutospacing="0" w:after="0" w:afterAutospacing="0" w:line="300" w:lineRule="exact"/>
              <w:ind w:left="0" w:right="0"/>
              <w:jc w:val="center"/>
              <w:rPr>
                <w:rFonts w:hint="default" w:ascii="Calibri" w:hAnsi="Calibri" w:cs="Times New Roman"/>
                <w:color w:val="auto"/>
                <w:szCs w:val="21"/>
                <w:highlight w:val="none"/>
              </w:rPr>
            </w:pPr>
            <w:r>
              <w:rPr>
                <w:rFonts w:hint="default" w:ascii="Calibri" w:hAnsi="Calibri" w:cs="Times New Roman"/>
                <w:color w:val="auto"/>
                <w:szCs w:val="21"/>
                <w:highlight w:val="none"/>
              </w:rPr>
              <w:t>开户银行</w:t>
            </w:r>
          </w:p>
        </w:tc>
        <w:tc>
          <w:tcPr>
            <w:tcW w:w="1261" w:type="pct"/>
            <w:tcBorders>
              <w:top w:val="single" w:color="auto" w:sz="2" w:space="0"/>
              <w:left w:val="single" w:color="auto" w:sz="2" w:space="0"/>
              <w:bottom w:val="single" w:color="auto" w:sz="2" w:space="0"/>
            </w:tcBorders>
            <w:noWrap w:val="0"/>
            <w:vAlign w:val="center"/>
          </w:tcPr>
          <w:p w14:paraId="3FE9988C">
            <w:pPr>
              <w:keepNext w:val="0"/>
              <w:keepLines w:val="0"/>
              <w:suppressLineNumbers w:val="0"/>
              <w:adjustRightInd w:val="0"/>
              <w:snapToGrid w:val="0"/>
              <w:spacing w:before="0" w:beforeAutospacing="0" w:after="0" w:afterAutospacing="0" w:line="300" w:lineRule="exact"/>
              <w:ind w:left="0" w:right="0"/>
              <w:jc w:val="center"/>
              <w:rPr>
                <w:rFonts w:hint="default" w:ascii="Calibri" w:hAnsi="Calibri" w:cs="Times New Roman"/>
                <w:color w:val="auto"/>
                <w:spacing w:val="20"/>
                <w:szCs w:val="21"/>
                <w:highlight w:val="none"/>
              </w:rPr>
            </w:pPr>
          </w:p>
        </w:tc>
      </w:tr>
      <w:tr w14:paraId="1CDFAB82">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jc w:val="center"/>
        </w:trPr>
        <w:tc>
          <w:tcPr>
            <w:tcW w:w="1124" w:type="pct"/>
            <w:tcBorders>
              <w:top w:val="single" w:color="auto" w:sz="2" w:space="0"/>
              <w:bottom w:val="single" w:color="auto" w:sz="2" w:space="0"/>
              <w:right w:val="single" w:color="auto" w:sz="2" w:space="0"/>
            </w:tcBorders>
            <w:noWrap w:val="0"/>
            <w:vAlign w:val="center"/>
          </w:tcPr>
          <w:p w14:paraId="449B4721">
            <w:pPr>
              <w:keepNext w:val="0"/>
              <w:keepLines w:val="0"/>
              <w:suppressLineNumbers w:val="0"/>
              <w:adjustRightInd w:val="0"/>
              <w:snapToGrid w:val="0"/>
              <w:spacing w:before="0" w:beforeAutospacing="0" w:after="0" w:afterAutospacing="0" w:line="300" w:lineRule="exact"/>
              <w:ind w:left="0" w:right="0"/>
              <w:jc w:val="center"/>
              <w:rPr>
                <w:rFonts w:hint="default" w:ascii="Calibri" w:hAnsi="Calibri" w:cs="Times New Roman"/>
                <w:color w:val="auto"/>
                <w:szCs w:val="21"/>
                <w:highlight w:val="none"/>
              </w:rPr>
            </w:pPr>
          </w:p>
        </w:tc>
        <w:tc>
          <w:tcPr>
            <w:tcW w:w="1435" w:type="pct"/>
            <w:tcBorders>
              <w:top w:val="single" w:color="auto" w:sz="2" w:space="0"/>
              <w:left w:val="single" w:color="auto" w:sz="2" w:space="0"/>
              <w:bottom w:val="single" w:color="auto" w:sz="2" w:space="0"/>
              <w:right w:val="single" w:color="auto" w:sz="2" w:space="0"/>
            </w:tcBorders>
            <w:noWrap w:val="0"/>
            <w:vAlign w:val="center"/>
          </w:tcPr>
          <w:p w14:paraId="6E58C822">
            <w:pPr>
              <w:keepNext w:val="0"/>
              <w:keepLines w:val="0"/>
              <w:suppressLineNumbers w:val="0"/>
              <w:adjustRightInd w:val="0"/>
              <w:snapToGrid w:val="0"/>
              <w:spacing w:before="0" w:beforeAutospacing="0" w:after="0" w:afterAutospacing="0" w:line="300" w:lineRule="exact"/>
              <w:ind w:left="0" w:right="0"/>
              <w:jc w:val="center"/>
              <w:rPr>
                <w:rFonts w:hint="default" w:ascii="Calibri" w:hAnsi="Calibri" w:cs="Times New Roman"/>
                <w:color w:val="auto"/>
                <w:szCs w:val="21"/>
                <w:highlight w:val="none"/>
              </w:rPr>
            </w:pPr>
          </w:p>
        </w:tc>
        <w:tc>
          <w:tcPr>
            <w:tcW w:w="1177" w:type="pct"/>
            <w:tcBorders>
              <w:top w:val="single" w:color="auto" w:sz="2" w:space="0"/>
              <w:left w:val="single" w:color="auto" w:sz="2" w:space="0"/>
              <w:bottom w:val="single" w:color="auto" w:sz="2" w:space="0"/>
              <w:right w:val="single" w:color="auto" w:sz="2" w:space="0"/>
            </w:tcBorders>
            <w:noWrap w:val="0"/>
            <w:vAlign w:val="center"/>
          </w:tcPr>
          <w:p w14:paraId="6CBBED4D">
            <w:pPr>
              <w:keepNext w:val="0"/>
              <w:keepLines w:val="0"/>
              <w:suppressLineNumbers w:val="0"/>
              <w:adjustRightInd w:val="0"/>
              <w:snapToGrid w:val="0"/>
              <w:spacing w:before="0" w:beforeAutospacing="0" w:after="0" w:afterAutospacing="0" w:line="300" w:lineRule="exact"/>
              <w:ind w:left="0" w:right="0"/>
              <w:jc w:val="center"/>
              <w:rPr>
                <w:rFonts w:hint="default" w:ascii="Calibri" w:hAnsi="Calibri" w:cs="Times New Roman"/>
                <w:color w:val="auto"/>
                <w:szCs w:val="21"/>
                <w:highlight w:val="none"/>
              </w:rPr>
            </w:pPr>
            <w:r>
              <w:rPr>
                <w:rFonts w:hint="default" w:ascii="Calibri" w:hAnsi="Calibri" w:cs="Times New Roman"/>
                <w:color w:val="auto"/>
                <w:szCs w:val="21"/>
                <w:highlight w:val="none"/>
              </w:rPr>
              <w:t>银行账号</w:t>
            </w:r>
          </w:p>
        </w:tc>
        <w:tc>
          <w:tcPr>
            <w:tcW w:w="1261" w:type="pct"/>
            <w:tcBorders>
              <w:top w:val="single" w:color="auto" w:sz="2" w:space="0"/>
              <w:left w:val="single" w:color="auto" w:sz="2" w:space="0"/>
              <w:bottom w:val="single" w:color="auto" w:sz="2" w:space="0"/>
            </w:tcBorders>
            <w:noWrap w:val="0"/>
            <w:vAlign w:val="center"/>
          </w:tcPr>
          <w:p w14:paraId="7282D72C">
            <w:pPr>
              <w:keepNext w:val="0"/>
              <w:keepLines w:val="0"/>
              <w:suppressLineNumbers w:val="0"/>
              <w:adjustRightInd w:val="0"/>
              <w:snapToGrid w:val="0"/>
              <w:spacing w:before="0" w:beforeAutospacing="0" w:after="0" w:afterAutospacing="0" w:line="300" w:lineRule="exact"/>
              <w:ind w:left="0" w:right="0"/>
              <w:jc w:val="center"/>
              <w:rPr>
                <w:rFonts w:hint="default" w:ascii="Calibri" w:hAnsi="Calibri" w:cs="Times New Roman"/>
                <w:color w:val="auto"/>
                <w:spacing w:val="20"/>
                <w:szCs w:val="21"/>
                <w:highlight w:val="none"/>
              </w:rPr>
            </w:pPr>
          </w:p>
        </w:tc>
      </w:tr>
      <w:tr w14:paraId="2D8055AC">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586" w:hRule="atLeast"/>
          <w:jc w:val="center"/>
        </w:trPr>
        <w:tc>
          <w:tcPr>
            <w:tcW w:w="5000" w:type="pct"/>
            <w:gridSpan w:val="4"/>
            <w:tcBorders>
              <w:top w:val="single" w:color="auto" w:sz="2" w:space="0"/>
            </w:tcBorders>
            <w:noWrap w:val="0"/>
            <w:vAlign w:val="center"/>
          </w:tcPr>
          <w:p w14:paraId="5755CB05">
            <w:pPr>
              <w:keepNext w:val="0"/>
              <w:keepLines w:val="0"/>
              <w:suppressLineNumbers w:val="0"/>
              <w:adjustRightInd w:val="0"/>
              <w:snapToGrid w:val="0"/>
              <w:spacing w:before="120" w:beforeLines="50" w:beforeAutospacing="0" w:after="0" w:afterAutospacing="0" w:line="360" w:lineRule="auto"/>
              <w:ind w:left="0" w:right="0"/>
              <w:jc w:val="left"/>
              <w:rPr>
                <w:rFonts w:hint="default" w:ascii="Calibri" w:hAnsi="Calibri" w:cs="Times New Roman"/>
                <w:color w:val="auto"/>
                <w:spacing w:val="20"/>
                <w:szCs w:val="21"/>
                <w:highlight w:val="none"/>
              </w:rPr>
            </w:pPr>
            <w:r>
              <w:rPr>
                <w:rFonts w:hint="eastAsia" w:ascii="宋体" w:hAnsi="宋体" w:cs="Times New Roman"/>
                <w:color w:val="auto"/>
                <w:szCs w:val="21"/>
                <w:highlight w:val="none"/>
              </w:rPr>
              <w:t>注：涉及联合体或其他合同主体的信息应按上表格式加列。</w:t>
            </w:r>
          </w:p>
        </w:tc>
      </w:tr>
    </w:tbl>
    <w:p w14:paraId="5FD06066">
      <w:pPr>
        <w:rPr>
          <w:color w:val="auto"/>
          <w:highlight w:val="none"/>
        </w:rPr>
      </w:pPr>
    </w:p>
    <w:p w14:paraId="61F029E1">
      <w:pPr>
        <w:keepNext/>
        <w:keepLines/>
        <w:adjustRightInd w:val="0"/>
        <w:snapToGrid w:val="0"/>
        <w:spacing w:before="120" w:beforeLines="50" w:after="260" w:line="416" w:lineRule="auto"/>
        <w:jc w:val="center"/>
        <w:outlineLvl w:val="1"/>
        <w:rPr>
          <w:rFonts w:ascii="黑体" w:hAnsi="黑体" w:eastAsia="黑体"/>
          <w:b/>
          <w:bCs/>
          <w:color w:val="auto"/>
          <w:sz w:val="28"/>
          <w:szCs w:val="28"/>
          <w:highlight w:val="none"/>
        </w:rPr>
      </w:pPr>
      <w:r>
        <w:rPr>
          <w:rFonts w:ascii="宋体" w:hAnsi="宋体"/>
          <w:b/>
          <w:bCs/>
          <w:color w:val="auto"/>
          <w:szCs w:val="21"/>
          <w:highlight w:val="none"/>
          <w:u w:val="single"/>
        </w:rPr>
        <w:br w:type="page"/>
      </w:r>
      <w:r>
        <w:rPr>
          <w:rFonts w:hint="eastAsia" w:ascii="黑体" w:hAnsi="黑体" w:eastAsia="黑体"/>
          <w:color w:val="auto"/>
          <w:sz w:val="28"/>
          <w:szCs w:val="28"/>
          <w:highlight w:val="none"/>
        </w:rPr>
        <w:t>第二节 政府采购合同通用条款</w:t>
      </w:r>
    </w:p>
    <w:p w14:paraId="500F119A">
      <w:pPr>
        <w:tabs>
          <w:tab w:val="left" w:pos="8820"/>
          <w:tab w:val="left" w:pos="9345"/>
          <w:tab w:val="left" w:pos="9765"/>
        </w:tabs>
        <w:adjustRightInd w:val="0"/>
        <w:snapToGrid w:val="0"/>
        <w:spacing w:line="400" w:lineRule="exact"/>
        <w:jc w:val="left"/>
        <w:rPr>
          <w:rFonts w:ascii="宋体" w:hAnsi="宋体"/>
          <w:b/>
          <w:bCs/>
          <w:color w:val="auto"/>
          <w:sz w:val="24"/>
          <w:highlight w:val="none"/>
        </w:rPr>
      </w:pPr>
      <w:r>
        <w:rPr>
          <w:rFonts w:hint="eastAsia" w:ascii="宋体" w:hAnsi="宋体"/>
          <w:b/>
          <w:color w:val="auto"/>
          <w:sz w:val="24"/>
          <w:highlight w:val="none"/>
        </w:rPr>
        <w:t xml:space="preserve">1. </w:t>
      </w:r>
      <w:r>
        <w:rPr>
          <w:rFonts w:hint="eastAsia" w:ascii="宋体" w:hAnsi="宋体"/>
          <w:b/>
          <w:bCs/>
          <w:color w:val="auto"/>
          <w:sz w:val="24"/>
          <w:highlight w:val="none"/>
        </w:rPr>
        <w:t>定义</w:t>
      </w:r>
    </w:p>
    <w:p w14:paraId="09DBE2D4">
      <w:pPr>
        <w:autoSpaceDE w:val="0"/>
        <w:autoSpaceDN w:val="0"/>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1.1合同当事人</w:t>
      </w:r>
    </w:p>
    <w:p w14:paraId="52768A4B">
      <w:pPr>
        <w:autoSpaceDE w:val="0"/>
        <w:autoSpaceDN w:val="0"/>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（1）采购人（以下称甲方）是指使用财政性资金，通过政府采购方式向供应商购买货物及其相关服务的国家机关、事业单位、团体组织。</w:t>
      </w:r>
    </w:p>
    <w:p w14:paraId="2706B78C">
      <w:pPr>
        <w:autoSpaceDE w:val="0"/>
        <w:autoSpaceDN w:val="0"/>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（2）供应商（以下称乙方）是指参加政府采购活动并且中标（成交），向采购人提供合同约定的货物及其相关服务的法人、非法人组织或者自然人。</w:t>
      </w:r>
    </w:p>
    <w:p w14:paraId="2AB1D4E8">
      <w:pPr>
        <w:autoSpaceDE w:val="0"/>
        <w:autoSpaceDN w:val="0"/>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（3）其他合同主体是指除采购人和供应商以外，</w:t>
      </w:r>
      <w:r>
        <w:rPr>
          <w:rFonts w:hint="eastAsia" w:ascii="宋体" w:hAnsi="宋体" w:cs="宋体"/>
          <w:bCs/>
          <w:color w:val="auto"/>
          <w:szCs w:val="21"/>
          <w:highlight w:val="none"/>
        </w:rPr>
        <w:t>依法参与合同缔结或履行，享有权利、承担义务的合同当事人</w:t>
      </w:r>
      <w:r>
        <w:rPr>
          <w:rFonts w:hint="eastAsia" w:ascii="宋体" w:hAnsi="宋体"/>
          <w:color w:val="auto"/>
          <w:szCs w:val="21"/>
          <w:highlight w:val="none"/>
        </w:rPr>
        <w:t>。</w:t>
      </w:r>
    </w:p>
    <w:p w14:paraId="3C444AB4">
      <w:pPr>
        <w:tabs>
          <w:tab w:val="left" w:pos="570"/>
          <w:tab w:val="left" w:pos="9240"/>
          <w:tab w:val="left" w:pos="9555"/>
        </w:tabs>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1.2本合同下列术语应解释为：</w:t>
      </w:r>
    </w:p>
    <w:p w14:paraId="463835E1">
      <w:pPr>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（1）“合同”系指</w:t>
      </w:r>
      <w:r>
        <w:rPr>
          <w:rFonts w:hint="eastAsia" w:ascii="宋体" w:hAnsi="宋体" w:cs="宋体"/>
          <w:bCs/>
          <w:color w:val="auto"/>
          <w:szCs w:val="21"/>
          <w:highlight w:val="none"/>
        </w:rPr>
        <w:t>合同当事人意思表示达成一致的任何协议，包括签署的</w:t>
      </w:r>
      <w:r>
        <w:rPr>
          <w:rFonts w:hint="eastAsia" w:ascii="宋体" w:hAnsi="宋体"/>
          <w:color w:val="auto"/>
          <w:szCs w:val="21"/>
          <w:highlight w:val="none"/>
        </w:rPr>
        <w:t>政府采购合同协议书及其变更、补充协议，政府采购合同专用条款，政府采购合同通用条款，中标（成交）通知书，投标（响应）文件，采购文件，有关技术文件和图纸，以及</w:t>
      </w:r>
      <w:r>
        <w:rPr>
          <w:rFonts w:hint="eastAsia" w:ascii="宋体" w:hAnsi="宋体" w:cs="宋体"/>
          <w:color w:val="auto"/>
          <w:szCs w:val="21"/>
          <w:highlight w:val="none"/>
        </w:rPr>
        <w:t>国家法律、行政法规和规章制度规定或合同约定的作为合同组成部分的其他文件</w:t>
      </w:r>
      <w:r>
        <w:rPr>
          <w:rFonts w:hint="eastAsia" w:ascii="宋体" w:hAnsi="宋体"/>
          <w:color w:val="auto"/>
          <w:szCs w:val="21"/>
          <w:highlight w:val="none"/>
        </w:rPr>
        <w:t>。</w:t>
      </w:r>
    </w:p>
    <w:p w14:paraId="095861C8">
      <w:pPr>
        <w:tabs>
          <w:tab w:val="left" w:pos="570"/>
          <w:tab w:val="left" w:pos="9240"/>
          <w:tab w:val="left" w:pos="9555"/>
        </w:tabs>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（2）“合同价款”系指根据本合同规定乙方在全面履行合同义务后甲方应支付给乙方的价款。</w:t>
      </w:r>
    </w:p>
    <w:p w14:paraId="4784C1DB">
      <w:pPr>
        <w:tabs>
          <w:tab w:val="left" w:pos="570"/>
          <w:tab w:val="left" w:pos="9240"/>
          <w:tab w:val="left" w:pos="9555"/>
        </w:tabs>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（3）“货物”系指乙方根据本合同规定须向甲方提供的各种形态和种类的物品，包括原材料、设备、产品（包括软件）及相关的其备品备件、工具、手册及</w:t>
      </w:r>
      <w:r>
        <w:rPr>
          <w:rFonts w:ascii="宋体" w:hAnsi="宋体"/>
          <w:color w:val="auto"/>
          <w:szCs w:val="21"/>
          <w:highlight w:val="none"/>
          <w:lang w:val="en"/>
        </w:rPr>
        <w:t>其他</w:t>
      </w:r>
      <w:r>
        <w:rPr>
          <w:rFonts w:hint="eastAsia" w:ascii="宋体" w:hAnsi="宋体"/>
          <w:color w:val="auto"/>
          <w:szCs w:val="21"/>
          <w:highlight w:val="none"/>
        </w:rPr>
        <w:t>技术资料和材料等。</w:t>
      </w:r>
    </w:p>
    <w:p w14:paraId="4D80EE61">
      <w:pPr>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（4）“相关服务”系指根据合同规定，乙方应提供的与货物有关的技术、管理和</w:t>
      </w:r>
      <w:r>
        <w:rPr>
          <w:rFonts w:ascii="宋体" w:hAnsi="宋体"/>
          <w:color w:val="auto"/>
          <w:szCs w:val="21"/>
          <w:highlight w:val="none"/>
          <w:lang w:val="en"/>
        </w:rPr>
        <w:t>其他</w:t>
      </w:r>
      <w:r>
        <w:rPr>
          <w:rFonts w:hint="eastAsia" w:ascii="宋体" w:hAnsi="宋体"/>
          <w:color w:val="auto"/>
          <w:szCs w:val="21"/>
          <w:highlight w:val="none"/>
        </w:rPr>
        <w:t>服务，包括但不限于：管理和质量保证、运输、保险、检验、现场准备、安装、集成、调试、培训、维修、废弃处置、技术支持等以及合同中规定乙方应承担的</w:t>
      </w:r>
      <w:r>
        <w:rPr>
          <w:rFonts w:ascii="宋体" w:hAnsi="宋体"/>
          <w:color w:val="auto"/>
          <w:szCs w:val="21"/>
          <w:highlight w:val="none"/>
          <w:lang w:val="en"/>
        </w:rPr>
        <w:t>其他</w:t>
      </w:r>
      <w:r>
        <w:rPr>
          <w:rFonts w:hint="eastAsia" w:ascii="宋体" w:hAnsi="宋体"/>
          <w:color w:val="auto"/>
          <w:szCs w:val="21"/>
          <w:highlight w:val="none"/>
        </w:rPr>
        <w:t>义务。</w:t>
      </w:r>
    </w:p>
    <w:p w14:paraId="6B86B5B6">
      <w:pPr>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（5）“分包”系指中标（成交）供应商按采购文件、投标（响应）文件的规定，根据分包意向协议，将中标（成交）项目中的部分履约内容，分给具有相应资质条件的供应商履行合同的行为。</w:t>
      </w:r>
    </w:p>
    <w:p w14:paraId="61C9069C">
      <w:pPr>
        <w:tabs>
          <w:tab w:val="left" w:pos="570"/>
          <w:tab w:val="left" w:pos="9240"/>
          <w:tab w:val="left" w:pos="9555"/>
        </w:tabs>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6）“联合体”系指由两个以上的自然人、法人或者非法人组织组成，以一个供应商的身份共同参加政府采购的主体。联合体各方应在签订合同协议书前向甲方提交联合协议，且明确牵头人及各成员单位的工作分工、权利、义务、责任，联合体各方应共同与甲方签订合同，就合同约定的事项对甲方承担连带责任。联合体具体要求见【</w:t>
      </w:r>
      <w:r>
        <w:rPr>
          <w:rFonts w:hint="eastAsia" w:ascii="宋体" w:hAnsi="宋体"/>
          <w:b/>
          <w:bCs/>
          <w:color w:val="auto"/>
          <w:szCs w:val="21"/>
          <w:highlight w:val="none"/>
        </w:rPr>
        <w:t>政府采购合同专用条款</w:t>
      </w:r>
      <w:r>
        <w:rPr>
          <w:rFonts w:hint="eastAsia" w:ascii="宋体" w:hAnsi="宋体"/>
          <w:color w:val="auto"/>
          <w:szCs w:val="21"/>
          <w:highlight w:val="none"/>
        </w:rPr>
        <w:t>】。</w:t>
      </w:r>
    </w:p>
    <w:p w14:paraId="51BED655">
      <w:pPr>
        <w:tabs>
          <w:tab w:val="left" w:pos="570"/>
          <w:tab w:val="left" w:pos="9240"/>
          <w:tab w:val="left" w:pos="9555"/>
        </w:tabs>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（7）其他术语解释，见【</w:t>
      </w:r>
      <w:r>
        <w:rPr>
          <w:rFonts w:hint="eastAsia" w:ascii="宋体" w:hAnsi="宋体"/>
          <w:b/>
          <w:bCs/>
          <w:color w:val="auto"/>
          <w:szCs w:val="21"/>
          <w:highlight w:val="none"/>
        </w:rPr>
        <w:t>政府采购合同专用条款</w:t>
      </w:r>
      <w:r>
        <w:rPr>
          <w:rFonts w:hint="eastAsia" w:ascii="宋体" w:hAnsi="宋体"/>
          <w:color w:val="auto"/>
          <w:szCs w:val="21"/>
          <w:highlight w:val="none"/>
        </w:rPr>
        <w:t>】。</w:t>
      </w:r>
    </w:p>
    <w:p w14:paraId="368061EA">
      <w:pPr>
        <w:numPr>
          <w:ilvl w:val="0"/>
          <w:numId w:val="10"/>
        </w:numPr>
        <w:autoSpaceDE w:val="0"/>
        <w:autoSpaceDN w:val="0"/>
        <w:adjustRightInd w:val="0"/>
        <w:snapToGrid w:val="0"/>
        <w:spacing w:line="400" w:lineRule="exact"/>
        <w:jc w:val="left"/>
        <w:rPr>
          <w:rFonts w:ascii="宋体" w:hAnsi="宋体"/>
          <w:b/>
          <w:bCs/>
          <w:color w:val="auto"/>
          <w:sz w:val="24"/>
          <w:highlight w:val="none"/>
        </w:rPr>
      </w:pPr>
      <w:r>
        <w:rPr>
          <w:rFonts w:hint="eastAsia" w:ascii="宋体" w:hAnsi="宋体"/>
          <w:b/>
          <w:color w:val="auto"/>
          <w:sz w:val="24"/>
          <w:highlight w:val="none"/>
        </w:rPr>
        <w:t>合同标的及金额</w:t>
      </w:r>
    </w:p>
    <w:p w14:paraId="09813E87">
      <w:pPr>
        <w:autoSpaceDE w:val="0"/>
        <w:autoSpaceDN w:val="0"/>
        <w:adjustRightInd w:val="0"/>
        <w:snapToGrid w:val="0"/>
        <w:spacing w:line="400" w:lineRule="exact"/>
        <w:ind w:firstLine="420" w:firstLineChars="200"/>
        <w:jc w:val="left"/>
        <w:rPr>
          <w:rFonts w:ascii="宋体" w:hAnsi="宋体"/>
          <w:b/>
          <w:bCs/>
          <w:i/>
          <w:iCs/>
          <w:color w:val="auto"/>
          <w:szCs w:val="21"/>
          <w:highlight w:val="none"/>
        </w:rPr>
      </w:pPr>
      <w:r>
        <w:rPr>
          <w:rFonts w:hint="eastAsia" w:ascii="宋体" w:hAnsi="宋体"/>
          <w:color w:val="auto"/>
          <w:szCs w:val="21"/>
          <w:highlight w:val="none"/>
        </w:rPr>
        <w:t>2.1 合同标的及金额应与中标（成交）结果一致。乙方为履行本合同而发生的所有费用均应包含在合同价款中，甲方不再另行支付</w:t>
      </w:r>
      <w:r>
        <w:rPr>
          <w:rFonts w:ascii="宋体" w:hAnsi="宋体"/>
          <w:color w:val="auto"/>
          <w:szCs w:val="21"/>
          <w:highlight w:val="none"/>
          <w:lang w:val="en"/>
        </w:rPr>
        <w:t>其他</w:t>
      </w:r>
      <w:r>
        <w:rPr>
          <w:rFonts w:hint="eastAsia" w:ascii="宋体" w:hAnsi="宋体"/>
          <w:color w:val="auto"/>
          <w:szCs w:val="21"/>
          <w:highlight w:val="none"/>
        </w:rPr>
        <w:t>任何费用。</w:t>
      </w:r>
    </w:p>
    <w:p w14:paraId="404EF1F1">
      <w:pPr>
        <w:adjustRightInd w:val="0"/>
        <w:snapToGrid w:val="0"/>
        <w:spacing w:line="400" w:lineRule="exact"/>
        <w:jc w:val="left"/>
        <w:rPr>
          <w:rFonts w:ascii="宋体" w:hAnsi="宋体"/>
          <w:b/>
          <w:color w:val="auto"/>
          <w:sz w:val="24"/>
          <w:highlight w:val="none"/>
        </w:rPr>
      </w:pPr>
      <w:r>
        <w:rPr>
          <w:rFonts w:hint="eastAsia" w:ascii="宋体" w:hAnsi="宋体"/>
          <w:b/>
          <w:color w:val="auto"/>
          <w:sz w:val="24"/>
          <w:highlight w:val="none"/>
        </w:rPr>
        <w:t>3. 履行合同的时间、地点和方式</w:t>
      </w:r>
    </w:p>
    <w:p w14:paraId="317FC717">
      <w:pPr>
        <w:autoSpaceDE w:val="0"/>
        <w:autoSpaceDN w:val="0"/>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 xml:space="preserve">3.1 </w:t>
      </w:r>
      <w:r>
        <w:rPr>
          <w:rFonts w:hint="eastAsia" w:ascii="宋体" w:hAnsi="宋体" w:cs="宋体"/>
          <w:color w:val="auto"/>
          <w:szCs w:val="21"/>
          <w:highlight w:val="none"/>
        </w:rPr>
        <w:t>乙方应当在约定的时间、地点，按照约定方式履行合同。</w:t>
      </w:r>
    </w:p>
    <w:p w14:paraId="61704782">
      <w:pPr>
        <w:autoSpaceDE w:val="0"/>
        <w:autoSpaceDN w:val="0"/>
        <w:adjustRightInd w:val="0"/>
        <w:snapToGrid w:val="0"/>
        <w:spacing w:line="400" w:lineRule="exact"/>
        <w:jc w:val="left"/>
        <w:rPr>
          <w:rFonts w:ascii="宋体" w:hAnsi="宋体"/>
          <w:b/>
          <w:bCs/>
          <w:color w:val="auto"/>
          <w:sz w:val="24"/>
          <w:highlight w:val="none"/>
        </w:rPr>
      </w:pPr>
      <w:r>
        <w:rPr>
          <w:rFonts w:hint="eastAsia" w:ascii="宋体" w:hAnsi="宋体"/>
          <w:b/>
          <w:bCs/>
          <w:color w:val="auto"/>
          <w:sz w:val="24"/>
          <w:highlight w:val="none"/>
        </w:rPr>
        <w:t>4. 甲方的权利和义务</w:t>
      </w:r>
    </w:p>
    <w:p w14:paraId="0ED68F9C">
      <w:pPr>
        <w:autoSpaceDE w:val="0"/>
        <w:autoSpaceDN w:val="0"/>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4.1</w:t>
      </w:r>
      <w:r>
        <w:rPr>
          <w:rFonts w:ascii="宋体" w:hAnsi="宋体"/>
          <w:color w:val="auto"/>
          <w:szCs w:val="21"/>
          <w:highlight w:val="none"/>
        </w:rPr>
        <w:t xml:space="preserve"> 签署合同后，甲方</w:t>
      </w:r>
      <w:r>
        <w:rPr>
          <w:rFonts w:hint="eastAsia" w:ascii="宋体" w:hAnsi="宋体"/>
          <w:color w:val="auto"/>
          <w:szCs w:val="21"/>
          <w:highlight w:val="none"/>
        </w:rPr>
        <w:t>应</w:t>
      </w:r>
      <w:r>
        <w:rPr>
          <w:rFonts w:ascii="宋体" w:hAnsi="宋体"/>
          <w:color w:val="auto"/>
          <w:szCs w:val="21"/>
          <w:highlight w:val="none"/>
        </w:rPr>
        <w:t>确定</w:t>
      </w:r>
      <w:r>
        <w:rPr>
          <w:rFonts w:hint="eastAsia" w:ascii="宋体" w:hAnsi="宋体"/>
          <w:color w:val="auto"/>
          <w:szCs w:val="21"/>
          <w:highlight w:val="none"/>
        </w:rPr>
        <w:t>项目负责人（或项目联系人）</w:t>
      </w:r>
      <w:r>
        <w:rPr>
          <w:rFonts w:ascii="宋体" w:hAnsi="宋体"/>
          <w:color w:val="auto"/>
          <w:szCs w:val="21"/>
          <w:highlight w:val="none"/>
        </w:rPr>
        <w:t>，负责与本合同有关的事务。</w:t>
      </w:r>
      <w:r>
        <w:rPr>
          <w:rFonts w:hint="eastAsia" w:ascii="宋体" w:hAnsi="宋体"/>
          <w:color w:val="auto"/>
          <w:szCs w:val="21"/>
          <w:highlight w:val="none"/>
        </w:rPr>
        <w:t>甲方有权对乙方的履约行为进行检查，并</w:t>
      </w:r>
      <w:r>
        <w:rPr>
          <w:rFonts w:ascii="宋体" w:hAnsi="宋体"/>
          <w:color w:val="auto"/>
          <w:szCs w:val="21"/>
          <w:highlight w:val="none"/>
        </w:rPr>
        <w:t>及时确认乙方提交的事项</w:t>
      </w:r>
      <w:r>
        <w:rPr>
          <w:rFonts w:hint="eastAsia" w:ascii="宋体" w:hAnsi="宋体"/>
          <w:color w:val="auto"/>
          <w:szCs w:val="21"/>
          <w:highlight w:val="none"/>
        </w:rPr>
        <w:t>。甲方应当</w:t>
      </w:r>
      <w:r>
        <w:rPr>
          <w:rFonts w:ascii="宋体" w:hAnsi="宋体"/>
          <w:color w:val="auto"/>
          <w:szCs w:val="21"/>
          <w:highlight w:val="none"/>
        </w:rPr>
        <w:t>配合乙方完成</w:t>
      </w:r>
      <w:r>
        <w:rPr>
          <w:rFonts w:hint="eastAsia" w:ascii="宋体" w:hAnsi="宋体"/>
          <w:color w:val="auto"/>
          <w:szCs w:val="21"/>
          <w:highlight w:val="none"/>
        </w:rPr>
        <w:t>相关项目</w:t>
      </w:r>
      <w:r>
        <w:rPr>
          <w:rFonts w:ascii="宋体" w:hAnsi="宋体"/>
          <w:color w:val="auto"/>
          <w:szCs w:val="21"/>
          <w:highlight w:val="none"/>
        </w:rPr>
        <w:t>实施工作。</w:t>
      </w:r>
    </w:p>
    <w:p w14:paraId="32E50F18">
      <w:pPr>
        <w:autoSpaceDE w:val="0"/>
        <w:autoSpaceDN w:val="0"/>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 xml:space="preserve">4.2 </w:t>
      </w:r>
      <w:r>
        <w:rPr>
          <w:rFonts w:ascii="宋体" w:hAnsi="宋体"/>
          <w:color w:val="auto"/>
          <w:szCs w:val="21"/>
          <w:highlight w:val="none"/>
        </w:rPr>
        <w:t>甲方有权要求乙方按时提交各阶段有关</w:t>
      </w:r>
      <w:r>
        <w:rPr>
          <w:rFonts w:hint="eastAsia" w:ascii="宋体" w:hAnsi="宋体"/>
          <w:color w:val="auto"/>
          <w:szCs w:val="21"/>
          <w:highlight w:val="none"/>
        </w:rPr>
        <w:t>安排计划</w:t>
      </w:r>
      <w:r>
        <w:rPr>
          <w:rFonts w:ascii="宋体" w:hAnsi="宋体"/>
          <w:color w:val="auto"/>
          <w:szCs w:val="21"/>
          <w:highlight w:val="none"/>
        </w:rPr>
        <w:t>，并有权</w:t>
      </w:r>
      <w:r>
        <w:rPr>
          <w:rFonts w:hint="eastAsia" w:ascii="宋体" w:hAnsi="宋体"/>
          <w:color w:val="auto"/>
          <w:szCs w:val="21"/>
          <w:highlight w:val="none"/>
        </w:rPr>
        <w:t>定期核对乙方提供货物数量、规格、质量等内容。甲方</w:t>
      </w:r>
      <w:r>
        <w:rPr>
          <w:rFonts w:ascii="宋体" w:hAnsi="宋体"/>
          <w:color w:val="auto"/>
          <w:szCs w:val="21"/>
          <w:highlight w:val="none"/>
        </w:rPr>
        <w:t>有权督促乙方工作并要求乙方</w:t>
      </w:r>
      <w:r>
        <w:rPr>
          <w:rFonts w:hint="eastAsia" w:ascii="宋体" w:hAnsi="宋体"/>
          <w:color w:val="auto"/>
          <w:szCs w:val="21"/>
          <w:highlight w:val="none"/>
        </w:rPr>
        <w:t>更</w:t>
      </w:r>
      <w:r>
        <w:rPr>
          <w:rFonts w:ascii="宋体" w:hAnsi="宋体"/>
          <w:color w:val="auto"/>
          <w:szCs w:val="21"/>
          <w:highlight w:val="none"/>
        </w:rPr>
        <w:t>换不符合要求的</w:t>
      </w:r>
      <w:r>
        <w:rPr>
          <w:rFonts w:hint="eastAsia" w:ascii="宋体" w:hAnsi="宋体"/>
          <w:color w:val="auto"/>
          <w:szCs w:val="21"/>
          <w:highlight w:val="none"/>
        </w:rPr>
        <w:t>货物</w:t>
      </w:r>
      <w:r>
        <w:rPr>
          <w:rFonts w:ascii="宋体" w:hAnsi="宋体"/>
          <w:color w:val="auto"/>
          <w:szCs w:val="21"/>
          <w:highlight w:val="none"/>
        </w:rPr>
        <w:t>。</w:t>
      </w:r>
    </w:p>
    <w:p w14:paraId="4E1809F0">
      <w:pPr>
        <w:autoSpaceDE w:val="0"/>
        <w:autoSpaceDN w:val="0"/>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4.</w:t>
      </w:r>
      <w:r>
        <w:rPr>
          <w:rFonts w:ascii="宋体" w:hAnsi="宋体"/>
          <w:color w:val="auto"/>
          <w:szCs w:val="21"/>
          <w:highlight w:val="none"/>
        </w:rPr>
        <w:t>3</w:t>
      </w:r>
      <w:r>
        <w:rPr>
          <w:rFonts w:hint="eastAsia" w:ascii="宋体" w:hAnsi="宋体"/>
          <w:color w:val="auto"/>
          <w:szCs w:val="21"/>
          <w:highlight w:val="none"/>
        </w:rPr>
        <w:t xml:space="preserve"> </w:t>
      </w:r>
      <w:r>
        <w:rPr>
          <w:rFonts w:ascii="宋体" w:hAnsi="宋体"/>
          <w:color w:val="auto"/>
          <w:szCs w:val="21"/>
          <w:highlight w:val="none"/>
        </w:rPr>
        <w:t>甲方</w:t>
      </w:r>
      <w:r>
        <w:rPr>
          <w:rFonts w:hint="eastAsia" w:ascii="宋体" w:hAnsi="宋体"/>
          <w:color w:val="auto"/>
          <w:szCs w:val="21"/>
          <w:highlight w:val="none"/>
        </w:rPr>
        <w:t>有权要求乙方对缺陷部分予以修复，并按合同约定享有货物保修及其他合同约定的权利。</w:t>
      </w:r>
    </w:p>
    <w:p w14:paraId="30387C0B">
      <w:pPr>
        <w:snapToGrid w:val="0"/>
        <w:spacing w:line="400" w:lineRule="exact"/>
        <w:ind w:firstLine="420" w:firstLineChars="200"/>
        <w:rPr>
          <w:rFonts w:eastAsia="华文楷体"/>
          <w:color w:val="auto"/>
          <w:highlight w:val="none"/>
        </w:rPr>
      </w:pPr>
      <w:r>
        <w:rPr>
          <w:rFonts w:ascii="宋体" w:hAnsi="宋体"/>
          <w:color w:val="auto"/>
          <w:szCs w:val="21"/>
          <w:highlight w:val="none"/>
        </w:rPr>
        <w:t>4.4 甲方应当按照合同约定及时对交付的货物进行验收</w:t>
      </w:r>
      <w:r>
        <w:rPr>
          <w:rFonts w:hint="eastAsia" w:ascii="宋体" w:hAnsi="宋体"/>
          <w:color w:val="auto"/>
          <w:szCs w:val="21"/>
          <w:highlight w:val="none"/>
        </w:rPr>
        <w:t>，</w:t>
      </w:r>
      <w:r>
        <w:rPr>
          <w:rFonts w:hint="eastAsia" w:ascii="宋体" w:hAnsi="宋体" w:cs="宋体"/>
          <w:color w:val="auto"/>
          <w:szCs w:val="21"/>
          <w:highlight w:val="none"/>
        </w:rPr>
        <w:t>未</w:t>
      </w:r>
      <w:r>
        <w:rPr>
          <w:rFonts w:hint="eastAsia" w:ascii="宋体" w:hAnsi="宋体"/>
          <w:color w:val="auto"/>
          <w:szCs w:val="21"/>
          <w:highlight w:val="none"/>
        </w:rPr>
        <w:t>在</w:t>
      </w:r>
      <w:r>
        <w:rPr>
          <w:rFonts w:hint="eastAsia" w:ascii="宋体" w:hAnsi="宋体" w:cs="宋体"/>
          <w:b/>
          <w:bCs/>
          <w:color w:val="auto"/>
          <w:szCs w:val="21"/>
          <w:highlight w:val="none"/>
        </w:rPr>
        <w:t>【政府采购合同专用条款】</w:t>
      </w:r>
      <w:r>
        <w:rPr>
          <w:rFonts w:hint="eastAsia" w:ascii="宋体" w:hAnsi="宋体" w:cs="宋体"/>
          <w:color w:val="auto"/>
          <w:szCs w:val="21"/>
          <w:highlight w:val="none"/>
        </w:rPr>
        <w:t>约定的期限内对乙方履约提出任何异议或者向乙方作出任何说明的，</w:t>
      </w:r>
      <w:r>
        <w:rPr>
          <w:rFonts w:hint="eastAsia" w:ascii="宋体" w:hAnsi="宋体"/>
          <w:color w:val="auto"/>
          <w:szCs w:val="21"/>
          <w:highlight w:val="none"/>
        </w:rPr>
        <w:t>视为验收通过。</w:t>
      </w:r>
    </w:p>
    <w:p w14:paraId="656FDFDB">
      <w:pPr>
        <w:autoSpaceDE w:val="0"/>
        <w:autoSpaceDN w:val="0"/>
        <w:adjustRightInd w:val="0"/>
        <w:snapToGrid w:val="0"/>
        <w:spacing w:line="400" w:lineRule="exact"/>
        <w:ind w:firstLine="420" w:firstLineChars="200"/>
        <w:jc w:val="left"/>
        <w:rPr>
          <w:rFonts w:ascii="宋体" w:hAnsi="宋体"/>
          <w:color w:val="auto"/>
          <w:szCs w:val="21"/>
          <w:highlight w:val="none"/>
        </w:rPr>
      </w:pPr>
      <w:r>
        <w:rPr>
          <w:rFonts w:ascii="宋体" w:hAnsi="宋体"/>
          <w:color w:val="auto"/>
          <w:szCs w:val="21"/>
          <w:highlight w:val="none"/>
        </w:rPr>
        <w:t>4</w:t>
      </w:r>
      <w:r>
        <w:rPr>
          <w:rFonts w:hint="eastAsia" w:ascii="宋体" w:hAnsi="宋体"/>
          <w:color w:val="auto"/>
          <w:szCs w:val="21"/>
          <w:highlight w:val="none"/>
        </w:rPr>
        <w:t>.</w:t>
      </w:r>
      <w:r>
        <w:rPr>
          <w:rFonts w:ascii="宋体" w:hAnsi="宋体"/>
          <w:color w:val="auto"/>
          <w:szCs w:val="21"/>
          <w:highlight w:val="none"/>
        </w:rPr>
        <w:t xml:space="preserve">5 </w:t>
      </w:r>
      <w:r>
        <w:rPr>
          <w:rFonts w:hint="eastAsia" w:ascii="宋体" w:hAnsi="宋体"/>
          <w:color w:val="auto"/>
          <w:szCs w:val="21"/>
          <w:highlight w:val="none"/>
        </w:rPr>
        <w:t>甲方应当根据合同约定及时向乙方支付合同价款</w:t>
      </w:r>
      <w:r>
        <w:rPr>
          <w:rFonts w:ascii="宋体" w:hAnsi="宋体"/>
          <w:color w:val="auto"/>
          <w:szCs w:val="21"/>
          <w:highlight w:val="none"/>
        </w:rPr>
        <w:t>，不得以内部人员变更、履行内部付款流程等为由，拒绝或迟延支付。</w:t>
      </w:r>
    </w:p>
    <w:p w14:paraId="029EEB53">
      <w:pPr>
        <w:autoSpaceDE w:val="0"/>
        <w:autoSpaceDN w:val="0"/>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4.6</w:t>
      </w:r>
      <w:r>
        <w:rPr>
          <w:rFonts w:ascii="宋体" w:hAnsi="宋体"/>
          <w:color w:val="auto"/>
          <w:szCs w:val="21"/>
          <w:highlight w:val="none"/>
        </w:rPr>
        <w:t xml:space="preserve"> </w:t>
      </w:r>
      <w:r>
        <w:rPr>
          <w:rFonts w:hint="eastAsia" w:ascii="宋体" w:hAnsi="宋体"/>
          <w:color w:val="auto"/>
          <w:szCs w:val="21"/>
          <w:highlight w:val="none"/>
        </w:rPr>
        <w:t>国家法律法规规定及</w:t>
      </w:r>
      <w:r>
        <w:rPr>
          <w:rFonts w:hint="eastAsia" w:ascii="宋体" w:hAnsi="宋体" w:cs="宋体"/>
          <w:b/>
          <w:bCs/>
          <w:color w:val="auto"/>
          <w:szCs w:val="21"/>
          <w:highlight w:val="none"/>
        </w:rPr>
        <w:t>【政府采购合同专用条款】</w:t>
      </w:r>
      <w:r>
        <w:rPr>
          <w:rFonts w:hint="eastAsia" w:ascii="宋体" w:hAnsi="宋体"/>
          <w:color w:val="auto"/>
          <w:szCs w:val="21"/>
          <w:highlight w:val="none"/>
        </w:rPr>
        <w:t>约定应由甲方承担的其他义务和责任。</w:t>
      </w:r>
    </w:p>
    <w:p w14:paraId="1F604270">
      <w:pPr>
        <w:autoSpaceDE w:val="0"/>
        <w:autoSpaceDN w:val="0"/>
        <w:adjustRightInd w:val="0"/>
        <w:snapToGrid w:val="0"/>
        <w:spacing w:line="400" w:lineRule="exact"/>
        <w:jc w:val="left"/>
        <w:rPr>
          <w:rFonts w:ascii="宋体" w:hAnsi="宋体"/>
          <w:b/>
          <w:bCs/>
          <w:color w:val="auto"/>
          <w:sz w:val="24"/>
          <w:highlight w:val="none"/>
        </w:rPr>
      </w:pPr>
      <w:r>
        <w:rPr>
          <w:rFonts w:hint="eastAsia" w:ascii="宋体" w:hAnsi="宋体"/>
          <w:b/>
          <w:bCs/>
          <w:color w:val="auto"/>
          <w:sz w:val="24"/>
          <w:highlight w:val="none"/>
        </w:rPr>
        <w:t>5. 乙方的权利和义务</w:t>
      </w:r>
    </w:p>
    <w:p w14:paraId="6689EA84">
      <w:pPr>
        <w:autoSpaceDE w:val="0"/>
        <w:autoSpaceDN w:val="0"/>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 xml:space="preserve">5.1 </w:t>
      </w:r>
      <w:r>
        <w:rPr>
          <w:rFonts w:ascii="宋体" w:hAnsi="宋体"/>
          <w:color w:val="auto"/>
          <w:szCs w:val="21"/>
          <w:highlight w:val="none"/>
        </w:rPr>
        <w:t>签署合同后，乙方</w:t>
      </w:r>
      <w:r>
        <w:rPr>
          <w:rFonts w:hint="eastAsia" w:ascii="宋体" w:hAnsi="宋体"/>
          <w:color w:val="auto"/>
          <w:szCs w:val="21"/>
          <w:highlight w:val="none"/>
        </w:rPr>
        <w:t>应</w:t>
      </w:r>
      <w:r>
        <w:rPr>
          <w:rFonts w:ascii="宋体" w:hAnsi="宋体"/>
          <w:color w:val="auto"/>
          <w:szCs w:val="21"/>
          <w:highlight w:val="none"/>
        </w:rPr>
        <w:t>确定</w:t>
      </w:r>
      <w:r>
        <w:rPr>
          <w:rFonts w:hint="eastAsia" w:ascii="宋体" w:hAnsi="宋体"/>
          <w:color w:val="auto"/>
          <w:szCs w:val="21"/>
          <w:highlight w:val="none"/>
        </w:rPr>
        <w:t>项目负责人（或项目联系人）</w:t>
      </w:r>
      <w:r>
        <w:rPr>
          <w:rFonts w:ascii="宋体" w:hAnsi="宋体"/>
          <w:color w:val="auto"/>
          <w:szCs w:val="21"/>
          <w:highlight w:val="none"/>
        </w:rPr>
        <w:t>，负责与本合同有关的事务。</w:t>
      </w:r>
    </w:p>
    <w:p w14:paraId="3C676B50">
      <w:pPr>
        <w:autoSpaceDE w:val="0"/>
        <w:autoSpaceDN w:val="0"/>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5.</w:t>
      </w:r>
      <w:r>
        <w:rPr>
          <w:rFonts w:ascii="宋体" w:hAnsi="宋体"/>
          <w:color w:val="auto"/>
          <w:szCs w:val="21"/>
          <w:highlight w:val="none"/>
        </w:rPr>
        <w:t>2 乙方应按照合同要求</w:t>
      </w:r>
      <w:r>
        <w:rPr>
          <w:rFonts w:hint="eastAsia" w:ascii="宋体" w:hAnsi="宋体"/>
          <w:color w:val="auto"/>
          <w:szCs w:val="21"/>
          <w:highlight w:val="none"/>
        </w:rPr>
        <w:t>履约</w:t>
      </w:r>
      <w:r>
        <w:rPr>
          <w:rFonts w:ascii="宋体" w:hAnsi="宋体"/>
          <w:color w:val="auto"/>
          <w:szCs w:val="21"/>
          <w:highlight w:val="none"/>
        </w:rPr>
        <w:t>，充分合理安排，确保</w:t>
      </w:r>
      <w:r>
        <w:rPr>
          <w:rFonts w:hint="eastAsia" w:ascii="宋体" w:hAnsi="宋体"/>
          <w:color w:val="auto"/>
          <w:szCs w:val="21"/>
          <w:highlight w:val="none"/>
        </w:rPr>
        <w:t>提供的货物及相关服务符合合同有关</w:t>
      </w:r>
      <w:r>
        <w:rPr>
          <w:rFonts w:ascii="宋体" w:hAnsi="宋体"/>
          <w:color w:val="auto"/>
          <w:szCs w:val="21"/>
          <w:highlight w:val="none"/>
        </w:rPr>
        <w:t>要求</w:t>
      </w:r>
      <w:r>
        <w:rPr>
          <w:rFonts w:hint="eastAsia" w:ascii="宋体" w:hAnsi="宋体"/>
          <w:color w:val="auto"/>
          <w:szCs w:val="21"/>
          <w:highlight w:val="none"/>
        </w:rPr>
        <w:t>。接受项目行业管理部门及政府有关部门的指导，配合甲方的履约检查及验收，并</w:t>
      </w:r>
      <w:r>
        <w:rPr>
          <w:rFonts w:ascii="宋体" w:hAnsi="宋体"/>
          <w:color w:val="auto"/>
          <w:szCs w:val="21"/>
          <w:highlight w:val="none"/>
        </w:rPr>
        <w:t>负责项目实施过程中的所有协调工作。</w:t>
      </w:r>
    </w:p>
    <w:p w14:paraId="32E9E0DF">
      <w:pPr>
        <w:autoSpaceDE w:val="0"/>
        <w:autoSpaceDN w:val="0"/>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5.3乙方有权根据合同约定向甲方收取合同价款。</w:t>
      </w:r>
    </w:p>
    <w:p w14:paraId="4EF5F91B">
      <w:pPr>
        <w:autoSpaceDE w:val="0"/>
        <w:autoSpaceDN w:val="0"/>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5.4国家法律法规规定及【政府采购合同专用条款】约定应由乙方承担的其他义务和责任。</w:t>
      </w:r>
    </w:p>
    <w:p w14:paraId="73E73B3A">
      <w:pPr>
        <w:numPr>
          <w:ilvl w:val="0"/>
          <w:numId w:val="11"/>
        </w:numPr>
        <w:autoSpaceDE w:val="0"/>
        <w:autoSpaceDN w:val="0"/>
        <w:adjustRightInd w:val="0"/>
        <w:snapToGrid w:val="0"/>
        <w:spacing w:line="400" w:lineRule="exact"/>
        <w:jc w:val="left"/>
        <w:rPr>
          <w:rFonts w:ascii="宋体" w:hAnsi="宋体"/>
          <w:b/>
          <w:bCs/>
          <w:color w:val="auto"/>
          <w:sz w:val="24"/>
          <w:highlight w:val="none"/>
        </w:rPr>
      </w:pPr>
      <w:r>
        <w:rPr>
          <w:rFonts w:hint="eastAsia" w:ascii="宋体" w:hAnsi="宋体"/>
          <w:b/>
          <w:bCs/>
          <w:color w:val="auto"/>
          <w:sz w:val="24"/>
          <w:highlight w:val="none"/>
        </w:rPr>
        <w:t>合同履行</w:t>
      </w:r>
    </w:p>
    <w:p w14:paraId="4C2753FE">
      <w:pPr>
        <w:autoSpaceDE w:val="0"/>
        <w:autoSpaceDN w:val="0"/>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6.1 甲乙双方应当按照</w:t>
      </w:r>
      <w:r>
        <w:rPr>
          <w:rFonts w:hint="eastAsia" w:ascii="宋体" w:hAnsi="宋体" w:cs="宋体"/>
          <w:b/>
          <w:bCs/>
          <w:color w:val="auto"/>
          <w:szCs w:val="21"/>
          <w:highlight w:val="none"/>
        </w:rPr>
        <w:t>【政府采购合同专用条款】</w:t>
      </w:r>
      <w:r>
        <w:rPr>
          <w:rFonts w:hint="eastAsia" w:ascii="宋体" w:hAnsi="宋体"/>
          <w:color w:val="auto"/>
          <w:szCs w:val="21"/>
          <w:highlight w:val="none"/>
        </w:rPr>
        <w:t>约定顺序履行合同义务；如果没有先后顺序的，应当同时履行。</w:t>
      </w:r>
    </w:p>
    <w:p w14:paraId="586CB8A3">
      <w:pPr>
        <w:autoSpaceDE w:val="0"/>
        <w:autoSpaceDN w:val="0"/>
        <w:adjustRightInd w:val="0"/>
        <w:snapToGrid w:val="0"/>
        <w:spacing w:line="400" w:lineRule="exact"/>
        <w:ind w:firstLine="420" w:firstLineChars="200"/>
        <w:jc w:val="left"/>
        <w:rPr>
          <w:color w:val="auto"/>
          <w:highlight w:val="none"/>
        </w:rPr>
      </w:pPr>
      <w:r>
        <w:rPr>
          <w:rFonts w:hint="eastAsia" w:ascii="宋体" w:hAnsi="宋体"/>
          <w:color w:val="auto"/>
          <w:szCs w:val="21"/>
          <w:highlight w:val="none"/>
        </w:rPr>
        <w:t>6.2 甲乙双方按照合同约定顺序履行合同义务时，应当先履行一方未履行的，后履行一方有权拒绝其履行请求。先履行一方履行不符合约定的，后履行一方有权拒绝其相应的履行请求。</w:t>
      </w:r>
    </w:p>
    <w:p w14:paraId="2B341F53">
      <w:pPr>
        <w:adjustRightInd w:val="0"/>
        <w:snapToGrid w:val="0"/>
        <w:spacing w:line="400" w:lineRule="exact"/>
        <w:jc w:val="left"/>
        <w:rPr>
          <w:rFonts w:ascii="宋体" w:hAnsi="宋体"/>
          <w:b/>
          <w:bCs/>
          <w:color w:val="auto"/>
          <w:sz w:val="24"/>
          <w:highlight w:val="none"/>
        </w:rPr>
      </w:pPr>
      <w:r>
        <w:rPr>
          <w:rFonts w:hint="eastAsia" w:ascii="宋体" w:hAnsi="宋体"/>
          <w:b/>
          <w:bCs/>
          <w:color w:val="auto"/>
          <w:sz w:val="24"/>
          <w:highlight w:val="none"/>
        </w:rPr>
        <w:t>7. 货物包装、运输、保险和交付要求</w:t>
      </w:r>
    </w:p>
    <w:p w14:paraId="66D1B95A">
      <w:pPr>
        <w:autoSpaceDE w:val="0"/>
        <w:autoSpaceDN w:val="0"/>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7.1 本合同</w:t>
      </w:r>
      <w:r>
        <w:rPr>
          <w:rFonts w:hint="eastAsia" w:ascii="宋体" w:hAnsi="宋体"/>
          <w:bCs/>
          <w:color w:val="auto"/>
          <w:szCs w:val="21"/>
          <w:highlight w:val="none"/>
        </w:rPr>
        <w:t>涉及商品包装、快递包装的，</w:t>
      </w:r>
      <w:r>
        <w:rPr>
          <w:rFonts w:hint="eastAsia" w:ascii="宋体" w:hAnsi="宋体"/>
          <w:color w:val="auto"/>
          <w:szCs w:val="21"/>
          <w:highlight w:val="none"/>
        </w:rPr>
        <w:t>除</w:t>
      </w:r>
      <w:r>
        <w:rPr>
          <w:rFonts w:hint="eastAsia" w:ascii="宋体" w:hAnsi="宋体"/>
          <w:b/>
          <w:color w:val="auto"/>
          <w:szCs w:val="21"/>
          <w:highlight w:val="none"/>
        </w:rPr>
        <w:t>【政府采购合同专用条款】</w:t>
      </w:r>
      <w:r>
        <w:rPr>
          <w:rFonts w:hint="eastAsia" w:ascii="宋体" w:hAnsi="宋体"/>
          <w:bCs/>
          <w:color w:val="auto"/>
          <w:szCs w:val="21"/>
          <w:highlight w:val="none"/>
        </w:rPr>
        <w:t>另有约定外，</w:t>
      </w:r>
      <w:r>
        <w:rPr>
          <w:rFonts w:hint="eastAsia" w:ascii="宋体" w:hAnsi="宋体"/>
          <w:color w:val="auto"/>
          <w:szCs w:val="21"/>
          <w:highlight w:val="none"/>
        </w:rPr>
        <w:t>包装应适应远距离运输、防潮、防震、防锈和防野蛮装卸等要求，确保货物安全无损地运抵</w:t>
      </w:r>
      <w:r>
        <w:rPr>
          <w:rFonts w:hint="eastAsia" w:ascii="宋体" w:hAnsi="宋体"/>
          <w:b/>
          <w:color w:val="auto"/>
          <w:szCs w:val="21"/>
          <w:highlight w:val="none"/>
        </w:rPr>
        <w:t>【政府采购合同专用条款】</w:t>
      </w:r>
      <w:r>
        <w:rPr>
          <w:rFonts w:hint="eastAsia" w:ascii="宋体" w:hAnsi="宋体"/>
          <w:bCs/>
          <w:color w:val="auto"/>
          <w:szCs w:val="21"/>
          <w:highlight w:val="none"/>
        </w:rPr>
        <w:t>约定的</w:t>
      </w:r>
      <w:r>
        <w:rPr>
          <w:rFonts w:hint="eastAsia" w:ascii="宋体" w:hAnsi="宋体"/>
          <w:color w:val="auto"/>
          <w:szCs w:val="21"/>
          <w:highlight w:val="none"/>
        </w:rPr>
        <w:t>指定现场。</w:t>
      </w:r>
    </w:p>
    <w:p w14:paraId="71E9912C">
      <w:pPr>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7.2 除</w:t>
      </w:r>
      <w:r>
        <w:rPr>
          <w:rFonts w:hint="eastAsia" w:ascii="宋体" w:hAnsi="宋体"/>
          <w:b/>
          <w:color w:val="auto"/>
          <w:szCs w:val="21"/>
          <w:highlight w:val="none"/>
        </w:rPr>
        <w:t>【政府采购合同专用条款】</w:t>
      </w:r>
      <w:r>
        <w:rPr>
          <w:rFonts w:hint="eastAsia" w:ascii="宋体" w:hAnsi="宋体"/>
          <w:bCs/>
          <w:color w:val="auto"/>
          <w:szCs w:val="21"/>
          <w:highlight w:val="none"/>
        </w:rPr>
        <w:t>另有约定外，</w:t>
      </w:r>
      <w:r>
        <w:rPr>
          <w:rFonts w:hint="eastAsia" w:ascii="宋体" w:hAnsi="宋体"/>
          <w:color w:val="auto"/>
          <w:szCs w:val="21"/>
          <w:highlight w:val="none"/>
        </w:rPr>
        <w:t>乙方负责办理将货物运抵本合同规定的交货地点，并装卸、交付至甲方的一切运输事项，相关费用应包含在合同价款中。</w:t>
      </w:r>
    </w:p>
    <w:p w14:paraId="34624FF8">
      <w:pPr>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7.3 货物保险要求按</w:t>
      </w:r>
      <w:r>
        <w:rPr>
          <w:rFonts w:hint="eastAsia" w:ascii="宋体" w:hAnsi="宋体"/>
          <w:b/>
          <w:color w:val="auto"/>
          <w:szCs w:val="21"/>
          <w:highlight w:val="none"/>
        </w:rPr>
        <w:t>【政府采购合同专用条款】</w:t>
      </w:r>
      <w:r>
        <w:rPr>
          <w:rFonts w:hint="eastAsia" w:ascii="宋体" w:hAnsi="宋体"/>
          <w:bCs/>
          <w:color w:val="auto"/>
          <w:szCs w:val="21"/>
          <w:highlight w:val="none"/>
        </w:rPr>
        <w:t>规定执行</w:t>
      </w:r>
      <w:r>
        <w:rPr>
          <w:rFonts w:hint="eastAsia" w:ascii="宋体" w:hAnsi="宋体"/>
          <w:color w:val="auto"/>
          <w:szCs w:val="21"/>
          <w:highlight w:val="none"/>
        </w:rPr>
        <w:t>。</w:t>
      </w:r>
    </w:p>
    <w:p w14:paraId="08D9FA1F">
      <w:pPr>
        <w:autoSpaceDE w:val="0"/>
        <w:autoSpaceDN w:val="0"/>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7.4 除采购活动对商品包装、快递包装达成具体约定外，乙方提供产品及相关快递服务涉及到具体包装要求的，应不低于《商品包装政府采购需求标准（试行）》《快递包装政府采购需求标准（试行）》标准，并作为履约验收的内容，必要时甲方可以要求乙方在履约验收环节出具检测报告。</w:t>
      </w:r>
    </w:p>
    <w:p w14:paraId="3B5DA544">
      <w:pPr>
        <w:autoSpaceDE w:val="0"/>
        <w:autoSpaceDN w:val="0"/>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 xml:space="preserve">7.5 </w:t>
      </w:r>
      <w:r>
        <w:rPr>
          <w:rFonts w:hint="eastAsia" w:ascii="宋体" w:hAnsi="宋体" w:cs="宋体"/>
          <w:color w:val="auto"/>
          <w:szCs w:val="21"/>
          <w:highlight w:val="none"/>
        </w:rPr>
        <w:t>乙方在运输到达之前应提前通知甲方，并提示货物运输装卸的注意事项，甲方配合乙方做好货物的接收工作。</w:t>
      </w:r>
    </w:p>
    <w:p w14:paraId="22ED9493">
      <w:pPr>
        <w:widowControl/>
        <w:autoSpaceDE w:val="0"/>
        <w:autoSpaceDN w:val="0"/>
        <w:adjustRightInd w:val="0"/>
        <w:spacing w:line="400" w:lineRule="exact"/>
        <w:ind w:firstLine="420" w:firstLineChars="200"/>
        <w:jc w:val="left"/>
        <w:rPr>
          <w:rFonts w:ascii="华文楷体" w:hAnsi="华文楷体" w:eastAsia="华文楷体" w:cs="华文楷体"/>
          <w:color w:val="auto"/>
          <w:kern w:val="0"/>
          <w:szCs w:val="21"/>
          <w:highlight w:val="none"/>
        </w:rPr>
      </w:pPr>
      <w:r>
        <w:rPr>
          <w:rFonts w:hint="eastAsia" w:ascii="宋体" w:hAnsi="宋体"/>
          <w:color w:val="auto"/>
          <w:szCs w:val="21"/>
          <w:highlight w:val="none"/>
        </w:rPr>
        <w:t>7.6 如因包装、运输问题导致货物损毁、丢失或者品质下降，甲方有权要求降价、换货、拒收部分或整批货物，由此产生的费用和损失，均由乙方承担。</w:t>
      </w:r>
    </w:p>
    <w:p w14:paraId="4097ECCD">
      <w:pPr>
        <w:adjustRightInd w:val="0"/>
        <w:snapToGrid w:val="0"/>
        <w:spacing w:line="400" w:lineRule="exact"/>
        <w:jc w:val="left"/>
        <w:rPr>
          <w:rFonts w:ascii="宋体" w:hAnsi="宋体"/>
          <w:b/>
          <w:color w:val="auto"/>
          <w:sz w:val="24"/>
          <w:highlight w:val="none"/>
        </w:rPr>
      </w:pPr>
      <w:r>
        <w:rPr>
          <w:rFonts w:hint="eastAsia" w:ascii="宋体" w:hAnsi="宋体"/>
          <w:b/>
          <w:color w:val="auto"/>
          <w:sz w:val="24"/>
          <w:highlight w:val="none"/>
        </w:rPr>
        <w:t>8. 质量标准和保证</w:t>
      </w:r>
    </w:p>
    <w:p w14:paraId="311456A8">
      <w:pPr>
        <w:adjustRightInd w:val="0"/>
        <w:snapToGrid w:val="0"/>
        <w:spacing w:line="400" w:lineRule="exact"/>
        <w:ind w:firstLine="420" w:firstLineChars="200"/>
        <w:jc w:val="left"/>
        <w:rPr>
          <w:rFonts w:ascii="宋体" w:hAnsi="宋体"/>
          <w:b/>
          <w:color w:val="auto"/>
          <w:szCs w:val="21"/>
          <w:highlight w:val="none"/>
        </w:rPr>
      </w:pPr>
      <w:r>
        <w:rPr>
          <w:rFonts w:hint="eastAsia" w:ascii="宋体" w:hAnsi="宋体"/>
          <w:color w:val="auto"/>
          <w:szCs w:val="21"/>
          <w:highlight w:val="none"/>
        </w:rPr>
        <w:t>8.1 质量标准</w:t>
      </w:r>
    </w:p>
    <w:p w14:paraId="31E6B647">
      <w:pPr>
        <w:autoSpaceDE w:val="0"/>
        <w:autoSpaceDN w:val="0"/>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（1）本合同下提供的货物应符合合同</w:t>
      </w:r>
      <w:r>
        <w:rPr>
          <w:rFonts w:hint="eastAsia" w:ascii="宋体" w:hAnsi="宋体" w:cs="宋体"/>
          <w:color w:val="auto"/>
          <w:szCs w:val="21"/>
          <w:highlight w:val="none"/>
        </w:rPr>
        <w:t>约定的品牌、规格型号、技术性能、配置、质量、数量等要求。</w:t>
      </w:r>
      <w:r>
        <w:rPr>
          <w:rFonts w:hint="eastAsia" w:ascii="宋体" w:hAnsi="宋体"/>
          <w:color w:val="auto"/>
          <w:szCs w:val="21"/>
          <w:highlight w:val="none"/>
        </w:rPr>
        <w:t>质量要求不明确的，按照强制性国家标准履行；没有强制性国家标准的，按照推荐性国家标准履行；没有推荐性国家标准的，按照行业标准履行；没有国家标准、行业标准的，按照通常标准或者符合合同目的的特定标准履行。</w:t>
      </w:r>
    </w:p>
    <w:p w14:paraId="15E098D1">
      <w:pPr>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（2）采用中华人民共和国法定计量单位。</w:t>
      </w:r>
    </w:p>
    <w:p w14:paraId="0C85FBBD">
      <w:pPr>
        <w:autoSpaceDE w:val="0"/>
        <w:autoSpaceDN w:val="0"/>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（3）乙方所提供的货物应符合国家有关安全、环保、卫生的规定。</w:t>
      </w:r>
    </w:p>
    <w:p w14:paraId="213154E4">
      <w:pPr>
        <w:autoSpaceDE w:val="0"/>
        <w:autoSpaceDN w:val="0"/>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（4）乙方应向甲方提交所提供货物的技术文件，包括相应的中文技术文件，如：产品目录、图纸、操作手册、使用说明、维护手册或服务指南等。上述文件应包装好随货物一同发运。</w:t>
      </w:r>
    </w:p>
    <w:p w14:paraId="1444AC89">
      <w:pPr>
        <w:autoSpaceDE w:val="0"/>
        <w:autoSpaceDN w:val="0"/>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8.2 保证</w:t>
      </w:r>
    </w:p>
    <w:p w14:paraId="334A3C19">
      <w:pPr>
        <w:autoSpaceDE w:val="0"/>
        <w:autoSpaceDN w:val="0"/>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（1）乙方应保证提供的货物完全符合合同规定的质量、规格和性能要求。乙方应保证货物在正确安装、正常使用和保养条件下，</w:t>
      </w:r>
      <w:r>
        <w:rPr>
          <w:rFonts w:hint="eastAsia" w:ascii="宋体" w:hAnsi="宋体" w:cs="宋体"/>
          <w:color w:val="auto"/>
          <w:szCs w:val="21"/>
          <w:highlight w:val="none"/>
        </w:rPr>
        <w:t>在其使用寿命期内具备合同约定的性能</w:t>
      </w:r>
      <w:r>
        <w:rPr>
          <w:rFonts w:hint="eastAsia" w:ascii="宋体" w:hAnsi="宋体"/>
          <w:color w:val="auto"/>
          <w:szCs w:val="21"/>
          <w:highlight w:val="none"/>
        </w:rPr>
        <w:t>。存在质量保证期的，货物最终交付验收合格后在</w:t>
      </w:r>
      <w:r>
        <w:rPr>
          <w:rFonts w:hint="eastAsia" w:ascii="宋体" w:hAnsi="宋体"/>
          <w:b/>
          <w:color w:val="auto"/>
          <w:szCs w:val="21"/>
          <w:highlight w:val="none"/>
        </w:rPr>
        <w:t>【政府采购合同专用条款】</w:t>
      </w:r>
      <w:r>
        <w:rPr>
          <w:rFonts w:hint="eastAsia" w:ascii="宋体" w:hAnsi="宋体"/>
          <w:color w:val="auto"/>
          <w:szCs w:val="21"/>
          <w:highlight w:val="none"/>
        </w:rPr>
        <w:t>规定或乙方书面承诺（两者以较长的为准）的质量保证期内，本保证保持有效。</w:t>
      </w:r>
    </w:p>
    <w:p w14:paraId="2E374EE8">
      <w:pPr>
        <w:autoSpaceDE w:val="0"/>
        <w:autoSpaceDN w:val="0"/>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（2）在质量保证期内所发现的缺陷，甲方应尽快以书面形式通知乙方。</w:t>
      </w:r>
    </w:p>
    <w:p w14:paraId="5ADEFE06">
      <w:pPr>
        <w:autoSpaceDE w:val="0"/>
        <w:autoSpaceDN w:val="0"/>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（3）乙方收到通知后，应在</w:t>
      </w:r>
      <w:r>
        <w:rPr>
          <w:rFonts w:hint="eastAsia" w:ascii="宋体" w:hAnsi="宋体"/>
          <w:b/>
          <w:color w:val="auto"/>
          <w:szCs w:val="21"/>
          <w:highlight w:val="none"/>
        </w:rPr>
        <w:t>【政府采购合同专用条款】</w:t>
      </w:r>
      <w:r>
        <w:rPr>
          <w:rFonts w:hint="eastAsia" w:ascii="宋体" w:hAnsi="宋体"/>
          <w:color w:val="auto"/>
          <w:szCs w:val="21"/>
          <w:highlight w:val="none"/>
        </w:rPr>
        <w:t>规定的响应时间内以合理的速度免费维修或更换有缺陷的货物或部件。</w:t>
      </w:r>
    </w:p>
    <w:p w14:paraId="1305761E">
      <w:pPr>
        <w:autoSpaceDE w:val="0"/>
        <w:autoSpaceDN w:val="0"/>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（4）在质量保证期内，如果货物的质量或规格与合同不符，或证实货物是有缺陷的，包括潜在的缺陷或使用不符合要求的材料等，甲方可以根据本合同第15.1条规定以书面形式追究乙方的违约责任。</w:t>
      </w:r>
    </w:p>
    <w:p w14:paraId="34BFD553">
      <w:pPr>
        <w:adjustRightInd w:val="0"/>
        <w:snapToGrid w:val="0"/>
        <w:spacing w:line="400" w:lineRule="exact"/>
        <w:ind w:firstLine="420" w:firstLineChars="200"/>
        <w:jc w:val="left"/>
        <w:rPr>
          <w:color w:val="auto"/>
          <w:highlight w:val="none"/>
        </w:rPr>
      </w:pPr>
      <w:r>
        <w:rPr>
          <w:rFonts w:hint="eastAsia" w:ascii="宋体" w:hAnsi="宋体"/>
          <w:color w:val="auto"/>
          <w:szCs w:val="21"/>
          <w:highlight w:val="none"/>
        </w:rPr>
        <w:t>（5）乙方在约定的时间内未能弥补缺陷，甲方可采取必要的补救措施，但其风险和费用将由乙方承担，甲方根据合同约定对乙方行使的其他权利不受影响。</w:t>
      </w:r>
    </w:p>
    <w:p w14:paraId="437D0C56">
      <w:pPr>
        <w:adjustRightInd w:val="0"/>
        <w:snapToGrid w:val="0"/>
        <w:spacing w:line="400" w:lineRule="exact"/>
        <w:jc w:val="left"/>
        <w:rPr>
          <w:rFonts w:ascii="宋体" w:hAnsi="宋体"/>
          <w:b/>
          <w:bCs/>
          <w:color w:val="auto"/>
          <w:sz w:val="24"/>
          <w:highlight w:val="none"/>
        </w:rPr>
      </w:pPr>
      <w:r>
        <w:rPr>
          <w:rFonts w:hint="eastAsia" w:ascii="宋体" w:hAnsi="宋体"/>
          <w:b/>
          <w:bCs/>
          <w:color w:val="auto"/>
          <w:sz w:val="24"/>
          <w:highlight w:val="none"/>
        </w:rPr>
        <w:t>9. 权利瑕疵担保</w:t>
      </w:r>
    </w:p>
    <w:p w14:paraId="53EF4928">
      <w:pPr>
        <w:autoSpaceDE w:val="0"/>
        <w:autoSpaceDN w:val="0"/>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9.1 乙方保证对其出售的货物享有合法的权利。</w:t>
      </w:r>
    </w:p>
    <w:p w14:paraId="7AB14744">
      <w:pPr>
        <w:autoSpaceDE w:val="0"/>
        <w:autoSpaceDN w:val="0"/>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 xml:space="preserve">9.2 </w:t>
      </w:r>
      <w:r>
        <w:rPr>
          <w:rFonts w:hint="eastAsia" w:ascii="宋体" w:hAnsi="宋体" w:cs="宋体"/>
          <w:color w:val="auto"/>
          <w:szCs w:val="15"/>
          <w:highlight w:val="none"/>
        </w:rPr>
        <w:t>乙方保证在交付的货物上不存在抵押权等担保物权。</w:t>
      </w:r>
    </w:p>
    <w:p w14:paraId="6291C4D0">
      <w:pPr>
        <w:autoSpaceDE w:val="0"/>
        <w:autoSpaceDN w:val="0"/>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9.3 如甲方使用上述货物构成对第三人侵权的，则由乙方承担全部责任。</w:t>
      </w:r>
    </w:p>
    <w:p w14:paraId="2B56BD01">
      <w:pPr>
        <w:autoSpaceDE w:val="0"/>
        <w:autoSpaceDN w:val="0"/>
        <w:adjustRightInd w:val="0"/>
        <w:snapToGrid w:val="0"/>
        <w:spacing w:line="400" w:lineRule="exact"/>
        <w:jc w:val="left"/>
        <w:rPr>
          <w:rFonts w:ascii="宋体" w:hAnsi="宋体"/>
          <w:b/>
          <w:bCs/>
          <w:color w:val="auto"/>
          <w:sz w:val="24"/>
          <w:highlight w:val="none"/>
        </w:rPr>
      </w:pPr>
      <w:r>
        <w:rPr>
          <w:rFonts w:hint="eastAsia" w:ascii="宋体" w:hAnsi="宋体"/>
          <w:b/>
          <w:bCs/>
          <w:color w:val="auto"/>
          <w:sz w:val="24"/>
          <w:highlight w:val="none"/>
        </w:rPr>
        <w:t>10. 知识产权保护</w:t>
      </w:r>
    </w:p>
    <w:p w14:paraId="538971DF">
      <w:pPr>
        <w:autoSpaceDE w:val="0"/>
        <w:autoSpaceDN w:val="0"/>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10.1 乙方对其所销售的货物应当享有知识产权或经权利人合法授权，保证没有侵犯任何第三人的知识产权等权利。</w:t>
      </w:r>
      <w:r>
        <w:rPr>
          <w:rFonts w:hint="eastAsia" w:ascii="宋体" w:hAnsi="宋体" w:cs="宋体"/>
          <w:color w:val="auto"/>
          <w:szCs w:val="15"/>
          <w:highlight w:val="none"/>
        </w:rPr>
        <w:t>因违反前述约定对第三人构成侵权的，应当由乙方向第三人承担法律责任；甲方依法向第三人赔偿后，有权向乙方追偿。甲方有其他损失的，乙方应当赔偿</w:t>
      </w:r>
      <w:r>
        <w:rPr>
          <w:rFonts w:hint="eastAsia" w:ascii="宋体" w:hAnsi="宋体"/>
          <w:color w:val="auto"/>
          <w:szCs w:val="21"/>
          <w:highlight w:val="none"/>
        </w:rPr>
        <w:t>。</w:t>
      </w:r>
    </w:p>
    <w:p w14:paraId="63326F4F">
      <w:pPr>
        <w:autoSpaceDE w:val="0"/>
        <w:autoSpaceDN w:val="0"/>
        <w:adjustRightInd w:val="0"/>
        <w:snapToGrid w:val="0"/>
        <w:spacing w:line="400" w:lineRule="exact"/>
        <w:jc w:val="left"/>
        <w:rPr>
          <w:rFonts w:ascii="宋体" w:hAnsi="宋体"/>
          <w:b/>
          <w:bCs/>
          <w:color w:val="auto"/>
          <w:sz w:val="24"/>
          <w:highlight w:val="none"/>
        </w:rPr>
      </w:pPr>
      <w:r>
        <w:rPr>
          <w:rFonts w:hint="eastAsia" w:ascii="宋体" w:hAnsi="宋体"/>
          <w:b/>
          <w:bCs/>
          <w:color w:val="auto"/>
          <w:sz w:val="24"/>
          <w:highlight w:val="none"/>
        </w:rPr>
        <w:t>11. 保密义务</w:t>
      </w:r>
    </w:p>
    <w:p w14:paraId="6B260C13">
      <w:pPr>
        <w:autoSpaceDE w:val="0"/>
        <w:autoSpaceDN w:val="0"/>
        <w:adjustRightInd w:val="0"/>
        <w:snapToGrid w:val="0"/>
        <w:spacing w:line="400" w:lineRule="exact"/>
        <w:ind w:firstLine="420" w:firstLineChars="200"/>
        <w:jc w:val="left"/>
        <w:rPr>
          <w:rFonts w:ascii="宋体" w:hAnsi="宋体" w:cs="宋体"/>
          <w:color w:val="auto"/>
          <w:szCs w:val="15"/>
          <w:highlight w:val="none"/>
        </w:rPr>
      </w:pPr>
      <w:r>
        <w:rPr>
          <w:rFonts w:hint="eastAsia" w:ascii="宋体" w:hAnsi="宋体" w:cs="宋体"/>
          <w:color w:val="auto"/>
          <w:szCs w:val="15"/>
          <w:highlight w:val="none"/>
        </w:rPr>
        <w:t>11.1 甲、乙双方对采购和合同履行过程中所获悉的国家秘密、工作秘密、商业秘密或者其他应当保密的信息，均有保密义务且不受合同有效期所限，直至该信息成为公开信息。泄露、不正当地使用国家秘密、工作秘密、商业秘密或者其他应当保密的信息，应当承担相应责任。其他应当保密的信息由双方在</w:t>
      </w:r>
      <w:r>
        <w:rPr>
          <w:rFonts w:hint="eastAsia" w:ascii="宋体" w:hAnsi="宋体" w:cs="宋体"/>
          <w:b/>
          <w:bCs/>
          <w:color w:val="auto"/>
          <w:szCs w:val="15"/>
          <w:highlight w:val="none"/>
        </w:rPr>
        <w:t>【政府采购合同专用条款】</w:t>
      </w:r>
      <w:r>
        <w:rPr>
          <w:rFonts w:hint="eastAsia" w:ascii="宋体" w:hAnsi="宋体" w:cs="宋体"/>
          <w:color w:val="auto"/>
          <w:szCs w:val="15"/>
          <w:highlight w:val="none"/>
        </w:rPr>
        <w:t>中约定。</w:t>
      </w:r>
    </w:p>
    <w:p w14:paraId="667A8AF0">
      <w:pPr>
        <w:autoSpaceDE w:val="0"/>
        <w:autoSpaceDN w:val="0"/>
        <w:adjustRightInd w:val="0"/>
        <w:snapToGrid w:val="0"/>
        <w:spacing w:line="400" w:lineRule="exact"/>
        <w:jc w:val="left"/>
        <w:rPr>
          <w:rFonts w:ascii="宋体" w:hAnsi="宋体"/>
          <w:b/>
          <w:bCs/>
          <w:color w:val="auto"/>
          <w:sz w:val="24"/>
          <w:highlight w:val="none"/>
        </w:rPr>
      </w:pPr>
      <w:r>
        <w:rPr>
          <w:rFonts w:hint="eastAsia" w:ascii="宋体" w:hAnsi="宋体"/>
          <w:b/>
          <w:bCs/>
          <w:color w:val="auto"/>
          <w:sz w:val="24"/>
          <w:highlight w:val="none"/>
        </w:rPr>
        <w:t>12. 合同价款支付</w:t>
      </w:r>
    </w:p>
    <w:p w14:paraId="1D14B9C3">
      <w:pPr>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12.1 合同价款支付按照国库集中支付制度及财政管理相关规定执行。</w:t>
      </w:r>
    </w:p>
    <w:p w14:paraId="68F9C959">
      <w:pPr>
        <w:keepNext/>
        <w:keepLines/>
        <w:spacing w:before="260" w:after="260" w:line="400" w:lineRule="exact"/>
        <w:ind w:firstLine="420" w:firstLineChars="200"/>
        <w:outlineLvl w:val="1"/>
        <w:rPr>
          <w:rFonts w:ascii="Cambria" w:hAnsi="Cambria"/>
          <w:b/>
          <w:bCs/>
          <w:color w:val="auto"/>
          <w:sz w:val="32"/>
          <w:szCs w:val="32"/>
          <w:highlight w:val="none"/>
        </w:rPr>
      </w:pPr>
      <w:r>
        <w:rPr>
          <w:rFonts w:hint="eastAsia" w:ascii="宋体" w:hAnsi="宋体"/>
          <w:color w:val="auto"/>
          <w:szCs w:val="21"/>
          <w:highlight w:val="none"/>
        </w:rPr>
        <w:t>12.2 对于满足合同约定支付条件的，甲方原则上应当自收到发票后将资金支付到合同约定的乙方账户，不得以机构变动、人员更替、政策调整等为由迟延付款，不得将采购文件和合同中未规定的义务作为向乙方付款的条件。具体合同价款支付时间在【</w:t>
      </w:r>
      <w:r>
        <w:rPr>
          <w:rFonts w:hint="eastAsia" w:ascii="宋体" w:hAnsi="宋体"/>
          <w:b/>
          <w:bCs/>
          <w:color w:val="auto"/>
          <w:szCs w:val="21"/>
          <w:highlight w:val="none"/>
        </w:rPr>
        <w:t>政府采购合同专用条款</w:t>
      </w:r>
      <w:r>
        <w:rPr>
          <w:rFonts w:hint="eastAsia" w:ascii="宋体" w:hAnsi="宋体"/>
          <w:color w:val="auto"/>
          <w:szCs w:val="21"/>
          <w:highlight w:val="none"/>
        </w:rPr>
        <w:t>】中约定。</w:t>
      </w:r>
    </w:p>
    <w:p w14:paraId="4A1FAD2A">
      <w:pPr>
        <w:spacing w:line="400" w:lineRule="exact"/>
        <w:rPr>
          <w:rFonts w:ascii="宋体" w:hAnsi="宋体" w:eastAsia="黑体"/>
          <w:b/>
          <w:bCs/>
          <w:color w:val="auto"/>
          <w:sz w:val="24"/>
          <w:highlight w:val="none"/>
        </w:rPr>
      </w:pPr>
      <w:r>
        <w:rPr>
          <w:rFonts w:hint="eastAsia" w:ascii="宋体" w:hAnsi="宋体" w:eastAsia="黑体"/>
          <w:b/>
          <w:bCs/>
          <w:color w:val="auto"/>
          <w:sz w:val="24"/>
          <w:highlight w:val="none"/>
        </w:rPr>
        <w:t>13. 履约保证金</w:t>
      </w:r>
    </w:p>
    <w:p w14:paraId="6F70F4DE">
      <w:pPr>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 xml:space="preserve">13.1 </w:t>
      </w:r>
      <w:r>
        <w:rPr>
          <w:rFonts w:hint="eastAsia" w:ascii="宋体" w:hAnsi="宋体" w:cs="宋体"/>
          <w:color w:val="auto"/>
          <w:szCs w:val="15"/>
          <w:highlight w:val="none"/>
        </w:rPr>
        <w:t>乙方应当以金融机构、担保机构出具的保函等非现金形式提交。</w:t>
      </w:r>
    </w:p>
    <w:p w14:paraId="1A7AEBA3">
      <w:pPr>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13.2 如果乙方出现</w:t>
      </w:r>
      <w:r>
        <w:rPr>
          <w:rFonts w:hint="eastAsia" w:ascii="宋体" w:hAnsi="宋体" w:cs="宋体"/>
          <w:b/>
          <w:bCs/>
          <w:color w:val="auto"/>
          <w:szCs w:val="15"/>
          <w:highlight w:val="none"/>
        </w:rPr>
        <w:t>【政府采购合同专用条款】</w:t>
      </w:r>
      <w:r>
        <w:rPr>
          <w:rFonts w:hint="eastAsia" w:ascii="宋体" w:hAnsi="宋体" w:cs="宋体"/>
          <w:color w:val="auto"/>
          <w:szCs w:val="15"/>
          <w:highlight w:val="none"/>
        </w:rPr>
        <w:t>约定情形的</w:t>
      </w:r>
      <w:r>
        <w:rPr>
          <w:rFonts w:hint="eastAsia" w:ascii="宋体" w:hAnsi="宋体"/>
          <w:color w:val="auto"/>
          <w:szCs w:val="21"/>
          <w:highlight w:val="none"/>
        </w:rPr>
        <w:t>，履约保证金不予退还；如果乙方未能按合同约定全面履行义务，甲方有权从履约保证金中取得补偿或赔偿，且不影响甲方要求乙方承担合同约定的超过履约保证金的违约责任的权利。</w:t>
      </w:r>
    </w:p>
    <w:p w14:paraId="39887559">
      <w:pPr>
        <w:spacing w:line="400" w:lineRule="exact"/>
        <w:ind w:firstLine="420"/>
        <w:rPr>
          <w:color w:val="auto"/>
          <w:highlight w:val="none"/>
        </w:rPr>
      </w:pPr>
      <w:r>
        <w:rPr>
          <w:rFonts w:hint="eastAsia" w:ascii="宋体" w:hAnsi="宋体"/>
          <w:color w:val="auto"/>
          <w:szCs w:val="21"/>
          <w:highlight w:val="none"/>
        </w:rPr>
        <w:t>13.3 甲方在项目通过验收后按照</w:t>
      </w:r>
      <w:r>
        <w:rPr>
          <w:rFonts w:hint="eastAsia" w:ascii="宋体" w:hAnsi="宋体"/>
          <w:b/>
          <w:color w:val="auto"/>
          <w:szCs w:val="21"/>
          <w:highlight w:val="none"/>
        </w:rPr>
        <w:t>【政府采购合同专用条款】</w:t>
      </w:r>
      <w:r>
        <w:rPr>
          <w:rFonts w:hint="eastAsia" w:ascii="宋体" w:hAnsi="宋体"/>
          <w:color w:val="auto"/>
          <w:szCs w:val="21"/>
          <w:highlight w:val="none"/>
        </w:rPr>
        <w:t>规定的时间内将履约保证金退还乙方；逾期退还的，乙方可要求甲方支付违约金，违约金按照</w:t>
      </w:r>
      <w:r>
        <w:rPr>
          <w:rFonts w:hint="eastAsia" w:ascii="宋体" w:hAnsi="宋体"/>
          <w:b/>
          <w:color w:val="auto"/>
          <w:szCs w:val="21"/>
          <w:highlight w:val="none"/>
        </w:rPr>
        <w:t>【政府采购合同专用条款】</w:t>
      </w:r>
      <w:r>
        <w:rPr>
          <w:rFonts w:hint="eastAsia" w:ascii="宋体" w:hAnsi="宋体"/>
          <w:color w:val="auto"/>
          <w:szCs w:val="21"/>
          <w:highlight w:val="none"/>
        </w:rPr>
        <w:t>规定支付。</w:t>
      </w:r>
    </w:p>
    <w:p w14:paraId="33F93C89">
      <w:pPr>
        <w:autoSpaceDE w:val="0"/>
        <w:autoSpaceDN w:val="0"/>
        <w:adjustRightInd w:val="0"/>
        <w:snapToGrid w:val="0"/>
        <w:spacing w:line="400" w:lineRule="exact"/>
        <w:jc w:val="left"/>
        <w:rPr>
          <w:rFonts w:ascii="宋体" w:hAnsi="宋体"/>
          <w:b/>
          <w:color w:val="auto"/>
          <w:sz w:val="24"/>
          <w:highlight w:val="none"/>
        </w:rPr>
      </w:pPr>
      <w:r>
        <w:rPr>
          <w:rFonts w:hint="eastAsia" w:ascii="宋体" w:hAnsi="宋体"/>
          <w:b/>
          <w:bCs/>
          <w:color w:val="auto"/>
          <w:sz w:val="24"/>
          <w:highlight w:val="none"/>
        </w:rPr>
        <w:t xml:space="preserve">14. </w:t>
      </w:r>
      <w:r>
        <w:rPr>
          <w:rFonts w:hint="eastAsia"/>
          <w:b/>
          <w:color w:val="auto"/>
          <w:sz w:val="24"/>
          <w:highlight w:val="none"/>
        </w:rPr>
        <w:t>售后</w:t>
      </w:r>
      <w:r>
        <w:rPr>
          <w:rFonts w:hint="eastAsia" w:ascii="宋体" w:hAnsi="宋体"/>
          <w:b/>
          <w:color w:val="auto"/>
          <w:sz w:val="24"/>
          <w:highlight w:val="none"/>
        </w:rPr>
        <w:t>服务</w:t>
      </w:r>
    </w:p>
    <w:p w14:paraId="6D916DC1">
      <w:pPr>
        <w:autoSpaceDE w:val="0"/>
        <w:autoSpaceDN w:val="0"/>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14.1 除项目不涉及或采购活动中明确约定无须承担外，乙方还应提供下列服务：</w:t>
      </w:r>
    </w:p>
    <w:p w14:paraId="52561801">
      <w:pPr>
        <w:autoSpaceDE w:val="0"/>
        <w:autoSpaceDN w:val="0"/>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（1）货物的现场移动、安装、调试、启动监督及技术支持；</w:t>
      </w:r>
    </w:p>
    <w:p w14:paraId="75BAA1E8">
      <w:pPr>
        <w:autoSpaceDE w:val="0"/>
        <w:autoSpaceDN w:val="0"/>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（2）提供货物组装和维修所需的专用工具和辅助材料；</w:t>
      </w:r>
    </w:p>
    <w:p w14:paraId="415FB52A">
      <w:pPr>
        <w:autoSpaceDE w:val="0"/>
        <w:autoSpaceDN w:val="0"/>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（3）在</w:t>
      </w:r>
      <w:r>
        <w:rPr>
          <w:rFonts w:hint="eastAsia" w:ascii="宋体" w:hAnsi="宋体" w:cs="宋体"/>
          <w:b/>
          <w:bCs/>
          <w:color w:val="auto"/>
          <w:szCs w:val="15"/>
          <w:highlight w:val="none"/>
        </w:rPr>
        <w:t>【政府采购合同专用条款】</w:t>
      </w:r>
      <w:r>
        <w:rPr>
          <w:rFonts w:hint="eastAsia" w:ascii="宋体" w:hAnsi="宋体"/>
          <w:color w:val="auto"/>
          <w:szCs w:val="21"/>
          <w:highlight w:val="none"/>
        </w:rPr>
        <w:t>约定的期限内对所有的货物实施运行监督、维修，但前提条件是该服务并不能免除乙方在质量保证期内所承担的义务；</w:t>
      </w:r>
    </w:p>
    <w:p w14:paraId="0C96416B">
      <w:pPr>
        <w:autoSpaceDE w:val="0"/>
        <w:autoSpaceDN w:val="0"/>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（4）在制造商所在地或指定现场就货物的安装、启动、运营、维护、废弃处置等对甲方操作人员进行培训</w:t>
      </w:r>
      <w:r>
        <w:rPr>
          <w:rFonts w:hint="eastAsia" w:ascii="宋体" w:hAnsi="宋体" w:cs="宋体"/>
          <w:color w:val="auto"/>
          <w:szCs w:val="15"/>
          <w:highlight w:val="none"/>
        </w:rPr>
        <w:t>；</w:t>
      </w:r>
    </w:p>
    <w:p w14:paraId="4B5C99F2">
      <w:pPr>
        <w:widowControl/>
        <w:autoSpaceDE w:val="0"/>
        <w:autoSpaceDN w:val="0"/>
        <w:adjustRightInd w:val="0"/>
        <w:spacing w:line="400" w:lineRule="exact"/>
        <w:ind w:firstLine="420" w:firstLineChars="200"/>
        <w:jc w:val="left"/>
        <w:rPr>
          <w:rFonts w:ascii="宋体" w:hAnsi="宋体" w:cs="宋体"/>
          <w:color w:val="auto"/>
          <w:kern w:val="0"/>
          <w:szCs w:val="21"/>
          <w:highlight w:val="none"/>
        </w:rPr>
      </w:pPr>
      <w:r>
        <w:rPr>
          <w:rFonts w:hint="eastAsia" w:ascii="宋体" w:hAnsi="宋体" w:cs="宋体"/>
          <w:color w:val="auto"/>
          <w:kern w:val="0"/>
          <w:szCs w:val="21"/>
          <w:highlight w:val="none"/>
        </w:rPr>
        <w:t>（5）依照法律、行政法规的规定或者按照</w:t>
      </w:r>
      <w:r>
        <w:rPr>
          <w:rFonts w:hint="eastAsia" w:ascii="宋体" w:hAnsi="宋体" w:cs="宋体"/>
          <w:b/>
          <w:bCs/>
          <w:color w:val="auto"/>
          <w:kern w:val="0"/>
          <w:szCs w:val="21"/>
          <w:highlight w:val="none"/>
        </w:rPr>
        <w:t>【政府采购合同专用条款】</w:t>
      </w:r>
      <w:r>
        <w:rPr>
          <w:rFonts w:hint="eastAsia" w:ascii="宋体" w:hAnsi="宋体" w:cs="宋体"/>
          <w:color w:val="auto"/>
          <w:kern w:val="0"/>
          <w:szCs w:val="21"/>
          <w:highlight w:val="none"/>
        </w:rPr>
        <w:t>约定，货物在有效使用年限届满后应予回收的，乙方负有自行或者委托第三人对货物予以回收的义务；</w:t>
      </w:r>
    </w:p>
    <w:p w14:paraId="6896CD58">
      <w:pPr>
        <w:autoSpaceDE w:val="0"/>
        <w:autoSpaceDN w:val="0"/>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（6）</w:t>
      </w:r>
      <w:r>
        <w:rPr>
          <w:rFonts w:hint="eastAsia" w:ascii="宋体" w:hAnsi="宋体"/>
          <w:b/>
          <w:color w:val="auto"/>
          <w:szCs w:val="21"/>
          <w:highlight w:val="none"/>
        </w:rPr>
        <w:t>【政府采购合同专用条款】</w:t>
      </w:r>
      <w:r>
        <w:rPr>
          <w:rFonts w:hint="eastAsia" w:ascii="宋体" w:hAnsi="宋体"/>
          <w:color w:val="auto"/>
          <w:szCs w:val="21"/>
          <w:highlight w:val="none"/>
        </w:rPr>
        <w:t>规定由乙方提供的其他服务。</w:t>
      </w:r>
    </w:p>
    <w:p w14:paraId="3C927E80">
      <w:pPr>
        <w:autoSpaceDE w:val="0"/>
        <w:autoSpaceDN w:val="0"/>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14.2 乙方提供的售后服务的费用已包含在合同价款中，甲方不再另行支付。</w:t>
      </w:r>
    </w:p>
    <w:p w14:paraId="610A10C9">
      <w:pPr>
        <w:adjustRightInd w:val="0"/>
        <w:snapToGrid w:val="0"/>
        <w:spacing w:line="400" w:lineRule="exact"/>
        <w:jc w:val="left"/>
        <w:rPr>
          <w:rFonts w:ascii="宋体" w:hAnsi="宋体"/>
          <w:b/>
          <w:bCs/>
          <w:color w:val="auto"/>
          <w:sz w:val="24"/>
          <w:highlight w:val="none"/>
        </w:rPr>
      </w:pPr>
      <w:r>
        <w:rPr>
          <w:rFonts w:hint="eastAsia" w:ascii="宋体" w:hAnsi="宋体"/>
          <w:b/>
          <w:bCs/>
          <w:color w:val="auto"/>
          <w:sz w:val="24"/>
          <w:highlight w:val="none"/>
        </w:rPr>
        <w:t>15. 违约责任</w:t>
      </w:r>
    </w:p>
    <w:p w14:paraId="761F0C9E">
      <w:pPr>
        <w:adjustRightInd w:val="0"/>
        <w:snapToGrid w:val="0"/>
        <w:spacing w:line="400" w:lineRule="exact"/>
        <w:ind w:firstLine="420" w:firstLineChars="200"/>
        <w:jc w:val="left"/>
        <w:rPr>
          <w:rFonts w:ascii="宋体" w:hAnsi="宋体"/>
          <w:bCs/>
          <w:color w:val="auto"/>
          <w:szCs w:val="21"/>
          <w:highlight w:val="none"/>
        </w:rPr>
      </w:pPr>
      <w:r>
        <w:rPr>
          <w:rFonts w:hint="eastAsia" w:ascii="宋体" w:hAnsi="宋体"/>
          <w:bCs/>
          <w:color w:val="auto"/>
          <w:szCs w:val="21"/>
          <w:highlight w:val="none"/>
        </w:rPr>
        <w:t>15.1质量瑕疵的违约责任</w:t>
      </w:r>
    </w:p>
    <w:p w14:paraId="10903FB8">
      <w:pPr>
        <w:autoSpaceDE w:val="0"/>
        <w:autoSpaceDN w:val="0"/>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乙方提供的产品不符合合同约定的质量标准或存在产品质量缺陷，甲方有权要求乙方根据</w:t>
      </w:r>
      <w:r>
        <w:rPr>
          <w:rFonts w:hint="eastAsia" w:ascii="宋体" w:hAnsi="宋体"/>
          <w:b/>
          <w:color w:val="auto"/>
          <w:szCs w:val="21"/>
          <w:highlight w:val="none"/>
        </w:rPr>
        <w:t>【政府采购合同专用条款】</w:t>
      </w:r>
      <w:r>
        <w:rPr>
          <w:rFonts w:hint="eastAsia" w:ascii="宋体" w:hAnsi="宋体"/>
          <w:bCs/>
          <w:color w:val="auto"/>
          <w:szCs w:val="21"/>
          <w:highlight w:val="none"/>
        </w:rPr>
        <w:t>要求</w:t>
      </w:r>
      <w:r>
        <w:rPr>
          <w:rFonts w:hint="eastAsia" w:ascii="宋体" w:hAnsi="宋体"/>
          <w:color w:val="auto"/>
          <w:szCs w:val="21"/>
          <w:highlight w:val="none"/>
        </w:rPr>
        <w:t>及时修理、重作、更换，并承担由此给甲方造成的损失。</w:t>
      </w:r>
    </w:p>
    <w:p w14:paraId="3DC05E34">
      <w:pPr>
        <w:autoSpaceDE w:val="0"/>
        <w:autoSpaceDN w:val="0"/>
        <w:adjustRightInd w:val="0"/>
        <w:snapToGrid w:val="0"/>
        <w:spacing w:line="400" w:lineRule="exact"/>
        <w:ind w:firstLine="420" w:firstLineChars="200"/>
        <w:jc w:val="left"/>
        <w:rPr>
          <w:rFonts w:ascii="宋体" w:hAnsi="宋体"/>
          <w:bCs/>
          <w:color w:val="auto"/>
          <w:szCs w:val="21"/>
          <w:highlight w:val="none"/>
        </w:rPr>
      </w:pPr>
      <w:r>
        <w:rPr>
          <w:rFonts w:hint="eastAsia" w:ascii="宋体" w:hAnsi="宋体"/>
          <w:bCs/>
          <w:color w:val="auto"/>
          <w:szCs w:val="21"/>
          <w:highlight w:val="none"/>
        </w:rPr>
        <w:t>15.2 迟延交货的违约责任</w:t>
      </w:r>
    </w:p>
    <w:p w14:paraId="3DA483DA">
      <w:pPr>
        <w:autoSpaceDE w:val="0"/>
        <w:autoSpaceDN w:val="0"/>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乙方应按照本合同规定的时间、地点交货和提供相关服务。在履行合同过程中，如果乙方遇到可能影响按时交货和提供服务的情形时，应及时以书面形式将迟延的事实、可能迟延的期限和理由通知甲方。甲方在收到乙方通知后，应尽快对情况进行评价，并确定是否同意延长交货时间或延期提供服务。</w:t>
      </w:r>
    </w:p>
    <w:p w14:paraId="13B7E1BD">
      <w:pPr>
        <w:autoSpaceDE w:val="0"/>
        <w:autoSpaceDN w:val="0"/>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（2）如果乙方没有按照合同规定的时间交货和提供相关服务，甲方有权从货款中扣除误期赔偿费而不影响合同项下的其他补救方法，赔偿费按</w:t>
      </w:r>
      <w:r>
        <w:rPr>
          <w:rFonts w:hint="eastAsia" w:ascii="宋体" w:hAnsi="宋体"/>
          <w:b/>
          <w:color w:val="auto"/>
          <w:szCs w:val="21"/>
          <w:highlight w:val="none"/>
        </w:rPr>
        <w:t>【政府采购合同专用条款】</w:t>
      </w:r>
      <w:r>
        <w:rPr>
          <w:rFonts w:hint="eastAsia" w:ascii="宋体" w:hAnsi="宋体"/>
          <w:color w:val="auto"/>
          <w:szCs w:val="21"/>
          <w:highlight w:val="none"/>
        </w:rPr>
        <w:t>规定执行。如果涉及公共利益，且赔偿金额无法弥补公共利益损失，甲方可要求继续履行或者采取其他补救措施。</w:t>
      </w:r>
    </w:p>
    <w:p w14:paraId="470BC23A">
      <w:pPr>
        <w:autoSpaceDE w:val="0"/>
        <w:autoSpaceDN w:val="0"/>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15.3 迟延支付的违约责任</w:t>
      </w:r>
    </w:p>
    <w:p w14:paraId="23756F81">
      <w:pPr>
        <w:autoSpaceDE w:val="0"/>
        <w:autoSpaceDN w:val="0"/>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甲方存在迟延支付乙方合同款项的，应当承担</w:t>
      </w:r>
      <w:r>
        <w:rPr>
          <w:rFonts w:hint="eastAsia" w:ascii="宋体" w:hAnsi="宋体"/>
          <w:b/>
          <w:bCs/>
          <w:color w:val="auto"/>
          <w:szCs w:val="21"/>
          <w:highlight w:val="none"/>
        </w:rPr>
        <w:t>【政府采购合同专用条款】</w:t>
      </w:r>
      <w:r>
        <w:rPr>
          <w:rFonts w:hint="eastAsia" w:ascii="宋体" w:hAnsi="宋体"/>
          <w:color w:val="auto"/>
          <w:szCs w:val="21"/>
          <w:highlight w:val="none"/>
        </w:rPr>
        <w:t>规定的逾期付款利息。</w:t>
      </w:r>
    </w:p>
    <w:p w14:paraId="056485B5">
      <w:pPr>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bCs/>
          <w:color w:val="auto"/>
          <w:szCs w:val="21"/>
          <w:highlight w:val="none"/>
        </w:rPr>
        <w:t>15.4其他违约责任根据项目实际需要按</w:t>
      </w:r>
      <w:r>
        <w:rPr>
          <w:rFonts w:hint="eastAsia" w:ascii="宋体" w:hAnsi="宋体"/>
          <w:b/>
          <w:bCs/>
          <w:color w:val="auto"/>
          <w:szCs w:val="21"/>
          <w:highlight w:val="none"/>
        </w:rPr>
        <w:t>【政府采购合同专用条款】</w:t>
      </w:r>
      <w:r>
        <w:rPr>
          <w:rFonts w:hint="eastAsia" w:ascii="宋体" w:hAnsi="宋体"/>
          <w:color w:val="auto"/>
          <w:szCs w:val="21"/>
          <w:highlight w:val="none"/>
        </w:rPr>
        <w:t>规定执行。</w:t>
      </w:r>
    </w:p>
    <w:p w14:paraId="7E86D383">
      <w:pPr>
        <w:numPr>
          <w:ilvl w:val="0"/>
          <w:numId w:val="12"/>
        </w:numPr>
        <w:autoSpaceDE w:val="0"/>
        <w:autoSpaceDN w:val="0"/>
        <w:adjustRightInd w:val="0"/>
        <w:snapToGrid w:val="0"/>
        <w:spacing w:line="400" w:lineRule="exact"/>
        <w:jc w:val="left"/>
        <w:rPr>
          <w:rFonts w:ascii="宋体" w:hAnsi="宋体"/>
          <w:b/>
          <w:color w:val="auto"/>
          <w:sz w:val="24"/>
          <w:highlight w:val="none"/>
        </w:rPr>
      </w:pPr>
      <w:r>
        <w:rPr>
          <w:rFonts w:hint="eastAsia" w:ascii="宋体" w:hAnsi="宋体"/>
          <w:b/>
          <w:color w:val="auto"/>
          <w:sz w:val="24"/>
          <w:highlight w:val="none"/>
        </w:rPr>
        <w:t>合同变更、中止与终止</w:t>
      </w:r>
    </w:p>
    <w:p w14:paraId="2AF5724A">
      <w:pPr>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16.1合同的变更</w:t>
      </w:r>
    </w:p>
    <w:p w14:paraId="6FA95937">
      <w:pPr>
        <w:autoSpaceDE w:val="0"/>
        <w:autoSpaceDN w:val="0"/>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政府采购合同履行中，在不改变合同其他条款的前提下，甲方可以在合同价款10%的范围内追加与合同标的相同的货物，并就此与乙方协商一致后签订补充协议。</w:t>
      </w:r>
    </w:p>
    <w:p w14:paraId="6263B36D">
      <w:pPr>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16.2合同的中止</w:t>
      </w:r>
    </w:p>
    <w:p w14:paraId="16EBAAF5">
      <w:pPr>
        <w:autoSpaceDE w:val="0"/>
        <w:autoSpaceDN w:val="0"/>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（1）合同履行过程中因供应商就采购文件、采购过程或结果提起投诉的，甲方认为有必要的，可以中止合同的履行。</w:t>
      </w:r>
    </w:p>
    <w:p w14:paraId="66E4F0AA">
      <w:pPr>
        <w:autoSpaceDE w:val="0"/>
        <w:autoSpaceDN w:val="0"/>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2）合同履行过程中，如果乙方出现以下情形之一的：1．经营状况严重恶化；2．转移财产、抽逃资金，以逃避债务；3．丧失商业信誉；4．有丧失或者可能丧失履约能力的其他情形，乙方有义务及时告知甲方。甲方有权以书面形式通知乙方中止合同并要求乙方在合理期限内消除相关情形或者提供适当担保。乙方提供适当担保的，合同继续履行；乙方在合理期限内未恢复履约能力且未提供适当担保的，视为拒绝继续履约，甲方有权解除合同并要求乙方承担由此给甲方造成的损失。</w:t>
      </w:r>
    </w:p>
    <w:p w14:paraId="1CF31F2D">
      <w:pPr>
        <w:widowControl/>
        <w:autoSpaceDE w:val="0"/>
        <w:autoSpaceDN w:val="0"/>
        <w:adjustRightInd w:val="0"/>
        <w:spacing w:line="400" w:lineRule="exact"/>
        <w:ind w:firstLine="420" w:firstLineChars="200"/>
        <w:rPr>
          <w:rFonts w:ascii="华文楷体" w:hAnsi="华文楷体" w:eastAsia="华文楷体" w:cs="华文楷体"/>
          <w:color w:val="auto"/>
          <w:kern w:val="0"/>
          <w:szCs w:val="21"/>
          <w:highlight w:val="none"/>
        </w:rPr>
      </w:pPr>
      <w:r>
        <w:rPr>
          <w:rFonts w:hint="eastAsia" w:ascii="宋体" w:hAnsi="宋体" w:cs="宋体"/>
          <w:color w:val="auto"/>
          <w:kern w:val="0"/>
          <w:szCs w:val="21"/>
          <w:highlight w:val="none"/>
        </w:rPr>
        <w:t>（3）乙方分立、合并或者变更住所的，应当及时以书面形式告知甲方。乙方没有及时告知甲方，致使合同履行发生困难的，甲方可以中止合同履行并要求乙方承担由此给甲方造成的损失。</w:t>
      </w:r>
    </w:p>
    <w:p w14:paraId="46B36159">
      <w:pPr>
        <w:snapToGrid w:val="0"/>
        <w:spacing w:line="400" w:lineRule="exact"/>
        <w:ind w:firstLine="420" w:firstLineChars="200"/>
        <w:jc w:val="left"/>
        <w:rPr>
          <w:color w:val="auto"/>
          <w:highlight w:val="none"/>
        </w:rPr>
      </w:pPr>
      <w:r>
        <w:rPr>
          <w:rFonts w:hint="eastAsia" w:ascii="宋体" w:hAnsi="宋体"/>
          <w:color w:val="auto"/>
          <w:szCs w:val="21"/>
          <w:highlight w:val="none"/>
        </w:rPr>
        <w:t>（4）甲方不得以行政区划调整、政府换届、机构或者职能调整以及相关责任人更替为由中止合同。</w:t>
      </w:r>
    </w:p>
    <w:p w14:paraId="516DAFF0">
      <w:pPr>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16.3合同的终止</w:t>
      </w:r>
    </w:p>
    <w:p w14:paraId="09CBE3B1">
      <w:pPr>
        <w:autoSpaceDE w:val="0"/>
        <w:autoSpaceDN w:val="0"/>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（1）合同因有效期限届满而终止；</w:t>
      </w:r>
    </w:p>
    <w:p w14:paraId="7D70E471">
      <w:pPr>
        <w:snapToGrid w:val="0"/>
        <w:spacing w:line="400" w:lineRule="exact"/>
        <w:ind w:firstLine="420" w:firstLineChars="200"/>
        <w:rPr>
          <w:rFonts w:ascii="宋体" w:hAnsi="宋体" w:cs="宋体"/>
          <w:color w:val="auto"/>
          <w:szCs w:val="21"/>
          <w:highlight w:val="none"/>
        </w:rPr>
      </w:pPr>
      <w:r>
        <w:rPr>
          <w:rFonts w:hint="eastAsia" w:ascii="宋体" w:hAnsi="宋体"/>
          <w:color w:val="auto"/>
          <w:szCs w:val="21"/>
          <w:highlight w:val="none"/>
        </w:rPr>
        <w:t>（2）乙方未按合同约定履行，构成根本性违约的，甲方有权终止合同，</w:t>
      </w:r>
      <w:r>
        <w:rPr>
          <w:rFonts w:hint="eastAsia" w:ascii="宋体" w:hAnsi="宋体" w:cs="宋体"/>
          <w:color w:val="auto"/>
          <w:szCs w:val="21"/>
          <w:highlight w:val="none"/>
        </w:rPr>
        <w:t>并追究乙方的违约责任</w:t>
      </w:r>
      <w:r>
        <w:rPr>
          <w:rFonts w:hint="eastAsia" w:ascii="宋体" w:hAnsi="宋体"/>
          <w:color w:val="auto"/>
          <w:szCs w:val="21"/>
          <w:highlight w:val="none"/>
        </w:rPr>
        <w:t>。</w:t>
      </w:r>
    </w:p>
    <w:p w14:paraId="01A7089C">
      <w:pPr>
        <w:widowControl/>
        <w:autoSpaceDE w:val="0"/>
        <w:autoSpaceDN w:val="0"/>
        <w:adjustRightInd w:val="0"/>
        <w:spacing w:line="400" w:lineRule="exact"/>
        <w:ind w:firstLine="440" w:firstLineChars="200"/>
        <w:jc w:val="left"/>
        <w:rPr>
          <w:rFonts w:ascii="宋体" w:hAnsi="宋体" w:eastAsia="华文楷体" w:cs="华文楷体"/>
          <w:color w:val="auto"/>
          <w:kern w:val="0"/>
          <w:sz w:val="22"/>
          <w:szCs w:val="21"/>
          <w:highlight w:val="none"/>
        </w:rPr>
      </w:pPr>
      <w:r>
        <w:rPr>
          <w:rFonts w:hint="eastAsia" w:ascii="宋体" w:hAnsi="宋体" w:eastAsia="华文楷体" w:cs="华文楷体"/>
          <w:color w:val="auto"/>
          <w:kern w:val="0"/>
          <w:sz w:val="22"/>
          <w:szCs w:val="21"/>
          <w:highlight w:val="none"/>
        </w:rPr>
        <w:t xml:space="preserve">16.4 </w:t>
      </w:r>
      <w:r>
        <w:rPr>
          <w:rFonts w:hint="eastAsia" w:ascii="宋体" w:hAnsi="宋体"/>
          <w:color w:val="auto"/>
          <w:szCs w:val="21"/>
          <w:highlight w:val="none"/>
        </w:rPr>
        <w:t>涉及国家利益、社会公共利益的情形</w:t>
      </w:r>
    </w:p>
    <w:p w14:paraId="6AE80816">
      <w:pPr>
        <w:widowControl/>
        <w:autoSpaceDE w:val="0"/>
        <w:autoSpaceDN w:val="0"/>
        <w:adjustRightInd w:val="0"/>
        <w:spacing w:line="400" w:lineRule="exact"/>
        <w:ind w:firstLine="420" w:firstLineChars="200"/>
        <w:rPr>
          <w:rFonts w:ascii="华文楷体" w:hAnsi="华文楷体" w:eastAsia="华文楷体" w:cs="华文楷体"/>
          <w:color w:val="auto"/>
          <w:kern w:val="0"/>
          <w:szCs w:val="21"/>
          <w:highlight w:val="none"/>
        </w:rPr>
      </w:pPr>
      <w:r>
        <w:rPr>
          <w:rFonts w:hint="eastAsia" w:ascii="宋体" w:hAnsi="宋体" w:cs="宋体"/>
          <w:color w:val="auto"/>
          <w:kern w:val="0"/>
          <w:szCs w:val="21"/>
          <w:highlight w:val="none"/>
        </w:rPr>
        <w:t>政府采购合同继续履行将损害国家利益和社会公共利益的，双方当事人应当变更、中止或者终止合同。有过错的一方应当承担赔偿责任，双方都有过错的，各自承担相应的责任。</w:t>
      </w:r>
    </w:p>
    <w:p w14:paraId="797F0DB5">
      <w:pPr>
        <w:autoSpaceDE w:val="0"/>
        <w:autoSpaceDN w:val="0"/>
        <w:adjustRightInd w:val="0"/>
        <w:snapToGrid w:val="0"/>
        <w:spacing w:line="400" w:lineRule="exact"/>
        <w:jc w:val="left"/>
        <w:rPr>
          <w:rFonts w:ascii="宋体" w:hAnsi="宋体"/>
          <w:b/>
          <w:bCs/>
          <w:color w:val="auto"/>
          <w:sz w:val="24"/>
          <w:highlight w:val="none"/>
        </w:rPr>
      </w:pPr>
      <w:r>
        <w:rPr>
          <w:rFonts w:hint="eastAsia" w:ascii="宋体" w:hAnsi="宋体"/>
          <w:b/>
          <w:bCs/>
          <w:color w:val="auto"/>
          <w:sz w:val="24"/>
          <w:highlight w:val="none"/>
        </w:rPr>
        <w:t>17. 合同分包</w:t>
      </w:r>
    </w:p>
    <w:p w14:paraId="7F5AD21D">
      <w:pPr>
        <w:autoSpaceDE w:val="0"/>
        <w:autoSpaceDN w:val="0"/>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17.1 乙方不得将合同转包给其他供应商。涉及合同分包的，乙方应根据采购文件和投标（响应）文件规定进行合同分包。</w:t>
      </w:r>
    </w:p>
    <w:p w14:paraId="139A6133">
      <w:pPr>
        <w:autoSpaceDE w:val="0"/>
        <w:autoSpaceDN w:val="0"/>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17.2 乙方执行政府采购政策向中小企业依法分包的，乙方应当按采购文件和投标（响应）文件签订分包意向协议，分包意向协议属于本合同组成部分。</w:t>
      </w:r>
    </w:p>
    <w:p w14:paraId="15CE261D">
      <w:pPr>
        <w:autoSpaceDE w:val="0"/>
        <w:autoSpaceDN w:val="0"/>
        <w:adjustRightInd w:val="0"/>
        <w:snapToGrid w:val="0"/>
        <w:spacing w:line="400" w:lineRule="exact"/>
        <w:jc w:val="left"/>
        <w:rPr>
          <w:rFonts w:ascii="宋体" w:hAnsi="宋体"/>
          <w:b/>
          <w:bCs/>
          <w:color w:val="auto"/>
          <w:sz w:val="24"/>
          <w:highlight w:val="none"/>
        </w:rPr>
      </w:pPr>
      <w:r>
        <w:rPr>
          <w:rFonts w:hint="eastAsia" w:ascii="宋体" w:hAnsi="宋体"/>
          <w:b/>
          <w:bCs/>
          <w:color w:val="auto"/>
          <w:sz w:val="24"/>
          <w:highlight w:val="none"/>
        </w:rPr>
        <w:t>18. 不可抗力</w:t>
      </w:r>
    </w:p>
    <w:p w14:paraId="20C8E486">
      <w:pPr>
        <w:autoSpaceDE w:val="0"/>
        <w:autoSpaceDN w:val="0"/>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18.1 不可抗力是指合同双方不能预见、不能避免且不能克服的客观情况。</w:t>
      </w:r>
    </w:p>
    <w:p w14:paraId="272B12DA">
      <w:pPr>
        <w:autoSpaceDE w:val="0"/>
        <w:autoSpaceDN w:val="0"/>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18.2 任何一方对由于不可抗力造成的部分或全部不能履行合同不承担违约责任。但迟延履行后发生不可抗力的，不能免除责任。</w:t>
      </w:r>
    </w:p>
    <w:p w14:paraId="1AE6313E">
      <w:pPr>
        <w:autoSpaceDE w:val="0"/>
        <w:autoSpaceDN w:val="0"/>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18.3 遇有不可抗力的一方，应及时将事件情况以书面形式告知另一方，并在事件发生后及时向另一方提交合同不能履行或部分不能履行或需要延期履行的详细报告，以及证明不可抗力发生及其持续时间的证据。</w:t>
      </w:r>
    </w:p>
    <w:p w14:paraId="7DCEB8FE">
      <w:pPr>
        <w:autoSpaceDE w:val="0"/>
        <w:autoSpaceDN w:val="0"/>
        <w:adjustRightInd w:val="0"/>
        <w:snapToGrid w:val="0"/>
        <w:spacing w:line="400" w:lineRule="exact"/>
        <w:jc w:val="left"/>
        <w:rPr>
          <w:rFonts w:ascii="宋体" w:hAnsi="宋体"/>
          <w:b/>
          <w:bCs/>
          <w:color w:val="auto"/>
          <w:sz w:val="24"/>
          <w:highlight w:val="none"/>
        </w:rPr>
      </w:pPr>
      <w:r>
        <w:rPr>
          <w:rFonts w:hint="eastAsia" w:ascii="宋体" w:hAnsi="宋体"/>
          <w:b/>
          <w:bCs/>
          <w:color w:val="auto"/>
          <w:sz w:val="24"/>
          <w:highlight w:val="none"/>
        </w:rPr>
        <w:t>19. 解决争议的方法</w:t>
      </w:r>
    </w:p>
    <w:p w14:paraId="77F5EFFC">
      <w:pPr>
        <w:widowControl/>
        <w:autoSpaceDE w:val="0"/>
        <w:autoSpaceDN w:val="0"/>
        <w:adjustRightInd w:val="0"/>
        <w:spacing w:line="400" w:lineRule="exact"/>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19.1 因本合同及合同有关事项发生的争议，由甲乙双方友好协商解决。协商不成时，可以向有关组织申请调解。合同一方或双方不愿调解或调解不成的，可以通过仲裁或诉讼的方式解决争议。</w:t>
      </w:r>
    </w:p>
    <w:p w14:paraId="69F08D8A">
      <w:pPr>
        <w:widowControl/>
        <w:autoSpaceDE w:val="0"/>
        <w:autoSpaceDN w:val="0"/>
        <w:adjustRightInd w:val="0"/>
        <w:spacing w:line="400" w:lineRule="exact"/>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19.2 选择仲裁的，应在</w:t>
      </w:r>
      <w:r>
        <w:rPr>
          <w:rFonts w:hint="eastAsia" w:ascii="宋体" w:hAnsi="宋体" w:cs="宋体"/>
          <w:b/>
          <w:bCs/>
          <w:color w:val="auto"/>
          <w:kern w:val="0"/>
          <w:szCs w:val="21"/>
          <w:highlight w:val="none"/>
        </w:rPr>
        <w:t>【政府采购合同专用条款】</w:t>
      </w:r>
      <w:r>
        <w:rPr>
          <w:rFonts w:hint="eastAsia" w:ascii="宋体" w:hAnsi="宋体" w:cs="宋体"/>
          <w:color w:val="auto"/>
          <w:kern w:val="0"/>
          <w:szCs w:val="21"/>
          <w:highlight w:val="none"/>
        </w:rPr>
        <w:t>中明确仲裁机构及仲裁地；通过诉讼方式解决的，可以在</w:t>
      </w:r>
      <w:r>
        <w:rPr>
          <w:rFonts w:hint="eastAsia" w:ascii="宋体" w:hAnsi="宋体" w:cs="宋体"/>
          <w:b/>
          <w:bCs/>
          <w:color w:val="auto"/>
          <w:kern w:val="0"/>
          <w:szCs w:val="21"/>
          <w:highlight w:val="none"/>
        </w:rPr>
        <w:t>【政府采购合同专用条款】</w:t>
      </w:r>
      <w:r>
        <w:rPr>
          <w:rFonts w:hint="eastAsia" w:ascii="宋体" w:hAnsi="宋体" w:cs="宋体"/>
          <w:color w:val="auto"/>
          <w:kern w:val="0"/>
          <w:szCs w:val="21"/>
          <w:highlight w:val="none"/>
        </w:rPr>
        <w:t>中进一步约定选择与争议有实际联系的地点的人民法院管辖，但管辖法院的约定不得违反级别管辖和专属管辖的规定。</w:t>
      </w:r>
    </w:p>
    <w:p w14:paraId="5BB777E9">
      <w:pPr>
        <w:widowControl/>
        <w:autoSpaceDE w:val="0"/>
        <w:autoSpaceDN w:val="0"/>
        <w:adjustRightInd w:val="0"/>
        <w:spacing w:line="400" w:lineRule="exact"/>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19.3 如甲乙双方有争议的事项不影响合同其他部分的履行，在争议解决期间，合同其他部分应当继续履行。</w:t>
      </w:r>
    </w:p>
    <w:p w14:paraId="3A5CFDEE">
      <w:pPr>
        <w:autoSpaceDE w:val="0"/>
        <w:autoSpaceDN w:val="0"/>
        <w:adjustRightInd w:val="0"/>
        <w:snapToGrid w:val="0"/>
        <w:spacing w:line="400" w:lineRule="exact"/>
        <w:jc w:val="left"/>
        <w:rPr>
          <w:rFonts w:ascii="宋体" w:hAnsi="宋体"/>
          <w:color w:val="auto"/>
          <w:sz w:val="24"/>
          <w:highlight w:val="none"/>
        </w:rPr>
      </w:pPr>
      <w:r>
        <w:rPr>
          <w:rFonts w:hint="eastAsia" w:ascii="宋体" w:hAnsi="宋体"/>
          <w:b/>
          <w:color w:val="auto"/>
          <w:sz w:val="24"/>
          <w:highlight w:val="none"/>
        </w:rPr>
        <w:t>20. 政府采购政策</w:t>
      </w:r>
    </w:p>
    <w:p w14:paraId="328EEF1F">
      <w:pPr>
        <w:autoSpaceDE w:val="0"/>
        <w:autoSpaceDN w:val="0"/>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 xml:space="preserve">20.1 </w:t>
      </w:r>
      <w:r>
        <w:rPr>
          <w:rFonts w:hint="eastAsia" w:ascii="宋体" w:hAnsi="宋体" w:cs="宋体"/>
          <w:color w:val="auto"/>
          <w:highlight w:val="none"/>
          <w:lang w:val="en-GB"/>
        </w:rPr>
        <w:t>本合同应当按照规定执行政府采购政策。</w:t>
      </w:r>
    </w:p>
    <w:p w14:paraId="4CE05404">
      <w:pPr>
        <w:autoSpaceDE w:val="0"/>
        <w:autoSpaceDN w:val="0"/>
        <w:adjustRightInd w:val="0"/>
        <w:snapToGrid w:val="0"/>
        <w:spacing w:line="400" w:lineRule="exact"/>
        <w:ind w:firstLine="420" w:firstLineChars="200"/>
        <w:jc w:val="left"/>
        <w:rPr>
          <w:rFonts w:ascii="宋体" w:hAnsi="宋体"/>
          <w:color w:val="auto"/>
          <w:szCs w:val="21"/>
          <w:highlight w:val="none"/>
        </w:rPr>
      </w:pPr>
      <w:r>
        <w:rPr>
          <w:rFonts w:ascii="宋体" w:hAnsi="宋体"/>
          <w:color w:val="auto"/>
          <w:szCs w:val="21"/>
          <w:highlight w:val="none"/>
        </w:rPr>
        <w:t>2</w:t>
      </w:r>
      <w:r>
        <w:rPr>
          <w:rFonts w:hint="eastAsia" w:ascii="宋体" w:hAnsi="宋体"/>
          <w:color w:val="auto"/>
          <w:szCs w:val="21"/>
          <w:highlight w:val="none"/>
        </w:rPr>
        <w:t>0.2 本合同依法执行政府采购政策的方式和内容，属于合同履约验收的范围。</w:t>
      </w:r>
      <w:r>
        <w:rPr>
          <w:rFonts w:hint="eastAsia" w:ascii="宋体" w:hAnsi="宋体" w:cs="宋体"/>
          <w:color w:val="auto"/>
          <w:highlight w:val="none"/>
        </w:rPr>
        <w:t>甲乙双方</w:t>
      </w:r>
      <w:r>
        <w:rPr>
          <w:rFonts w:hint="eastAsia" w:ascii="宋体" w:hAnsi="宋体" w:cs="宋体"/>
          <w:color w:val="auto"/>
          <w:highlight w:val="none"/>
          <w:lang w:val="en-GB"/>
        </w:rPr>
        <w:t>未按规定要求执行政府采购政策造成损失的</w:t>
      </w:r>
      <w:r>
        <w:rPr>
          <w:rFonts w:hint="eastAsia" w:ascii="宋体" w:hAnsi="宋体"/>
          <w:color w:val="auto"/>
          <w:szCs w:val="21"/>
          <w:highlight w:val="none"/>
        </w:rPr>
        <w:t>，有过错的一方应当承担赔偿责任，双方都有过错的，各自承担相应的责任。</w:t>
      </w:r>
    </w:p>
    <w:p w14:paraId="4926C7EB">
      <w:pPr>
        <w:autoSpaceDE w:val="0"/>
        <w:autoSpaceDN w:val="0"/>
        <w:adjustRightInd w:val="0"/>
        <w:snapToGrid w:val="0"/>
        <w:spacing w:line="400" w:lineRule="exact"/>
        <w:ind w:firstLine="420" w:firstLineChars="200"/>
        <w:jc w:val="left"/>
        <w:rPr>
          <w:rFonts w:ascii="宋体" w:hAnsi="宋体"/>
          <w:color w:val="auto"/>
          <w:szCs w:val="21"/>
          <w:highlight w:val="none"/>
        </w:rPr>
      </w:pPr>
      <w:r>
        <w:rPr>
          <w:rFonts w:ascii="宋体" w:hAnsi="宋体"/>
          <w:color w:val="auto"/>
          <w:szCs w:val="21"/>
          <w:highlight w:val="none"/>
        </w:rPr>
        <w:t>2</w:t>
      </w:r>
      <w:r>
        <w:rPr>
          <w:rFonts w:hint="eastAsia" w:ascii="宋体" w:hAnsi="宋体"/>
          <w:color w:val="auto"/>
          <w:szCs w:val="21"/>
          <w:highlight w:val="none"/>
        </w:rPr>
        <w:t>0.3 对于为落实中小企业支持政策，通过采购项目整体预留、设置采购包专门预留、要求以联合体形式参加或者合同分包等措施签订的采购合同，应当明确标注本合同为中小企业预留合同。其中，要求以联合体形式参加采购活动或者合同分包的，须将联合协议或者分包意向协议作为采购合同的组成部分。</w:t>
      </w:r>
    </w:p>
    <w:p w14:paraId="4A1FF41A">
      <w:pPr>
        <w:autoSpaceDE w:val="0"/>
        <w:autoSpaceDN w:val="0"/>
        <w:adjustRightInd w:val="0"/>
        <w:snapToGrid w:val="0"/>
        <w:spacing w:line="400" w:lineRule="exact"/>
        <w:jc w:val="left"/>
        <w:rPr>
          <w:rFonts w:ascii="宋体" w:hAnsi="宋体"/>
          <w:b/>
          <w:color w:val="auto"/>
          <w:sz w:val="24"/>
          <w:highlight w:val="none"/>
        </w:rPr>
      </w:pPr>
      <w:r>
        <w:rPr>
          <w:rFonts w:hint="eastAsia" w:ascii="宋体" w:hAnsi="宋体"/>
          <w:b/>
          <w:color w:val="auto"/>
          <w:sz w:val="24"/>
          <w:highlight w:val="none"/>
        </w:rPr>
        <w:t>21. 法律适用</w:t>
      </w:r>
    </w:p>
    <w:p w14:paraId="2A71EB57">
      <w:pPr>
        <w:widowControl/>
        <w:autoSpaceDE w:val="0"/>
        <w:autoSpaceDN w:val="0"/>
        <w:adjustRightInd w:val="0"/>
        <w:spacing w:line="400" w:lineRule="exact"/>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21.1 本合同的订立、生效、解释、履行及与本合同有关的争议解决，均适用法律、行政法规。</w:t>
      </w:r>
    </w:p>
    <w:p w14:paraId="5A556DA9">
      <w:pPr>
        <w:widowControl/>
        <w:autoSpaceDE w:val="0"/>
        <w:autoSpaceDN w:val="0"/>
        <w:adjustRightInd w:val="0"/>
        <w:spacing w:line="400" w:lineRule="exact"/>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21.2 本合同条款与法律、行政法规的强制性规定不一致的，双方当事人应按照法律、行政法规的强制性规定修改本合同的相关条款。</w:t>
      </w:r>
    </w:p>
    <w:p w14:paraId="65C0B6D6">
      <w:pPr>
        <w:autoSpaceDE w:val="0"/>
        <w:autoSpaceDN w:val="0"/>
        <w:adjustRightInd w:val="0"/>
        <w:snapToGrid w:val="0"/>
        <w:spacing w:line="400" w:lineRule="exact"/>
        <w:jc w:val="left"/>
        <w:rPr>
          <w:rFonts w:ascii="宋体" w:hAnsi="宋体"/>
          <w:b/>
          <w:color w:val="auto"/>
          <w:sz w:val="24"/>
          <w:highlight w:val="none"/>
        </w:rPr>
      </w:pPr>
      <w:r>
        <w:rPr>
          <w:rFonts w:hint="eastAsia" w:ascii="宋体" w:hAnsi="宋体"/>
          <w:b/>
          <w:color w:val="auto"/>
          <w:sz w:val="24"/>
          <w:highlight w:val="none"/>
        </w:rPr>
        <w:t>22. 通知</w:t>
      </w:r>
    </w:p>
    <w:p w14:paraId="715C278C">
      <w:pPr>
        <w:widowControl/>
        <w:autoSpaceDE w:val="0"/>
        <w:autoSpaceDN w:val="0"/>
        <w:adjustRightInd w:val="0"/>
        <w:spacing w:line="400" w:lineRule="exact"/>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22.1 本合同任何一方向对方发出的通知、信件、数据电文等，应当发送至本合同第一部分《政府采购合同协议书》所约定的通讯地址、联系人、联系电话或电子邮箱。</w:t>
      </w:r>
    </w:p>
    <w:p w14:paraId="1C5CD161">
      <w:pPr>
        <w:widowControl/>
        <w:autoSpaceDE w:val="0"/>
        <w:autoSpaceDN w:val="0"/>
        <w:adjustRightInd w:val="0"/>
        <w:spacing w:line="400" w:lineRule="exact"/>
        <w:rPr>
          <w:rFonts w:ascii="华文楷体" w:hAnsi="华文楷体" w:eastAsia="华文楷体" w:cs="华文楷体"/>
          <w:color w:val="auto"/>
          <w:kern w:val="0"/>
          <w:szCs w:val="21"/>
          <w:highlight w:val="none"/>
        </w:rPr>
      </w:pPr>
      <w:r>
        <w:rPr>
          <w:rFonts w:hint="eastAsia" w:ascii="宋体" w:hAnsi="宋体" w:cs="宋体"/>
          <w:color w:val="auto"/>
          <w:kern w:val="0"/>
          <w:szCs w:val="21"/>
          <w:highlight w:val="none"/>
        </w:rPr>
        <w:t xml:space="preserve">    22.2 一方当事人变更名称、住所、联系人、联系电话或电子邮箱等信息的，应当在变更后3日内及时书面通知对方，对方实际收到变更通知前的送达仍为有效送达。</w:t>
      </w:r>
    </w:p>
    <w:p w14:paraId="2EFBC11A">
      <w:pPr>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22.3本合同一方给另一方的通知均应采用书面形式，传真或快递送到本合同中规定的对方的地址和办理签收手续。</w:t>
      </w:r>
    </w:p>
    <w:p w14:paraId="0DF9D285">
      <w:pPr>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22.4通知以送达之日或通知书中规定的生效之日起生效，两者中以较迟之日为准。</w:t>
      </w:r>
    </w:p>
    <w:p w14:paraId="36FE84FC">
      <w:pPr>
        <w:numPr>
          <w:ilvl w:val="0"/>
          <w:numId w:val="13"/>
        </w:numPr>
        <w:adjustRightInd w:val="0"/>
        <w:snapToGrid w:val="0"/>
        <w:spacing w:line="400" w:lineRule="exact"/>
        <w:jc w:val="left"/>
        <w:rPr>
          <w:rFonts w:ascii="宋体" w:hAnsi="宋体"/>
          <w:b/>
          <w:bCs/>
          <w:color w:val="auto"/>
          <w:sz w:val="24"/>
          <w:highlight w:val="none"/>
        </w:rPr>
      </w:pPr>
      <w:r>
        <w:rPr>
          <w:rFonts w:hint="eastAsia" w:ascii="宋体" w:hAnsi="宋体"/>
          <w:b/>
          <w:bCs/>
          <w:color w:val="auto"/>
          <w:sz w:val="24"/>
          <w:highlight w:val="none"/>
        </w:rPr>
        <w:t>合同未尽事项</w:t>
      </w:r>
    </w:p>
    <w:p w14:paraId="3A47DA08">
      <w:pPr>
        <w:adjustRightInd w:val="0"/>
        <w:snapToGrid w:val="0"/>
        <w:spacing w:line="400" w:lineRule="exact"/>
        <w:ind w:firstLine="420" w:firstLineChars="200"/>
        <w:jc w:val="left"/>
        <w:rPr>
          <w:rFonts w:ascii="宋体" w:hAnsi="宋体"/>
          <w:bCs/>
          <w:color w:val="auto"/>
          <w:szCs w:val="21"/>
          <w:highlight w:val="none"/>
        </w:rPr>
      </w:pPr>
      <w:r>
        <w:rPr>
          <w:rFonts w:hint="eastAsia" w:ascii="宋体" w:hAnsi="宋体"/>
          <w:bCs/>
          <w:color w:val="auto"/>
          <w:szCs w:val="21"/>
          <w:highlight w:val="none"/>
        </w:rPr>
        <w:t>23.1合同未尽事项见</w:t>
      </w:r>
      <w:r>
        <w:rPr>
          <w:rFonts w:hint="eastAsia" w:ascii="宋体" w:hAnsi="宋体"/>
          <w:b/>
          <w:color w:val="auto"/>
          <w:szCs w:val="21"/>
          <w:highlight w:val="none"/>
        </w:rPr>
        <w:t>【政府采购合同专用条款】</w:t>
      </w:r>
      <w:r>
        <w:rPr>
          <w:rFonts w:hint="eastAsia" w:ascii="宋体" w:hAnsi="宋体"/>
          <w:bCs/>
          <w:color w:val="auto"/>
          <w:szCs w:val="21"/>
          <w:highlight w:val="none"/>
        </w:rPr>
        <w:t>。</w:t>
      </w:r>
    </w:p>
    <w:p w14:paraId="526DC2F2">
      <w:pPr>
        <w:adjustRightInd w:val="0"/>
        <w:snapToGrid w:val="0"/>
        <w:spacing w:line="400" w:lineRule="exact"/>
        <w:jc w:val="left"/>
        <w:rPr>
          <w:rFonts w:ascii="黑体" w:hAnsi="华文中宋" w:eastAsia="黑体"/>
          <w:color w:val="auto"/>
          <w:sz w:val="28"/>
          <w:szCs w:val="28"/>
          <w:highlight w:val="none"/>
        </w:rPr>
      </w:pPr>
      <w:r>
        <w:rPr>
          <w:rFonts w:hint="eastAsia" w:ascii="宋体" w:hAnsi="宋体"/>
          <w:bCs/>
          <w:color w:val="auto"/>
          <w:szCs w:val="21"/>
          <w:highlight w:val="none"/>
        </w:rPr>
        <w:t xml:space="preserve">    23.2 合同附件与合同正文具有同等的法律效力。</w:t>
      </w:r>
    </w:p>
    <w:p w14:paraId="1CF3CB23">
      <w:pPr>
        <w:adjustRightInd w:val="0"/>
        <w:snapToGrid w:val="0"/>
        <w:jc w:val="center"/>
        <w:rPr>
          <w:rFonts w:ascii="黑体" w:hAnsi="华文中宋" w:eastAsia="黑体"/>
          <w:color w:val="auto"/>
          <w:sz w:val="28"/>
          <w:szCs w:val="28"/>
          <w:highlight w:val="none"/>
        </w:rPr>
      </w:pPr>
      <w:r>
        <w:rPr>
          <w:rFonts w:hint="eastAsia" w:ascii="黑体" w:hAnsi="华文中宋" w:eastAsia="黑体"/>
          <w:color w:val="auto"/>
          <w:sz w:val="28"/>
          <w:szCs w:val="28"/>
          <w:highlight w:val="none"/>
        </w:rPr>
        <w:br w:type="page"/>
      </w:r>
      <w:r>
        <w:rPr>
          <w:rFonts w:hint="eastAsia" w:ascii="黑体" w:hAnsi="华文中宋" w:eastAsia="黑体"/>
          <w:color w:val="auto"/>
          <w:sz w:val="28"/>
          <w:szCs w:val="28"/>
          <w:highlight w:val="none"/>
        </w:rPr>
        <w:t>第三节 政府采购合同专用条款</w:t>
      </w:r>
    </w:p>
    <w:tbl>
      <w:tblPr>
        <w:tblStyle w:val="48"/>
        <w:tblW w:w="8519" w:type="dxa"/>
        <w:jc w:val="cente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607"/>
        <w:gridCol w:w="1742"/>
        <w:gridCol w:w="5170"/>
      </w:tblGrid>
      <w:tr w14:paraId="4905578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jc w:val="center"/>
        </w:trPr>
        <w:tc>
          <w:tcPr>
            <w:tcW w:w="1607" w:type="dxa"/>
            <w:noWrap w:val="0"/>
            <w:vAlign w:val="center"/>
          </w:tcPr>
          <w:p w14:paraId="3CAB63E7">
            <w:pPr>
              <w:keepNext w:val="0"/>
              <w:keepLines w:val="0"/>
              <w:suppressLineNumbers w:val="0"/>
              <w:adjustRightInd w:val="0"/>
              <w:snapToGrid w:val="0"/>
              <w:spacing w:before="0" w:beforeAutospacing="0" w:after="0" w:afterAutospacing="0"/>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第二节</w:t>
            </w:r>
          </w:p>
          <w:p w14:paraId="062CD48D">
            <w:pPr>
              <w:keepNext w:val="0"/>
              <w:keepLines w:val="0"/>
              <w:suppressLineNumbers w:val="0"/>
              <w:adjustRightInd w:val="0"/>
              <w:snapToGrid w:val="0"/>
              <w:spacing w:before="0" w:beforeAutospacing="0" w:after="0" w:afterAutospacing="0"/>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第1.2（6）项</w:t>
            </w:r>
          </w:p>
        </w:tc>
        <w:tc>
          <w:tcPr>
            <w:tcW w:w="1742" w:type="dxa"/>
            <w:noWrap w:val="0"/>
            <w:vAlign w:val="center"/>
          </w:tcPr>
          <w:p w14:paraId="1F1A53B3">
            <w:pPr>
              <w:keepNext w:val="0"/>
              <w:keepLines w:val="0"/>
              <w:suppressLineNumbers w:val="0"/>
              <w:adjustRightInd w:val="0"/>
              <w:snapToGrid w:val="0"/>
              <w:spacing w:before="0" w:beforeAutospacing="0" w:after="0" w:afterAutospacing="0"/>
              <w:ind w:left="0" w:right="0"/>
              <w:jc w:val="left"/>
              <w:rPr>
                <w:rFonts w:hint="default" w:ascii="宋体" w:hAnsi="宋体" w:cs="Times New Roman"/>
                <w:color w:val="auto"/>
                <w:szCs w:val="21"/>
                <w:highlight w:val="none"/>
              </w:rPr>
            </w:pPr>
            <w:r>
              <w:rPr>
                <w:rFonts w:hint="eastAsia" w:ascii="宋体" w:hAnsi="宋体" w:cs="Times New Roman"/>
                <w:color w:val="auto"/>
                <w:szCs w:val="21"/>
                <w:highlight w:val="none"/>
              </w:rPr>
              <w:t>联合体具体要求</w:t>
            </w:r>
          </w:p>
        </w:tc>
        <w:tc>
          <w:tcPr>
            <w:tcW w:w="5170" w:type="dxa"/>
            <w:noWrap w:val="0"/>
            <w:vAlign w:val="center"/>
          </w:tcPr>
          <w:p w14:paraId="503D4FC8">
            <w:pPr>
              <w:keepNext w:val="0"/>
              <w:keepLines w:val="0"/>
              <w:suppressLineNumbers w:val="0"/>
              <w:adjustRightInd w:val="0"/>
              <w:snapToGrid w:val="0"/>
              <w:spacing w:before="0" w:beforeAutospacing="0" w:after="0" w:afterAutospacing="0"/>
              <w:ind w:left="0" w:right="0"/>
              <w:jc w:val="left"/>
              <w:rPr>
                <w:rFonts w:hint="default" w:ascii="宋体" w:hAnsi="宋体" w:cs="Times New Roman"/>
                <w:color w:val="auto"/>
                <w:szCs w:val="21"/>
                <w:highlight w:val="none"/>
              </w:rPr>
            </w:pPr>
            <w:r>
              <w:rPr>
                <w:rFonts w:hint="eastAsia" w:ascii="宋体" w:hAnsi="宋体" w:cs="Times New Roman"/>
                <w:color w:val="auto"/>
                <w:szCs w:val="21"/>
                <w:highlight w:val="none"/>
              </w:rPr>
              <w:t>本项目不接受联合体</w:t>
            </w:r>
          </w:p>
        </w:tc>
      </w:tr>
      <w:tr w14:paraId="511B06C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04" w:hRule="atLeast"/>
          <w:jc w:val="center"/>
        </w:trPr>
        <w:tc>
          <w:tcPr>
            <w:tcW w:w="1607" w:type="dxa"/>
            <w:noWrap w:val="0"/>
            <w:vAlign w:val="center"/>
          </w:tcPr>
          <w:p w14:paraId="390A9BEB">
            <w:pPr>
              <w:keepNext w:val="0"/>
              <w:keepLines w:val="0"/>
              <w:suppressLineNumbers w:val="0"/>
              <w:adjustRightInd w:val="0"/>
              <w:snapToGrid w:val="0"/>
              <w:spacing w:before="0" w:beforeAutospacing="0" w:after="0" w:afterAutospacing="0"/>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第二节</w:t>
            </w:r>
          </w:p>
          <w:p w14:paraId="57902508">
            <w:pPr>
              <w:keepNext w:val="0"/>
              <w:keepLines w:val="0"/>
              <w:suppressLineNumbers w:val="0"/>
              <w:adjustRightInd w:val="0"/>
              <w:snapToGrid w:val="0"/>
              <w:spacing w:before="0" w:beforeAutospacing="0" w:after="0" w:afterAutospacing="0"/>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第1.2（7）项</w:t>
            </w:r>
          </w:p>
        </w:tc>
        <w:tc>
          <w:tcPr>
            <w:tcW w:w="1742" w:type="dxa"/>
            <w:noWrap w:val="0"/>
            <w:vAlign w:val="center"/>
          </w:tcPr>
          <w:p w14:paraId="21B4A87B">
            <w:pPr>
              <w:keepNext w:val="0"/>
              <w:keepLines w:val="0"/>
              <w:suppressLineNumbers w:val="0"/>
              <w:adjustRightInd w:val="0"/>
              <w:snapToGrid w:val="0"/>
              <w:spacing w:before="0" w:beforeAutospacing="0" w:after="0" w:afterAutospacing="0"/>
              <w:ind w:left="0" w:right="0"/>
              <w:jc w:val="left"/>
              <w:rPr>
                <w:rFonts w:hint="default" w:ascii="宋体" w:hAnsi="宋体" w:cs="Times New Roman"/>
                <w:color w:val="auto"/>
                <w:szCs w:val="21"/>
                <w:highlight w:val="none"/>
              </w:rPr>
            </w:pPr>
            <w:r>
              <w:rPr>
                <w:rFonts w:hint="eastAsia" w:ascii="宋体" w:hAnsi="宋体" w:cs="Times New Roman"/>
                <w:color w:val="auto"/>
                <w:szCs w:val="21"/>
                <w:highlight w:val="none"/>
              </w:rPr>
              <w:t>其他术语解释</w:t>
            </w:r>
          </w:p>
        </w:tc>
        <w:tc>
          <w:tcPr>
            <w:tcW w:w="5170" w:type="dxa"/>
            <w:noWrap w:val="0"/>
            <w:vAlign w:val="center"/>
          </w:tcPr>
          <w:p w14:paraId="6DF0EC75">
            <w:pPr>
              <w:keepNext w:val="0"/>
              <w:keepLines w:val="0"/>
              <w:suppressLineNumbers w:val="0"/>
              <w:adjustRightInd w:val="0"/>
              <w:snapToGrid w:val="0"/>
              <w:spacing w:before="0" w:beforeAutospacing="0" w:after="0" w:afterAutospacing="0"/>
              <w:ind w:left="0" w:right="0"/>
              <w:jc w:val="left"/>
              <w:rPr>
                <w:rFonts w:hint="default" w:ascii="宋体" w:hAnsi="宋体" w:cs="Times New Roman"/>
                <w:color w:val="auto"/>
                <w:szCs w:val="21"/>
                <w:highlight w:val="none"/>
              </w:rPr>
            </w:pPr>
            <w:r>
              <w:rPr>
                <w:rFonts w:hint="eastAsia" w:ascii="宋体" w:hAnsi="宋体" w:cs="Times New Roman"/>
                <w:color w:val="auto"/>
                <w:szCs w:val="21"/>
                <w:highlight w:val="none"/>
              </w:rPr>
              <w:t xml:space="preserve"> </w:t>
            </w:r>
          </w:p>
        </w:tc>
      </w:tr>
      <w:tr w14:paraId="75C9218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jc w:val="center"/>
        </w:trPr>
        <w:tc>
          <w:tcPr>
            <w:tcW w:w="1607" w:type="dxa"/>
            <w:noWrap w:val="0"/>
            <w:vAlign w:val="center"/>
          </w:tcPr>
          <w:p w14:paraId="17C4764F">
            <w:pPr>
              <w:keepNext w:val="0"/>
              <w:keepLines w:val="0"/>
              <w:suppressLineNumbers w:val="0"/>
              <w:adjustRightInd w:val="0"/>
              <w:snapToGrid w:val="0"/>
              <w:spacing w:before="0" w:beforeAutospacing="0" w:after="0" w:afterAutospacing="0"/>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第二节</w:t>
            </w:r>
          </w:p>
          <w:p w14:paraId="17566CD3">
            <w:pPr>
              <w:keepNext w:val="0"/>
              <w:keepLines w:val="0"/>
              <w:suppressLineNumbers w:val="0"/>
              <w:adjustRightInd w:val="0"/>
              <w:snapToGrid w:val="0"/>
              <w:spacing w:before="0" w:beforeAutospacing="0" w:after="0" w:afterAutospacing="0"/>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第4.4款</w:t>
            </w:r>
          </w:p>
        </w:tc>
        <w:tc>
          <w:tcPr>
            <w:tcW w:w="1742" w:type="dxa"/>
            <w:noWrap w:val="0"/>
            <w:vAlign w:val="center"/>
          </w:tcPr>
          <w:p w14:paraId="7B867C44">
            <w:pPr>
              <w:keepNext w:val="0"/>
              <w:keepLines w:val="0"/>
              <w:suppressLineNumbers w:val="0"/>
              <w:adjustRightInd w:val="0"/>
              <w:snapToGrid w:val="0"/>
              <w:spacing w:before="0" w:beforeAutospacing="0" w:after="0" w:afterAutospacing="0"/>
              <w:ind w:left="0" w:right="0"/>
              <w:jc w:val="left"/>
              <w:rPr>
                <w:rFonts w:hint="default" w:ascii="宋体" w:hAnsi="宋体" w:cs="Times New Roman"/>
                <w:color w:val="auto"/>
                <w:szCs w:val="21"/>
                <w:highlight w:val="none"/>
              </w:rPr>
            </w:pPr>
            <w:r>
              <w:rPr>
                <w:rFonts w:hint="eastAsia" w:ascii="宋体" w:hAnsi="宋体" w:cs="Times New Roman"/>
                <w:color w:val="auto"/>
                <w:szCs w:val="21"/>
                <w:highlight w:val="none"/>
              </w:rPr>
              <w:t>履约验收中甲方提出异议或作出说明的期限</w:t>
            </w:r>
          </w:p>
        </w:tc>
        <w:tc>
          <w:tcPr>
            <w:tcW w:w="5170" w:type="dxa"/>
            <w:noWrap w:val="0"/>
            <w:vAlign w:val="center"/>
          </w:tcPr>
          <w:p w14:paraId="04A62D1F">
            <w:pPr>
              <w:keepNext w:val="0"/>
              <w:keepLines w:val="0"/>
              <w:suppressLineNumbers w:val="0"/>
              <w:adjustRightInd w:val="0"/>
              <w:snapToGrid w:val="0"/>
              <w:spacing w:before="0" w:beforeAutospacing="0" w:after="0" w:afterAutospacing="0"/>
              <w:ind w:left="0" w:right="0"/>
              <w:jc w:val="left"/>
              <w:rPr>
                <w:rFonts w:hint="default" w:ascii="宋体" w:hAnsi="宋体" w:cs="Times New Roman"/>
                <w:color w:val="auto"/>
                <w:szCs w:val="21"/>
                <w:highlight w:val="none"/>
              </w:rPr>
            </w:pPr>
            <w:r>
              <w:rPr>
                <w:rFonts w:hint="eastAsia" w:ascii="宋体" w:hAnsi="宋体" w:cs="Times New Roman"/>
                <w:color w:val="auto"/>
                <w:szCs w:val="21"/>
                <w:highlight w:val="none"/>
              </w:rPr>
              <w:t>60个日历天</w:t>
            </w:r>
          </w:p>
        </w:tc>
      </w:tr>
      <w:tr w14:paraId="63C72FA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jc w:val="center"/>
        </w:trPr>
        <w:tc>
          <w:tcPr>
            <w:tcW w:w="1607" w:type="dxa"/>
            <w:noWrap w:val="0"/>
            <w:vAlign w:val="center"/>
          </w:tcPr>
          <w:p w14:paraId="7E6E4946">
            <w:pPr>
              <w:keepNext w:val="0"/>
              <w:keepLines w:val="0"/>
              <w:suppressLineNumbers w:val="0"/>
              <w:adjustRightInd w:val="0"/>
              <w:snapToGrid w:val="0"/>
              <w:spacing w:before="0" w:beforeAutospacing="0" w:after="0" w:afterAutospacing="0"/>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第二节</w:t>
            </w:r>
          </w:p>
          <w:p w14:paraId="65D63E7D">
            <w:pPr>
              <w:keepNext w:val="0"/>
              <w:keepLines w:val="0"/>
              <w:suppressLineNumbers w:val="0"/>
              <w:adjustRightInd w:val="0"/>
              <w:snapToGrid w:val="0"/>
              <w:spacing w:before="0" w:beforeAutospacing="0" w:after="0" w:afterAutospacing="0"/>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第4.6款</w:t>
            </w:r>
          </w:p>
        </w:tc>
        <w:tc>
          <w:tcPr>
            <w:tcW w:w="1742" w:type="dxa"/>
            <w:noWrap w:val="0"/>
            <w:vAlign w:val="center"/>
          </w:tcPr>
          <w:p w14:paraId="452C8B37">
            <w:pPr>
              <w:keepNext w:val="0"/>
              <w:keepLines w:val="0"/>
              <w:suppressLineNumbers w:val="0"/>
              <w:adjustRightInd w:val="0"/>
              <w:snapToGrid w:val="0"/>
              <w:spacing w:before="0" w:beforeAutospacing="0" w:after="0" w:afterAutospacing="0"/>
              <w:ind w:left="0" w:right="0"/>
              <w:jc w:val="left"/>
              <w:rPr>
                <w:rFonts w:hint="default" w:ascii="宋体" w:hAnsi="宋体" w:cs="Times New Roman"/>
                <w:color w:val="auto"/>
                <w:szCs w:val="21"/>
                <w:highlight w:val="none"/>
              </w:rPr>
            </w:pPr>
            <w:r>
              <w:rPr>
                <w:rFonts w:hint="eastAsia" w:ascii="宋体" w:hAnsi="宋体" w:cs="Times New Roman"/>
                <w:color w:val="auto"/>
                <w:szCs w:val="21"/>
                <w:highlight w:val="none"/>
              </w:rPr>
              <w:t>约定甲方承担的其他义务和责任</w:t>
            </w:r>
          </w:p>
        </w:tc>
        <w:tc>
          <w:tcPr>
            <w:tcW w:w="5170" w:type="dxa"/>
            <w:noWrap w:val="0"/>
            <w:vAlign w:val="center"/>
          </w:tcPr>
          <w:p w14:paraId="4001704F">
            <w:pPr>
              <w:keepNext w:val="0"/>
              <w:keepLines w:val="0"/>
              <w:suppressLineNumbers w:val="0"/>
              <w:adjustRightInd w:val="0"/>
              <w:snapToGrid w:val="0"/>
              <w:spacing w:before="0" w:beforeAutospacing="0" w:after="0" w:afterAutospacing="0"/>
              <w:ind w:left="0" w:right="0"/>
              <w:jc w:val="left"/>
              <w:rPr>
                <w:rFonts w:hint="default" w:ascii="宋体" w:hAnsi="宋体" w:cs="Times New Roman"/>
                <w:color w:val="auto"/>
                <w:szCs w:val="21"/>
                <w:highlight w:val="none"/>
              </w:rPr>
            </w:pPr>
            <w:r>
              <w:rPr>
                <w:rFonts w:hint="eastAsia" w:ascii="宋体" w:hAnsi="宋体" w:cs="Times New Roman"/>
                <w:color w:val="auto"/>
                <w:szCs w:val="21"/>
                <w:highlight w:val="none"/>
              </w:rPr>
              <w:t xml:space="preserve"> </w:t>
            </w:r>
          </w:p>
        </w:tc>
      </w:tr>
      <w:tr w14:paraId="2FF12CC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jc w:val="center"/>
        </w:trPr>
        <w:tc>
          <w:tcPr>
            <w:tcW w:w="1607" w:type="dxa"/>
            <w:noWrap w:val="0"/>
            <w:vAlign w:val="center"/>
          </w:tcPr>
          <w:p w14:paraId="5F8F6029">
            <w:pPr>
              <w:keepNext w:val="0"/>
              <w:keepLines w:val="0"/>
              <w:suppressLineNumbers w:val="0"/>
              <w:adjustRightInd w:val="0"/>
              <w:snapToGrid w:val="0"/>
              <w:spacing w:before="0" w:beforeAutospacing="0" w:after="0" w:afterAutospacing="0"/>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第二节</w:t>
            </w:r>
          </w:p>
          <w:p w14:paraId="653D855A">
            <w:pPr>
              <w:keepNext w:val="0"/>
              <w:keepLines w:val="0"/>
              <w:suppressLineNumbers w:val="0"/>
              <w:snapToGrid w:val="0"/>
              <w:spacing w:before="0" w:beforeAutospacing="0" w:after="0" w:afterAutospacing="0"/>
              <w:ind w:left="0" w:right="0"/>
              <w:jc w:val="center"/>
              <w:rPr>
                <w:rFonts w:hint="default" w:ascii="Calibri" w:hAnsi="Calibri" w:cs="Times New Roman"/>
                <w:color w:val="auto"/>
                <w:highlight w:val="none"/>
              </w:rPr>
            </w:pPr>
            <w:r>
              <w:rPr>
                <w:rFonts w:hint="eastAsia" w:ascii="宋体" w:hAnsi="宋体" w:cs="Times New Roman"/>
                <w:color w:val="auto"/>
                <w:szCs w:val="21"/>
                <w:highlight w:val="none"/>
              </w:rPr>
              <w:t>第5.4款</w:t>
            </w:r>
          </w:p>
        </w:tc>
        <w:tc>
          <w:tcPr>
            <w:tcW w:w="1742" w:type="dxa"/>
            <w:noWrap w:val="0"/>
            <w:vAlign w:val="center"/>
          </w:tcPr>
          <w:p w14:paraId="3ADC8F70">
            <w:pPr>
              <w:keepNext w:val="0"/>
              <w:keepLines w:val="0"/>
              <w:suppressLineNumbers w:val="0"/>
              <w:adjustRightInd w:val="0"/>
              <w:snapToGrid w:val="0"/>
              <w:spacing w:before="0" w:beforeAutospacing="0" w:after="0" w:afterAutospacing="0"/>
              <w:ind w:left="0" w:right="0"/>
              <w:jc w:val="left"/>
              <w:rPr>
                <w:rFonts w:hint="default" w:ascii="宋体" w:hAnsi="宋体" w:cs="Times New Roman"/>
                <w:color w:val="auto"/>
                <w:szCs w:val="21"/>
                <w:highlight w:val="none"/>
              </w:rPr>
            </w:pPr>
            <w:r>
              <w:rPr>
                <w:rFonts w:hint="eastAsia" w:ascii="宋体" w:hAnsi="宋体" w:cs="Times New Roman"/>
                <w:color w:val="auto"/>
                <w:szCs w:val="21"/>
                <w:highlight w:val="none"/>
              </w:rPr>
              <w:t>约定乙方承担的其他义务和责任</w:t>
            </w:r>
          </w:p>
        </w:tc>
        <w:tc>
          <w:tcPr>
            <w:tcW w:w="5170" w:type="dxa"/>
            <w:noWrap w:val="0"/>
            <w:vAlign w:val="center"/>
          </w:tcPr>
          <w:p w14:paraId="0AB0B42B">
            <w:pPr>
              <w:keepNext w:val="0"/>
              <w:keepLines w:val="0"/>
              <w:suppressLineNumbers w:val="0"/>
              <w:adjustRightInd w:val="0"/>
              <w:snapToGrid w:val="0"/>
              <w:spacing w:before="0" w:beforeAutospacing="0" w:after="0" w:afterAutospacing="0"/>
              <w:ind w:left="0" w:right="0"/>
              <w:jc w:val="left"/>
              <w:rPr>
                <w:rFonts w:hint="default" w:ascii="宋体" w:hAnsi="宋体" w:cs="Times New Roman"/>
                <w:color w:val="auto"/>
                <w:szCs w:val="21"/>
                <w:highlight w:val="none"/>
              </w:rPr>
            </w:pPr>
            <w:r>
              <w:rPr>
                <w:rFonts w:hint="eastAsia" w:ascii="宋体" w:hAnsi="宋体" w:cs="Times New Roman"/>
                <w:color w:val="auto"/>
                <w:szCs w:val="21"/>
                <w:highlight w:val="none"/>
              </w:rPr>
              <w:t xml:space="preserve"> </w:t>
            </w:r>
          </w:p>
        </w:tc>
      </w:tr>
      <w:tr w14:paraId="15B3D8E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jc w:val="center"/>
        </w:trPr>
        <w:tc>
          <w:tcPr>
            <w:tcW w:w="1607" w:type="dxa"/>
            <w:noWrap w:val="0"/>
            <w:vAlign w:val="center"/>
          </w:tcPr>
          <w:p w14:paraId="66FA86AF">
            <w:pPr>
              <w:keepNext w:val="0"/>
              <w:keepLines w:val="0"/>
              <w:suppressLineNumbers w:val="0"/>
              <w:adjustRightInd w:val="0"/>
              <w:snapToGrid w:val="0"/>
              <w:spacing w:before="0" w:beforeAutospacing="0" w:after="0" w:afterAutospacing="0"/>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第二节</w:t>
            </w:r>
          </w:p>
          <w:p w14:paraId="07F5B10B">
            <w:pPr>
              <w:keepNext w:val="0"/>
              <w:keepLines w:val="0"/>
              <w:suppressLineNumbers w:val="0"/>
              <w:snapToGrid w:val="0"/>
              <w:spacing w:before="0" w:beforeAutospacing="0" w:after="0" w:afterAutospacing="0"/>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第6.1款</w:t>
            </w:r>
          </w:p>
        </w:tc>
        <w:tc>
          <w:tcPr>
            <w:tcW w:w="1742" w:type="dxa"/>
            <w:noWrap w:val="0"/>
            <w:vAlign w:val="center"/>
          </w:tcPr>
          <w:p w14:paraId="45F56F05">
            <w:pPr>
              <w:keepNext w:val="0"/>
              <w:keepLines w:val="0"/>
              <w:suppressLineNumbers w:val="0"/>
              <w:adjustRightInd w:val="0"/>
              <w:snapToGrid w:val="0"/>
              <w:spacing w:before="0" w:beforeAutospacing="0" w:after="0" w:afterAutospacing="0"/>
              <w:ind w:left="0" w:right="0"/>
              <w:jc w:val="left"/>
              <w:rPr>
                <w:rFonts w:hint="default" w:ascii="宋体" w:hAnsi="宋体" w:cs="Times New Roman"/>
                <w:color w:val="auto"/>
                <w:szCs w:val="21"/>
                <w:highlight w:val="none"/>
              </w:rPr>
            </w:pPr>
            <w:r>
              <w:rPr>
                <w:rFonts w:hint="eastAsia" w:ascii="宋体" w:hAnsi="宋体" w:cs="Times New Roman"/>
                <w:color w:val="auto"/>
                <w:szCs w:val="21"/>
                <w:highlight w:val="none"/>
              </w:rPr>
              <w:t>履行合同义务的顺序</w:t>
            </w:r>
          </w:p>
        </w:tc>
        <w:tc>
          <w:tcPr>
            <w:tcW w:w="5170" w:type="dxa"/>
            <w:noWrap w:val="0"/>
            <w:vAlign w:val="center"/>
          </w:tcPr>
          <w:p w14:paraId="5FF1F021">
            <w:pPr>
              <w:keepNext w:val="0"/>
              <w:keepLines w:val="0"/>
              <w:suppressLineNumbers w:val="0"/>
              <w:adjustRightInd w:val="0"/>
              <w:snapToGrid w:val="0"/>
              <w:spacing w:before="0" w:beforeAutospacing="0" w:after="0" w:afterAutospacing="0"/>
              <w:ind w:left="0" w:right="0"/>
              <w:jc w:val="left"/>
              <w:rPr>
                <w:rFonts w:hint="default" w:ascii="宋体" w:hAnsi="宋体" w:cs="Times New Roman"/>
                <w:color w:val="auto"/>
                <w:szCs w:val="21"/>
                <w:highlight w:val="none"/>
              </w:rPr>
            </w:pPr>
            <w:r>
              <w:rPr>
                <w:rFonts w:hint="eastAsia" w:ascii="宋体" w:hAnsi="宋体" w:cs="Times New Roman"/>
                <w:color w:val="auto"/>
                <w:szCs w:val="21"/>
                <w:highlight w:val="none"/>
              </w:rPr>
              <w:t xml:space="preserve"> </w:t>
            </w:r>
          </w:p>
        </w:tc>
      </w:tr>
      <w:tr w14:paraId="1BB7EAD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jc w:val="center"/>
        </w:trPr>
        <w:tc>
          <w:tcPr>
            <w:tcW w:w="1607" w:type="dxa"/>
            <w:vMerge w:val="restart"/>
            <w:noWrap w:val="0"/>
            <w:vAlign w:val="center"/>
          </w:tcPr>
          <w:p w14:paraId="7CE7DD4A">
            <w:pPr>
              <w:keepNext w:val="0"/>
              <w:keepLines w:val="0"/>
              <w:suppressLineNumbers w:val="0"/>
              <w:adjustRightInd w:val="0"/>
              <w:snapToGrid w:val="0"/>
              <w:spacing w:before="0" w:beforeAutospacing="0" w:after="0" w:afterAutospacing="0"/>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第二节</w:t>
            </w:r>
          </w:p>
          <w:p w14:paraId="075E2A85">
            <w:pPr>
              <w:keepNext w:val="0"/>
              <w:keepLines w:val="0"/>
              <w:suppressLineNumbers w:val="0"/>
              <w:adjustRightInd w:val="0"/>
              <w:snapToGrid w:val="0"/>
              <w:spacing w:before="0" w:beforeAutospacing="0" w:after="0" w:afterAutospacing="0"/>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第7.1款</w:t>
            </w:r>
          </w:p>
        </w:tc>
        <w:tc>
          <w:tcPr>
            <w:tcW w:w="1742" w:type="dxa"/>
            <w:noWrap w:val="0"/>
            <w:vAlign w:val="center"/>
          </w:tcPr>
          <w:p w14:paraId="2BEF1D5F">
            <w:pPr>
              <w:keepNext w:val="0"/>
              <w:keepLines w:val="0"/>
              <w:suppressLineNumbers w:val="0"/>
              <w:adjustRightInd w:val="0"/>
              <w:snapToGrid w:val="0"/>
              <w:spacing w:before="0" w:beforeAutospacing="0" w:after="0" w:afterAutospacing="0"/>
              <w:ind w:left="0" w:right="0"/>
              <w:jc w:val="left"/>
              <w:rPr>
                <w:rFonts w:hint="default" w:ascii="宋体" w:hAnsi="宋体" w:cs="Times New Roman"/>
                <w:color w:val="auto"/>
                <w:szCs w:val="21"/>
                <w:highlight w:val="none"/>
              </w:rPr>
            </w:pPr>
            <w:r>
              <w:rPr>
                <w:rFonts w:hint="eastAsia" w:ascii="宋体" w:hAnsi="宋体" w:cs="Times New Roman"/>
                <w:color w:val="auto"/>
                <w:szCs w:val="21"/>
                <w:highlight w:val="none"/>
              </w:rPr>
              <w:t>包装特殊要求</w:t>
            </w:r>
          </w:p>
        </w:tc>
        <w:tc>
          <w:tcPr>
            <w:tcW w:w="5170" w:type="dxa"/>
            <w:noWrap w:val="0"/>
            <w:vAlign w:val="center"/>
          </w:tcPr>
          <w:p w14:paraId="1A2A6AF4">
            <w:pPr>
              <w:keepNext w:val="0"/>
              <w:keepLines w:val="0"/>
              <w:suppressLineNumbers w:val="0"/>
              <w:spacing w:before="0" w:beforeAutospacing="0" w:after="0" w:afterAutospacing="0"/>
              <w:ind w:left="0" w:right="0"/>
              <w:rPr>
                <w:rFonts w:hint="default" w:ascii="Calibri" w:hAnsi="Calibri" w:cs="Times New Roman"/>
                <w:color w:val="auto"/>
                <w:highlight w:val="none"/>
              </w:rPr>
            </w:pPr>
            <w:r>
              <w:rPr>
                <w:rFonts w:hint="eastAsia" w:ascii="宋体" w:hAnsi="宋体" w:cs="Times New Roman"/>
                <w:color w:val="auto"/>
                <w:szCs w:val="21"/>
                <w:highlight w:val="none"/>
              </w:rPr>
              <w:t xml:space="preserve"> </w:t>
            </w:r>
          </w:p>
        </w:tc>
      </w:tr>
      <w:tr w14:paraId="34BB948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jc w:val="center"/>
        </w:trPr>
        <w:tc>
          <w:tcPr>
            <w:tcW w:w="1607" w:type="dxa"/>
            <w:vMerge w:val="continue"/>
            <w:noWrap w:val="0"/>
            <w:vAlign w:val="center"/>
          </w:tcPr>
          <w:p w14:paraId="13B39FC3">
            <w:pPr>
              <w:keepNext w:val="0"/>
              <w:keepLines w:val="0"/>
              <w:suppressLineNumbers w:val="0"/>
              <w:adjustRightInd w:val="0"/>
              <w:snapToGrid w:val="0"/>
              <w:spacing w:before="0" w:beforeAutospacing="0" w:after="0" w:afterAutospacing="0"/>
              <w:ind w:left="0" w:right="0"/>
              <w:jc w:val="center"/>
              <w:rPr>
                <w:rFonts w:hint="default" w:ascii="宋体" w:hAnsi="宋体" w:cs="Times New Roman"/>
                <w:color w:val="auto"/>
                <w:szCs w:val="21"/>
                <w:highlight w:val="none"/>
              </w:rPr>
            </w:pPr>
          </w:p>
        </w:tc>
        <w:tc>
          <w:tcPr>
            <w:tcW w:w="1742" w:type="dxa"/>
            <w:noWrap w:val="0"/>
            <w:vAlign w:val="center"/>
          </w:tcPr>
          <w:p w14:paraId="4B3B6980">
            <w:pPr>
              <w:keepNext w:val="0"/>
              <w:keepLines w:val="0"/>
              <w:suppressLineNumbers w:val="0"/>
              <w:adjustRightInd w:val="0"/>
              <w:snapToGrid w:val="0"/>
              <w:spacing w:before="0" w:beforeAutospacing="0" w:after="0" w:afterAutospacing="0"/>
              <w:ind w:left="0" w:right="0"/>
              <w:jc w:val="left"/>
              <w:rPr>
                <w:rFonts w:hint="default" w:ascii="宋体" w:hAnsi="宋体" w:cs="Times New Roman"/>
                <w:color w:val="auto"/>
                <w:szCs w:val="21"/>
                <w:highlight w:val="none"/>
              </w:rPr>
            </w:pPr>
            <w:r>
              <w:rPr>
                <w:rFonts w:hint="eastAsia" w:ascii="宋体" w:hAnsi="宋体" w:cs="Times New Roman"/>
                <w:color w:val="auto"/>
                <w:szCs w:val="21"/>
                <w:highlight w:val="none"/>
              </w:rPr>
              <w:t>指定现场</w:t>
            </w:r>
          </w:p>
        </w:tc>
        <w:tc>
          <w:tcPr>
            <w:tcW w:w="5170" w:type="dxa"/>
            <w:noWrap w:val="0"/>
            <w:vAlign w:val="center"/>
          </w:tcPr>
          <w:p w14:paraId="584A5C30">
            <w:pPr>
              <w:keepNext w:val="0"/>
              <w:keepLines w:val="0"/>
              <w:suppressLineNumbers w:val="0"/>
              <w:spacing w:before="0" w:beforeAutospacing="0" w:after="0" w:afterAutospacing="0"/>
              <w:ind w:left="0" w:right="0"/>
              <w:rPr>
                <w:rFonts w:hint="default" w:ascii="Calibri" w:hAnsi="Calibri" w:cs="Times New Roman"/>
                <w:color w:val="auto"/>
                <w:highlight w:val="none"/>
              </w:rPr>
            </w:pPr>
            <w:r>
              <w:rPr>
                <w:rFonts w:hint="eastAsia" w:ascii="宋体" w:hAnsi="宋体" w:cs="Times New Roman"/>
                <w:color w:val="auto"/>
                <w:szCs w:val="21"/>
                <w:highlight w:val="none"/>
              </w:rPr>
              <w:t xml:space="preserve"> </w:t>
            </w:r>
          </w:p>
        </w:tc>
      </w:tr>
      <w:tr w14:paraId="6E2CDC1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2" w:hRule="atLeast"/>
          <w:jc w:val="center"/>
        </w:trPr>
        <w:tc>
          <w:tcPr>
            <w:tcW w:w="1607" w:type="dxa"/>
            <w:noWrap w:val="0"/>
            <w:vAlign w:val="center"/>
          </w:tcPr>
          <w:p w14:paraId="71316BD0">
            <w:pPr>
              <w:keepNext w:val="0"/>
              <w:keepLines w:val="0"/>
              <w:suppressLineNumbers w:val="0"/>
              <w:adjustRightInd w:val="0"/>
              <w:snapToGrid w:val="0"/>
              <w:spacing w:before="0" w:beforeAutospacing="0" w:after="0" w:afterAutospacing="0"/>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第二节</w:t>
            </w:r>
          </w:p>
          <w:p w14:paraId="220292FE">
            <w:pPr>
              <w:keepNext w:val="0"/>
              <w:keepLines w:val="0"/>
              <w:suppressLineNumbers w:val="0"/>
              <w:adjustRightInd w:val="0"/>
              <w:snapToGrid w:val="0"/>
              <w:spacing w:before="0" w:beforeAutospacing="0" w:after="0" w:afterAutospacing="0"/>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第7.2款</w:t>
            </w:r>
          </w:p>
        </w:tc>
        <w:tc>
          <w:tcPr>
            <w:tcW w:w="1742" w:type="dxa"/>
            <w:noWrap w:val="0"/>
            <w:vAlign w:val="center"/>
          </w:tcPr>
          <w:p w14:paraId="6AF4051F">
            <w:pPr>
              <w:keepNext w:val="0"/>
              <w:keepLines w:val="0"/>
              <w:suppressLineNumbers w:val="0"/>
              <w:adjustRightInd w:val="0"/>
              <w:snapToGrid w:val="0"/>
              <w:spacing w:before="0" w:beforeAutospacing="0" w:after="0" w:afterAutospacing="0"/>
              <w:ind w:left="0" w:right="0"/>
              <w:jc w:val="left"/>
              <w:rPr>
                <w:rFonts w:hint="default" w:ascii="宋体" w:hAnsi="宋体" w:cs="Times New Roman"/>
                <w:color w:val="auto"/>
                <w:szCs w:val="21"/>
                <w:highlight w:val="none"/>
              </w:rPr>
            </w:pPr>
            <w:r>
              <w:rPr>
                <w:rFonts w:hint="eastAsia" w:ascii="宋体" w:hAnsi="宋体" w:cs="Times New Roman"/>
                <w:color w:val="auto"/>
                <w:szCs w:val="21"/>
                <w:highlight w:val="none"/>
              </w:rPr>
              <w:t>运输特殊要求</w:t>
            </w:r>
          </w:p>
        </w:tc>
        <w:tc>
          <w:tcPr>
            <w:tcW w:w="5170" w:type="dxa"/>
            <w:noWrap w:val="0"/>
            <w:vAlign w:val="center"/>
          </w:tcPr>
          <w:p w14:paraId="574201BE">
            <w:pPr>
              <w:keepNext w:val="0"/>
              <w:keepLines w:val="0"/>
              <w:suppressLineNumbers w:val="0"/>
              <w:spacing w:before="0" w:beforeAutospacing="0" w:after="0" w:afterAutospacing="0"/>
              <w:ind w:left="0" w:right="0"/>
              <w:rPr>
                <w:rFonts w:hint="default" w:ascii="Calibri" w:hAnsi="Calibri" w:cs="Times New Roman"/>
                <w:color w:val="auto"/>
                <w:highlight w:val="none"/>
              </w:rPr>
            </w:pPr>
            <w:r>
              <w:rPr>
                <w:rFonts w:hint="eastAsia" w:ascii="宋体" w:hAnsi="宋体" w:cs="Times New Roman"/>
                <w:color w:val="auto"/>
                <w:szCs w:val="21"/>
                <w:highlight w:val="none"/>
              </w:rPr>
              <w:t>无</w:t>
            </w:r>
          </w:p>
        </w:tc>
      </w:tr>
      <w:tr w14:paraId="16C0DBF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jc w:val="center"/>
        </w:trPr>
        <w:tc>
          <w:tcPr>
            <w:tcW w:w="1607" w:type="dxa"/>
            <w:noWrap w:val="0"/>
            <w:vAlign w:val="center"/>
          </w:tcPr>
          <w:p w14:paraId="1C38AE7C">
            <w:pPr>
              <w:keepNext w:val="0"/>
              <w:keepLines w:val="0"/>
              <w:suppressLineNumbers w:val="0"/>
              <w:adjustRightInd w:val="0"/>
              <w:snapToGrid w:val="0"/>
              <w:spacing w:before="0" w:beforeAutospacing="0" w:after="0" w:afterAutospacing="0"/>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第二节</w:t>
            </w:r>
          </w:p>
          <w:p w14:paraId="6073CE12">
            <w:pPr>
              <w:keepNext w:val="0"/>
              <w:keepLines w:val="0"/>
              <w:suppressLineNumbers w:val="0"/>
              <w:adjustRightInd w:val="0"/>
              <w:snapToGrid w:val="0"/>
              <w:spacing w:before="0" w:beforeAutospacing="0" w:after="0" w:afterAutospacing="0"/>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第7.3款</w:t>
            </w:r>
          </w:p>
        </w:tc>
        <w:tc>
          <w:tcPr>
            <w:tcW w:w="1742" w:type="dxa"/>
            <w:noWrap w:val="0"/>
            <w:vAlign w:val="center"/>
          </w:tcPr>
          <w:p w14:paraId="252A7409">
            <w:pPr>
              <w:keepNext w:val="0"/>
              <w:keepLines w:val="0"/>
              <w:suppressLineNumbers w:val="0"/>
              <w:adjustRightInd w:val="0"/>
              <w:snapToGrid w:val="0"/>
              <w:spacing w:before="0" w:beforeAutospacing="0" w:after="0" w:afterAutospacing="0"/>
              <w:ind w:left="0" w:right="0"/>
              <w:jc w:val="left"/>
              <w:rPr>
                <w:rFonts w:hint="default" w:ascii="宋体" w:hAnsi="宋体" w:cs="Times New Roman"/>
                <w:color w:val="auto"/>
                <w:szCs w:val="21"/>
                <w:highlight w:val="none"/>
              </w:rPr>
            </w:pPr>
            <w:r>
              <w:rPr>
                <w:rFonts w:hint="eastAsia" w:ascii="宋体" w:hAnsi="宋体" w:cs="Times New Roman"/>
                <w:color w:val="auto"/>
                <w:szCs w:val="21"/>
                <w:highlight w:val="none"/>
              </w:rPr>
              <w:t>保险要求</w:t>
            </w:r>
          </w:p>
        </w:tc>
        <w:tc>
          <w:tcPr>
            <w:tcW w:w="5170" w:type="dxa"/>
            <w:noWrap w:val="0"/>
            <w:vAlign w:val="center"/>
          </w:tcPr>
          <w:p w14:paraId="071AF77B">
            <w:pPr>
              <w:keepNext w:val="0"/>
              <w:keepLines w:val="0"/>
              <w:suppressLineNumbers w:val="0"/>
              <w:spacing w:before="0" w:beforeAutospacing="0" w:after="0" w:afterAutospacing="0"/>
              <w:ind w:left="0" w:right="0"/>
              <w:rPr>
                <w:rFonts w:hint="default" w:ascii="Calibri" w:hAnsi="Calibri" w:cs="Times New Roman"/>
                <w:color w:val="auto"/>
                <w:highlight w:val="none"/>
              </w:rPr>
            </w:pPr>
            <w:r>
              <w:rPr>
                <w:rFonts w:hint="eastAsia" w:ascii="宋体" w:hAnsi="宋体" w:cs="Times New Roman"/>
                <w:color w:val="auto"/>
                <w:szCs w:val="21"/>
                <w:highlight w:val="none"/>
              </w:rPr>
              <w:t xml:space="preserve">  </w:t>
            </w:r>
          </w:p>
        </w:tc>
      </w:tr>
      <w:tr w14:paraId="3EAB885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jc w:val="center"/>
        </w:trPr>
        <w:tc>
          <w:tcPr>
            <w:tcW w:w="1607" w:type="dxa"/>
            <w:noWrap w:val="0"/>
            <w:vAlign w:val="center"/>
          </w:tcPr>
          <w:p w14:paraId="7F6B8214">
            <w:pPr>
              <w:keepNext w:val="0"/>
              <w:keepLines w:val="0"/>
              <w:suppressLineNumbers w:val="0"/>
              <w:adjustRightInd w:val="0"/>
              <w:snapToGrid w:val="0"/>
              <w:spacing w:before="0" w:beforeAutospacing="0" w:after="0" w:afterAutospacing="0"/>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第二节</w:t>
            </w:r>
          </w:p>
          <w:p w14:paraId="3A6A9F86">
            <w:pPr>
              <w:keepNext w:val="0"/>
              <w:keepLines w:val="0"/>
              <w:suppressLineNumbers w:val="0"/>
              <w:adjustRightInd w:val="0"/>
              <w:snapToGrid w:val="0"/>
              <w:spacing w:before="0" w:beforeAutospacing="0" w:after="0" w:afterAutospacing="0"/>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第8.2（1）项</w:t>
            </w:r>
          </w:p>
        </w:tc>
        <w:tc>
          <w:tcPr>
            <w:tcW w:w="1742" w:type="dxa"/>
            <w:noWrap w:val="0"/>
            <w:vAlign w:val="center"/>
          </w:tcPr>
          <w:p w14:paraId="1FCED161">
            <w:pPr>
              <w:keepNext w:val="0"/>
              <w:keepLines w:val="0"/>
              <w:suppressLineNumbers w:val="0"/>
              <w:adjustRightInd w:val="0"/>
              <w:snapToGrid w:val="0"/>
              <w:spacing w:before="0" w:beforeAutospacing="0" w:after="0" w:afterAutospacing="0"/>
              <w:ind w:left="0" w:right="0"/>
              <w:jc w:val="left"/>
              <w:rPr>
                <w:rFonts w:hint="default" w:ascii="宋体" w:hAnsi="宋体" w:cs="Times New Roman"/>
                <w:color w:val="auto"/>
                <w:szCs w:val="21"/>
                <w:highlight w:val="none"/>
              </w:rPr>
            </w:pPr>
            <w:r>
              <w:rPr>
                <w:rFonts w:hint="eastAsia" w:ascii="宋体" w:hAnsi="宋体" w:cs="Times New Roman"/>
                <w:color w:val="auto"/>
                <w:szCs w:val="21"/>
                <w:highlight w:val="none"/>
              </w:rPr>
              <w:t>质量保证期</w:t>
            </w:r>
          </w:p>
        </w:tc>
        <w:tc>
          <w:tcPr>
            <w:tcW w:w="5170" w:type="dxa"/>
            <w:noWrap w:val="0"/>
            <w:vAlign w:val="center"/>
          </w:tcPr>
          <w:p w14:paraId="2C3D5277">
            <w:pPr>
              <w:keepNext w:val="0"/>
              <w:keepLines w:val="0"/>
              <w:suppressLineNumbers w:val="0"/>
              <w:autoSpaceDE w:val="0"/>
              <w:autoSpaceDN w:val="0"/>
              <w:adjustRightInd w:val="0"/>
              <w:snapToGrid w:val="0"/>
              <w:spacing w:before="0" w:beforeAutospacing="0" w:after="0" w:afterAutospacing="0"/>
              <w:ind w:left="0" w:right="0" w:firstLine="210" w:firstLineChars="100"/>
              <w:jc w:val="left"/>
              <w:rPr>
                <w:rFonts w:hint="default" w:ascii="宋体" w:hAnsi="宋体" w:cs="Times New Roman"/>
                <w:color w:val="auto"/>
                <w:szCs w:val="21"/>
                <w:highlight w:val="none"/>
              </w:rPr>
            </w:pPr>
            <w:r>
              <w:rPr>
                <w:rFonts w:hint="eastAsia" w:ascii="宋体" w:hAnsi="宋体" w:cs="Times New Roman"/>
                <w:color w:val="auto"/>
                <w:szCs w:val="21"/>
                <w:highlight w:val="none"/>
              </w:rPr>
              <w:t>年</w:t>
            </w:r>
          </w:p>
        </w:tc>
      </w:tr>
      <w:tr w14:paraId="3A73C15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jc w:val="center"/>
        </w:trPr>
        <w:tc>
          <w:tcPr>
            <w:tcW w:w="1607" w:type="dxa"/>
            <w:noWrap w:val="0"/>
            <w:vAlign w:val="center"/>
          </w:tcPr>
          <w:p w14:paraId="15B70529">
            <w:pPr>
              <w:keepNext w:val="0"/>
              <w:keepLines w:val="0"/>
              <w:suppressLineNumbers w:val="0"/>
              <w:adjustRightInd w:val="0"/>
              <w:snapToGrid w:val="0"/>
              <w:spacing w:before="0" w:beforeAutospacing="0" w:after="0" w:afterAutospacing="0"/>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第二节</w:t>
            </w:r>
          </w:p>
          <w:p w14:paraId="3D671ADB">
            <w:pPr>
              <w:keepNext w:val="0"/>
              <w:keepLines w:val="0"/>
              <w:suppressLineNumbers w:val="0"/>
              <w:adjustRightInd w:val="0"/>
              <w:snapToGrid w:val="0"/>
              <w:spacing w:before="0" w:beforeAutospacing="0" w:after="0" w:afterAutospacing="0"/>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第8.2（3）项</w:t>
            </w:r>
          </w:p>
        </w:tc>
        <w:tc>
          <w:tcPr>
            <w:tcW w:w="1742" w:type="dxa"/>
            <w:noWrap w:val="0"/>
            <w:vAlign w:val="center"/>
          </w:tcPr>
          <w:p w14:paraId="32F6BCB9">
            <w:pPr>
              <w:keepNext w:val="0"/>
              <w:keepLines w:val="0"/>
              <w:suppressLineNumbers w:val="0"/>
              <w:adjustRightInd w:val="0"/>
              <w:snapToGrid w:val="0"/>
              <w:spacing w:before="0" w:beforeAutospacing="0" w:after="0" w:afterAutospacing="0"/>
              <w:ind w:left="0" w:right="0"/>
              <w:jc w:val="left"/>
              <w:rPr>
                <w:rFonts w:hint="default" w:ascii="宋体" w:hAnsi="宋体" w:cs="Times New Roman"/>
                <w:color w:val="auto"/>
                <w:szCs w:val="21"/>
                <w:highlight w:val="none"/>
              </w:rPr>
            </w:pPr>
            <w:r>
              <w:rPr>
                <w:rFonts w:hint="eastAsia" w:ascii="宋体" w:hAnsi="宋体" w:cs="Times New Roman"/>
                <w:color w:val="auto"/>
                <w:szCs w:val="21"/>
                <w:highlight w:val="none"/>
              </w:rPr>
              <w:t>货物质量缺陷</w:t>
            </w:r>
          </w:p>
          <w:p w14:paraId="68A0FC0E">
            <w:pPr>
              <w:keepNext w:val="0"/>
              <w:keepLines w:val="0"/>
              <w:suppressLineNumbers w:val="0"/>
              <w:adjustRightInd w:val="0"/>
              <w:snapToGrid w:val="0"/>
              <w:spacing w:before="0" w:beforeAutospacing="0" w:after="0" w:afterAutospacing="0"/>
              <w:ind w:left="0" w:right="0"/>
              <w:jc w:val="left"/>
              <w:rPr>
                <w:rFonts w:hint="default" w:ascii="宋体" w:hAnsi="宋体" w:cs="Times New Roman"/>
                <w:color w:val="auto"/>
                <w:szCs w:val="21"/>
                <w:highlight w:val="none"/>
              </w:rPr>
            </w:pPr>
            <w:r>
              <w:rPr>
                <w:rFonts w:hint="eastAsia" w:ascii="宋体" w:hAnsi="宋体" w:cs="Times New Roman"/>
                <w:color w:val="auto"/>
                <w:szCs w:val="21"/>
                <w:highlight w:val="none"/>
              </w:rPr>
              <w:t>响应时间</w:t>
            </w:r>
          </w:p>
        </w:tc>
        <w:tc>
          <w:tcPr>
            <w:tcW w:w="5170" w:type="dxa"/>
            <w:noWrap w:val="0"/>
            <w:vAlign w:val="center"/>
          </w:tcPr>
          <w:p w14:paraId="11AE9179">
            <w:pPr>
              <w:keepNext w:val="0"/>
              <w:keepLines w:val="0"/>
              <w:suppressLineNumbers w:val="0"/>
              <w:adjustRightInd w:val="0"/>
              <w:snapToGrid w:val="0"/>
              <w:spacing w:before="0" w:beforeAutospacing="0" w:after="0" w:afterAutospacing="0"/>
              <w:ind w:left="0" w:right="0"/>
              <w:jc w:val="left"/>
              <w:rPr>
                <w:rFonts w:hint="default" w:ascii="宋体" w:hAnsi="宋体" w:cs="Times New Roman"/>
                <w:color w:val="auto"/>
                <w:szCs w:val="21"/>
                <w:highlight w:val="none"/>
              </w:rPr>
            </w:pPr>
            <w:r>
              <w:rPr>
                <w:rFonts w:hint="eastAsia" w:ascii="宋体" w:hAnsi="宋体" w:cs="Times New Roman"/>
                <w:color w:val="auto"/>
                <w:szCs w:val="21"/>
                <w:highlight w:val="none"/>
              </w:rPr>
              <w:t>7个日历天</w:t>
            </w:r>
          </w:p>
        </w:tc>
      </w:tr>
      <w:tr w14:paraId="2725F3C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jc w:val="center"/>
        </w:trPr>
        <w:tc>
          <w:tcPr>
            <w:tcW w:w="1607" w:type="dxa"/>
            <w:noWrap w:val="0"/>
            <w:vAlign w:val="center"/>
          </w:tcPr>
          <w:p w14:paraId="2D36733D">
            <w:pPr>
              <w:keepNext w:val="0"/>
              <w:keepLines w:val="0"/>
              <w:suppressLineNumbers w:val="0"/>
              <w:snapToGrid w:val="0"/>
              <w:spacing w:before="0" w:beforeAutospacing="0" w:after="0" w:afterAutospacing="0"/>
              <w:ind w:left="0" w:right="0"/>
              <w:jc w:val="center"/>
              <w:rPr>
                <w:rFonts w:hint="default" w:ascii="宋体" w:hAnsi="宋体" w:cs="宋体"/>
                <w:color w:val="auto"/>
                <w:szCs w:val="21"/>
                <w:highlight w:val="none"/>
              </w:rPr>
            </w:pPr>
            <w:r>
              <w:rPr>
                <w:rFonts w:hint="eastAsia" w:ascii="宋体" w:hAnsi="宋体" w:cs="宋体"/>
                <w:color w:val="auto"/>
                <w:szCs w:val="21"/>
                <w:highlight w:val="none"/>
              </w:rPr>
              <w:t>第二节</w:t>
            </w:r>
          </w:p>
          <w:p w14:paraId="3C62FAA3">
            <w:pPr>
              <w:keepNext w:val="0"/>
              <w:keepLines w:val="0"/>
              <w:widowControl/>
              <w:suppressLineNumbers w:val="0"/>
              <w:autoSpaceDE w:val="0"/>
              <w:autoSpaceDN w:val="0"/>
              <w:adjustRightInd w:val="0"/>
              <w:spacing w:before="0" w:beforeAutospacing="0" w:after="0" w:afterAutospacing="0" w:line="400" w:lineRule="exact"/>
              <w:ind w:left="0" w:right="0"/>
              <w:jc w:val="center"/>
              <w:rPr>
                <w:rFonts w:hint="default" w:ascii="华文楷体" w:hAnsi="华文楷体" w:eastAsia="华文楷体" w:cs="华文楷体"/>
                <w:color w:val="auto"/>
                <w:kern w:val="0"/>
                <w:sz w:val="22"/>
                <w:szCs w:val="21"/>
                <w:highlight w:val="none"/>
              </w:rPr>
            </w:pPr>
            <w:r>
              <w:rPr>
                <w:rFonts w:hint="eastAsia" w:ascii="宋体" w:hAnsi="宋体" w:cs="宋体"/>
                <w:color w:val="auto"/>
                <w:kern w:val="0"/>
                <w:sz w:val="22"/>
                <w:szCs w:val="21"/>
                <w:highlight w:val="none"/>
              </w:rPr>
              <w:t>第11.1款</w:t>
            </w:r>
          </w:p>
        </w:tc>
        <w:tc>
          <w:tcPr>
            <w:tcW w:w="1742" w:type="dxa"/>
            <w:noWrap w:val="0"/>
            <w:vAlign w:val="center"/>
          </w:tcPr>
          <w:p w14:paraId="6ADDC052">
            <w:pPr>
              <w:keepNext w:val="0"/>
              <w:keepLines w:val="0"/>
              <w:suppressLineNumbers w:val="0"/>
              <w:adjustRightInd w:val="0"/>
              <w:snapToGrid w:val="0"/>
              <w:spacing w:before="0" w:beforeAutospacing="0" w:after="0" w:afterAutospacing="0"/>
              <w:ind w:left="0" w:right="0"/>
              <w:rPr>
                <w:rFonts w:hint="default" w:ascii="宋体" w:hAnsi="宋体" w:cs="Times New Roman"/>
                <w:color w:val="auto"/>
                <w:szCs w:val="21"/>
                <w:highlight w:val="none"/>
              </w:rPr>
            </w:pPr>
            <w:r>
              <w:rPr>
                <w:rFonts w:hint="eastAsia" w:ascii="宋体" w:hAnsi="宋体" w:cs="Times New Roman"/>
                <w:color w:val="auto"/>
                <w:szCs w:val="21"/>
                <w:highlight w:val="none"/>
              </w:rPr>
              <w:t>其他应当保密的信息</w:t>
            </w:r>
          </w:p>
        </w:tc>
        <w:tc>
          <w:tcPr>
            <w:tcW w:w="5170" w:type="dxa"/>
            <w:noWrap w:val="0"/>
            <w:vAlign w:val="center"/>
          </w:tcPr>
          <w:p w14:paraId="7ECCA200">
            <w:pPr>
              <w:keepNext w:val="0"/>
              <w:keepLines w:val="0"/>
              <w:suppressLineNumbers w:val="0"/>
              <w:adjustRightInd w:val="0"/>
              <w:snapToGrid w:val="0"/>
              <w:spacing w:before="0" w:beforeAutospacing="0" w:after="0" w:afterAutospacing="0"/>
              <w:ind w:left="0" w:right="0"/>
              <w:jc w:val="left"/>
              <w:rPr>
                <w:rFonts w:hint="default" w:ascii="宋体" w:hAnsi="宋体" w:cs="Times New Roman"/>
                <w:color w:val="auto"/>
                <w:szCs w:val="21"/>
                <w:highlight w:val="none"/>
              </w:rPr>
            </w:pPr>
            <w:r>
              <w:rPr>
                <w:rFonts w:hint="eastAsia" w:ascii="宋体" w:hAnsi="宋体" w:cs="Times New Roman"/>
                <w:color w:val="auto"/>
                <w:szCs w:val="21"/>
                <w:highlight w:val="none"/>
              </w:rPr>
              <w:t>无</w:t>
            </w:r>
          </w:p>
        </w:tc>
      </w:tr>
      <w:tr w14:paraId="5EA13C2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jc w:val="center"/>
        </w:trPr>
        <w:tc>
          <w:tcPr>
            <w:tcW w:w="1607" w:type="dxa"/>
            <w:noWrap w:val="0"/>
            <w:vAlign w:val="center"/>
          </w:tcPr>
          <w:p w14:paraId="7DB251AD">
            <w:pPr>
              <w:keepNext w:val="0"/>
              <w:keepLines w:val="0"/>
              <w:suppressLineNumbers w:val="0"/>
              <w:adjustRightInd w:val="0"/>
              <w:snapToGrid w:val="0"/>
              <w:spacing w:before="0" w:beforeAutospacing="0" w:after="0" w:afterAutospacing="0"/>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第二节</w:t>
            </w:r>
          </w:p>
          <w:p w14:paraId="6C368C3D">
            <w:pPr>
              <w:keepNext w:val="0"/>
              <w:keepLines w:val="0"/>
              <w:suppressLineNumbers w:val="0"/>
              <w:adjustRightInd w:val="0"/>
              <w:snapToGrid w:val="0"/>
              <w:spacing w:before="0" w:beforeAutospacing="0" w:after="0" w:afterAutospacing="0"/>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第12.2款</w:t>
            </w:r>
          </w:p>
        </w:tc>
        <w:tc>
          <w:tcPr>
            <w:tcW w:w="1742" w:type="dxa"/>
            <w:noWrap w:val="0"/>
            <w:vAlign w:val="center"/>
          </w:tcPr>
          <w:p w14:paraId="7DB7CA4C">
            <w:pPr>
              <w:keepNext w:val="0"/>
              <w:keepLines w:val="0"/>
              <w:suppressLineNumbers w:val="0"/>
              <w:adjustRightInd w:val="0"/>
              <w:snapToGrid w:val="0"/>
              <w:spacing w:before="0" w:beforeAutospacing="0" w:after="0" w:afterAutospacing="0"/>
              <w:ind w:left="0" w:right="0"/>
              <w:jc w:val="left"/>
              <w:rPr>
                <w:rFonts w:hint="default" w:ascii="宋体" w:hAnsi="宋体" w:cs="Times New Roman"/>
                <w:color w:val="auto"/>
                <w:szCs w:val="21"/>
                <w:highlight w:val="none"/>
              </w:rPr>
            </w:pPr>
            <w:r>
              <w:rPr>
                <w:rFonts w:hint="eastAsia" w:ascii="宋体" w:hAnsi="宋体" w:cs="Times New Roman"/>
                <w:color w:val="auto"/>
                <w:szCs w:val="21"/>
                <w:highlight w:val="none"/>
              </w:rPr>
              <w:t>合同价款支付时间</w:t>
            </w:r>
          </w:p>
        </w:tc>
        <w:tc>
          <w:tcPr>
            <w:tcW w:w="5170" w:type="dxa"/>
            <w:noWrap w:val="0"/>
            <w:vAlign w:val="center"/>
          </w:tcPr>
          <w:p w14:paraId="24A90760">
            <w:pPr>
              <w:keepNext w:val="0"/>
              <w:keepLines w:val="0"/>
              <w:widowControl/>
              <w:suppressLineNumbers w:val="0"/>
              <w:adjustRightInd w:val="0"/>
              <w:snapToGrid w:val="0"/>
              <w:spacing w:before="0" w:beforeAutospacing="0" w:after="0" w:afterAutospacing="0" w:line="288" w:lineRule="auto"/>
              <w:ind w:left="0" w:right="0"/>
              <w:rPr>
                <w:rFonts w:hint="default" w:ascii="宋体" w:hAnsi="宋体" w:cs="Times New Roman"/>
                <w:color w:val="auto"/>
                <w:szCs w:val="21"/>
                <w:highlight w:val="none"/>
              </w:rPr>
            </w:pPr>
            <w:r>
              <w:rPr>
                <w:rFonts w:hint="eastAsia" w:ascii="宋体" w:hAnsi="宋体" w:cs="Times New Roman"/>
                <w:color w:val="auto"/>
                <w:highlight w:val="none"/>
              </w:rPr>
              <w:t>甲方与乙方供货合同签订且货到甲方指定地点后，提交所在市卫健委汇总后报安徽省卫生健康委员会，由安徽省卫生健康委员会统一支付超长期国债资金（以下简称“到货款”），货物安装、验收合格，甲方在收到发票后向乙方支付剩余款项（以下简称“尾款”），安徽省卫生健康委员会支付的到货款与甲方支付的尾款之和为分合同合同总额。（如果招标公告附件中列明的甲方“超长期国债资金付款金额”不小于分合同合同总额的90%，则安徽省卫生健康委员会支付的到货款为分合同合同总额的90%，甲方支付的尾款为分合同合同总额的10%；如果招标公告附件中列明的甲方“超长期国债资金付款金额”小于分合同合同总额的90%，则安徽省卫生健康委员会支付的到货款为招标公告附件中列明的“超长期国债资金付款金额”，甲方支付的尾款为分合同合同总额扣除招标公告附件中列明的“超长期国债资金付款金额”的剩余金额。）</w:t>
            </w:r>
          </w:p>
        </w:tc>
      </w:tr>
      <w:tr w14:paraId="201F235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jc w:val="center"/>
        </w:trPr>
        <w:tc>
          <w:tcPr>
            <w:tcW w:w="1607" w:type="dxa"/>
            <w:noWrap w:val="0"/>
            <w:vAlign w:val="center"/>
          </w:tcPr>
          <w:p w14:paraId="4EE4992F">
            <w:pPr>
              <w:keepNext w:val="0"/>
              <w:keepLines w:val="0"/>
              <w:suppressLineNumbers w:val="0"/>
              <w:adjustRightInd w:val="0"/>
              <w:snapToGrid w:val="0"/>
              <w:spacing w:before="0" w:beforeAutospacing="0" w:after="0" w:afterAutospacing="0"/>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第二节</w:t>
            </w:r>
          </w:p>
          <w:p w14:paraId="640F2A63">
            <w:pPr>
              <w:keepNext w:val="0"/>
              <w:keepLines w:val="0"/>
              <w:suppressLineNumbers w:val="0"/>
              <w:adjustRightInd w:val="0"/>
              <w:snapToGrid w:val="0"/>
              <w:spacing w:before="0" w:beforeAutospacing="0" w:after="0" w:afterAutospacing="0"/>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第13.2款</w:t>
            </w:r>
          </w:p>
        </w:tc>
        <w:tc>
          <w:tcPr>
            <w:tcW w:w="1742" w:type="dxa"/>
            <w:noWrap w:val="0"/>
            <w:vAlign w:val="center"/>
          </w:tcPr>
          <w:p w14:paraId="79D24F09">
            <w:pPr>
              <w:keepNext w:val="0"/>
              <w:keepLines w:val="0"/>
              <w:suppressLineNumbers w:val="0"/>
              <w:adjustRightInd w:val="0"/>
              <w:snapToGrid w:val="0"/>
              <w:spacing w:before="0" w:beforeAutospacing="0" w:after="0" w:afterAutospacing="0"/>
              <w:ind w:left="0" w:right="0"/>
              <w:jc w:val="left"/>
              <w:rPr>
                <w:rFonts w:hint="default" w:ascii="宋体" w:hAnsi="宋体" w:cs="Times New Roman"/>
                <w:color w:val="auto"/>
                <w:szCs w:val="21"/>
                <w:highlight w:val="none"/>
              </w:rPr>
            </w:pPr>
            <w:r>
              <w:rPr>
                <w:rFonts w:hint="eastAsia" w:ascii="宋体" w:hAnsi="宋体" w:cs="Times New Roman"/>
                <w:color w:val="auto"/>
                <w:szCs w:val="21"/>
                <w:highlight w:val="none"/>
              </w:rPr>
              <w:t>履约保证金不予退还的情形</w:t>
            </w:r>
          </w:p>
        </w:tc>
        <w:tc>
          <w:tcPr>
            <w:tcW w:w="5170" w:type="dxa"/>
            <w:noWrap w:val="0"/>
            <w:vAlign w:val="center"/>
          </w:tcPr>
          <w:p w14:paraId="44B25B8C">
            <w:pPr>
              <w:keepNext w:val="0"/>
              <w:keepLines w:val="0"/>
              <w:suppressLineNumbers w:val="0"/>
              <w:adjustRightInd w:val="0"/>
              <w:snapToGrid w:val="0"/>
              <w:spacing w:before="0" w:beforeAutospacing="0" w:after="0" w:afterAutospacing="0"/>
              <w:ind w:left="0" w:right="0"/>
              <w:jc w:val="left"/>
              <w:rPr>
                <w:rFonts w:hint="default" w:ascii="宋体" w:hAnsi="宋体" w:cs="Times New Roman"/>
                <w:color w:val="auto"/>
                <w:szCs w:val="21"/>
                <w:highlight w:val="none"/>
              </w:rPr>
            </w:pPr>
          </w:p>
        </w:tc>
      </w:tr>
      <w:tr w14:paraId="448BB66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jc w:val="center"/>
        </w:trPr>
        <w:tc>
          <w:tcPr>
            <w:tcW w:w="1607" w:type="dxa"/>
            <w:noWrap w:val="0"/>
            <w:vAlign w:val="center"/>
          </w:tcPr>
          <w:p w14:paraId="36ED32E2">
            <w:pPr>
              <w:keepNext w:val="0"/>
              <w:keepLines w:val="0"/>
              <w:suppressLineNumbers w:val="0"/>
              <w:adjustRightInd w:val="0"/>
              <w:snapToGrid w:val="0"/>
              <w:spacing w:before="0" w:beforeAutospacing="0" w:after="0" w:afterAutospacing="0"/>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第二节</w:t>
            </w:r>
          </w:p>
          <w:p w14:paraId="6A5F14C5">
            <w:pPr>
              <w:keepNext w:val="0"/>
              <w:keepLines w:val="0"/>
              <w:suppressLineNumbers w:val="0"/>
              <w:adjustRightInd w:val="0"/>
              <w:snapToGrid w:val="0"/>
              <w:spacing w:before="0" w:beforeAutospacing="0" w:after="0" w:afterAutospacing="0"/>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第13.3款</w:t>
            </w:r>
          </w:p>
        </w:tc>
        <w:tc>
          <w:tcPr>
            <w:tcW w:w="1742" w:type="dxa"/>
            <w:noWrap w:val="0"/>
            <w:vAlign w:val="center"/>
          </w:tcPr>
          <w:p w14:paraId="377A3502">
            <w:pPr>
              <w:keepNext w:val="0"/>
              <w:keepLines w:val="0"/>
              <w:suppressLineNumbers w:val="0"/>
              <w:adjustRightInd w:val="0"/>
              <w:snapToGrid w:val="0"/>
              <w:spacing w:before="0" w:beforeAutospacing="0" w:after="0" w:afterAutospacing="0"/>
              <w:ind w:left="0" w:right="0"/>
              <w:jc w:val="left"/>
              <w:rPr>
                <w:rFonts w:hint="default" w:ascii="宋体" w:hAnsi="宋体" w:cs="Times New Roman"/>
                <w:color w:val="auto"/>
                <w:szCs w:val="21"/>
                <w:highlight w:val="none"/>
              </w:rPr>
            </w:pPr>
            <w:r>
              <w:rPr>
                <w:rFonts w:hint="eastAsia" w:ascii="宋体" w:hAnsi="宋体" w:cs="Times New Roman"/>
                <w:color w:val="auto"/>
                <w:szCs w:val="21"/>
                <w:highlight w:val="none"/>
              </w:rPr>
              <w:t>履约保证金退还时间及逾期退还的违约金</w:t>
            </w:r>
          </w:p>
        </w:tc>
        <w:tc>
          <w:tcPr>
            <w:tcW w:w="5170" w:type="dxa"/>
            <w:noWrap w:val="0"/>
            <w:vAlign w:val="center"/>
          </w:tcPr>
          <w:p w14:paraId="3C24E6AA">
            <w:pPr>
              <w:keepNext w:val="0"/>
              <w:keepLines w:val="0"/>
              <w:suppressLineNumbers w:val="0"/>
              <w:adjustRightInd w:val="0"/>
              <w:snapToGrid w:val="0"/>
              <w:spacing w:before="0" w:beforeAutospacing="0" w:after="0" w:afterAutospacing="0"/>
              <w:ind w:left="0" w:right="0"/>
              <w:jc w:val="left"/>
              <w:rPr>
                <w:rFonts w:hint="default" w:ascii="宋体" w:hAnsi="宋体" w:cs="Times New Roman"/>
                <w:color w:val="auto"/>
                <w:szCs w:val="21"/>
                <w:highlight w:val="none"/>
              </w:rPr>
            </w:pPr>
            <w:r>
              <w:rPr>
                <w:rFonts w:hint="eastAsia" w:ascii="宋体" w:hAnsi="宋体" w:cs="Times New Roman"/>
                <w:color w:val="auto"/>
                <w:szCs w:val="21"/>
                <w:highlight w:val="none"/>
              </w:rPr>
              <w:t>30个日历天，违约金： 。</w:t>
            </w:r>
          </w:p>
        </w:tc>
      </w:tr>
      <w:tr w14:paraId="7D7BCAD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jc w:val="center"/>
        </w:trPr>
        <w:tc>
          <w:tcPr>
            <w:tcW w:w="1607" w:type="dxa"/>
            <w:noWrap w:val="0"/>
            <w:vAlign w:val="center"/>
          </w:tcPr>
          <w:p w14:paraId="104B741D">
            <w:pPr>
              <w:keepNext w:val="0"/>
              <w:keepLines w:val="0"/>
              <w:suppressLineNumbers w:val="0"/>
              <w:adjustRightInd w:val="0"/>
              <w:snapToGrid w:val="0"/>
              <w:spacing w:before="0" w:beforeAutospacing="0" w:after="0" w:afterAutospacing="0"/>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第二节</w:t>
            </w:r>
          </w:p>
          <w:p w14:paraId="752384C0">
            <w:pPr>
              <w:keepNext w:val="0"/>
              <w:keepLines w:val="0"/>
              <w:suppressLineNumbers w:val="0"/>
              <w:adjustRightInd w:val="0"/>
              <w:snapToGrid w:val="0"/>
              <w:spacing w:before="0" w:beforeAutospacing="0" w:after="0" w:afterAutospacing="0"/>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第14.1（3）项</w:t>
            </w:r>
          </w:p>
        </w:tc>
        <w:tc>
          <w:tcPr>
            <w:tcW w:w="1742" w:type="dxa"/>
            <w:noWrap w:val="0"/>
            <w:vAlign w:val="center"/>
          </w:tcPr>
          <w:p w14:paraId="0FA34221">
            <w:pPr>
              <w:keepNext w:val="0"/>
              <w:keepLines w:val="0"/>
              <w:suppressLineNumbers w:val="0"/>
              <w:adjustRightInd w:val="0"/>
              <w:snapToGrid w:val="0"/>
              <w:spacing w:before="0" w:beforeAutospacing="0" w:after="0" w:afterAutospacing="0"/>
              <w:ind w:left="0" w:right="0"/>
              <w:jc w:val="left"/>
              <w:rPr>
                <w:rFonts w:hint="default" w:ascii="宋体" w:hAnsi="宋体" w:cs="Times New Roman"/>
                <w:color w:val="auto"/>
                <w:szCs w:val="21"/>
                <w:highlight w:val="none"/>
              </w:rPr>
            </w:pPr>
            <w:r>
              <w:rPr>
                <w:rFonts w:hint="eastAsia" w:ascii="宋体" w:hAnsi="宋体" w:cs="Times New Roman"/>
                <w:color w:val="auto"/>
                <w:szCs w:val="21"/>
                <w:highlight w:val="none"/>
              </w:rPr>
              <w:t>运行监督、维修期限</w:t>
            </w:r>
          </w:p>
        </w:tc>
        <w:tc>
          <w:tcPr>
            <w:tcW w:w="5170" w:type="dxa"/>
            <w:noWrap w:val="0"/>
            <w:vAlign w:val="center"/>
          </w:tcPr>
          <w:p w14:paraId="441951B5">
            <w:pPr>
              <w:keepNext w:val="0"/>
              <w:keepLines w:val="0"/>
              <w:suppressLineNumbers w:val="0"/>
              <w:adjustRightInd w:val="0"/>
              <w:snapToGrid w:val="0"/>
              <w:spacing w:before="0" w:beforeAutospacing="0" w:after="0" w:afterAutospacing="0"/>
              <w:ind w:left="0" w:right="0"/>
              <w:jc w:val="left"/>
              <w:rPr>
                <w:rFonts w:hint="default" w:ascii="宋体" w:hAnsi="宋体" w:eastAsia="宋体" w:cs="Times New Roman"/>
                <w:color w:val="auto"/>
                <w:szCs w:val="21"/>
                <w:highlight w:val="none"/>
                <w:lang w:val="en-US" w:eastAsia="zh-CN"/>
              </w:rPr>
            </w:pPr>
            <w:r>
              <w:rPr>
                <w:rFonts w:hint="eastAsia" w:ascii="宋体" w:hAnsi="宋体" w:cs="Times New Roman"/>
                <w:color w:val="auto"/>
                <w:szCs w:val="21"/>
                <w:highlight w:val="none"/>
                <w:lang w:val="en-US" w:eastAsia="zh-CN"/>
              </w:rPr>
              <w:t>与质保期一致</w:t>
            </w:r>
          </w:p>
        </w:tc>
      </w:tr>
      <w:tr w14:paraId="166ACA2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jc w:val="center"/>
        </w:trPr>
        <w:tc>
          <w:tcPr>
            <w:tcW w:w="1607" w:type="dxa"/>
            <w:noWrap w:val="0"/>
            <w:vAlign w:val="center"/>
          </w:tcPr>
          <w:p w14:paraId="345E8519">
            <w:pPr>
              <w:keepNext w:val="0"/>
              <w:keepLines w:val="0"/>
              <w:suppressLineNumbers w:val="0"/>
              <w:adjustRightInd w:val="0"/>
              <w:snapToGrid w:val="0"/>
              <w:spacing w:before="0" w:beforeAutospacing="0" w:after="0" w:afterAutospacing="0"/>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第二节</w:t>
            </w:r>
          </w:p>
          <w:p w14:paraId="19839535">
            <w:pPr>
              <w:keepNext w:val="0"/>
              <w:keepLines w:val="0"/>
              <w:suppressLineNumbers w:val="0"/>
              <w:adjustRightInd w:val="0"/>
              <w:snapToGrid w:val="0"/>
              <w:spacing w:before="0" w:beforeAutospacing="0" w:after="0" w:afterAutospacing="0"/>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第14.1（5）项</w:t>
            </w:r>
          </w:p>
        </w:tc>
        <w:tc>
          <w:tcPr>
            <w:tcW w:w="1742" w:type="dxa"/>
            <w:noWrap w:val="0"/>
            <w:vAlign w:val="center"/>
          </w:tcPr>
          <w:p w14:paraId="52C2DCF7">
            <w:pPr>
              <w:keepNext w:val="0"/>
              <w:keepLines w:val="0"/>
              <w:suppressLineNumbers w:val="0"/>
              <w:adjustRightInd w:val="0"/>
              <w:snapToGrid w:val="0"/>
              <w:spacing w:before="0" w:beforeAutospacing="0" w:after="0" w:afterAutospacing="0"/>
              <w:ind w:left="0" w:right="0"/>
              <w:jc w:val="left"/>
              <w:rPr>
                <w:rFonts w:hint="default" w:ascii="宋体" w:hAnsi="宋体" w:cs="Times New Roman"/>
                <w:color w:val="auto"/>
                <w:szCs w:val="21"/>
                <w:highlight w:val="none"/>
              </w:rPr>
            </w:pPr>
            <w:r>
              <w:rPr>
                <w:rFonts w:hint="eastAsia" w:ascii="宋体" w:hAnsi="宋体" w:cs="Times New Roman"/>
                <w:color w:val="auto"/>
                <w:szCs w:val="21"/>
                <w:highlight w:val="none"/>
              </w:rPr>
              <w:t>货物回收的约定</w:t>
            </w:r>
          </w:p>
        </w:tc>
        <w:tc>
          <w:tcPr>
            <w:tcW w:w="5170" w:type="dxa"/>
            <w:noWrap w:val="0"/>
            <w:vAlign w:val="center"/>
          </w:tcPr>
          <w:p w14:paraId="7EA2BBE8">
            <w:pPr>
              <w:keepNext w:val="0"/>
              <w:keepLines w:val="0"/>
              <w:suppressLineNumbers w:val="0"/>
              <w:adjustRightInd w:val="0"/>
              <w:snapToGrid w:val="0"/>
              <w:spacing w:before="0" w:beforeAutospacing="0" w:after="0" w:afterAutospacing="0"/>
              <w:ind w:left="0" w:right="0"/>
              <w:jc w:val="left"/>
              <w:rPr>
                <w:rFonts w:hint="default" w:ascii="宋体" w:hAnsi="宋体" w:cs="Times New Roman"/>
                <w:color w:val="auto"/>
                <w:szCs w:val="21"/>
                <w:highlight w:val="none"/>
              </w:rPr>
            </w:pPr>
            <w:r>
              <w:rPr>
                <w:rFonts w:hint="eastAsia" w:ascii="宋体" w:hAnsi="宋体" w:cs="Times New Roman"/>
                <w:color w:val="auto"/>
                <w:szCs w:val="21"/>
                <w:highlight w:val="none"/>
              </w:rPr>
              <w:t>不涉及</w:t>
            </w:r>
          </w:p>
        </w:tc>
      </w:tr>
      <w:tr w14:paraId="68691A6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jc w:val="center"/>
        </w:trPr>
        <w:tc>
          <w:tcPr>
            <w:tcW w:w="1607" w:type="dxa"/>
            <w:noWrap w:val="0"/>
            <w:vAlign w:val="center"/>
          </w:tcPr>
          <w:p w14:paraId="4B8D57F2">
            <w:pPr>
              <w:keepNext w:val="0"/>
              <w:keepLines w:val="0"/>
              <w:suppressLineNumbers w:val="0"/>
              <w:adjustRightInd w:val="0"/>
              <w:snapToGrid w:val="0"/>
              <w:spacing w:before="0" w:beforeAutospacing="0" w:after="0" w:afterAutospacing="0"/>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第二节</w:t>
            </w:r>
          </w:p>
          <w:p w14:paraId="5C421868">
            <w:pPr>
              <w:keepNext w:val="0"/>
              <w:keepLines w:val="0"/>
              <w:suppressLineNumbers w:val="0"/>
              <w:adjustRightInd w:val="0"/>
              <w:snapToGrid w:val="0"/>
              <w:spacing w:before="0" w:beforeAutospacing="0" w:after="0" w:afterAutospacing="0"/>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第14.1（6）项</w:t>
            </w:r>
          </w:p>
        </w:tc>
        <w:tc>
          <w:tcPr>
            <w:tcW w:w="1742" w:type="dxa"/>
            <w:noWrap w:val="0"/>
            <w:vAlign w:val="center"/>
          </w:tcPr>
          <w:p w14:paraId="235C38F6">
            <w:pPr>
              <w:keepNext w:val="0"/>
              <w:keepLines w:val="0"/>
              <w:suppressLineNumbers w:val="0"/>
              <w:adjustRightInd w:val="0"/>
              <w:snapToGrid w:val="0"/>
              <w:spacing w:before="0" w:beforeAutospacing="0" w:after="0" w:afterAutospacing="0"/>
              <w:ind w:left="0" w:right="0"/>
              <w:jc w:val="left"/>
              <w:rPr>
                <w:rFonts w:hint="default" w:ascii="宋体" w:hAnsi="宋体" w:cs="Times New Roman"/>
                <w:color w:val="auto"/>
                <w:szCs w:val="21"/>
                <w:highlight w:val="none"/>
              </w:rPr>
            </w:pPr>
            <w:r>
              <w:rPr>
                <w:rFonts w:hint="eastAsia" w:ascii="宋体" w:hAnsi="宋体" w:cs="Times New Roman"/>
                <w:color w:val="auto"/>
                <w:szCs w:val="21"/>
                <w:highlight w:val="none"/>
              </w:rPr>
              <w:t>乙方提供的其他服务</w:t>
            </w:r>
          </w:p>
        </w:tc>
        <w:tc>
          <w:tcPr>
            <w:tcW w:w="5170" w:type="dxa"/>
            <w:noWrap w:val="0"/>
            <w:vAlign w:val="center"/>
          </w:tcPr>
          <w:p w14:paraId="50074D35">
            <w:pPr>
              <w:keepNext w:val="0"/>
              <w:keepLines w:val="0"/>
              <w:suppressLineNumbers w:val="0"/>
              <w:adjustRightInd w:val="0"/>
              <w:snapToGrid w:val="0"/>
              <w:spacing w:before="0" w:beforeAutospacing="0" w:after="0" w:afterAutospacing="0"/>
              <w:ind w:left="0" w:right="0"/>
              <w:jc w:val="left"/>
              <w:rPr>
                <w:rFonts w:hint="default" w:ascii="宋体" w:hAnsi="宋体" w:cs="Times New Roman"/>
                <w:color w:val="auto"/>
                <w:szCs w:val="21"/>
                <w:highlight w:val="none"/>
              </w:rPr>
            </w:pPr>
            <w:r>
              <w:rPr>
                <w:rFonts w:hint="eastAsia" w:ascii="宋体" w:hAnsi="宋体" w:cs="Times New Roman"/>
                <w:color w:val="auto"/>
                <w:szCs w:val="21"/>
                <w:highlight w:val="none"/>
              </w:rPr>
              <w:t xml:space="preserve"> </w:t>
            </w:r>
          </w:p>
        </w:tc>
      </w:tr>
      <w:tr w14:paraId="1DB7CA6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jc w:val="center"/>
        </w:trPr>
        <w:tc>
          <w:tcPr>
            <w:tcW w:w="1607" w:type="dxa"/>
            <w:noWrap w:val="0"/>
            <w:vAlign w:val="center"/>
          </w:tcPr>
          <w:p w14:paraId="7348603D">
            <w:pPr>
              <w:keepNext w:val="0"/>
              <w:keepLines w:val="0"/>
              <w:suppressLineNumbers w:val="0"/>
              <w:adjustRightInd w:val="0"/>
              <w:snapToGrid w:val="0"/>
              <w:spacing w:before="0" w:beforeAutospacing="0" w:after="0" w:afterAutospacing="0"/>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第二节</w:t>
            </w:r>
          </w:p>
          <w:p w14:paraId="1AC4EBEB">
            <w:pPr>
              <w:keepNext w:val="0"/>
              <w:keepLines w:val="0"/>
              <w:suppressLineNumbers w:val="0"/>
              <w:adjustRightInd w:val="0"/>
              <w:snapToGrid w:val="0"/>
              <w:spacing w:before="0" w:beforeAutospacing="0" w:after="0" w:afterAutospacing="0"/>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第15.1款</w:t>
            </w:r>
          </w:p>
        </w:tc>
        <w:tc>
          <w:tcPr>
            <w:tcW w:w="1742" w:type="dxa"/>
            <w:noWrap w:val="0"/>
            <w:vAlign w:val="center"/>
          </w:tcPr>
          <w:p w14:paraId="440E134D">
            <w:pPr>
              <w:keepNext w:val="0"/>
              <w:keepLines w:val="0"/>
              <w:suppressLineNumbers w:val="0"/>
              <w:adjustRightInd w:val="0"/>
              <w:snapToGrid w:val="0"/>
              <w:spacing w:before="0" w:beforeAutospacing="0" w:after="0" w:afterAutospacing="0"/>
              <w:ind w:left="0" w:right="0"/>
              <w:jc w:val="left"/>
              <w:rPr>
                <w:rFonts w:hint="default" w:ascii="宋体" w:hAnsi="宋体" w:cs="Times New Roman"/>
                <w:color w:val="auto"/>
                <w:szCs w:val="21"/>
                <w:highlight w:val="none"/>
              </w:rPr>
            </w:pPr>
            <w:r>
              <w:rPr>
                <w:rFonts w:hint="eastAsia" w:ascii="宋体" w:hAnsi="宋体" w:cs="Times New Roman"/>
                <w:color w:val="auto"/>
                <w:szCs w:val="21"/>
                <w:highlight w:val="none"/>
              </w:rPr>
              <w:t>修理、重作、更换相关具体规定</w:t>
            </w:r>
          </w:p>
        </w:tc>
        <w:tc>
          <w:tcPr>
            <w:tcW w:w="5170" w:type="dxa"/>
            <w:noWrap w:val="0"/>
            <w:vAlign w:val="center"/>
          </w:tcPr>
          <w:p w14:paraId="7D999A12">
            <w:pPr>
              <w:keepNext w:val="0"/>
              <w:keepLines w:val="0"/>
              <w:suppressLineNumbers w:val="0"/>
              <w:adjustRightInd w:val="0"/>
              <w:snapToGrid w:val="0"/>
              <w:spacing w:before="0" w:beforeAutospacing="0" w:after="0" w:afterAutospacing="0"/>
              <w:ind w:left="0" w:right="0"/>
              <w:jc w:val="left"/>
              <w:rPr>
                <w:rFonts w:hint="default" w:ascii="宋体" w:hAnsi="宋体" w:cs="Times New Roman"/>
                <w:color w:val="auto"/>
                <w:szCs w:val="21"/>
                <w:highlight w:val="none"/>
              </w:rPr>
            </w:pPr>
            <w:r>
              <w:rPr>
                <w:rFonts w:hint="eastAsia" w:ascii="宋体" w:hAnsi="宋体" w:cs="Times New Roman"/>
                <w:color w:val="auto"/>
                <w:szCs w:val="21"/>
                <w:highlight w:val="none"/>
              </w:rPr>
              <w:t>乙方交货不符合合同质量标准，乙方必须重新提供符合质量标准的产品，由此造成的误期赔偿费按照前款约定执行。如卖方在甲方规定的时间内未能提供符合质量标准的产品，甲方有权终止合同，提请政府采购监管部门将乙方列入不良行为记录名单，在一至三年内禁止参加政府采购活动，同时要求入围供应商终止与卖方的采购协议。</w:t>
            </w:r>
          </w:p>
        </w:tc>
      </w:tr>
      <w:tr w14:paraId="7A075E4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jc w:val="center"/>
        </w:trPr>
        <w:tc>
          <w:tcPr>
            <w:tcW w:w="1607" w:type="dxa"/>
            <w:noWrap w:val="0"/>
            <w:vAlign w:val="center"/>
          </w:tcPr>
          <w:p w14:paraId="26618BCA">
            <w:pPr>
              <w:keepNext w:val="0"/>
              <w:keepLines w:val="0"/>
              <w:suppressLineNumbers w:val="0"/>
              <w:adjustRightInd w:val="0"/>
              <w:snapToGrid w:val="0"/>
              <w:spacing w:before="0" w:beforeAutospacing="0" w:after="0" w:afterAutospacing="0"/>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第二节</w:t>
            </w:r>
          </w:p>
          <w:p w14:paraId="7475AF36">
            <w:pPr>
              <w:keepNext w:val="0"/>
              <w:keepLines w:val="0"/>
              <w:suppressLineNumbers w:val="0"/>
              <w:adjustRightInd w:val="0"/>
              <w:snapToGrid w:val="0"/>
              <w:spacing w:before="0" w:beforeAutospacing="0" w:after="0" w:afterAutospacing="0"/>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第15.2（2）项</w:t>
            </w:r>
          </w:p>
        </w:tc>
        <w:tc>
          <w:tcPr>
            <w:tcW w:w="1742" w:type="dxa"/>
            <w:noWrap w:val="0"/>
            <w:vAlign w:val="center"/>
          </w:tcPr>
          <w:p w14:paraId="571C23AC">
            <w:pPr>
              <w:keepNext w:val="0"/>
              <w:keepLines w:val="0"/>
              <w:suppressLineNumbers w:val="0"/>
              <w:adjustRightInd w:val="0"/>
              <w:snapToGrid w:val="0"/>
              <w:spacing w:before="0" w:beforeAutospacing="0" w:after="0" w:afterAutospacing="0"/>
              <w:ind w:left="0" w:right="0"/>
              <w:jc w:val="left"/>
              <w:rPr>
                <w:rFonts w:hint="default" w:ascii="宋体" w:hAnsi="宋体" w:cs="Times New Roman"/>
                <w:color w:val="auto"/>
                <w:szCs w:val="21"/>
                <w:highlight w:val="none"/>
              </w:rPr>
            </w:pPr>
            <w:r>
              <w:rPr>
                <w:rFonts w:hint="eastAsia" w:ascii="宋体" w:hAnsi="宋体" w:cs="Times New Roman"/>
                <w:color w:val="auto"/>
                <w:szCs w:val="21"/>
                <w:highlight w:val="none"/>
              </w:rPr>
              <w:t>迟延交货赔偿费</w:t>
            </w:r>
          </w:p>
        </w:tc>
        <w:tc>
          <w:tcPr>
            <w:tcW w:w="5170" w:type="dxa"/>
            <w:noWrap w:val="0"/>
            <w:vAlign w:val="center"/>
          </w:tcPr>
          <w:p w14:paraId="6B60CB8B">
            <w:pPr>
              <w:keepNext w:val="0"/>
              <w:keepLines w:val="0"/>
              <w:suppressLineNumbers w:val="0"/>
              <w:adjustRightInd w:val="0"/>
              <w:snapToGrid w:val="0"/>
              <w:spacing w:before="0" w:beforeAutospacing="0" w:after="0" w:afterAutospacing="0"/>
              <w:ind w:left="0" w:right="0"/>
              <w:jc w:val="left"/>
              <w:rPr>
                <w:rFonts w:hint="default" w:ascii="宋体" w:hAnsi="宋体" w:cs="Times New Roman"/>
                <w:color w:val="auto"/>
                <w:szCs w:val="21"/>
                <w:highlight w:val="none"/>
              </w:rPr>
            </w:pPr>
            <w:r>
              <w:rPr>
                <w:rFonts w:hint="eastAsia" w:ascii="宋体" w:hAnsi="宋体" w:cs="Times New Roman"/>
                <w:color w:val="auto"/>
                <w:szCs w:val="21"/>
                <w:highlight w:val="none"/>
              </w:rPr>
              <w:t>（一）乙方供货期超过合同约定供货期限。如果乙方由于自身的原因未能按期履行完合同，乙方应给予甲方经济上的赔偿。其标准为按每延期一周收取合同金额的 0.05%，但误期赔偿费总额不得超过合同总额的 30%。</w:t>
            </w:r>
          </w:p>
          <w:p w14:paraId="65652E32">
            <w:pPr>
              <w:keepNext w:val="0"/>
              <w:keepLines w:val="0"/>
              <w:suppressLineNumbers w:val="0"/>
              <w:adjustRightInd w:val="0"/>
              <w:snapToGrid w:val="0"/>
              <w:spacing w:before="0" w:beforeAutospacing="0" w:after="0" w:afterAutospacing="0"/>
              <w:ind w:left="0" w:right="0"/>
              <w:jc w:val="left"/>
              <w:rPr>
                <w:rFonts w:hint="default" w:ascii="宋体" w:hAnsi="宋体" w:cs="Times New Roman"/>
                <w:color w:val="auto"/>
                <w:szCs w:val="21"/>
                <w:highlight w:val="none"/>
                <w:u w:val="single"/>
              </w:rPr>
            </w:pPr>
            <w:r>
              <w:rPr>
                <w:rFonts w:hint="eastAsia" w:ascii="宋体" w:hAnsi="宋体" w:cs="Times New Roman"/>
                <w:color w:val="auto"/>
                <w:szCs w:val="21"/>
                <w:highlight w:val="none"/>
              </w:rPr>
              <w:t>（二）乙方供货期内未能交货。乙方在履行合同过程中，如果遇到不能按时交货情况，应及时以书面形式将不能按期履行合同的理由、延误的时间通知甲方。甲方有权决定是否延长合同的履行时间或终止合同。如甲方同意延长合同的履行时间，乙方必须在甲方规定的时间内提供符合质量标准的产品，由此造成的误期赔偿费按照前款约定执行。</w:t>
            </w:r>
          </w:p>
        </w:tc>
      </w:tr>
      <w:tr w14:paraId="4111DE9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jc w:val="center"/>
        </w:trPr>
        <w:tc>
          <w:tcPr>
            <w:tcW w:w="1607" w:type="dxa"/>
            <w:noWrap w:val="0"/>
            <w:vAlign w:val="center"/>
          </w:tcPr>
          <w:p w14:paraId="7415A7F4">
            <w:pPr>
              <w:keepNext w:val="0"/>
              <w:keepLines w:val="0"/>
              <w:suppressLineNumbers w:val="0"/>
              <w:adjustRightInd w:val="0"/>
              <w:snapToGrid w:val="0"/>
              <w:spacing w:before="0" w:beforeAutospacing="0" w:after="0" w:afterAutospacing="0"/>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第二节</w:t>
            </w:r>
          </w:p>
          <w:p w14:paraId="369D8EF6">
            <w:pPr>
              <w:keepNext w:val="0"/>
              <w:keepLines w:val="0"/>
              <w:suppressLineNumbers w:val="0"/>
              <w:adjustRightInd w:val="0"/>
              <w:snapToGrid w:val="0"/>
              <w:spacing w:before="0" w:beforeAutospacing="0" w:after="0" w:afterAutospacing="0"/>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第15.3款</w:t>
            </w:r>
          </w:p>
        </w:tc>
        <w:tc>
          <w:tcPr>
            <w:tcW w:w="1742" w:type="dxa"/>
            <w:noWrap w:val="0"/>
            <w:vAlign w:val="center"/>
          </w:tcPr>
          <w:p w14:paraId="7ECA67A7">
            <w:pPr>
              <w:keepNext w:val="0"/>
              <w:keepLines w:val="0"/>
              <w:suppressLineNumbers w:val="0"/>
              <w:adjustRightInd w:val="0"/>
              <w:snapToGrid w:val="0"/>
              <w:spacing w:before="0" w:beforeAutospacing="0" w:after="0" w:afterAutospacing="0"/>
              <w:ind w:left="0" w:right="0"/>
              <w:jc w:val="left"/>
              <w:rPr>
                <w:rFonts w:hint="default" w:ascii="宋体" w:hAnsi="宋体" w:cs="Times New Roman"/>
                <w:color w:val="auto"/>
                <w:szCs w:val="21"/>
                <w:highlight w:val="none"/>
              </w:rPr>
            </w:pPr>
            <w:r>
              <w:rPr>
                <w:rFonts w:hint="eastAsia" w:ascii="宋体" w:hAnsi="宋体" w:cs="Times New Roman"/>
                <w:color w:val="auto"/>
                <w:szCs w:val="21"/>
                <w:highlight w:val="none"/>
              </w:rPr>
              <w:t>逾期付款利息</w:t>
            </w:r>
          </w:p>
        </w:tc>
        <w:tc>
          <w:tcPr>
            <w:tcW w:w="5170" w:type="dxa"/>
            <w:noWrap w:val="0"/>
            <w:vAlign w:val="center"/>
          </w:tcPr>
          <w:p w14:paraId="2DCD6831">
            <w:pPr>
              <w:keepNext w:val="0"/>
              <w:keepLines w:val="0"/>
              <w:suppressLineNumbers w:val="0"/>
              <w:adjustRightInd w:val="0"/>
              <w:snapToGrid w:val="0"/>
              <w:spacing w:before="0" w:beforeAutospacing="0" w:after="0" w:afterAutospacing="0"/>
              <w:ind w:left="0" w:right="0"/>
              <w:jc w:val="left"/>
              <w:rPr>
                <w:rFonts w:hint="default" w:ascii="宋体" w:hAnsi="宋体" w:cs="Times New Roman"/>
                <w:color w:val="auto"/>
                <w:szCs w:val="21"/>
                <w:highlight w:val="none"/>
                <w:u w:val="single"/>
              </w:rPr>
            </w:pPr>
            <w:r>
              <w:rPr>
                <w:rFonts w:hint="eastAsia" w:ascii="宋体" w:hAnsi="宋体" w:cs="Times New Roman"/>
                <w:color w:val="auto"/>
                <w:szCs w:val="21"/>
                <w:highlight w:val="none"/>
              </w:rPr>
              <w:t>迟延支付利息利率按照合同订立时一年期LPR执行</w:t>
            </w:r>
          </w:p>
        </w:tc>
      </w:tr>
      <w:tr w14:paraId="622C94D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876" w:hRule="atLeast"/>
          <w:jc w:val="center"/>
        </w:trPr>
        <w:tc>
          <w:tcPr>
            <w:tcW w:w="1607" w:type="dxa"/>
            <w:tcBorders>
              <w:bottom w:val="single" w:color="auto" w:sz="2" w:space="0"/>
              <w:right w:val="single" w:color="auto" w:sz="2" w:space="0"/>
            </w:tcBorders>
            <w:noWrap w:val="0"/>
            <w:vAlign w:val="center"/>
          </w:tcPr>
          <w:p w14:paraId="1A9DFA0B">
            <w:pPr>
              <w:keepNext w:val="0"/>
              <w:keepLines w:val="0"/>
              <w:suppressLineNumbers w:val="0"/>
              <w:adjustRightInd w:val="0"/>
              <w:snapToGrid w:val="0"/>
              <w:spacing w:before="0" w:beforeAutospacing="0" w:after="0" w:afterAutospacing="0"/>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第二节</w:t>
            </w:r>
          </w:p>
          <w:p w14:paraId="1A6B2400">
            <w:pPr>
              <w:keepNext w:val="0"/>
              <w:keepLines w:val="0"/>
              <w:suppressLineNumbers w:val="0"/>
              <w:adjustRightInd w:val="0"/>
              <w:snapToGrid w:val="0"/>
              <w:spacing w:before="0" w:beforeAutospacing="0" w:after="0" w:afterAutospacing="0"/>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第15.4款</w:t>
            </w:r>
          </w:p>
        </w:tc>
        <w:tc>
          <w:tcPr>
            <w:tcW w:w="1742" w:type="dxa"/>
            <w:tcBorders>
              <w:left w:val="single" w:color="auto" w:sz="2" w:space="0"/>
              <w:bottom w:val="single" w:color="auto" w:sz="2" w:space="0"/>
              <w:right w:val="single" w:color="auto" w:sz="2" w:space="0"/>
            </w:tcBorders>
            <w:noWrap w:val="0"/>
            <w:vAlign w:val="center"/>
          </w:tcPr>
          <w:p w14:paraId="172E7E45">
            <w:pPr>
              <w:keepNext w:val="0"/>
              <w:keepLines w:val="0"/>
              <w:suppressLineNumbers w:val="0"/>
              <w:adjustRightInd w:val="0"/>
              <w:snapToGrid w:val="0"/>
              <w:spacing w:before="0" w:beforeAutospacing="0" w:after="0" w:afterAutospacing="0"/>
              <w:ind w:left="0" w:right="0"/>
              <w:jc w:val="left"/>
              <w:rPr>
                <w:rFonts w:hint="default" w:ascii="宋体" w:hAnsi="宋体" w:cs="Times New Roman"/>
                <w:color w:val="auto"/>
                <w:szCs w:val="21"/>
                <w:highlight w:val="none"/>
              </w:rPr>
            </w:pPr>
            <w:r>
              <w:rPr>
                <w:rFonts w:hint="eastAsia" w:ascii="宋体" w:hAnsi="宋体" w:cs="Times New Roman"/>
                <w:color w:val="auto"/>
                <w:szCs w:val="21"/>
                <w:highlight w:val="none"/>
              </w:rPr>
              <w:t>其他违约责任</w:t>
            </w:r>
          </w:p>
        </w:tc>
        <w:tc>
          <w:tcPr>
            <w:tcW w:w="5170" w:type="dxa"/>
            <w:tcBorders>
              <w:left w:val="single" w:color="auto" w:sz="2" w:space="0"/>
              <w:bottom w:val="single" w:color="auto" w:sz="2" w:space="0"/>
            </w:tcBorders>
            <w:noWrap w:val="0"/>
            <w:vAlign w:val="center"/>
          </w:tcPr>
          <w:p w14:paraId="3A15FEE1">
            <w:pPr>
              <w:keepNext w:val="0"/>
              <w:keepLines w:val="0"/>
              <w:suppressLineNumbers w:val="0"/>
              <w:adjustRightInd w:val="0"/>
              <w:snapToGrid w:val="0"/>
              <w:spacing w:before="0" w:beforeAutospacing="0" w:after="0" w:afterAutospacing="0"/>
              <w:ind w:left="0" w:right="0"/>
              <w:jc w:val="left"/>
              <w:rPr>
                <w:rFonts w:hint="default" w:ascii="宋体" w:hAnsi="宋体" w:cs="Times New Roman"/>
                <w:color w:val="auto"/>
                <w:szCs w:val="21"/>
                <w:highlight w:val="none"/>
                <w:u w:val="single"/>
              </w:rPr>
            </w:pPr>
            <w:r>
              <w:rPr>
                <w:rFonts w:hint="eastAsia" w:ascii="宋体" w:hAnsi="宋体" w:cs="Times New Roman"/>
                <w:color w:val="auto"/>
                <w:szCs w:val="21"/>
                <w:highlight w:val="none"/>
              </w:rPr>
              <w:t>乙方对甲方的故障保修不及时响应到位的，应按每逾期一日，向甲方支付合同金额的1</w:t>
            </w:r>
            <w:r>
              <w:rPr>
                <w:rFonts w:hint="default" w:ascii="Arial" w:hAnsi="Arial" w:cs="Arial"/>
                <w:color w:val="auto"/>
                <w:szCs w:val="21"/>
                <w:highlight w:val="none"/>
              </w:rPr>
              <w:t>‰</w:t>
            </w:r>
            <w:r>
              <w:rPr>
                <w:rFonts w:hint="eastAsia" w:ascii="宋体" w:hAnsi="宋体" w:cs="Times New Roman"/>
                <w:color w:val="auto"/>
                <w:szCs w:val="21"/>
                <w:highlight w:val="none"/>
              </w:rPr>
              <w:t>违约金。逾期超过一个月视为乙方严重违约，甲方有权解除合同，要求乙方放还已付款项，并支付合同总金额的10%作为违约金。乙方应在解除合同通知后之日起5个工作日内将设备收回，否则甲方有权自行处置，包括但不限于丢弃、变卖，由此造成的损失由乙方自行承担。</w:t>
            </w:r>
          </w:p>
        </w:tc>
      </w:tr>
      <w:tr w14:paraId="346CF18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1607" w:type="dxa"/>
            <w:tcBorders>
              <w:top w:val="single" w:color="auto" w:sz="2" w:space="0"/>
              <w:right w:val="single" w:color="auto" w:sz="2" w:space="0"/>
            </w:tcBorders>
            <w:noWrap w:val="0"/>
            <w:vAlign w:val="center"/>
          </w:tcPr>
          <w:p w14:paraId="17330065">
            <w:pPr>
              <w:keepNext w:val="0"/>
              <w:keepLines w:val="0"/>
              <w:suppressLineNumbers w:val="0"/>
              <w:adjustRightInd w:val="0"/>
              <w:snapToGrid w:val="0"/>
              <w:spacing w:before="0" w:beforeAutospacing="0" w:after="0" w:afterAutospacing="0"/>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第二节</w:t>
            </w:r>
          </w:p>
          <w:p w14:paraId="7B4CEEE1">
            <w:pPr>
              <w:keepNext w:val="0"/>
              <w:keepLines w:val="0"/>
              <w:suppressLineNumbers w:val="0"/>
              <w:adjustRightInd w:val="0"/>
              <w:snapToGrid w:val="0"/>
              <w:spacing w:before="0" w:beforeAutospacing="0" w:after="0" w:afterAutospacing="0"/>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第19.2款</w:t>
            </w:r>
          </w:p>
        </w:tc>
        <w:tc>
          <w:tcPr>
            <w:tcW w:w="1742" w:type="dxa"/>
            <w:tcBorders>
              <w:top w:val="single" w:color="auto" w:sz="2" w:space="0"/>
              <w:left w:val="single" w:color="auto" w:sz="2" w:space="0"/>
              <w:right w:val="single" w:color="auto" w:sz="2" w:space="0"/>
            </w:tcBorders>
            <w:noWrap w:val="0"/>
            <w:vAlign w:val="center"/>
          </w:tcPr>
          <w:p w14:paraId="691D1FBC">
            <w:pPr>
              <w:keepNext w:val="0"/>
              <w:keepLines w:val="0"/>
              <w:suppressLineNumbers w:val="0"/>
              <w:adjustRightInd w:val="0"/>
              <w:snapToGrid w:val="0"/>
              <w:spacing w:before="0" w:beforeAutospacing="0" w:after="0" w:afterAutospacing="0"/>
              <w:ind w:left="0" w:right="0"/>
              <w:jc w:val="left"/>
              <w:rPr>
                <w:rFonts w:hint="default" w:ascii="宋体" w:hAnsi="宋体" w:cs="Times New Roman"/>
                <w:color w:val="auto"/>
                <w:szCs w:val="21"/>
                <w:highlight w:val="none"/>
              </w:rPr>
            </w:pPr>
            <w:r>
              <w:rPr>
                <w:rFonts w:hint="eastAsia" w:ascii="宋体" w:hAnsi="宋体" w:cs="Times New Roman"/>
                <w:color w:val="auto"/>
                <w:szCs w:val="21"/>
                <w:highlight w:val="none"/>
              </w:rPr>
              <w:t>解决争议的方法</w:t>
            </w:r>
          </w:p>
        </w:tc>
        <w:tc>
          <w:tcPr>
            <w:tcW w:w="5170" w:type="dxa"/>
            <w:tcBorders>
              <w:top w:val="single" w:color="auto" w:sz="2" w:space="0"/>
              <w:left w:val="single" w:color="auto" w:sz="2" w:space="0"/>
            </w:tcBorders>
            <w:noWrap w:val="0"/>
            <w:vAlign w:val="center"/>
          </w:tcPr>
          <w:p w14:paraId="48D894D9">
            <w:pPr>
              <w:keepNext w:val="0"/>
              <w:keepLines w:val="0"/>
              <w:suppressLineNumbers w:val="0"/>
              <w:autoSpaceDE w:val="0"/>
              <w:autoSpaceDN w:val="0"/>
              <w:adjustRightInd w:val="0"/>
              <w:snapToGrid w:val="0"/>
              <w:spacing w:before="0" w:beforeAutospacing="0" w:after="0" w:afterAutospacing="0" w:line="400" w:lineRule="exact"/>
              <w:ind w:left="0" w:right="0"/>
              <w:jc w:val="left"/>
              <w:rPr>
                <w:rFonts w:hint="default" w:ascii="宋体" w:hAnsi="宋体" w:cs="宋体"/>
                <w:iCs/>
                <w:color w:val="auto"/>
                <w:szCs w:val="21"/>
                <w:highlight w:val="none"/>
              </w:rPr>
            </w:pPr>
            <w:r>
              <w:rPr>
                <w:rFonts w:hint="eastAsia" w:ascii="宋体" w:hAnsi="宋体" w:cs="宋体"/>
                <w:iCs/>
                <w:color w:val="auto"/>
                <w:szCs w:val="21"/>
                <w:highlight w:val="none"/>
              </w:rPr>
              <w:t>因本合同及合同有关事项发生的争议，按下列第</w:t>
            </w:r>
            <w:r>
              <w:rPr>
                <w:rFonts w:hint="eastAsia" w:ascii="宋体" w:hAnsi="宋体" w:cs="宋体"/>
                <w:iCs/>
                <w:color w:val="auto"/>
                <w:szCs w:val="21"/>
                <w:highlight w:val="none"/>
                <w:u w:val="single"/>
              </w:rPr>
              <w:t>2</w:t>
            </w:r>
            <w:r>
              <w:rPr>
                <w:rFonts w:hint="eastAsia" w:ascii="宋体" w:hAnsi="宋体" w:cs="宋体"/>
                <w:iCs/>
                <w:color w:val="auto"/>
                <w:szCs w:val="21"/>
                <w:highlight w:val="none"/>
              </w:rPr>
              <w:t>种方式解决：</w:t>
            </w:r>
          </w:p>
          <w:p w14:paraId="4768C2EC">
            <w:pPr>
              <w:keepNext w:val="0"/>
              <w:keepLines w:val="0"/>
              <w:suppressLineNumbers w:val="0"/>
              <w:autoSpaceDE w:val="0"/>
              <w:autoSpaceDN w:val="0"/>
              <w:adjustRightInd w:val="0"/>
              <w:snapToGrid w:val="0"/>
              <w:spacing w:before="0" w:beforeAutospacing="0" w:after="0" w:afterAutospacing="0" w:line="400" w:lineRule="exact"/>
              <w:ind w:left="0" w:right="0"/>
              <w:jc w:val="left"/>
              <w:rPr>
                <w:rFonts w:hint="default" w:ascii="宋体" w:hAnsi="宋体" w:cs="宋体"/>
                <w:iCs/>
                <w:color w:val="auto"/>
                <w:szCs w:val="21"/>
                <w:highlight w:val="none"/>
              </w:rPr>
            </w:pPr>
            <w:r>
              <w:rPr>
                <w:rFonts w:hint="eastAsia" w:ascii="宋体" w:hAnsi="宋体" w:cs="宋体"/>
                <w:iCs/>
                <w:color w:val="auto"/>
                <w:szCs w:val="21"/>
                <w:highlight w:val="none"/>
              </w:rPr>
              <w:t>（1）向</w:t>
            </w:r>
            <w:r>
              <w:rPr>
                <w:rFonts w:hint="eastAsia" w:ascii="宋体" w:hAnsi="宋体" w:cs="宋体"/>
                <w:iCs/>
                <w:color w:val="auto"/>
                <w:szCs w:val="21"/>
                <w:highlight w:val="none"/>
                <w:u w:val="single"/>
              </w:rPr>
              <w:t xml:space="preserve">                    </w:t>
            </w:r>
            <w:r>
              <w:rPr>
                <w:rFonts w:hint="eastAsia" w:ascii="宋体" w:hAnsi="宋体" w:cs="宋体"/>
                <w:iCs/>
                <w:color w:val="auto"/>
                <w:szCs w:val="21"/>
                <w:highlight w:val="none"/>
              </w:rPr>
              <w:t>仲裁委员会申请仲裁，仲裁地点为</w:t>
            </w:r>
            <w:r>
              <w:rPr>
                <w:rFonts w:hint="eastAsia" w:ascii="宋体" w:hAnsi="宋体" w:cs="宋体"/>
                <w:iCs/>
                <w:color w:val="auto"/>
                <w:szCs w:val="21"/>
                <w:highlight w:val="none"/>
                <w:u w:val="single"/>
              </w:rPr>
              <w:t xml:space="preserve">           </w:t>
            </w:r>
            <w:r>
              <w:rPr>
                <w:rFonts w:hint="eastAsia" w:ascii="宋体" w:hAnsi="宋体" w:cs="宋体"/>
                <w:iCs/>
                <w:color w:val="auto"/>
                <w:szCs w:val="21"/>
                <w:highlight w:val="none"/>
              </w:rPr>
              <w:t>；</w:t>
            </w:r>
          </w:p>
          <w:p w14:paraId="6F225E1B">
            <w:pPr>
              <w:keepNext w:val="0"/>
              <w:keepLines w:val="0"/>
              <w:suppressLineNumbers w:val="0"/>
              <w:adjustRightInd w:val="0"/>
              <w:snapToGrid w:val="0"/>
              <w:spacing w:before="0" w:beforeAutospacing="0" w:after="0" w:afterAutospacing="0"/>
              <w:ind w:left="0" w:right="0"/>
              <w:jc w:val="left"/>
              <w:rPr>
                <w:rFonts w:hint="default" w:ascii="宋体" w:hAnsi="宋体" w:cs="Times New Roman"/>
                <w:color w:val="auto"/>
                <w:szCs w:val="21"/>
                <w:highlight w:val="none"/>
                <w:u w:val="single"/>
              </w:rPr>
            </w:pPr>
            <w:r>
              <w:rPr>
                <w:rFonts w:hint="eastAsia" w:ascii="宋体" w:hAnsi="宋体" w:cs="宋体"/>
                <w:iCs/>
                <w:color w:val="auto"/>
                <w:szCs w:val="21"/>
                <w:highlight w:val="none"/>
              </w:rPr>
              <w:t>（2）向</w:t>
            </w:r>
            <w:r>
              <w:rPr>
                <w:rFonts w:hint="eastAsia" w:ascii="宋体" w:hAnsi="宋体" w:cs="宋体"/>
                <w:iCs/>
                <w:color w:val="auto"/>
                <w:szCs w:val="21"/>
                <w:highlight w:val="none"/>
                <w:u w:val="single"/>
              </w:rPr>
              <w:t xml:space="preserve"> 项目所在地</w:t>
            </w:r>
            <w:r>
              <w:rPr>
                <w:rFonts w:hint="eastAsia" w:ascii="宋体" w:hAnsi="宋体" w:cs="宋体"/>
                <w:iCs/>
                <w:color w:val="auto"/>
                <w:szCs w:val="21"/>
                <w:highlight w:val="none"/>
                <w:u w:val="single"/>
                <w:lang w:val="en-US" w:eastAsia="zh-CN"/>
              </w:rPr>
              <w:t xml:space="preserve"> </w:t>
            </w:r>
            <w:r>
              <w:rPr>
                <w:rFonts w:hint="eastAsia" w:ascii="宋体" w:hAnsi="宋体" w:cs="宋体"/>
                <w:iCs/>
                <w:color w:val="auto"/>
                <w:szCs w:val="21"/>
                <w:highlight w:val="none"/>
              </w:rPr>
              <w:t>人民法院起诉。</w:t>
            </w:r>
          </w:p>
        </w:tc>
      </w:tr>
      <w:tr w14:paraId="06847B8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0" w:hRule="atLeast"/>
          <w:jc w:val="center"/>
        </w:trPr>
        <w:tc>
          <w:tcPr>
            <w:tcW w:w="1607" w:type="dxa"/>
            <w:noWrap w:val="0"/>
            <w:vAlign w:val="center"/>
          </w:tcPr>
          <w:p w14:paraId="17EEDF9D">
            <w:pPr>
              <w:keepNext w:val="0"/>
              <w:keepLines w:val="0"/>
              <w:suppressLineNumbers w:val="0"/>
              <w:adjustRightInd w:val="0"/>
              <w:snapToGrid w:val="0"/>
              <w:spacing w:before="0" w:beforeAutospacing="0" w:after="0" w:afterAutospacing="0"/>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第二节</w:t>
            </w:r>
          </w:p>
          <w:p w14:paraId="429ED8D2">
            <w:pPr>
              <w:keepNext w:val="0"/>
              <w:keepLines w:val="0"/>
              <w:suppressLineNumbers w:val="0"/>
              <w:adjustRightInd w:val="0"/>
              <w:snapToGrid w:val="0"/>
              <w:spacing w:before="0" w:beforeAutospacing="0" w:after="0" w:afterAutospacing="0"/>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第23.1款</w:t>
            </w:r>
          </w:p>
        </w:tc>
        <w:tc>
          <w:tcPr>
            <w:tcW w:w="1742" w:type="dxa"/>
            <w:noWrap w:val="0"/>
            <w:vAlign w:val="center"/>
          </w:tcPr>
          <w:p w14:paraId="4EA1E225">
            <w:pPr>
              <w:keepNext w:val="0"/>
              <w:keepLines w:val="0"/>
              <w:suppressLineNumbers w:val="0"/>
              <w:adjustRightInd w:val="0"/>
              <w:snapToGrid w:val="0"/>
              <w:spacing w:before="0" w:beforeAutospacing="0" w:after="0" w:afterAutospacing="0"/>
              <w:ind w:left="0" w:right="0"/>
              <w:jc w:val="left"/>
              <w:rPr>
                <w:rFonts w:hint="default" w:ascii="宋体" w:hAnsi="宋体" w:cs="Times New Roman"/>
                <w:color w:val="auto"/>
                <w:szCs w:val="21"/>
                <w:highlight w:val="none"/>
              </w:rPr>
            </w:pPr>
            <w:r>
              <w:rPr>
                <w:rFonts w:hint="eastAsia" w:ascii="宋体" w:hAnsi="宋体" w:cs="Times New Roman"/>
                <w:bCs/>
                <w:color w:val="auto"/>
                <w:szCs w:val="21"/>
                <w:highlight w:val="none"/>
              </w:rPr>
              <w:t>其他专用条款</w:t>
            </w:r>
          </w:p>
        </w:tc>
        <w:tc>
          <w:tcPr>
            <w:tcW w:w="5170" w:type="dxa"/>
            <w:noWrap w:val="0"/>
            <w:vAlign w:val="center"/>
          </w:tcPr>
          <w:p w14:paraId="29450043">
            <w:pPr>
              <w:keepNext w:val="0"/>
              <w:keepLines w:val="0"/>
              <w:suppressLineNumbers w:val="0"/>
              <w:adjustRightInd w:val="0"/>
              <w:snapToGrid w:val="0"/>
              <w:spacing w:before="0" w:beforeAutospacing="0" w:after="0" w:afterAutospacing="0"/>
              <w:ind w:left="0" w:right="0"/>
              <w:jc w:val="left"/>
              <w:rPr>
                <w:rFonts w:hint="default" w:ascii="宋体" w:hAnsi="宋体" w:cs="Times New Roman"/>
                <w:color w:val="auto"/>
                <w:szCs w:val="21"/>
                <w:highlight w:val="none"/>
              </w:rPr>
            </w:pPr>
          </w:p>
        </w:tc>
      </w:tr>
    </w:tbl>
    <w:p w14:paraId="715FA329">
      <w:pPr>
        <w:keepNext/>
        <w:keepLines/>
        <w:spacing w:before="260" w:after="260" w:line="416" w:lineRule="auto"/>
        <w:outlineLvl w:val="1"/>
        <w:rPr>
          <w:rFonts w:ascii="Cambria" w:hAnsi="Cambria" w:eastAsia="仿宋"/>
          <w:b/>
          <w:bCs/>
          <w:color w:val="auto"/>
          <w:sz w:val="24"/>
          <w:highlight w:val="none"/>
        </w:rPr>
      </w:pPr>
      <w:r>
        <w:rPr>
          <w:rFonts w:hint="eastAsia" w:ascii="Cambria" w:hAnsi="Cambria" w:eastAsia="仿宋"/>
          <w:b/>
          <w:bCs/>
          <w:color w:val="auto"/>
          <w:sz w:val="24"/>
          <w:highlight w:val="none"/>
        </w:rPr>
        <w:t>附件：履约保证金格式</w:t>
      </w:r>
    </w:p>
    <w:p w14:paraId="002E8FD0">
      <w:pPr>
        <w:autoSpaceDE w:val="0"/>
        <w:autoSpaceDN w:val="0"/>
        <w:adjustRightInd w:val="0"/>
        <w:spacing w:line="360" w:lineRule="auto"/>
        <w:contextualSpacing/>
        <w:jc w:val="center"/>
        <w:rPr>
          <w:rFonts w:ascii="黑体" w:hAnsi="黑体" w:eastAsia="黑体" w:cs="Microsoft JhengHei"/>
          <w:color w:val="auto"/>
          <w:kern w:val="0"/>
          <w:position w:val="-5"/>
          <w:sz w:val="24"/>
          <w:highlight w:val="none"/>
        </w:rPr>
      </w:pPr>
      <w:r>
        <w:rPr>
          <w:rFonts w:hint="eastAsia" w:ascii="黑体" w:hAnsi="黑体" w:eastAsia="黑体" w:cs="Microsoft JhengHei"/>
          <w:color w:val="auto"/>
          <w:kern w:val="0"/>
          <w:position w:val="-5"/>
          <w:sz w:val="24"/>
          <w:highlight w:val="none"/>
        </w:rPr>
        <w:t>履约保函</w:t>
      </w:r>
    </w:p>
    <w:p w14:paraId="760D17B1">
      <w:pPr>
        <w:spacing w:line="360" w:lineRule="auto"/>
        <w:ind w:right="2974" w:rightChars="1416"/>
        <w:jc w:val="right"/>
        <w:rPr>
          <w:rFonts w:ascii="宋体" w:hAnsi="宋体" w:eastAsia="仿宋"/>
          <w:color w:val="auto"/>
          <w:sz w:val="24"/>
          <w:highlight w:val="none"/>
        </w:rPr>
      </w:pPr>
      <w:r>
        <w:rPr>
          <w:rFonts w:hint="eastAsia" w:ascii="宋体" w:hAnsi="宋体" w:eastAsia="仿宋"/>
          <w:color w:val="auto"/>
          <w:sz w:val="24"/>
          <w:highlight w:val="none"/>
        </w:rPr>
        <w:t xml:space="preserve">编号：             </w:t>
      </w:r>
    </w:p>
    <w:p w14:paraId="41ED76F1">
      <w:pPr>
        <w:snapToGrid w:val="0"/>
        <w:spacing w:line="360" w:lineRule="auto"/>
        <w:rPr>
          <w:rFonts w:ascii="宋体" w:hAnsi="宋体" w:eastAsia="仿宋" w:cs="宋体"/>
          <w:color w:val="auto"/>
          <w:sz w:val="24"/>
          <w:highlight w:val="none"/>
        </w:rPr>
      </w:pPr>
      <w:r>
        <w:rPr>
          <w:rFonts w:hint="eastAsia" w:ascii="宋体" w:hAnsi="宋体" w:eastAsia="仿宋" w:cs="宋体"/>
          <w:color w:val="auto"/>
          <w:sz w:val="24"/>
          <w:highlight w:val="none"/>
        </w:rPr>
        <w:t>致受益人</w:t>
      </w:r>
      <w:r>
        <w:rPr>
          <w:rFonts w:hint="eastAsia" w:ascii="宋体" w:hAnsi="宋体" w:eastAsia="仿宋" w:cs="宋体"/>
          <w:color w:val="auto"/>
          <w:sz w:val="24"/>
          <w:highlight w:val="none"/>
          <w:u w:val="single"/>
        </w:rPr>
        <w:t xml:space="preserve"> </w:t>
      </w:r>
      <w:r>
        <w:rPr>
          <w:rFonts w:ascii="宋体" w:hAnsi="宋体" w:eastAsia="仿宋" w:cs="宋体"/>
          <w:color w:val="auto"/>
          <w:sz w:val="24"/>
          <w:highlight w:val="none"/>
          <w:u w:val="single"/>
        </w:rPr>
        <w:t xml:space="preserve">                      </w:t>
      </w:r>
      <w:r>
        <w:rPr>
          <w:rFonts w:hint="eastAsia" w:ascii="宋体" w:hAnsi="宋体" w:eastAsia="仿宋" w:cs="宋体"/>
          <w:color w:val="auto"/>
          <w:sz w:val="24"/>
          <w:highlight w:val="none"/>
        </w:rPr>
        <w:t>：</w:t>
      </w:r>
    </w:p>
    <w:p w14:paraId="32F7B137">
      <w:pPr>
        <w:snapToGrid w:val="0"/>
        <w:spacing w:line="360" w:lineRule="auto"/>
        <w:ind w:firstLine="480" w:firstLineChars="200"/>
        <w:jc w:val="left"/>
        <w:rPr>
          <w:rFonts w:ascii="宋体" w:hAnsi="宋体" w:eastAsia="仿宋" w:cs="宋体"/>
          <w:b/>
          <w:bCs/>
          <w:color w:val="auto"/>
          <w:sz w:val="24"/>
          <w:highlight w:val="none"/>
        </w:rPr>
      </w:pPr>
      <w:r>
        <w:rPr>
          <w:rFonts w:hint="eastAsia" w:ascii="宋体" w:hAnsi="宋体" w:eastAsia="仿宋" w:cs="宋体"/>
          <w:color w:val="auto"/>
          <w:sz w:val="24"/>
          <w:highlight w:val="none"/>
        </w:rPr>
        <w:t>因</w:t>
      </w:r>
      <w:r>
        <w:rPr>
          <w:rFonts w:hint="eastAsia" w:ascii="宋体" w:hAnsi="宋体" w:eastAsia="仿宋" w:cs="宋体"/>
          <w:color w:val="auto"/>
          <w:sz w:val="24"/>
          <w:highlight w:val="none"/>
          <w:u w:val="single"/>
        </w:rPr>
        <w:t xml:space="preserve"> </w:t>
      </w:r>
      <w:r>
        <w:rPr>
          <w:rFonts w:ascii="宋体" w:hAnsi="宋体" w:eastAsia="仿宋" w:cs="宋体"/>
          <w:color w:val="auto"/>
          <w:sz w:val="24"/>
          <w:highlight w:val="none"/>
          <w:u w:val="single"/>
        </w:rPr>
        <w:t xml:space="preserve">               </w:t>
      </w:r>
      <w:r>
        <w:rPr>
          <w:rFonts w:hint="eastAsia" w:ascii="宋体" w:hAnsi="宋体" w:eastAsia="仿宋" w:cs="宋体"/>
          <w:color w:val="auto"/>
          <w:sz w:val="24"/>
          <w:highlight w:val="none"/>
        </w:rPr>
        <w:t>（下称“被保证人”，地址：</w:t>
      </w:r>
      <w:r>
        <w:rPr>
          <w:rFonts w:hint="eastAsia" w:ascii="宋体" w:hAnsi="宋体" w:eastAsia="仿宋" w:cs="宋体"/>
          <w:color w:val="auto"/>
          <w:sz w:val="24"/>
          <w:highlight w:val="none"/>
          <w:u w:val="single"/>
        </w:rPr>
        <w:t xml:space="preserve"> </w:t>
      </w:r>
      <w:r>
        <w:rPr>
          <w:rFonts w:ascii="宋体" w:hAnsi="宋体" w:eastAsia="仿宋" w:cs="宋体"/>
          <w:color w:val="auto"/>
          <w:sz w:val="24"/>
          <w:highlight w:val="none"/>
          <w:u w:val="single"/>
        </w:rPr>
        <w:t xml:space="preserve">             </w:t>
      </w:r>
      <w:r>
        <w:rPr>
          <w:rFonts w:hint="eastAsia" w:ascii="宋体" w:hAnsi="宋体" w:eastAsia="仿宋" w:cs="宋体"/>
          <w:color w:val="auto"/>
          <w:sz w:val="24"/>
          <w:highlight w:val="none"/>
        </w:rPr>
        <w:t>）与你方签订了</w:t>
      </w:r>
      <w:r>
        <w:rPr>
          <w:rFonts w:hint="eastAsia" w:ascii="宋体" w:hAnsi="宋体" w:eastAsia="仿宋" w:cs="宋体"/>
          <w:color w:val="auto"/>
          <w:sz w:val="24"/>
          <w:highlight w:val="none"/>
          <w:u w:val="single"/>
        </w:rPr>
        <w:t xml:space="preserve"> </w:t>
      </w:r>
      <w:r>
        <w:rPr>
          <w:rFonts w:ascii="宋体" w:hAnsi="宋体" w:eastAsia="仿宋" w:cs="宋体"/>
          <w:color w:val="auto"/>
          <w:sz w:val="24"/>
          <w:highlight w:val="none"/>
          <w:u w:val="single"/>
        </w:rPr>
        <w:t xml:space="preserve">   </w:t>
      </w:r>
      <w:r>
        <w:rPr>
          <w:rFonts w:hint="eastAsia" w:ascii="宋体" w:hAnsi="宋体" w:eastAsia="仿宋" w:cs="宋体"/>
          <w:color w:val="auto"/>
          <w:sz w:val="24"/>
          <w:highlight w:val="none"/>
          <w:u w:val="single"/>
        </w:rPr>
        <w:t xml:space="preserve">    </w:t>
      </w:r>
      <w:r>
        <w:rPr>
          <w:rFonts w:ascii="宋体" w:hAnsi="宋体" w:eastAsia="仿宋" w:cs="宋体"/>
          <w:color w:val="auto"/>
          <w:sz w:val="24"/>
          <w:highlight w:val="none"/>
          <w:u w:val="single"/>
        </w:rPr>
        <w:t xml:space="preserve">   </w:t>
      </w:r>
      <w:r>
        <w:rPr>
          <w:rFonts w:hint="eastAsia" w:ascii="宋体" w:hAnsi="宋体" w:eastAsia="仿宋" w:cs="宋体"/>
          <w:color w:val="auto"/>
          <w:sz w:val="24"/>
          <w:highlight w:val="none"/>
        </w:rPr>
        <w:t>项目合同（项目编号：</w:t>
      </w:r>
      <w:r>
        <w:rPr>
          <w:rFonts w:hint="eastAsia" w:ascii="宋体" w:hAnsi="宋体" w:eastAsia="仿宋" w:cs="宋体"/>
          <w:color w:val="auto"/>
          <w:sz w:val="24"/>
          <w:highlight w:val="none"/>
          <w:u w:val="single"/>
        </w:rPr>
        <w:t xml:space="preserve"> </w:t>
      </w:r>
      <w:r>
        <w:rPr>
          <w:rFonts w:ascii="宋体" w:hAnsi="宋体" w:eastAsia="仿宋" w:cs="宋体"/>
          <w:color w:val="auto"/>
          <w:sz w:val="24"/>
          <w:highlight w:val="none"/>
          <w:u w:val="single"/>
        </w:rPr>
        <w:t xml:space="preserve">               </w:t>
      </w:r>
      <w:r>
        <w:rPr>
          <w:rFonts w:hint="eastAsia" w:ascii="宋体" w:hAnsi="宋体" w:eastAsia="仿宋" w:cs="宋体"/>
          <w:color w:val="auto"/>
          <w:sz w:val="24"/>
          <w:highlight w:val="none"/>
        </w:rPr>
        <w:t>），我方愿就被保证人履行上述合同的义务向你方提供如下保证：</w:t>
      </w:r>
    </w:p>
    <w:p w14:paraId="37AF3DBB">
      <w:pPr>
        <w:numPr>
          <w:ilvl w:val="0"/>
          <w:numId w:val="14"/>
        </w:numPr>
        <w:snapToGrid w:val="0"/>
        <w:spacing w:line="360" w:lineRule="auto"/>
        <w:ind w:firstLine="480" w:firstLineChars="200"/>
        <w:rPr>
          <w:rFonts w:ascii="宋体" w:hAnsi="宋体" w:eastAsia="仿宋" w:cs="宋体"/>
          <w:color w:val="auto"/>
          <w:sz w:val="24"/>
          <w:highlight w:val="none"/>
        </w:rPr>
      </w:pPr>
      <w:r>
        <w:rPr>
          <w:rFonts w:hint="eastAsia" w:ascii="宋体" w:hAnsi="宋体" w:eastAsia="仿宋" w:cs="宋体"/>
          <w:color w:val="auto"/>
          <w:sz w:val="24"/>
          <w:highlight w:val="none"/>
        </w:rPr>
        <w:t>本保函项下我方承担的保证责任最高限额（下称“担保金额”）为(币种金额、大写)</w:t>
      </w:r>
      <w:r>
        <w:rPr>
          <w:rFonts w:hint="eastAsia" w:ascii="宋体" w:hAnsi="宋体" w:eastAsia="仿宋" w:cs="宋体"/>
          <w:color w:val="auto"/>
          <w:sz w:val="24"/>
          <w:highlight w:val="none"/>
          <w:u w:val="single"/>
        </w:rPr>
        <w:t>人民币</w:t>
      </w:r>
      <w:r>
        <w:rPr>
          <w:rFonts w:ascii="宋体" w:hAnsi="宋体" w:eastAsia="仿宋" w:cs="宋体"/>
          <w:color w:val="auto"/>
          <w:sz w:val="24"/>
          <w:highlight w:val="none"/>
          <w:u w:val="single"/>
        </w:rPr>
        <w:t xml:space="preserve">     </w:t>
      </w:r>
      <w:r>
        <w:rPr>
          <w:rFonts w:hint="eastAsia" w:ascii="宋体" w:hAnsi="宋体" w:eastAsia="仿宋" w:cs="宋体"/>
          <w:color w:val="auto"/>
          <w:sz w:val="24"/>
          <w:highlight w:val="none"/>
          <w:u w:val="single"/>
        </w:rPr>
        <w:t xml:space="preserve">              </w:t>
      </w:r>
      <w:r>
        <w:rPr>
          <w:rFonts w:ascii="宋体" w:hAnsi="宋体" w:eastAsia="仿宋" w:cs="宋体"/>
          <w:color w:val="auto"/>
          <w:sz w:val="24"/>
          <w:highlight w:val="none"/>
          <w:u w:val="single"/>
        </w:rPr>
        <w:t xml:space="preserve">   </w:t>
      </w:r>
      <w:r>
        <w:rPr>
          <w:rFonts w:hint="eastAsia" w:ascii="宋体" w:hAnsi="宋体" w:eastAsia="仿宋" w:cs="宋体"/>
          <w:color w:val="auto"/>
          <w:sz w:val="24"/>
          <w:highlight w:val="none"/>
        </w:rPr>
        <w:t>。</w:t>
      </w:r>
    </w:p>
    <w:p w14:paraId="1D225FFF">
      <w:pPr>
        <w:snapToGrid w:val="0"/>
        <w:spacing w:line="360" w:lineRule="auto"/>
        <w:ind w:firstLine="480" w:firstLineChars="200"/>
        <w:jc w:val="left"/>
        <w:rPr>
          <w:rFonts w:ascii="宋体" w:hAnsi="宋体" w:eastAsia="仿宋" w:cs="宋体"/>
          <w:snapToGrid w:val="0"/>
          <w:color w:val="auto"/>
          <w:kern w:val="0"/>
          <w:sz w:val="24"/>
          <w:highlight w:val="none"/>
        </w:rPr>
      </w:pPr>
      <w:r>
        <w:rPr>
          <w:rFonts w:hint="eastAsia" w:ascii="宋体" w:hAnsi="宋体" w:eastAsia="仿宋" w:cs="宋体"/>
          <w:snapToGrid w:val="0"/>
          <w:color w:val="auto"/>
          <w:kern w:val="0"/>
          <w:sz w:val="24"/>
          <w:highlight w:val="none"/>
        </w:rPr>
        <w:t>二、我方在本保函项下提供的保证为</w:t>
      </w:r>
      <w:r>
        <w:rPr>
          <w:rFonts w:hint="eastAsia" w:ascii="宋体" w:hAnsi="宋体" w:eastAsia="仿宋" w:cs="宋体"/>
          <w:snapToGrid w:val="0"/>
          <w:color w:val="auto"/>
          <w:kern w:val="0"/>
          <w:sz w:val="24"/>
          <w:highlight w:val="none"/>
          <w:u w:val="single"/>
        </w:rPr>
        <w:t xml:space="preserve">  连带  </w:t>
      </w:r>
      <w:r>
        <w:rPr>
          <w:rFonts w:hint="eastAsia" w:ascii="宋体" w:hAnsi="宋体" w:eastAsia="仿宋" w:cs="宋体"/>
          <w:snapToGrid w:val="0"/>
          <w:color w:val="auto"/>
          <w:kern w:val="0"/>
          <w:sz w:val="24"/>
          <w:highlight w:val="none"/>
        </w:rPr>
        <w:t>责任保证。</w:t>
      </w:r>
    </w:p>
    <w:p w14:paraId="3EB687AF">
      <w:pPr>
        <w:snapToGrid w:val="0"/>
        <w:spacing w:line="360" w:lineRule="auto"/>
        <w:ind w:firstLine="480" w:firstLineChars="200"/>
        <w:jc w:val="left"/>
        <w:rPr>
          <w:rFonts w:ascii="宋体" w:hAnsi="宋体" w:eastAsia="仿宋" w:cs="宋体"/>
          <w:snapToGrid w:val="0"/>
          <w:color w:val="auto"/>
          <w:kern w:val="0"/>
          <w:sz w:val="24"/>
          <w:highlight w:val="none"/>
        </w:rPr>
      </w:pPr>
      <w:r>
        <w:rPr>
          <w:rFonts w:hint="eastAsia" w:ascii="宋体" w:hAnsi="宋体" w:eastAsia="仿宋" w:cs="宋体"/>
          <w:snapToGrid w:val="0"/>
          <w:color w:val="auto"/>
          <w:kern w:val="0"/>
          <w:sz w:val="24"/>
          <w:highlight w:val="none"/>
        </w:rPr>
        <w:t>三、本保函的有效期为以下第</w:t>
      </w:r>
      <w:r>
        <w:rPr>
          <w:rFonts w:hint="eastAsia" w:ascii="宋体" w:hAnsi="宋体" w:eastAsia="仿宋" w:cs="宋体"/>
          <w:snapToGrid w:val="0"/>
          <w:color w:val="auto"/>
          <w:kern w:val="0"/>
          <w:sz w:val="24"/>
          <w:highlight w:val="none"/>
          <w:u w:val="single"/>
        </w:rPr>
        <w:t xml:space="preserve">   1    </w:t>
      </w:r>
      <w:r>
        <w:rPr>
          <w:rFonts w:hint="eastAsia" w:ascii="宋体" w:hAnsi="宋体" w:eastAsia="仿宋" w:cs="宋体"/>
          <w:snapToGrid w:val="0"/>
          <w:color w:val="auto"/>
          <w:kern w:val="0"/>
          <w:sz w:val="24"/>
          <w:highlight w:val="none"/>
        </w:rPr>
        <w:t>种：</w:t>
      </w:r>
    </w:p>
    <w:p w14:paraId="52A05DB7">
      <w:pPr>
        <w:snapToGrid w:val="0"/>
        <w:spacing w:line="360" w:lineRule="auto"/>
        <w:ind w:firstLine="480" w:firstLineChars="200"/>
        <w:jc w:val="left"/>
        <w:rPr>
          <w:rFonts w:ascii="宋体" w:hAnsi="宋体" w:eastAsia="仿宋"/>
          <w:snapToGrid w:val="0"/>
          <w:color w:val="auto"/>
          <w:kern w:val="0"/>
          <w:sz w:val="24"/>
          <w:highlight w:val="none"/>
        </w:rPr>
      </w:pPr>
      <w:r>
        <w:rPr>
          <w:rFonts w:hint="eastAsia" w:ascii="宋体" w:hAnsi="宋体" w:eastAsia="仿宋" w:cs="宋体"/>
          <w:snapToGrid w:val="0"/>
          <w:color w:val="auto"/>
          <w:kern w:val="0"/>
          <w:sz w:val="24"/>
          <w:highlight w:val="none"/>
        </w:rPr>
        <w:t>1.本保函有效期自生效之日起至</w:t>
      </w:r>
      <w:r>
        <w:rPr>
          <w:rFonts w:hint="eastAsia" w:ascii="宋体" w:hAnsi="宋体" w:eastAsia="仿宋" w:cs="宋体"/>
          <w:snapToGrid w:val="0"/>
          <w:color w:val="auto"/>
          <w:kern w:val="0"/>
          <w:sz w:val="24"/>
          <w:highlight w:val="none"/>
          <w:u w:val="single"/>
        </w:rPr>
        <w:t xml:space="preserve">  </w:t>
      </w:r>
      <w:r>
        <w:rPr>
          <w:rFonts w:ascii="宋体" w:hAnsi="宋体" w:eastAsia="仿宋" w:cs="宋体"/>
          <w:snapToGrid w:val="0"/>
          <w:color w:val="auto"/>
          <w:kern w:val="0"/>
          <w:sz w:val="24"/>
          <w:highlight w:val="none"/>
          <w:u w:val="single"/>
        </w:rPr>
        <w:t xml:space="preserve">     </w:t>
      </w:r>
      <w:r>
        <w:rPr>
          <w:rFonts w:hint="eastAsia" w:ascii="宋体" w:hAnsi="宋体" w:eastAsia="仿宋" w:cs="宋体"/>
          <w:snapToGrid w:val="0"/>
          <w:color w:val="auto"/>
          <w:kern w:val="0"/>
          <w:sz w:val="24"/>
          <w:highlight w:val="none"/>
        </w:rPr>
        <w:t>年</w:t>
      </w:r>
      <w:r>
        <w:rPr>
          <w:rFonts w:hint="eastAsia" w:ascii="宋体" w:hAnsi="宋体" w:eastAsia="仿宋" w:cs="宋体"/>
          <w:snapToGrid w:val="0"/>
          <w:color w:val="auto"/>
          <w:kern w:val="0"/>
          <w:sz w:val="24"/>
          <w:highlight w:val="none"/>
          <w:u w:val="single"/>
        </w:rPr>
        <w:t xml:space="preserve">   </w:t>
      </w:r>
      <w:r>
        <w:rPr>
          <w:rFonts w:ascii="宋体" w:hAnsi="宋体" w:eastAsia="仿宋" w:cs="宋体"/>
          <w:snapToGrid w:val="0"/>
          <w:color w:val="auto"/>
          <w:kern w:val="0"/>
          <w:sz w:val="24"/>
          <w:highlight w:val="none"/>
          <w:u w:val="single"/>
        </w:rPr>
        <w:t xml:space="preserve"> </w:t>
      </w:r>
      <w:r>
        <w:rPr>
          <w:rFonts w:hint="eastAsia" w:ascii="宋体" w:hAnsi="宋体" w:eastAsia="仿宋" w:cs="宋体"/>
          <w:snapToGrid w:val="0"/>
          <w:color w:val="auto"/>
          <w:kern w:val="0"/>
          <w:sz w:val="24"/>
          <w:highlight w:val="none"/>
          <w:u w:val="single"/>
        </w:rPr>
        <w:t xml:space="preserve">  </w:t>
      </w:r>
      <w:r>
        <w:rPr>
          <w:rFonts w:hint="eastAsia" w:ascii="宋体" w:hAnsi="宋体" w:eastAsia="仿宋" w:cs="宋体"/>
          <w:snapToGrid w:val="0"/>
          <w:color w:val="auto"/>
          <w:kern w:val="0"/>
          <w:sz w:val="24"/>
          <w:highlight w:val="none"/>
        </w:rPr>
        <w:t>月</w:t>
      </w:r>
      <w:r>
        <w:rPr>
          <w:rFonts w:hint="eastAsia" w:ascii="宋体" w:hAnsi="宋体" w:eastAsia="仿宋" w:cs="宋体"/>
          <w:snapToGrid w:val="0"/>
          <w:color w:val="auto"/>
          <w:kern w:val="0"/>
          <w:sz w:val="24"/>
          <w:highlight w:val="none"/>
          <w:u w:val="single"/>
        </w:rPr>
        <w:t xml:space="preserve">  </w:t>
      </w:r>
      <w:r>
        <w:rPr>
          <w:rFonts w:ascii="宋体" w:hAnsi="宋体" w:eastAsia="仿宋" w:cs="宋体"/>
          <w:snapToGrid w:val="0"/>
          <w:color w:val="auto"/>
          <w:kern w:val="0"/>
          <w:sz w:val="24"/>
          <w:highlight w:val="none"/>
          <w:u w:val="single"/>
        </w:rPr>
        <w:t xml:space="preserve">  </w:t>
      </w:r>
      <w:r>
        <w:rPr>
          <w:rFonts w:hint="eastAsia" w:ascii="宋体" w:hAnsi="宋体" w:eastAsia="仿宋" w:cs="宋体"/>
          <w:snapToGrid w:val="0"/>
          <w:color w:val="auto"/>
          <w:kern w:val="0"/>
          <w:sz w:val="24"/>
          <w:highlight w:val="none"/>
          <w:u w:val="single"/>
        </w:rPr>
        <w:t xml:space="preserve">  </w:t>
      </w:r>
      <w:r>
        <w:rPr>
          <w:rFonts w:hint="eastAsia" w:ascii="宋体" w:hAnsi="宋体" w:eastAsia="仿宋" w:cs="宋体"/>
          <w:snapToGrid w:val="0"/>
          <w:color w:val="auto"/>
          <w:kern w:val="0"/>
          <w:sz w:val="24"/>
          <w:highlight w:val="none"/>
        </w:rPr>
        <w:t>日止</w:t>
      </w:r>
      <w:r>
        <w:rPr>
          <w:rFonts w:hint="eastAsia" w:ascii="宋体" w:hAnsi="宋体" w:eastAsia="仿宋"/>
          <w:snapToGrid w:val="0"/>
          <w:color w:val="auto"/>
          <w:kern w:val="0"/>
          <w:sz w:val="24"/>
          <w:highlight w:val="none"/>
        </w:rPr>
        <w:t>。</w:t>
      </w:r>
    </w:p>
    <w:p w14:paraId="3B961985">
      <w:pPr>
        <w:adjustRightInd w:val="0"/>
        <w:snapToGrid w:val="0"/>
        <w:spacing w:line="360" w:lineRule="auto"/>
        <w:ind w:firstLine="480" w:firstLineChars="200"/>
        <w:rPr>
          <w:rFonts w:ascii="宋体" w:hAnsi="宋体" w:eastAsia="仿宋"/>
          <w:snapToGrid w:val="0"/>
          <w:color w:val="auto"/>
          <w:kern w:val="0"/>
          <w:sz w:val="24"/>
          <w:highlight w:val="none"/>
        </w:rPr>
      </w:pPr>
      <w:r>
        <w:rPr>
          <w:rFonts w:hint="eastAsia" w:ascii="宋体" w:hAnsi="宋体" w:eastAsia="仿宋"/>
          <w:snapToGrid w:val="0"/>
          <w:color w:val="auto"/>
          <w:kern w:val="0"/>
          <w:sz w:val="24"/>
          <w:highlight w:val="none"/>
        </w:rPr>
        <w:t>2.</w:t>
      </w:r>
      <w:r>
        <w:rPr>
          <w:rFonts w:hint="eastAsia" w:ascii="宋体" w:hAnsi="宋体" w:eastAsia="仿宋"/>
          <w:snapToGrid w:val="0"/>
          <w:color w:val="auto"/>
          <w:kern w:val="0"/>
          <w:sz w:val="24"/>
          <w:highlight w:val="none"/>
          <w:u w:val="single"/>
        </w:rPr>
        <w:t xml:space="preserve">                                /                    </w:t>
      </w:r>
      <w:r>
        <w:rPr>
          <w:rFonts w:hint="eastAsia" w:ascii="宋体" w:hAnsi="宋体" w:eastAsia="仿宋"/>
          <w:snapToGrid w:val="0"/>
          <w:color w:val="auto"/>
          <w:kern w:val="0"/>
          <w:sz w:val="24"/>
          <w:highlight w:val="none"/>
        </w:rPr>
        <w:t>。</w:t>
      </w:r>
    </w:p>
    <w:p w14:paraId="6780ED6D">
      <w:pPr>
        <w:snapToGrid w:val="0"/>
        <w:spacing w:line="360" w:lineRule="auto"/>
        <w:ind w:firstLine="480" w:firstLineChars="200"/>
        <w:jc w:val="left"/>
        <w:rPr>
          <w:rFonts w:ascii="宋体" w:hAnsi="宋体" w:eastAsia="仿宋"/>
          <w:snapToGrid w:val="0"/>
          <w:color w:val="auto"/>
          <w:kern w:val="0"/>
          <w:sz w:val="24"/>
          <w:highlight w:val="none"/>
        </w:rPr>
      </w:pPr>
      <w:r>
        <w:rPr>
          <w:rFonts w:hint="eastAsia" w:ascii="宋体" w:hAnsi="宋体" w:eastAsia="仿宋"/>
          <w:color w:val="auto"/>
          <w:sz w:val="24"/>
          <w:highlight w:val="none"/>
        </w:rPr>
        <w:t>四、在本保函的有效期内，如被保证人</w:t>
      </w:r>
      <w:r>
        <w:rPr>
          <w:rFonts w:hint="eastAsia" w:ascii="宋体" w:hAnsi="宋体" w:eastAsia="仿宋"/>
          <w:snapToGrid w:val="0"/>
          <w:color w:val="auto"/>
          <w:kern w:val="0"/>
          <w:sz w:val="24"/>
          <w:highlight w:val="none"/>
        </w:rPr>
        <w:t>违反上述合同的约定给你方造成经济损失的，我方将在收到你方提交的本保函原件及符合下列全部条件的索赔通知后</w:t>
      </w:r>
      <w:r>
        <w:rPr>
          <w:rFonts w:hint="eastAsia" w:ascii="宋体" w:hAnsi="宋体" w:eastAsia="仿宋"/>
          <w:snapToGrid w:val="0"/>
          <w:color w:val="auto"/>
          <w:kern w:val="0"/>
          <w:sz w:val="24"/>
          <w:highlight w:val="none"/>
          <w:u w:val="single"/>
        </w:rPr>
        <w:t>10</w:t>
      </w:r>
      <w:r>
        <w:rPr>
          <w:rFonts w:hint="eastAsia" w:ascii="宋体" w:hAnsi="宋体" w:eastAsia="仿宋"/>
          <w:snapToGrid w:val="0"/>
          <w:color w:val="auto"/>
          <w:kern w:val="0"/>
          <w:sz w:val="24"/>
          <w:highlight w:val="none"/>
        </w:rPr>
        <w:t>个工作日内，以上述担保金额为限支付你方索赔金额：</w:t>
      </w:r>
    </w:p>
    <w:p w14:paraId="1A113368">
      <w:pPr>
        <w:adjustRightInd w:val="0"/>
        <w:snapToGrid w:val="0"/>
        <w:spacing w:line="360" w:lineRule="auto"/>
        <w:ind w:firstLine="480" w:firstLineChars="200"/>
        <w:rPr>
          <w:rFonts w:ascii="宋体" w:hAnsi="宋体" w:eastAsia="仿宋"/>
          <w:color w:val="auto"/>
          <w:sz w:val="24"/>
          <w:highlight w:val="none"/>
        </w:rPr>
      </w:pPr>
      <w:r>
        <w:rPr>
          <w:rFonts w:hint="eastAsia" w:ascii="宋体" w:hAnsi="宋体" w:eastAsia="仿宋"/>
          <w:snapToGrid w:val="0"/>
          <w:color w:val="auto"/>
          <w:kern w:val="0"/>
          <w:sz w:val="24"/>
          <w:highlight w:val="none"/>
        </w:rPr>
        <w:t>（一）索赔通知必须以书面形式提出，列明索赔金额，并由你方法定代表人（负责人）或授权代理人签字并加盖公章；代理人签署索赔通知的，应当同时提交法定代表人（负责人）签发的授权文件。</w:t>
      </w:r>
    </w:p>
    <w:p w14:paraId="5453EC6C">
      <w:pPr>
        <w:adjustRightInd w:val="0"/>
        <w:snapToGrid w:val="0"/>
        <w:spacing w:line="360" w:lineRule="auto"/>
        <w:ind w:firstLine="480" w:firstLineChars="200"/>
        <w:rPr>
          <w:rFonts w:ascii="宋体" w:hAnsi="宋体" w:eastAsia="仿宋"/>
          <w:snapToGrid w:val="0"/>
          <w:color w:val="auto"/>
          <w:kern w:val="0"/>
          <w:sz w:val="24"/>
          <w:highlight w:val="none"/>
        </w:rPr>
      </w:pPr>
      <w:r>
        <w:rPr>
          <w:rFonts w:hint="eastAsia" w:ascii="宋体" w:hAnsi="宋体" w:eastAsia="仿宋"/>
          <w:snapToGrid w:val="0"/>
          <w:color w:val="auto"/>
          <w:kern w:val="0"/>
          <w:sz w:val="24"/>
          <w:highlight w:val="none"/>
        </w:rPr>
        <w:t>（二）索赔通知必须同时附有：</w:t>
      </w:r>
    </w:p>
    <w:p w14:paraId="27E83243">
      <w:pPr>
        <w:adjustRightInd w:val="0"/>
        <w:snapToGrid w:val="0"/>
        <w:spacing w:line="360" w:lineRule="auto"/>
        <w:ind w:firstLine="480" w:firstLineChars="200"/>
        <w:rPr>
          <w:rFonts w:ascii="宋体" w:hAnsi="宋体" w:eastAsia="仿宋"/>
          <w:snapToGrid w:val="0"/>
          <w:color w:val="auto"/>
          <w:kern w:val="0"/>
          <w:sz w:val="24"/>
          <w:highlight w:val="none"/>
        </w:rPr>
      </w:pPr>
      <w:r>
        <w:rPr>
          <w:rFonts w:hint="eastAsia" w:ascii="宋体" w:hAnsi="宋体" w:eastAsia="仿宋"/>
          <w:snapToGrid w:val="0"/>
          <w:color w:val="auto"/>
          <w:kern w:val="0"/>
          <w:sz w:val="24"/>
          <w:highlight w:val="none"/>
        </w:rPr>
        <w:t>1.一项书面声明，声明索赔款项并未由</w:t>
      </w:r>
      <w:r>
        <w:rPr>
          <w:rFonts w:hint="eastAsia" w:ascii="宋体" w:hAnsi="宋体" w:eastAsia="仿宋"/>
          <w:color w:val="auto"/>
          <w:sz w:val="24"/>
          <w:highlight w:val="none"/>
        </w:rPr>
        <w:t>被保证人</w:t>
      </w:r>
      <w:r>
        <w:rPr>
          <w:rFonts w:hint="eastAsia" w:ascii="宋体" w:hAnsi="宋体" w:eastAsia="仿宋"/>
          <w:snapToGrid w:val="0"/>
          <w:color w:val="auto"/>
          <w:kern w:val="0"/>
          <w:sz w:val="24"/>
          <w:highlight w:val="none"/>
        </w:rPr>
        <w:t>或其代理人直接或间接地支付给你方；</w:t>
      </w:r>
    </w:p>
    <w:p w14:paraId="1BDCF2FA">
      <w:pPr>
        <w:adjustRightInd w:val="0"/>
        <w:snapToGrid w:val="0"/>
        <w:spacing w:line="360" w:lineRule="auto"/>
        <w:ind w:firstLine="480" w:firstLineChars="200"/>
        <w:rPr>
          <w:rFonts w:ascii="宋体" w:hAnsi="宋体" w:eastAsia="仿宋"/>
          <w:snapToGrid w:val="0"/>
          <w:color w:val="auto"/>
          <w:kern w:val="0"/>
          <w:sz w:val="24"/>
          <w:highlight w:val="none"/>
        </w:rPr>
      </w:pPr>
      <w:r>
        <w:rPr>
          <w:rFonts w:hint="eastAsia" w:ascii="宋体" w:hAnsi="宋体" w:eastAsia="仿宋"/>
          <w:snapToGrid w:val="0"/>
          <w:color w:val="auto"/>
          <w:kern w:val="0"/>
          <w:sz w:val="24"/>
          <w:highlight w:val="none"/>
        </w:rPr>
        <w:t>2. 证明</w:t>
      </w:r>
      <w:r>
        <w:rPr>
          <w:rFonts w:hint="eastAsia" w:ascii="宋体" w:hAnsi="宋体" w:eastAsia="仿宋"/>
          <w:color w:val="auto"/>
          <w:sz w:val="24"/>
          <w:highlight w:val="none"/>
        </w:rPr>
        <w:t>被保证人</w:t>
      </w:r>
      <w:r>
        <w:rPr>
          <w:rFonts w:hint="eastAsia" w:ascii="宋体" w:hAnsi="宋体" w:eastAsia="仿宋"/>
          <w:snapToGrid w:val="0"/>
          <w:color w:val="auto"/>
          <w:kern w:val="0"/>
          <w:sz w:val="24"/>
          <w:highlight w:val="none"/>
        </w:rPr>
        <w:t>违反上述合同的约定以及有责任支付你方索赔金额的证据，包括但不限于已发生法律效力的法院判决书或仲裁裁决书等。</w:t>
      </w:r>
    </w:p>
    <w:p w14:paraId="592850C7">
      <w:pPr>
        <w:adjustRightInd w:val="0"/>
        <w:snapToGrid w:val="0"/>
        <w:spacing w:line="360" w:lineRule="auto"/>
        <w:ind w:firstLine="480" w:firstLineChars="200"/>
        <w:rPr>
          <w:rFonts w:ascii="宋体" w:hAnsi="宋体" w:eastAsia="仿宋"/>
          <w:snapToGrid w:val="0"/>
          <w:color w:val="auto"/>
          <w:kern w:val="0"/>
          <w:sz w:val="24"/>
          <w:highlight w:val="none"/>
        </w:rPr>
      </w:pPr>
      <w:r>
        <w:rPr>
          <w:rFonts w:hint="eastAsia" w:ascii="宋体" w:hAnsi="宋体" w:eastAsia="仿宋"/>
          <w:snapToGrid w:val="0"/>
          <w:color w:val="auto"/>
          <w:kern w:val="0"/>
          <w:sz w:val="24"/>
          <w:highlight w:val="none"/>
        </w:rPr>
        <w:t>3.索赔资料应在有效期内送达我方，否则我方不承担责任。</w:t>
      </w:r>
    </w:p>
    <w:p w14:paraId="6A4CC04F">
      <w:pPr>
        <w:adjustRightInd w:val="0"/>
        <w:snapToGrid w:val="0"/>
        <w:spacing w:line="360" w:lineRule="auto"/>
        <w:ind w:firstLine="480" w:firstLineChars="200"/>
        <w:rPr>
          <w:rFonts w:ascii="宋体" w:hAnsi="宋体" w:eastAsia="仿宋"/>
          <w:color w:val="auto"/>
          <w:sz w:val="24"/>
          <w:highlight w:val="none"/>
        </w:rPr>
      </w:pPr>
      <w:r>
        <w:rPr>
          <w:rFonts w:hint="eastAsia" w:ascii="宋体" w:hAnsi="宋体" w:eastAsia="仿宋"/>
          <w:color w:val="auto"/>
          <w:sz w:val="24"/>
          <w:highlight w:val="none"/>
        </w:rPr>
        <w:t>（三）索赔通知必须在本保函有效期内到达以下地址</w:t>
      </w:r>
      <w:r>
        <w:rPr>
          <w:rFonts w:hint="eastAsia" w:ascii="宋体" w:hAnsi="宋体" w:eastAsia="仿宋"/>
          <w:color w:val="auto"/>
          <w:sz w:val="24"/>
          <w:highlight w:val="none"/>
          <w:u w:val="single"/>
        </w:rPr>
        <w:t xml:space="preserve"> </w:t>
      </w:r>
      <w:r>
        <w:rPr>
          <w:rFonts w:ascii="宋体" w:hAnsi="宋体" w:eastAsia="仿宋"/>
          <w:color w:val="auto"/>
          <w:sz w:val="24"/>
          <w:highlight w:val="none"/>
          <w:u w:val="single"/>
        </w:rPr>
        <w:t xml:space="preserve">                     </w:t>
      </w:r>
      <w:r>
        <w:rPr>
          <w:rFonts w:hint="eastAsia" w:ascii="宋体" w:hAnsi="宋体" w:eastAsia="仿宋"/>
          <w:color w:val="auto"/>
          <w:sz w:val="24"/>
          <w:highlight w:val="none"/>
        </w:rPr>
        <w:t>。</w:t>
      </w:r>
    </w:p>
    <w:p w14:paraId="62CAFE00">
      <w:pPr>
        <w:adjustRightInd w:val="0"/>
        <w:snapToGrid w:val="0"/>
        <w:spacing w:line="360" w:lineRule="auto"/>
        <w:ind w:firstLine="480" w:firstLineChars="200"/>
        <w:rPr>
          <w:rFonts w:ascii="宋体" w:hAnsi="宋体" w:eastAsia="仿宋"/>
          <w:color w:val="auto"/>
          <w:sz w:val="24"/>
          <w:highlight w:val="none"/>
        </w:rPr>
      </w:pPr>
      <w:r>
        <w:rPr>
          <w:rFonts w:hint="eastAsia" w:ascii="宋体" w:hAnsi="宋体" w:eastAsia="仿宋"/>
          <w:snapToGrid w:val="0"/>
          <w:color w:val="auto"/>
          <w:kern w:val="0"/>
          <w:sz w:val="24"/>
          <w:highlight w:val="none"/>
        </w:rPr>
        <w:t>五、</w:t>
      </w:r>
      <w:r>
        <w:rPr>
          <w:rFonts w:hint="eastAsia" w:ascii="宋体" w:hAnsi="宋体" w:eastAsia="仿宋"/>
          <w:color w:val="auto"/>
          <w:sz w:val="24"/>
          <w:highlight w:val="none"/>
        </w:rPr>
        <w:t>本保函担保金额将随被保证人逐步履行保函项下合同约定或法定的义务以及我方</w:t>
      </w:r>
      <w:r>
        <w:rPr>
          <w:rFonts w:hint="eastAsia" w:ascii="宋体" w:hAnsi="宋体" w:eastAsia="仿宋"/>
          <w:snapToGrid w:val="0"/>
          <w:color w:val="auto"/>
          <w:kern w:val="0"/>
          <w:sz w:val="24"/>
          <w:highlight w:val="none"/>
        </w:rPr>
        <w:t>按你方索赔通知要求分次支付</w:t>
      </w:r>
      <w:r>
        <w:rPr>
          <w:rFonts w:hint="eastAsia" w:ascii="宋体" w:hAnsi="宋体" w:eastAsia="仿宋"/>
          <w:color w:val="auto"/>
          <w:sz w:val="24"/>
          <w:highlight w:val="none"/>
        </w:rPr>
        <w:t>而相应递减。</w:t>
      </w:r>
    </w:p>
    <w:p w14:paraId="7ED6B0E9">
      <w:pPr>
        <w:snapToGrid w:val="0"/>
        <w:spacing w:line="360" w:lineRule="auto"/>
        <w:ind w:firstLine="480" w:firstLineChars="200"/>
        <w:rPr>
          <w:rFonts w:ascii="宋体" w:hAnsi="宋体" w:eastAsia="仿宋"/>
          <w:iCs/>
          <w:color w:val="auto"/>
          <w:sz w:val="24"/>
          <w:highlight w:val="none"/>
        </w:rPr>
      </w:pPr>
      <w:r>
        <w:rPr>
          <w:rFonts w:hint="eastAsia" w:ascii="宋体" w:hAnsi="宋体" w:eastAsia="仿宋"/>
          <w:iCs/>
          <w:color w:val="auto"/>
          <w:sz w:val="24"/>
          <w:highlight w:val="none"/>
        </w:rPr>
        <w:t>六、本保函项下的权利不得转让，不得设定担保。</w:t>
      </w:r>
    </w:p>
    <w:p w14:paraId="53BE77A8">
      <w:pPr>
        <w:snapToGrid w:val="0"/>
        <w:spacing w:line="360" w:lineRule="auto"/>
        <w:ind w:firstLine="480" w:firstLineChars="200"/>
        <w:rPr>
          <w:rFonts w:ascii="宋体" w:hAnsi="宋体" w:eastAsia="仿宋"/>
          <w:iCs/>
          <w:color w:val="auto"/>
          <w:sz w:val="24"/>
          <w:highlight w:val="none"/>
          <w:u w:val="single"/>
        </w:rPr>
      </w:pPr>
      <w:r>
        <w:rPr>
          <w:rFonts w:hint="eastAsia" w:ascii="宋体" w:hAnsi="宋体" w:eastAsia="仿宋"/>
          <w:iCs/>
          <w:color w:val="auto"/>
          <w:sz w:val="24"/>
          <w:highlight w:val="none"/>
        </w:rPr>
        <w:t>七、本保函项下的合同或基础交易不成立、不生效、无效、被撤销、被解除，本保函无效；被保证人基于保函项下的合同或基础交易或其他原因的抗辩，我方均有权主张。</w:t>
      </w:r>
    </w:p>
    <w:p w14:paraId="28EEFB91">
      <w:pPr>
        <w:snapToGrid w:val="0"/>
        <w:spacing w:line="360" w:lineRule="auto"/>
        <w:ind w:firstLine="480" w:firstLineChars="200"/>
        <w:rPr>
          <w:rFonts w:ascii="宋体" w:hAnsi="宋体" w:eastAsia="仿宋"/>
          <w:iCs/>
          <w:color w:val="auto"/>
          <w:sz w:val="24"/>
          <w:highlight w:val="none"/>
        </w:rPr>
      </w:pPr>
      <w:r>
        <w:rPr>
          <w:rFonts w:hint="eastAsia" w:ascii="宋体" w:hAnsi="宋体" w:eastAsia="仿宋"/>
          <w:iCs/>
          <w:snapToGrid w:val="0"/>
          <w:color w:val="auto"/>
          <w:kern w:val="0"/>
          <w:sz w:val="24"/>
          <w:highlight w:val="none"/>
        </w:rPr>
        <w:t>八、</w:t>
      </w:r>
      <w:r>
        <w:rPr>
          <w:rFonts w:hint="eastAsia" w:ascii="宋体" w:hAnsi="宋体" w:eastAsia="仿宋"/>
          <w:iCs/>
          <w:color w:val="auto"/>
          <w:sz w:val="24"/>
          <w:highlight w:val="none"/>
        </w:rPr>
        <w:t>因本保函发生争议协商解决不成，按以下第</w:t>
      </w:r>
      <w:r>
        <w:rPr>
          <w:rFonts w:hint="eastAsia" w:ascii="宋体" w:hAnsi="宋体" w:eastAsia="仿宋"/>
          <w:iCs/>
          <w:color w:val="auto"/>
          <w:sz w:val="24"/>
          <w:highlight w:val="none"/>
          <w:u w:val="single"/>
        </w:rPr>
        <w:t>（一）</w:t>
      </w:r>
      <w:r>
        <w:rPr>
          <w:rFonts w:hint="eastAsia" w:ascii="宋体" w:hAnsi="宋体" w:eastAsia="仿宋"/>
          <w:iCs/>
          <w:color w:val="auto"/>
          <w:sz w:val="24"/>
          <w:highlight w:val="none"/>
        </w:rPr>
        <w:t>种方式解决：</w:t>
      </w:r>
    </w:p>
    <w:p w14:paraId="6D18A4C8">
      <w:pPr>
        <w:snapToGrid w:val="0"/>
        <w:spacing w:line="360" w:lineRule="auto"/>
        <w:ind w:firstLine="480" w:firstLineChars="200"/>
        <w:rPr>
          <w:rFonts w:ascii="宋体" w:hAnsi="宋体" w:eastAsia="仿宋"/>
          <w:iCs/>
          <w:color w:val="auto"/>
          <w:sz w:val="24"/>
          <w:highlight w:val="none"/>
        </w:rPr>
      </w:pPr>
      <w:r>
        <w:rPr>
          <w:rFonts w:hint="eastAsia" w:ascii="宋体" w:hAnsi="宋体" w:eastAsia="仿宋"/>
          <w:iCs/>
          <w:color w:val="auto"/>
          <w:sz w:val="24"/>
          <w:highlight w:val="none"/>
        </w:rPr>
        <w:t>（一）向</w:t>
      </w:r>
      <w:r>
        <w:rPr>
          <w:rFonts w:hint="eastAsia" w:ascii="宋体" w:hAnsi="宋体" w:eastAsia="仿宋"/>
          <w:iCs/>
          <w:color w:val="auto"/>
          <w:sz w:val="24"/>
          <w:highlight w:val="none"/>
          <w:u w:val="single"/>
        </w:rPr>
        <w:t xml:space="preserve">      </w:t>
      </w:r>
      <w:r>
        <w:rPr>
          <w:rFonts w:hint="eastAsia" w:ascii="宋体" w:hAnsi="宋体" w:eastAsia="仿宋"/>
          <w:iCs/>
          <w:color w:val="auto"/>
          <w:sz w:val="24"/>
          <w:highlight w:val="none"/>
        </w:rPr>
        <w:t>所在地的人民法院起诉。</w:t>
      </w:r>
    </w:p>
    <w:p w14:paraId="6A8EA9A8">
      <w:pPr>
        <w:snapToGrid w:val="0"/>
        <w:spacing w:line="360" w:lineRule="auto"/>
        <w:ind w:firstLine="480" w:firstLineChars="200"/>
        <w:rPr>
          <w:rFonts w:ascii="宋体" w:hAnsi="宋体" w:eastAsia="仿宋"/>
          <w:iCs/>
          <w:color w:val="auto"/>
          <w:sz w:val="24"/>
          <w:highlight w:val="none"/>
        </w:rPr>
      </w:pPr>
      <w:r>
        <w:rPr>
          <w:rFonts w:hint="eastAsia" w:ascii="宋体" w:hAnsi="宋体" w:eastAsia="仿宋"/>
          <w:iCs/>
          <w:color w:val="auto"/>
          <w:sz w:val="24"/>
          <w:highlight w:val="none"/>
        </w:rPr>
        <w:t>（二）提交</w:t>
      </w:r>
      <w:r>
        <w:rPr>
          <w:rFonts w:hint="eastAsia" w:ascii="宋体" w:hAnsi="宋体" w:eastAsia="仿宋"/>
          <w:iCs/>
          <w:color w:val="auto"/>
          <w:sz w:val="24"/>
          <w:highlight w:val="none"/>
          <w:u w:val="single"/>
        </w:rPr>
        <w:t xml:space="preserve">  /   </w:t>
      </w:r>
      <w:r>
        <w:rPr>
          <w:rFonts w:hint="eastAsia" w:ascii="宋体" w:hAnsi="宋体" w:eastAsia="仿宋"/>
          <w:iCs/>
          <w:color w:val="auto"/>
          <w:sz w:val="24"/>
          <w:highlight w:val="none"/>
        </w:rPr>
        <w:t>仲裁委员会（仲裁地点为</w:t>
      </w:r>
      <w:r>
        <w:rPr>
          <w:rFonts w:hint="eastAsia" w:ascii="宋体" w:hAnsi="宋体" w:eastAsia="仿宋"/>
          <w:iCs/>
          <w:color w:val="auto"/>
          <w:sz w:val="24"/>
          <w:highlight w:val="none"/>
          <w:u w:val="single"/>
        </w:rPr>
        <w:t xml:space="preserve">   /  </w:t>
      </w:r>
      <w:r>
        <w:rPr>
          <w:rFonts w:hint="eastAsia" w:ascii="宋体" w:hAnsi="宋体" w:eastAsia="仿宋"/>
          <w:iCs/>
          <w:color w:val="auto"/>
          <w:sz w:val="24"/>
          <w:highlight w:val="none"/>
        </w:rPr>
        <w:t>）,按照申请仲裁时该会现行有效的仲裁规则进行仲裁。仲裁裁决是终局的，对双方均有约束力。</w:t>
      </w:r>
    </w:p>
    <w:p w14:paraId="5CCBB3FD">
      <w:pPr>
        <w:snapToGrid w:val="0"/>
        <w:spacing w:line="360" w:lineRule="auto"/>
        <w:ind w:firstLine="480" w:firstLineChars="200"/>
        <w:rPr>
          <w:rFonts w:ascii="宋体" w:hAnsi="宋体" w:eastAsia="仿宋"/>
          <w:iCs/>
          <w:color w:val="auto"/>
          <w:sz w:val="24"/>
          <w:highlight w:val="none"/>
        </w:rPr>
      </w:pPr>
      <w:r>
        <w:rPr>
          <w:rFonts w:hint="eastAsia" w:ascii="宋体" w:hAnsi="宋体" w:eastAsia="仿宋"/>
          <w:iCs/>
          <w:snapToGrid w:val="0"/>
          <w:color w:val="auto"/>
          <w:kern w:val="0"/>
          <w:sz w:val="24"/>
          <w:highlight w:val="none"/>
        </w:rPr>
        <w:t>九、</w:t>
      </w:r>
      <w:r>
        <w:rPr>
          <w:rFonts w:hint="eastAsia" w:ascii="宋体" w:hAnsi="宋体" w:eastAsia="仿宋"/>
          <w:iCs/>
          <w:color w:val="auto"/>
          <w:sz w:val="24"/>
          <w:highlight w:val="none"/>
        </w:rPr>
        <w:t>本保函有效期届满或提前终止，本保函失效，我方在本保函项下的责任消灭，受益人应立即将本保函原件退还我方；受益人未履行上述义务，本保函仍在有效期届至或提前终止之日失效。</w:t>
      </w:r>
    </w:p>
    <w:p w14:paraId="0D2ED334">
      <w:pPr>
        <w:snapToGrid w:val="0"/>
        <w:spacing w:line="360" w:lineRule="auto"/>
        <w:ind w:firstLine="480" w:firstLineChars="200"/>
        <w:rPr>
          <w:rFonts w:ascii="宋体" w:hAnsi="宋体" w:eastAsia="仿宋"/>
          <w:iCs/>
          <w:color w:val="auto"/>
          <w:sz w:val="24"/>
          <w:highlight w:val="none"/>
        </w:rPr>
      </w:pPr>
      <w:r>
        <w:rPr>
          <w:rFonts w:hint="eastAsia" w:ascii="宋体" w:hAnsi="宋体" w:eastAsia="仿宋"/>
          <w:iCs/>
          <w:color w:val="auto"/>
          <w:sz w:val="24"/>
          <w:highlight w:val="none"/>
        </w:rPr>
        <w:t>十、本保函适用中华人民共和国法律。</w:t>
      </w:r>
    </w:p>
    <w:p w14:paraId="421CA5FC">
      <w:pPr>
        <w:snapToGrid w:val="0"/>
        <w:spacing w:line="360" w:lineRule="auto"/>
        <w:ind w:firstLine="480" w:firstLineChars="200"/>
        <w:rPr>
          <w:rFonts w:ascii="宋体" w:hAnsi="宋体" w:eastAsia="仿宋"/>
          <w:iCs/>
          <w:color w:val="auto"/>
          <w:sz w:val="24"/>
          <w:highlight w:val="none"/>
        </w:rPr>
      </w:pPr>
      <w:r>
        <w:rPr>
          <w:rFonts w:hint="eastAsia" w:ascii="宋体" w:hAnsi="宋体" w:eastAsia="仿宋"/>
          <w:iCs/>
          <w:color w:val="auto"/>
          <w:sz w:val="24"/>
          <w:highlight w:val="none"/>
        </w:rPr>
        <w:t>十一、其他条款：</w:t>
      </w:r>
    </w:p>
    <w:p w14:paraId="4E8E09FB">
      <w:pPr>
        <w:snapToGrid w:val="0"/>
        <w:spacing w:line="360" w:lineRule="auto"/>
        <w:ind w:firstLine="480" w:firstLineChars="200"/>
        <w:rPr>
          <w:rFonts w:ascii="宋体" w:hAnsi="宋体" w:eastAsia="仿宋"/>
          <w:iCs/>
          <w:color w:val="auto"/>
          <w:sz w:val="24"/>
          <w:highlight w:val="none"/>
        </w:rPr>
      </w:pPr>
      <w:r>
        <w:rPr>
          <w:rFonts w:hint="eastAsia" w:ascii="宋体" w:hAnsi="宋体" w:eastAsia="仿宋"/>
          <w:iCs/>
          <w:color w:val="auto"/>
          <w:sz w:val="24"/>
          <w:highlight w:val="none"/>
          <w:u w:val="single"/>
        </w:rPr>
        <w:t xml:space="preserve">                 /              </w:t>
      </w:r>
      <w:r>
        <w:rPr>
          <w:rFonts w:hint="eastAsia" w:ascii="宋体" w:hAnsi="宋体" w:eastAsia="仿宋"/>
          <w:iCs/>
          <w:color w:val="auto"/>
          <w:sz w:val="24"/>
          <w:highlight w:val="none"/>
        </w:rPr>
        <w:t>。</w:t>
      </w:r>
    </w:p>
    <w:p w14:paraId="052BC2AE">
      <w:pPr>
        <w:snapToGrid w:val="0"/>
        <w:spacing w:line="360" w:lineRule="auto"/>
        <w:ind w:firstLine="480" w:firstLineChars="200"/>
        <w:rPr>
          <w:rFonts w:ascii="宋体" w:hAnsi="宋体" w:eastAsia="仿宋"/>
          <w:iCs/>
          <w:color w:val="auto"/>
          <w:sz w:val="24"/>
          <w:highlight w:val="none"/>
        </w:rPr>
      </w:pPr>
      <w:r>
        <w:rPr>
          <w:rFonts w:hint="eastAsia" w:ascii="宋体" w:hAnsi="宋体" w:eastAsia="仿宋"/>
          <w:iCs/>
          <w:color w:val="auto"/>
          <w:sz w:val="24"/>
          <w:highlight w:val="none"/>
        </w:rPr>
        <w:t>十二、本保函自我方负责人或授权代理人签字并加盖公章之日起生效。</w:t>
      </w:r>
    </w:p>
    <w:p w14:paraId="634C1820">
      <w:pPr>
        <w:snapToGrid w:val="0"/>
        <w:spacing w:line="360" w:lineRule="auto"/>
        <w:ind w:firstLine="200"/>
        <w:rPr>
          <w:rFonts w:ascii="宋体" w:hAnsi="宋体" w:eastAsia="仿宋"/>
          <w:iCs/>
          <w:color w:val="auto"/>
          <w:sz w:val="24"/>
          <w:highlight w:val="none"/>
        </w:rPr>
      </w:pPr>
    </w:p>
    <w:p w14:paraId="0CE64727">
      <w:pPr>
        <w:snapToGrid w:val="0"/>
        <w:spacing w:line="360" w:lineRule="auto"/>
        <w:ind w:firstLine="2640" w:firstLineChars="1100"/>
        <w:rPr>
          <w:rFonts w:ascii="宋体" w:hAnsi="宋体" w:eastAsia="仿宋"/>
          <w:color w:val="auto"/>
          <w:sz w:val="24"/>
          <w:highlight w:val="none"/>
        </w:rPr>
      </w:pPr>
      <w:r>
        <w:rPr>
          <w:rFonts w:hint="eastAsia" w:ascii="宋体" w:hAnsi="宋体" w:eastAsia="仿宋"/>
          <w:color w:val="auto"/>
          <w:sz w:val="24"/>
          <w:highlight w:val="none"/>
        </w:rPr>
        <w:t xml:space="preserve">保证人（公章）： </w:t>
      </w:r>
      <w:r>
        <w:rPr>
          <w:rFonts w:hint="eastAsia" w:ascii="宋体" w:hAnsi="宋体" w:eastAsia="仿宋"/>
          <w:iCs/>
          <w:color w:val="auto"/>
          <w:sz w:val="24"/>
          <w:highlight w:val="none"/>
          <w:u w:val="single"/>
        </w:rPr>
        <w:t xml:space="preserve">                        </w:t>
      </w:r>
    </w:p>
    <w:p w14:paraId="19EEB6E9">
      <w:pPr>
        <w:snapToGrid w:val="0"/>
        <w:spacing w:line="360" w:lineRule="auto"/>
        <w:ind w:firstLine="2640" w:firstLineChars="1100"/>
        <w:rPr>
          <w:rFonts w:ascii="宋体" w:hAnsi="宋体" w:eastAsia="仿宋"/>
          <w:color w:val="auto"/>
          <w:sz w:val="24"/>
          <w:highlight w:val="none"/>
        </w:rPr>
      </w:pPr>
      <w:r>
        <w:rPr>
          <w:rFonts w:hint="eastAsia" w:ascii="宋体" w:hAnsi="宋体" w:eastAsia="仿宋"/>
          <w:color w:val="auto"/>
          <w:sz w:val="24"/>
          <w:highlight w:val="none"/>
        </w:rPr>
        <w:t>负责人或授权代理人（签字）：</w:t>
      </w:r>
      <w:r>
        <w:rPr>
          <w:rFonts w:hint="eastAsia" w:ascii="宋体" w:hAnsi="宋体" w:eastAsia="仿宋"/>
          <w:iCs/>
          <w:color w:val="auto"/>
          <w:sz w:val="24"/>
          <w:highlight w:val="none"/>
          <w:u w:val="single"/>
        </w:rPr>
        <w:t xml:space="preserve">              </w:t>
      </w:r>
    </w:p>
    <w:p w14:paraId="1968C49D">
      <w:pPr>
        <w:snapToGrid w:val="0"/>
        <w:spacing w:line="360" w:lineRule="auto"/>
        <w:ind w:firstLine="2640" w:firstLineChars="1100"/>
        <w:rPr>
          <w:rFonts w:ascii="宋体" w:hAnsi="宋体" w:eastAsia="仿宋"/>
          <w:color w:val="auto"/>
          <w:sz w:val="24"/>
          <w:highlight w:val="none"/>
        </w:rPr>
      </w:pPr>
      <w:r>
        <w:rPr>
          <w:rFonts w:hint="eastAsia" w:ascii="宋体" w:hAnsi="宋体" w:eastAsia="仿宋"/>
          <w:color w:val="auto"/>
          <w:sz w:val="24"/>
          <w:highlight w:val="none"/>
        </w:rPr>
        <w:t xml:space="preserve">邮编： </w:t>
      </w:r>
    </w:p>
    <w:p w14:paraId="39EA21C9">
      <w:pPr>
        <w:snapToGrid w:val="0"/>
        <w:spacing w:line="360" w:lineRule="auto"/>
        <w:ind w:firstLine="2640" w:firstLineChars="1100"/>
        <w:rPr>
          <w:rFonts w:ascii="宋体" w:hAnsi="宋体" w:eastAsia="仿宋"/>
          <w:color w:val="auto"/>
          <w:sz w:val="24"/>
          <w:highlight w:val="none"/>
        </w:rPr>
      </w:pPr>
      <w:r>
        <w:rPr>
          <w:rFonts w:hint="eastAsia" w:ascii="宋体" w:hAnsi="宋体" w:eastAsia="仿宋"/>
          <w:color w:val="auto"/>
          <w:sz w:val="24"/>
          <w:highlight w:val="none"/>
        </w:rPr>
        <w:t>电话：</w:t>
      </w:r>
      <w:r>
        <w:rPr>
          <w:rFonts w:ascii="宋体" w:hAnsi="宋体" w:eastAsia="仿宋"/>
          <w:color w:val="auto"/>
          <w:sz w:val="24"/>
          <w:highlight w:val="none"/>
        </w:rPr>
        <w:t xml:space="preserve"> </w:t>
      </w:r>
    </w:p>
    <w:p w14:paraId="56662B4D">
      <w:pPr>
        <w:snapToGrid w:val="0"/>
        <w:spacing w:line="360" w:lineRule="auto"/>
        <w:ind w:firstLine="2640" w:firstLineChars="1100"/>
        <w:rPr>
          <w:rFonts w:ascii="宋体" w:hAnsi="宋体" w:eastAsia="仿宋"/>
          <w:color w:val="auto"/>
          <w:sz w:val="24"/>
          <w:highlight w:val="none"/>
        </w:rPr>
      </w:pPr>
      <w:r>
        <w:rPr>
          <w:rFonts w:hint="eastAsia" w:ascii="宋体" w:hAnsi="宋体" w:eastAsia="仿宋"/>
          <w:color w:val="auto"/>
          <w:sz w:val="24"/>
          <w:highlight w:val="none"/>
        </w:rPr>
        <w:t xml:space="preserve">传真： </w:t>
      </w:r>
    </w:p>
    <w:p w14:paraId="0B2F27F7">
      <w:pPr>
        <w:snapToGrid w:val="0"/>
        <w:spacing w:line="360" w:lineRule="auto"/>
        <w:ind w:firstLine="2640" w:firstLineChars="1100"/>
        <w:rPr>
          <w:rFonts w:ascii="宋体" w:hAnsi="宋体" w:eastAsia="仿宋"/>
          <w:color w:val="auto"/>
          <w:sz w:val="24"/>
          <w:highlight w:val="none"/>
        </w:rPr>
      </w:pPr>
      <w:r>
        <w:rPr>
          <w:rFonts w:hint="eastAsia" w:ascii="宋体" w:hAnsi="宋体" w:eastAsia="仿宋"/>
          <w:color w:val="auto"/>
          <w:sz w:val="24"/>
          <w:highlight w:val="none"/>
        </w:rPr>
        <w:t xml:space="preserve">签发日期 </w:t>
      </w:r>
      <w:r>
        <w:rPr>
          <w:rFonts w:hint="eastAsia" w:ascii="宋体" w:hAnsi="宋体" w:eastAsia="仿宋"/>
          <w:color w:val="auto"/>
          <w:sz w:val="24"/>
          <w:highlight w:val="none"/>
          <w:u w:val="single"/>
        </w:rPr>
        <w:t xml:space="preserve">        </w:t>
      </w:r>
      <w:r>
        <w:rPr>
          <w:rFonts w:hint="eastAsia" w:ascii="宋体" w:hAnsi="宋体" w:eastAsia="仿宋"/>
          <w:color w:val="auto"/>
          <w:sz w:val="24"/>
          <w:highlight w:val="none"/>
        </w:rPr>
        <w:t>年</w:t>
      </w:r>
      <w:r>
        <w:rPr>
          <w:rFonts w:hint="eastAsia" w:ascii="宋体" w:hAnsi="宋体" w:eastAsia="仿宋"/>
          <w:color w:val="auto"/>
          <w:sz w:val="24"/>
          <w:highlight w:val="none"/>
          <w:u w:val="single"/>
        </w:rPr>
        <w:t xml:space="preserve">     </w:t>
      </w:r>
      <w:r>
        <w:rPr>
          <w:rFonts w:hint="eastAsia" w:ascii="宋体" w:hAnsi="宋体" w:eastAsia="仿宋"/>
          <w:color w:val="auto"/>
          <w:sz w:val="24"/>
          <w:highlight w:val="none"/>
        </w:rPr>
        <w:t>月</w:t>
      </w:r>
      <w:r>
        <w:rPr>
          <w:rFonts w:hint="eastAsia" w:ascii="宋体" w:hAnsi="宋体" w:eastAsia="仿宋"/>
          <w:color w:val="auto"/>
          <w:sz w:val="24"/>
          <w:highlight w:val="none"/>
          <w:u w:val="single"/>
        </w:rPr>
        <w:t xml:space="preserve">     </w:t>
      </w:r>
      <w:r>
        <w:rPr>
          <w:rFonts w:hint="eastAsia" w:ascii="宋体" w:hAnsi="宋体" w:eastAsia="仿宋"/>
          <w:color w:val="auto"/>
          <w:sz w:val="24"/>
          <w:highlight w:val="none"/>
        </w:rPr>
        <w:t>日</w:t>
      </w:r>
    </w:p>
    <w:p w14:paraId="0BC606B7">
      <w:pPr>
        <w:autoSpaceDE w:val="0"/>
        <w:autoSpaceDN w:val="0"/>
        <w:adjustRightInd w:val="0"/>
        <w:spacing w:line="200" w:lineRule="exact"/>
        <w:contextualSpacing/>
        <w:jc w:val="left"/>
        <w:rPr>
          <w:rFonts w:ascii="宋体" w:hAnsi="宋体" w:eastAsia="仿宋" w:cs="Microsoft JhengHei"/>
          <w:color w:val="auto"/>
          <w:kern w:val="0"/>
          <w:sz w:val="20"/>
          <w:szCs w:val="20"/>
          <w:highlight w:val="none"/>
        </w:rPr>
      </w:pPr>
    </w:p>
    <w:p w14:paraId="227FDC40">
      <w:pPr>
        <w:rPr>
          <w:rFonts w:eastAsia="仿宋"/>
          <w:color w:val="auto"/>
          <w:highlight w:val="none"/>
        </w:rPr>
      </w:pPr>
      <w:r>
        <w:rPr>
          <w:rFonts w:hint="eastAsia" w:eastAsia="仿宋"/>
          <w:color w:val="auto"/>
          <w:highlight w:val="none"/>
        </w:rPr>
        <w:t>注：</w:t>
      </w:r>
    </w:p>
    <w:p w14:paraId="32D4A7BE">
      <w:pPr>
        <w:rPr>
          <w:rFonts w:eastAsia="仿宋"/>
          <w:color w:val="auto"/>
          <w:highlight w:val="none"/>
        </w:rPr>
      </w:pPr>
      <w:r>
        <w:rPr>
          <w:rFonts w:hint="eastAsia" w:eastAsia="仿宋"/>
          <w:color w:val="auto"/>
          <w:highlight w:val="none"/>
        </w:rPr>
        <w:t>1.允许投标人实际开具的银行保函或担保机构或保证保险机构出具的担保的格式与本文件提供的格式有所不同，但不得更改本文件提供的银行保函或担保格式中的实质性内容。</w:t>
      </w:r>
    </w:p>
    <w:p w14:paraId="4C97C9F3">
      <w:pPr>
        <w:widowControl/>
        <w:rPr>
          <w:rFonts w:ascii="宋体" w:hAnsi="宋体" w:eastAsia="仿宋"/>
          <w:color w:val="auto"/>
          <w:highlight w:val="none"/>
        </w:rPr>
      </w:pPr>
      <w:r>
        <w:rPr>
          <w:rFonts w:hint="eastAsia" w:eastAsia="仿宋"/>
          <w:color w:val="auto"/>
          <w:highlight w:val="none"/>
        </w:rPr>
        <w:t>2.投标人开具的银行保函（或担保机构担保或保证保险）必须具有明确有效的查询途径（网址链接及查询方式）。</w:t>
      </w:r>
    </w:p>
    <w:p w14:paraId="53ED2D75">
      <w:pPr>
        <w:pStyle w:val="2"/>
        <w:widowControl/>
        <w:jc w:val="center"/>
        <w:rPr>
          <w:rFonts w:ascii="宋体" w:hAnsi="宋体" w:eastAsia="仿宋"/>
          <w:color w:val="auto"/>
          <w:sz w:val="30"/>
          <w:szCs w:val="30"/>
          <w:highlight w:val="none"/>
        </w:rPr>
        <w:sectPr>
          <w:footnotePr>
            <w:numFmt w:val="decimalEnclosedCircleChinese"/>
            <w:numRestart w:val="eachPage"/>
          </w:footnotePr>
          <w:pgSz w:w="11906" w:h="16838"/>
          <w:pgMar w:top="1134" w:right="1134" w:bottom="1134" w:left="1134" w:header="851" w:footer="851" w:gutter="0"/>
          <w:cols w:space="720" w:num="1"/>
          <w:docGrid w:linePitch="312" w:charSpace="0"/>
        </w:sectPr>
      </w:pPr>
    </w:p>
    <w:p w14:paraId="114FE0E7">
      <w:pPr>
        <w:widowControl/>
        <w:rPr>
          <w:rFonts w:ascii="宋体" w:hAnsi="宋体" w:eastAsia="仿宋"/>
          <w:color w:val="auto"/>
          <w:highlight w:val="none"/>
        </w:rPr>
      </w:pPr>
    </w:p>
    <w:p w14:paraId="366C60C2">
      <w:pPr>
        <w:pStyle w:val="2"/>
        <w:widowControl/>
        <w:spacing w:before="0" w:after="0" w:line="240" w:lineRule="auto"/>
        <w:jc w:val="center"/>
        <w:rPr>
          <w:rFonts w:hint="eastAsia" w:ascii="宋体" w:hAnsi="宋体" w:eastAsia="仿宋"/>
          <w:color w:val="auto"/>
          <w:highlight w:val="none"/>
        </w:rPr>
      </w:pPr>
      <w:bookmarkStart w:id="886" w:name="_Toc466024585"/>
      <w:bookmarkStart w:id="887" w:name="_Toc13236"/>
      <w:bookmarkStart w:id="888" w:name="_Toc445554784"/>
      <w:r>
        <w:rPr>
          <w:rFonts w:hint="eastAsia" w:ascii="宋体" w:hAnsi="宋体" w:eastAsia="仿宋"/>
          <w:color w:val="auto"/>
          <w:highlight w:val="none"/>
        </w:rPr>
        <w:t>第六章  投标文件格式</w:t>
      </w:r>
      <w:bookmarkEnd w:id="886"/>
      <w:bookmarkEnd w:id="887"/>
      <w:bookmarkEnd w:id="888"/>
    </w:p>
    <w:p w14:paraId="5D9C8FC4">
      <w:pPr>
        <w:widowControl/>
        <w:adjustRightInd w:val="0"/>
        <w:snapToGrid w:val="0"/>
        <w:spacing w:before="48" w:beforeLines="20" w:after="48" w:afterLines="20" w:line="540" w:lineRule="exact"/>
        <w:rPr>
          <w:rFonts w:hint="eastAsia" w:ascii="黑体" w:hAnsi="黑体" w:eastAsia="黑体"/>
          <w:color w:val="auto"/>
          <w:sz w:val="36"/>
          <w:highlight w:val="none"/>
        </w:rPr>
      </w:pPr>
    </w:p>
    <w:p w14:paraId="5CF74DAC">
      <w:pPr>
        <w:widowControl/>
        <w:adjustRightInd w:val="0"/>
        <w:snapToGrid w:val="0"/>
        <w:spacing w:before="48" w:beforeLines="20" w:after="48" w:afterLines="20" w:line="540" w:lineRule="exact"/>
        <w:rPr>
          <w:rFonts w:hint="eastAsia" w:ascii="黑体" w:hAnsi="黑体" w:eastAsia="黑体"/>
          <w:color w:val="auto"/>
          <w:sz w:val="36"/>
          <w:highlight w:val="none"/>
        </w:rPr>
      </w:pPr>
    </w:p>
    <w:p w14:paraId="4096137F">
      <w:pPr>
        <w:widowControl/>
        <w:adjustRightInd w:val="0"/>
        <w:snapToGrid w:val="0"/>
        <w:spacing w:line="360" w:lineRule="auto"/>
        <w:ind w:firstLine="480" w:firstLineChars="200"/>
        <w:rPr>
          <w:rFonts w:hint="eastAsia" w:ascii="仿宋_GB2312" w:hAnsi="黑体" w:eastAsia="仿宋_GB2312"/>
          <w:color w:val="auto"/>
          <w:sz w:val="24"/>
          <w:highlight w:val="none"/>
        </w:rPr>
      </w:pPr>
      <w:r>
        <w:rPr>
          <w:rFonts w:hint="eastAsia" w:ascii="仿宋_GB2312" w:hAnsi="黑体" w:eastAsia="仿宋_GB2312"/>
          <w:color w:val="auto"/>
          <w:sz w:val="24"/>
          <w:highlight w:val="none"/>
        </w:rPr>
        <w:t>注：1.投标人应按给定格式编制投标文件，相关格式可以扩展。评标办法、招标澄清修改等招标文件要求提供相关材料的，此处未给出格式、章节的，请投标人自定格式，编制在投标文件内。</w:t>
      </w:r>
    </w:p>
    <w:p w14:paraId="091EFFFA">
      <w:pPr>
        <w:widowControl/>
        <w:adjustRightInd w:val="0"/>
        <w:snapToGrid w:val="0"/>
        <w:spacing w:line="360" w:lineRule="auto"/>
        <w:ind w:firstLine="480" w:firstLineChars="200"/>
        <w:rPr>
          <w:rFonts w:hint="eastAsia" w:ascii="仿宋_GB2312" w:hAnsi="宋体" w:eastAsia="仿宋_GB2312"/>
          <w:color w:val="auto"/>
          <w:sz w:val="24"/>
          <w:highlight w:val="none"/>
        </w:rPr>
      </w:pPr>
      <w:r>
        <w:rPr>
          <w:rFonts w:hint="eastAsia" w:ascii="仿宋_GB2312" w:hAnsi="黑体" w:eastAsia="仿宋_GB2312"/>
          <w:color w:val="auto"/>
          <w:sz w:val="24"/>
          <w:highlight w:val="none"/>
        </w:rPr>
        <w:t>2.采用全流程电子招标投标时，投标文件格式要求盖章的，可为电子签章，或盖章后的扫描件。投标文件格式要求签字的，电子投标文件中，应采用签字后的扫描件。</w:t>
      </w:r>
    </w:p>
    <w:p w14:paraId="4DBCB766">
      <w:pPr>
        <w:widowControl/>
        <w:spacing w:line="560" w:lineRule="exact"/>
        <w:ind w:firstLine="420" w:firstLineChars="200"/>
        <w:jc w:val="center"/>
        <w:rPr>
          <w:rFonts w:hint="eastAsia" w:ascii="宋体" w:hAnsi="宋体" w:eastAsia="仿宋"/>
          <w:color w:val="auto"/>
          <w:szCs w:val="21"/>
          <w:highlight w:val="none"/>
        </w:rPr>
      </w:pPr>
      <w:r>
        <w:rPr>
          <w:rFonts w:ascii="宋体" w:hAnsi="宋体" w:eastAsia="仿宋"/>
          <w:color w:val="auto"/>
          <w:szCs w:val="21"/>
          <w:highlight w:val="none"/>
        </w:rPr>
        <w:br w:type="page"/>
      </w:r>
    </w:p>
    <w:p w14:paraId="52B4B3B3">
      <w:pPr>
        <w:widowControl/>
        <w:spacing w:line="560" w:lineRule="exact"/>
        <w:ind w:firstLine="420" w:firstLineChars="200"/>
        <w:jc w:val="center"/>
        <w:rPr>
          <w:rFonts w:hint="eastAsia" w:ascii="宋体" w:hAnsi="宋体" w:eastAsia="仿宋"/>
          <w:color w:val="auto"/>
          <w:szCs w:val="21"/>
          <w:highlight w:val="none"/>
        </w:rPr>
      </w:pPr>
    </w:p>
    <w:p w14:paraId="523F3AC8">
      <w:pPr>
        <w:widowControl/>
        <w:spacing w:line="560" w:lineRule="exact"/>
        <w:ind w:firstLine="420" w:firstLineChars="200"/>
        <w:jc w:val="center"/>
        <w:rPr>
          <w:rFonts w:hint="eastAsia" w:ascii="宋体" w:hAnsi="宋体" w:eastAsia="仿宋"/>
          <w:color w:val="auto"/>
          <w:szCs w:val="21"/>
          <w:highlight w:val="none"/>
        </w:rPr>
      </w:pPr>
    </w:p>
    <w:p w14:paraId="0101C0F7">
      <w:pPr>
        <w:widowControl/>
        <w:spacing w:line="560" w:lineRule="exact"/>
        <w:ind w:firstLine="420" w:firstLineChars="200"/>
        <w:jc w:val="center"/>
        <w:rPr>
          <w:rFonts w:hint="eastAsia" w:ascii="宋体" w:hAnsi="宋体" w:eastAsia="仿宋"/>
          <w:color w:val="auto"/>
          <w:szCs w:val="21"/>
          <w:highlight w:val="none"/>
        </w:rPr>
      </w:pPr>
    </w:p>
    <w:p w14:paraId="310C40D0">
      <w:pPr>
        <w:widowControl/>
        <w:spacing w:line="560" w:lineRule="exact"/>
        <w:ind w:firstLine="420" w:firstLineChars="200"/>
        <w:jc w:val="center"/>
        <w:rPr>
          <w:rFonts w:hint="eastAsia" w:ascii="宋体" w:hAnsi="宋体" w:cs="宋体"/>
          <w:color w:val="auto"/>
          <w:szCs w:val="21"/>
          <w:highlight w:val="none"/>
        </w:rPr>
      </w:pPr>
    </w:p>
    <w:p w14:paraId="1F520237">
      <w:pPr>
        <w:widowControl/>
        <w:spacing w:line="560" w:lineRule="exact"/>
        <w:ind w:firstLine="880" w:firstLineChars="200"/>
        <w:jc w:val="center"/>
        <w:rPr>
          <w:rFonts w:hint="eastAsia" w:ascii="宋体" w:hAnsi="宋体" w:cs="宋体"/>
          <w:color w:val="auto"/>
          <w:sz w:val="44"/>
          <w:szCs w:val="44"/>
          <w:highlight w:val="none"/>
        </w:rPr>
      </w:pPr>
      <w:r>
        <w:rPr>
          <w:rFonts w:hint="eastAsia" w:ascii="宋体" w:hAnsi="宋体" w:cs="宋体"/>
          <w:color w:val="auto"/>
          <w:sz w:val="44"/>
          <w:szCs w:val="44"/>
          <w:highlight w:val="none"/>
          <w:u w:val="single"/>
        </w:rPr>
        <w:t xml:space="preserve">             </w:t>
      </w:r>
      <w:r>
        <w:rPr>
          <w:rFonts w:hint="eastAsia" w:ascii="宋体" w:hAnsi="宋体" w:cs="宋体"/>
          <w:color w:val="auto"/>
          <w:sz w:val="44"/>
          <w:szCs w:val="44"/>
          <w:highlight w:val="none"/>
        </w:rPr>
        <w:t>（项目名称）招标</w:t>
      </w:r>
    </w:p>
    <w:p w14:paraId="5E8B6E45">
      <w:pPr>
        <w:widowControl/>
        <w:spacing w:line="560" w:lineRule="exact"/>
        <w:ind w:firstLine="400" w:firstLineChars="200"/>
        <w:jc w:val="center"/>
        <w:rPr>
          <w:rFonts w:hint="eastAsia" w:ascii="宋体" w:hAnsi="宋体" w:cs="宋体"/>
          <w:color w:val="auto"/>
          <w:sz w:val="20"/>
          <w:szCs w:val="20"/>
          <w:highlight w:val="none"/>
        </w:rPr>
      </w:pPr>
    </w:p>
    <w:p w14:paraId="6AF738F0">
      <w:pPr>
        <w:widowControl/>
        <w:spacing w:line="560" w:lineRule="exact"/>
        <w:ind w:firstLine="400" w:firstLineChars="200"/>
        <w:jc w:val="center"/>
        <w:rPr>
          <w:rFonts w:hint="eastAsia" w:ascii="宋体" w:hAnsi="宋体" w:cs="宋体"/>
          <w:color w:val="auto"/>
          <w:sz w:val="20"/>
          <w:szCs w:val="20"/>
          <w:highlight w:val="none"/>
        </w:rPr>
      </w:pPr>
    </w:p>
    <w:p w14:paraId="2CD5A23E">
      <w:pPr>
        <w:widowControl/>
        <w:snapToGrid w:val="0"/>
        <w:jc w:val="center"/>
        <w:rPr>
          <w:rFonts w:hint="eastAsia" w:ascii="宋体" w:hAnsi="宋体" w:cs="宋体"/>
          <w:color w:val="auto"/>
          <w:sz w:val="72"/>
          <w:szCs w:val="72"/>
          <w:highlight w:val="none"/>
        </w:rPr>
      </w:pPr>
      <w:r>
        <w:rPr>
          <w:rFonts w:hint="eastAsia" w:ascii="宋体" w:hAnsi="宋体" w:cs="宋体"/>
          <w:color w:val="auto"/>
          <w:sz w:val="72"/>
          <w:szCs w:val="72"/>
          <w:highlight w:val="none"/>
        </w:rPr>
        <w:t>投  标  文  件</w:t>
      </w:r>
    </w:p>
    <w:p w14:paraId="77BD81BF">
      <w:pPr>
        <w:widowControl/>
        <w:spacing w:line="560" w:lineRule="exact"/>
        <w:ind w:firstLine="560" w:firstLineChars="200"/>
        <w:rPr>
          <w:rFonts w:hint="eastAsia" w:ascii="宋体" w:hAnsi="宋体" w:cs="宋体"/>
          <w:color w:val="auto"/>
          <w:sz w:val="28"/>
          <w:szCs w:val="28"/>
          <w:highlight w:val="none"/>
        </w:rPr>
      </w:pPr>
    </w:p>
    <w:p w14:paraId="15179797">
      <w:pPr>
        <w:widowControl/>
        <w:spacing w:line="560" w:lineRule="exact"/>
        <w:ind w:firstLine="560" w:firstLineChars="200"/>
        <w:rPr>
          <w:rFonts w:hint="eastAsia" w:ascii="宋体" w:hAnsi="宋体" w:cs="宋体"/>
          <w:color w:val="auto"/>
          <w:sz w:val="28"/>
          <w:szCs w:val="28"/>
          <w:highlight w:val="none"/>
        </w:rPr>
      </w:pPr>
    </w:p>
    <w:p w14:paraId="7ACEE60E">
      <w:pPr>
        <w:widowControl/>
        <w:spacing w:line="560" w:lineRule="exact"/>
        <w:ind w:firstLine="560" w:firstLineChars="200"/>
        <w:rPr>
          <w:rFonts w:hint="eastAsia" w:ascii="宋体" w:hAnsi="宋体" w:cs="宋体"/>
          <w:color w:val="auto"/>
          <w:sz w:val="28"/>
          <w:szCs w:val="28"/>
          <w:highlight w:val="none"/>
        </w:rPr>
      </w:pPr>
    </w:p>
    <w:p w14:paraId="5D3F245C">
      <w:pPr>
        <w:widowControl/>
        <w:spacing w:line="560" w:lineRule="exact"/>
        <w:ind w:firstLine="560" w:firstLineChars="200"/>
        <w:rPr>
          <w:rFonts w:hint="eastAsia" w:ascii="宋体" w:hAnsi="宋体" w:cs="宋体"/>
          <w:color w:val="auto"/>
          <w:sz w:val="28"/>
          <w:szCs w:val="28"/>
          <w:highlight w:val="none"/>
        </w:rPr>
      </w:pPr>
    </w:p>
    <w:p w14:paraId="36981989">
      <w:pPr>
        <w:widowControl/>
        <w:spacing w:line="560" w:lineRule="exact"/>
        <w:ind w:firstLine="560" w:firstLineChars="200"/>
        <w:rPr>
          <w:rFonts w:hint="eastAsia" w:ascii="宋体" w:hAnsi="宋体" w:cs="宋体"/>
          <w:color w:val="auto"/>
          <w:sz w:val="28"/>
          <w:szCs w:val="28"/>
          <w:highlight w:val="none"/>
        </w:rPr>
      </w:pPr>
    </w:p>
    <w:p w14:paraId="5965E643">
      <w:pPr>
        <w:widowControl/>
        <w:spacing w:line="560" w:lineRule="exact"/>
        <w:ind w:firstLine="560" w:firstLineChars="200"/>
        <w:rPr>
          <w:rFonts w:hint="eastAsia" w:ascii="宋体" w:hAnsi="宋体" w:cs="宋体"/>
          <w:color w:val="auto"/>
          <w:sz w:val="28"/>
          <w:szCs w:val="28"/>
          <w:highlight w:val="none"/>
        </w:rPr>
      </w:pPr>
    </w:p>
    <w:p w14:paraId="6A6A80BC">
      <w:pPr>
        <w:widowControl/>
        <w:spacing w:line="560" w:lineRule="exact"/>
        <w:ind w:firstLine="560" w:firstLineChars="200"/>
        <w:rPr>
          <w:rFonts w:hint="eastAsia" w:ascii="宋体" w:hAnsi="宋体" w:cs="宋体"/>
          <w:color w:val="auto"/>
          <w:sz w:val="28"/>
          <w:szCs w:val="28"/>
          <w:highlight w:val="none"/>
          <w:u w:val="single"/>
        </w:rPr>
      </w:pPr>
      <w:r>
        <w:rPr>
          <w:rFonts w:hint="eastAsia" w:ascii="宋体" w:hAnsi="宋体" w:cs="宋体"/>
          <w:color w:val="auto"/>
          <w:sz w:val="28"/>
          <w:szCs w:val="28"/>
          <w:highlight w:val="none"/>
        </w:rPr>
        <w:t>投标人名称：</w:t>
      </w:r>
      <w:r>
        <w:rPr>
          <w:rFonts w:hint="eastAsia" w:ascii="宋体" w:hAnsi="宋体" w:cs="宋体"/>
          <w:color w:val="auto"/>
          <w:sz w:val="28"/>
          <w:szCs w:val="28"/>
          <w:highlight w:val="none"/>
          <w:u w:val="single"/>
        </w:rPr>
        <w:t xml:space="preserve">                                  </w:t>
      </w:r>
      <w:r>
        <w:rPr>
          <w:rFonts w:hint="eastAsia" w:ascii="宋体" w:hAnsi="宋体" w:cs="宋体"/>
          <w:color w:val="auto"/>
          <w:sz w:val="28"/>
          <w:szCs w:val="28"/>
          <w:highlight w:val="none"/>
        </w:rPr>
        <w:t xml:space="preserve"> </w:t>
      </w:r>
    </w:p>
    <w:p w14:paraId="14D933A5">
      <w:pPr>
        <w:widowControl/>
        <w:spacing w:line="560" w:lineRule="exact"/>
        <w:ind w:firstLine="560" w:firstLineChars="200"/>
        <w:rPr>
          <w:rFonts w:hint="eastAsia" w:ascii="宋体" w:hAnsi="宋体" w:cs="宋体"/>
          <w:color w:val="auto"/>
          <w:sz w:val="28"/>
          <w:szCs w:val="28"/>
          <w:highlight w:val="none"/>
        </w:rPr>
      </w:pPr>
    </w:p>
    <w:p w14:paraId="7E5A377F">
      <w:pPr>
        <w:widowControl/>
        <w:spacing w:line="560" w:lineRule="exact"/>
        <w:ind w:firstLine="560" w:firstLineChars="200"/>
        <w:rPr>
          <w:rFonts w:hint="eastAsia" w:ascii="宋体" w:hAnsi="宋体" w:cs="宋体"/>
          <w:color w:val="auto"/>
          <w:sz w:val="28"/>
          <w:szCs w:val="28"/>
          <w:highlight w:val="none"/>
        </w:rPr>
      </w:pPr>
      <w:r>
        <w:rPr>
          <w:rFonts w:hint="eastAsia" w:ascii="宋体" w:hAnsi="宋体" w:cs="宋体"/>
          <w:color w:val="auto"/>
          <w:sz w:val="28"/>
          <w:szCs w:val="28"/>
          <w:highlight w:val="none"/>
        </w:rPr>
        <w:t>法定代表人（单位负责人）或其委托代理人：</w:t>
      </w:r>
      <w:r>
        <w:rPr>
          <w:rFonts w:hint="eastAsia" w:ascii="宋体" w:hAnsi="宋体" w:cs="宋体"/>
          <w:color w:val="auto"/>
          <w:sz w:val="28"/>
          <w:szCs w:val="28"/>
          <w:highlight w:val="none"/>
          <w:u w:val="single"/>
        </w:rPr>
        <w:t xml:space="preserve">        </w:t>
      </w:r>
    </w:p>
    <w:p w14:paraId="6CC1EE6F">
      <w:pPr>
        <w:widowControl/>
        <w:spacing w:line="560" w:lineRule="exact"/>
        <w:ind w:firstLine="2800" w:firstLineChars="1000"/>
        <w:rPr>
          <w:rFonts w:hint="eastAsia" w:ascii="宋体" w:hAnsi="宋体" w:cs="宋体"/>
          <w:color w:val="auto"/>
          <w:highlight w:val="none"/>
        </w:rPr>
      </w:pPr>
      <w:r>
        <w:rPr>
          <w:rFonts w:hint="eastAsia" w:ascii="宋体" w:hAnsi="宋体" w:cs="宋体"/>
          <w:color w:val="auto"/>
          <w:sz w:val="28"/>
          <w:szCs w:val="28"/>
          <w:highlight w:val="none"/>
          <w:u w:val="single"/>
        </w:rPr>
        <w:t xml:space="preserve">        </w:t>
      </w:r>
      <w:r>
        <w:rPr>
          <w:rFonts w:hint="eastAsia" w:ascii="宋体" w:hAnsi="宋体" w:cs="宋体"/>
          <w:color w:val="auto"/>
          <w:sz w:val="28"/>
          <w:szCs w:val="28"/>
          <w:highlight w:val="none"/>
        </w:rPr>
        <w:t>年</w:t>
      </w:r>
      <w:r>
        <w:rPr>
          <w:rFonts w:hint="eastAsia" w:ascii="宋体" w:hAnsi="宋体" w:cs="宋体"/>
          <w:color w:val="auto"/>
          <w:sz w:val="28"/>
          <w:szCs w:val="28"/>
          <w:highlight w:val="none"/>
          <w:u w:val="single"/>
        </w:rPr>
        <w:t xml:space="preserve">        </w:t>
      </w:r>
      <w:r>
        <w:rPr>
          <w:rFonts w:hint="eastAsia" w:ascii="宋体" w:hAnsi="宋体" w:cs="宋体"/>
          <w:color w:val="auto"/>
          <w:sz w:val="28"/>
          <w:szCs w:val="28"/>
          <w:highlight w:val="none"/>
        </w:rPr>
        <w:t>月</w:t>
      </w:r>
      <w:r>
        <w:rPr>
          <w:rFonts w:hint="eastAsia" w:ascii="宋体" w:hAnsi="宋体" w:cs="宋体"/>
          <w:color w:val="auto"/>
          <w:sz w:val="28"/>
          <w:szCs w:val="28"/>
          <w:highlight w:val="none"/>
          <w:u w:val="single"/>
        </w:rPr>
        <w:t xml:space="preserve">        </w:t>
      </w:r>
      <w:r>
        <w:rPr>
          <w:rFonts w:hint="eastAsia" w:ascii="宋体" w:hAnsi="宋体" w:cs="宋体"/>
          <w:color w:val="auto"/>
          <w:sz w:val="28"/>
          <w:szCs w:val="28"/>
          <w:highlight w:val="none"/>
        </w:rPr>
        <w:t>日</w:t>
      </w:r>
    </w:p>
    <w:p w14:paraId="6CE4AA28">
      <w:pPr>
        <w:widowControl/>
        <w:jc w:val="center"/>
        <w:rPr>
          <w:rFonts w:hint="eastAsia" w:ascii="宋体" w:hAnsi="宋体" w:cs="宋体"/>
          <w:b/>
          <w:bCs/>
          <w:color w:val="auto"/>
          <w:sz w:val="44"/>
          <w:szCs w:val="44"/>
          <w:highlight w:val="none"/>
        </w:rPr>
      </w:pPr>
    </w:p>
    <w:p w14:paraId="50646956">
      <w:pPr>
        <w:widowControl/>
        <w:jc w:val="center"/>
        <w:rPr>
          <w:rFonts w:hint="eastAsia" w:ascii="宋体" w:hAnsi="宋体" w:cs="宋体"/>
          <w:b/>
          <w:bCs/>
          <w:color w:val="auto"/>
          <w:sz w:val="44"/>
          <w:szCs w:val="44"/>
          <w:highlight w:val="none"/>
        </w:rPr>
      </w:pPr>
    </w:p>
    <w:p w14:paraId="670EBF1F">
      <w:pPr>
        <w:widowControl/>
        <w:jc w:val="center"/>
        <w:rPr>
          <w:rFonts w:hint="eastAsia" w:ascii="宋体" w:hAnsi="宋体" w:cs="宋体"/>
          <w:b/>
          <w:bCs/>
          <w:color w:val="auto"/>
          <w:sz w:val="44"/>
          <w:szCs w:val="44"/>
          <w:highlight w:val="none"/>
        </w:rPr>
        <w:sectPr>
          <w:footnotePr>
            <w:numFmt w:val="decimalEnclosedCircleChinese"/>
            <w:numRestart w:val="eachPage"/>
          </w:footnotePr>
          <w:pgSz w:w="11906" w:h="16838"/>
          <w:pgMar w:top="1134" w:right="1134" w:bottom="1134" w:left="1134" w:header="851" w:footer="851" w:gutter="0"/>
          <w:cols w:space="720" w:num="1"/>
          <w:docGrid w:linePitch="286" w:charSpace="0"/>
        </w:sectPr>
      </w:pPr>
    </w:p>
    <w:p w14:paraId="3E162730">
      <w:pPr>
        <w:widowControl/>
        <w:jc w:val="center"/>
        <w:rPr>
          <w:rFonts w:hint="eastAsia" w:ascii="宋体" w:hAnsi="宋体" w:cs="宋体"/>
          <w:b/>
          <w:bCs/>
          <w:color w:val="auto"/>
          <w:sz w:val="44"/>
          <w:szCs w:val="44"/>
          <w:highlight w:val="none"/>
        </w:rPr>
      </w:pPr>
      <w:r>
        <w:rPr>
          <w:rFonts w:hint="eastAsia" w:ascii="宋体" w:hAnsi="宋体" w:cs="宋体"/>
          <w:b/>
          <w:bCs/>
          <w:color w:val="auto"/>
          <w:sz w:val="44"/>
          <w:szCs w:val="44"/>
          <w:highlight w:val="none"/>
        </w:rPr>
        <w:t>目  录</w:t>
      </w:r>
    </w:p>
    <w:p w14:paraId="07D6054C">
      <w:pPr>
        <w:widowControl/>
        <w:rPr>
          <w:rFonts w:hint="eastAsia" w:ascii="宋体" w:hAnsi="宋体" w:cs="宋体"/>
          <w:bCs/>
          <w:color w:val="auto"/>
          <w:sz w:val="28"/>
          <w:szCs w:val="28"/>
          <w:highlight w:val="none"/>
        </w:rPr>
      </w:pPr>
    </w:p>
    <w:p w14:paraId="6211F267">
      <w:pPr>
        <w:widowControl/>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一、投标函</w:t>
      </w:r>
    </w:p>
    <w:p w14:paraId="279637DE">
      <w:pPr>
        <w:widowControl/>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二、开标一览表</w:t>
      </w:r>
    </w:p>
    <w:p w14:paraId="5B590D2B">
      <w:pPr>
        <w:widowControl/>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三、分项报价表</w:t>
      </w:r>
    </w:p>
    <w:p w14:paraId="54373F03">
      <w:pPr>
        <w:widowControl/>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四、投标人综合情况简介</w:t>
      </w:r>
    </w:p>
    <w:p w14:paraId="6D7F840E">
      <w:pPr>
        <w:widowControl/>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五、中小企业声明函（货物）</w:t>
      </w:r>
    </w:p>
    <w:p w14:paraId="3B3944EB">
      <w:pPr>
        <w:widowControl/>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六、法定代表人（单位负责人）身份证明或授权委托书</w:t>
      </w:r>
    </w:p>
    <w:p w14:paraId="4437F919">
      <w:pPr>
        <w:widowControl/>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七、资格审查材料</w:t>
      </w:r>
    </w:p>
    <w:p w14:paraId="0C74163F">
      <w:pPr>
        <w:widowControl/>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lang w:val="en-US" w:eastAsia="zh-CN"/>
        </w:rPr>
        <w:t>八</w:t>
      </w:r>
      <w:r>
        <w:rPr>
          <w:rFonts w:hint="eastAsia" w:ascii="宋体" w:hAnsi="宋体" w:cs="宋体"/>
          <w:color w:val="auto"/>
          <w:szCs w:val="21"/>
          <w:highlight w:val="none"/>
        </w:rPr>
        <w:t>、符合性审查与详细评审材料</w:t>
      </w:r>
    </w:p>
    <w:p w14:paraId="63E49994">
      <w:pPr>
        <w:widowControl/>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lang w:val="en-US" w:eastAsia="zh-CN"/>
        </w:rPr>
        <w:t>九</w:t>
      </w:r>
      <w:r>
        <w:rPr>
          <w:rFonts w:hint="eastAsia" w:ascii="宋体" w:hAnsi="宋体" w:cs="宋体"/>
          <w:color w:val="auto"/>
          <w:szCs w:val="21"/>
          <w:highlight w:val="none"/>
        </w:rPr>
        <w:t>、主要标的承诺函</w:t>
      </w:r>
    </w:p>
    <w:p w14:paraId="35B6D910">
      <w:pPr>
        <w:widowControl/>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十、投标相关信息汇总表</w:t>
      </w:r>
    </w:p>
    <w:p w14:paraId="6B512497">
      <w:pPr>
        <w:widowControl/>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lang w:val="en-US" w:eastAsia="zh-CN"/>
        </w:rPr>
        <w:t>十一、</w:t>
      </w:r>
      <w:r>
        <w:rPr>
          <w:rFonts w:hint="eastAsia" w:ascii="宋体" w:hAnsi="宋体" w:cs="宋体"/>
          <w:color w:val="auto"/>
          <w:szCs w:val="21"/>
          <w:highlight w:val="none"/>
        </w:rPr>
        <w:t>投标人认为应该提供的其他材料</w:t>
      </w:r>
    </w:p>
    <w:p w14:paraId="62E7DAE8">
      <w:pPr>
        <w:widowControl/>
        <w:rPr>
          <w:rFonts w:hint="eastAsia" w:ascii="宋体" w:hAnsi="宋体" w:cs="宋体"/>
          <w:bCs/>
          <w:color w:val="auto"/>
          <w:highlight w:val="none"/>
        </w:rPr>
      </w:pPr>
    </w:p>
    <w:p w14:paraId="6D8F70AA">
      <w:pPr>
        <w:pStyle w:val="3"/>
        <w:widowControl/>
        <w:spacing w:before="120" w:after="120" w:line="240" w:lineRule="auto"/>
        <w:jc w:val="center"/>
        <w:rPr>
          <w:rStyle w:val="107"/>
          <w:rFonts w:hint="eastAsia" w:ascii="宋体" w:hAnsi="宋体" w:eastAsia="宋体" w:cs="宋体"/>
          <w:b/>
          <w:bCs/>
          <w:color w:val="auto"/>
          <w:sz w:val="30"/>
          <w:szCs w:val="30"/>
          <w:highlight w:val="none"/>
        </w:rPr>
        <w:sectPr>
          <w:footnotePr>
            <w:numFmt w:val="decimalEnclosedCircleChinese"/>
            <w:numRestart w:val="eachPage"/>
          </w:footnotePr>
          <w:pgSz w:w="11906" w:h="16838"/>
          <w:pgMar w:top="1134" w:right="1134" w:bottom="1134" w:left="1134" w:header="851" w:footer="851" w:gutter="0"/>
          <w:cols w:space="720" w:num="1"/>
          <w:docGrid w:linePitch="286" w:charSpace="0"/>
        </w:sectPr>
      </w:pPr>
    </w:p>
    <w:p w14:paraId="26A9B0BB">
      <w:pPr>
        <w:widowControl/>
        <w:rPr>
          <w:rFonts w:hint="eastAsia" w:ascii="宋体" w:hAnsi="宋体" w:cs="宋体"/>
          <w:b/>
          <w:color w:val="auto"/>
          <w:szCs w:val="21"/>
          <w:highlight w:val="none"/>
        </w:rPr>
      </w:pPr>
    </w:p>
    <w:p w14:paraId="119F5ABF">
      <w:pPr>
        <w:pStyle w:val="3"/>
        <w:widowControl/>
        <w:spacing w:before="120" w:after="120" w:line="240" w:lineRule="auto"/>
        <w:jc w:val="center"/>
        <w:rPr>
          <w:rStyle w:val="107"/>
          <w:rFonts w:hint="eastAsia" w:ascii="宋体" w:hAnsi="宋体" w:eastAsia="宋体" w:cs="宋体"/>
          <w:b/>
          <w:bCs w:val="0"/>
          <w:color w:val="auto"/>
          <w:sz w:val="30"/>
          <w:szCs w:val="30"/>
          <w:highlight w:val="none"/>
        </w:rPr>
      </w:pPr>
      <w:bookmarkStart w:id="889" w:name="_Toc445554786"/>
      <w:bookmarkStart w:id="890" w:name="_Toc466024587"/>
      <w:r>
        <w:rPr>
          <w:rStyle w:val="107"/>
          <w:rFonts w:hint="eastAsia" w:ascii="宋体" w:hAnsi="宋体" w:eastAsia="宋体" w:cs="宋体"/>
          <w:b/>
          <w:bCs w:val="0"/>
          <w:color w:val="auto"/>
          <w:sz w:val="30"/>
          <w:szCs w:val="30"/>
          <w:highlight w:val="none"/>
        </w:rPr>
        <w:t>一、投标函</w:t>
      </w:r>
    </w:p>
    <w:p w14:paraId="1F956870">
      <w:pPr>
        <w:widowControl/>
        <w:tabs>
          <w:tab w:val="left" w:leader="underscore" w:pos="2880"/>
        </w:tabs>
        <w:spacing w:line="400" w:lineRule="exact"/>
        <w:rPr>
          <w:rFonts w:hint="eastAsia" w:ascii="宋体" w:hAnsi="宋体" w:cs="宋体"/>
          <w:b/>
          <w:color w:val="auto"/>
          <w:szCs w:val="21"/>
          <w:highlight w:val="none"/>
        </w:rPr>
      </w:pPr>
      <w:r>
        <w:rPr>
          <w:rFonts w:hint="eastAsia" w:ascii="宋体" w:hAnsi="宋体" w:cs="宋体"/>
          <w:color w:val="auto"/>
          <w:szCs w:val="21"/>
          <w:highlight w:val="none"/>
        </w:rPr>
        <w:t>致：安徽省卫生健康委员会（采购人名称)</w:t>
      </w:r>
    </w:p>
    <w:p w14:paraId="02CB3595">
      <w:pPr>
        <w:widowControl/>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u w:val="single"/>
        </w:rPr>
        <w:t>安徽省招标集团股份有限公司</w:t>
      </w:r>
      <w:r>
        <w:rPr>
          <w:rFonts w:hint="eastAsia" w:ascii="宋体" w:hAnsi="宋体" w:cs="宋体"/>
          <w:color w:val="auto"/>
          <w:szCs w:val="21"/>
          <w:highlight w:val="none"/>
        </w:rPr>
        <w:t>（采购代理名称)</w:t>
      </w:r>
    </w:p>
    <w:p w14:paraId="453313BF">
      <w:pPr>
        <w:widowControl/>
        <w:spacing w:line="400" w:lineRule="exact"/>
        <w:ind w:firstLine="420" w:firstLineChars="200"/>
        <w:rPr>
          <w:rFonts w:hint="eastAsia" w:ascii="宋体" w:hAnsi="宋体" w:cs="宋体"/>
          <w:color w:val="auto"/>
          <w:szCs w:val="21"/>
          <w:highlight w:val="none"/>
        </w:rPr>
      </w:pPr>
    </w:p>
    <w:p w14:paraId="5825B50C">
      <w:pPr>
        <w:widowControl/>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1.我方已仔细研究了编号为</w:t>
      </w:r>
      <w:r>
        <w:rPr>
          <w:rFonts w:hint="eastAsia" w:ascii="宋体" w:hAnsi="宋体" w:cs="宋体"/>
          <w:color w:val="auto"/>
          <w:szCs w:val="21"/>
          <w:highlight w:val="none"/>
          <w:lang w:eastAsia="zh-CN"/>
        </w:rPr>
        <w:t>ZF2025-36-1978</w:t>
      </w:r>
      <w:r>
        <w:rPr>
          <w:rFonts w:hint="eastAsia" w:ascii="宋体" w:hAnsi="宋体" w:cs="宋体"/>
          <w:color w:val="auto"/>
          <w:szCs w:val="21"/>
          <w:highlight w:val="none"/>
        </w:rPr>
        <w:t>的</w:t>
      </w:r>
      <w:r>
        <w:rPr>
          <w:rFonts w:hint="eastAsia" w:ascii="宋体" w:hAnsi="宋体" w:cs="宋体"/>
          <w:color w:val="auto"/>
          <w:szCs w:val="21"/>
          <w:highlight w:val="none"/>
          <w:lang w:eastAsia="zh-CN"/>
        </w:rPr>
        <w:t>安徽省紧密型县域医共体设备更新一期项目-超声诊断仪三</w:t>
      </w:r>
      <w:r>
        <w:rPr>
          <w:rFonts w:hint="eastAsia" w:ascii="宋体" w:hAnsi="宋体" w:cs="宋体"/>
          <w:color w:val="auto"/>
          <w:szCs w:val="21"/>
          <w:highlight w:val="none"/>
        </w:rPr>
        <w:t>招标文件的全部内容，接受你方在招标文件中对投标人的约束条件。我方愿意以开标一览表中确定的投标总价，按照合同的约定履行合同义务。</w:t>
      </w:r>
    </w:p>
    <w:p w14:paraId="5EE06ED2">
      <w:pPr>
        <w:widowControl/>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2.我方承诺在招标文件规定的投标有效期内不修改、撤销投标文件</w:t>
      </w:r>
      <w:r>
        <w:rPr>
          <w:rFonts w:hint="eastAsia" w:ascii="宋体" w:hAnsi="宋体" w:cs="宋体"/>
          <w:color w:val="auto"/>
          <w:highlight w:val="none"/>
        </w:rPr>
        <w:t>，且随时准备接受你方发出的中标通知书</w:t>
      </w:r>
      <w:r>
        <w:rPr>
          <w:rFonts w:hint="eastAsia" w:ascii="宋体" w:hAnsi="宋体" w:cs="宋体"/>
          <w:color w:val="auto"/>
          <w:szCs w:val="21"/>
          <w:highlight w:val="none"/>
        </w:rPr>
        <w:t>。</w:t>
      </w:r>
    </w:p>
    <w:p w14:paraId="1E4DEB83">
      <w:pPr>
        <w:widowControl/>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3.我方已详细审查全部招标文件，包括全部澄清、修改、答疑补充文件。我们完全理解并同意放弃对这方面有不明及误解的权力。</w:t>
      </w:r>
    </w:p>
    <w:p w14:paraId="4EB5302D">
      <w:pPr>
        <w:widowControl/>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4.我方在此声明，所递交的投标文件及有关资料内容完整、真实和准确，且不存在招标文件第二章“投标人须知”第1.3.3项规定的任何一种情形。</w:t>
      </w:r>
    </w:p>
    <w:p w14:paraId="481F3107">
      <w:pPr>
        <w:widowControl/>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5.如我方中标：</w:t>
      </w:r>
    </w:p>
    <w:p w14:paraId="67DD5232">
      <w:pPr>
        <w:widowControl/>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（1）我方承诺在收到中标通知书后，在中标通知书规定的期限内与你方签订合同；</w:t>
      </w:r>
    </w:p>
    <w:p w14:paraId="511019DF">
      <w:pPr>
        <w:widowControl/>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（2）在签订合同时不向你方提出附加条件；</w:t>
      </w:r>
    </w:p>
    <w:p w14:paraId="033783C9">
      <w:pPr>
        <w:widowControl/>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（3）我方承诺按照招标文件规定向你方递交履约保证金；</w:t>
      </w:r>
    </w:p>
    <w:p w14:paraId="60E60BED">
      <w:pPr>
        <w:widowControl/>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（4）我方承诺在合同约定的期限内提供并交付货物及服务，履行合同规定的各项义务。</w:t>
      </w:r>
    </w:p>
    <w:p w14:paraId="5F54F214">
      <w:pPr>
        <w:widowControl/>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6.我方同意按照你方要求提供与我方投标有关的一切数据或资料，完全理解你方不一定接受最低价的投标或收到的任何投标。</w:t>
      </w:r>
    </w:p>
    <w:p w14:paraId="5519E17C">
      <w:pPr>
        <w:widowControl/>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7.我方对投标文件中所提供资料、文件、证书及证件的真实性、合法性和有效性负责。</w:t>
      </w:r>
    </w:p>
    <w:p w14:paraId="71701BBA">
      <w:pPr>
        <w:widowControl/>
        <w:tabs>
          <w:tab w:val="left" w:leader="underscore" w:pos="3600"/>
          <w:tab w:val="left" w:leader="underscore" w:pos="5400"/>
        </w:tabs>
        <w:spacing w:line="400" w:lineRule="exact"/>
        <w:ind w:firstLine="422" w:firstLineChars="200"/>
        <w:rPr>
          <w:rFonts w:ascii="宋体" w:hAnsi="宋体" w:cs="宋体"/>
          <w:b/>
          <w:color w:val="auto"/>
          <w:highlight w:val="none"/>
          <w:u w:val="single"/>
        </w:rPr>
      </w:pPr>
      <w:r>
        <w:rPr>
          <w:rFonts w:hint="eastAsia" w:ascii="宋体" w:hAnsi="宋体" w:cs="宋体"/>
          <w:b/>
          <w:color w:val="auto"/>
          <w:highlight w:val="none"/>
        </w:rPr>
        <w:t>8.其他补充说明：</w:t>
      </w:r>
      <w:r>
        <w:rPr>
          <w:rFonts w:hint="eastAsia" w:ascii="宋体" w:hAnsi="宋体" w:cs="宋体"/>
          <w:b/>
          <w:color w:val="auto"/>
          <w:highlight w:val="none"/>
          <w:u w:val="single"/>
        </w:rPr>
        <w:t>（1）若投标产品为第一类医疗器械，我方承诺在合同签订前提供其向所在地设区的市级负责药品监督管理部门完成生产备案的证明材料；（2）若投标产品为第一类医疗器械，我方承诺在合同签订前提供其向相应药品监督管理部门完成产品备案的证明材料；（3）若投标产品为第二类医疗器械，我方承诺在合同签订前提供其向所在地设区的市级负责药品监督管理部门完成经营备案的证明材料。</w:t>
      </w:r>
    </w:p>
    <w:p w14:paraId="2E2C7EB1">
      <w:pPr>
        <w:pStyle w:val="156"/>
        <w:spacing w:line="390" w:lineRule="atLeast"/>
        <w:rPr>
          <w:rFonts w:hint="eastAsia" w:ascii="宋体" w:hAnsi="宋体" w:cs="宋体"/>
          <w:color w:val="auto"/>
          <w:highlight w:val="none"/>
        </w:rPr>
      </w:pPr>
    </w:p>
    <w:p w14:paraId="072A3C2B">
      <w:pPr>
        <w:pStyle w:val="156"/>
        <w:spacing w:line="390" w:lineRule="atLeast"/>
        <w:rPr>
          <w:rFonts w:hint="eastAsia" w:ascii="宋体" w:hAnsi="宋体" w:cs="宋体"/>
          <w:color w:val="auto"/>
          <w:highlight w:val="none"/>
        </w:rPr>
      </w:pPr>
      <w:r>
        <w:rPr>
          <w:rFonts w:hint="eastAsia" w:ascii="宋体" w:hAnsi="宋体" w:cs="宋体"/>
          <w:color w:val="auto"/>
          <w:highlight w:val="none"/>
        </w:rPr>
        <w:t>投标人：</w:t>
      </w:r>
      <w:r>
        <w:rPr>
          <w:rFonts w:hint="eastAsia" w:ascii="宋体" w:hAnsi="宋体" w:cs="宋体"/>
          <w:color w:val="auto"/>
          <w:spacing w:val="42"/>
          <w:highlight w:val="none"/>
          <w:u w:val="single"/>
        </w:rPr>
        <w:t xml:space="preserve"> </w:t>
      </w:r>
      <w:r>
        <w:rPr>
          <w:rFonts w:hint="eastAsia" w:ascii="宋体" w:hAnsi="宋体" w:cs="宋体"/>
          <w:color w:val="auto"/>
          <w:highlight w:val="none"/>
          <w:u w:val="single"/>
        </w:rPr>
        <w:t xml:space="preserve">                               </w:t>
      </w:r>
      <w:r>
        <w:rPr>
          <w:rFonts w:hint="eastAsia" w:ascii="宋体" w:hAnsi="宋体" w:cs="宋体"/>
          <w:color w:val="auto"/>
          <w:highlight w:val="none"/>
        </w:rPr>
        <w:t>（盖</w:t>
      </w:r>
      <w:r>
        <w:rPr>
          <w:rFonts w:hint="eastAsia" w:ascii="宋体" w:hAnsi="宋体" w:cs="宋体"/>
          <w:color w:val="auto"/>
          <w:spacing w:val="-1"/>
          <w:highlight w:val="none"/>
        </w:rPr>
        <w:t>单</w:t>
      </w:r>
      <w:r>
        <w:rPr>
          <w:rFonts w:hint="eastAsia" w:ascii="宋体" w:hAnsi="宋体" w:cs="宋体"/>
          <w:color w:val="auto"/>
          <w:highlight w:val="none"/>
        </w:rPr>
        <w:t>位章）</w:t>
      </w:r>
    </w:p>
    <w:p w14:paraId="0B6B9467">
      <w:pPr>
        <w:pStyle w:val="156"/>
        <w:spacing w:line="390" w:lineRule="atLeast"/>
        <w:rPr>
          <w:rFonts w:hint="eastAsia" w:ascii="宋体" w:hAnsi="宋体" w:cs="宋体"/>
          <w:color w:val="auto"/>
          <w:highlight w:val="none"/>
        </w:rPr>
      </w:pPr>
      <w:r>
        <w:rPr>
          <w:rFonts w:hint="eastAsia" w:ascii="宋体" w:hAnsi="宋体" w:cs="宋体"/>
          <w:color w:val="auto"/>
          <w:highlight w:val="none"/>
        </w:rPr>
        <w:t>法定代表人（单位负责人）或其委托代理人</w:t>
      </w:r>
      <w:r>
        <w:rPr>
          <w:rFonts w:hint="eastAsia" w:ascii="宋体" w:hAnsi="宋体" w:cs="宋体"/>
          <w:color w:val="auto"/>
          <w:spacing w:val="1"/>
          <w:highlight w:val="none"/>
        </w:rPr>
        <w:t>：</w:t>
      </w:r>
      <w:r>
        <w:rPr>
          <w:rFonts w:hint="eastAsia" w:ascii="宋体" w:hAnsi="宋体" w:cs="宋体"/>
          <w:color w:val="auto"/>
          <w:spacing w:val="42"/>
          <w:highlight w:val="none"/>
          <w:u w:val="single"/>
        </w:rPr>
        <w:t xml:space="preserve">            </w:t>
      </w:r>
      <w:r>
        <w:rPr>
          <w:rFonts w:hint="eastAsia" w:ascii="宋体" w:hAnsi="宋体" w:cs="宋体"/>
          <w:color w:val="auto"/>
          <w:highlight w:val="none"/>
        </w:rPr>
        <w:t>（签字或盖章）</w:t>
      </w:r>
    </w:p>
    <w:p w14:paraId="05709262">
      <w:pPr>
        <w:pStyle w:val="156"/>
        <w:spacing w:line="390" w:lineRule="atLeast"/>
        <w:rPr>
          <w:rFonts w:hint="eastAsia" w:ascii="宋体" w:hAnsi="宋体" w:cs="宋体"/>
          <w:color w:val="auto"/>
          <w:highlight w:val="none"/>
        </w:rPr>
      </w:pPr>
      <w:r>
        <w:rPr>
          <w:rFonts w:hint="eastAsia" w:ascii="宋体" w:hAnsi="宋体" w:cs="宋体"/>
          <w:color w:val="auto"/>
          <w:spacing w:val="-1"/>
          <w:highlight w:val="none"/>
        </w:rPr>
        <w:t>地</w:t>
      </w:r>
      <w:r>
        <w:rPr>
          <w:rFonts w:hint="eastAsia" w:ascii="宋体" w:hAnsi="宋体" w:cs="宋体"/>
          <w:color w:val="auto"/>
          <w:spacing w:val="1"/>
          <w:highlight w:val="none"/>
        </w:rPr>
        <w:t>址</w:t>
      </w:r>
      <w:r>
        <w:rPr>
          <w:rFonts w:hint="eastAsia" w:ascii="宋体" w:hAnsi="宋体" w:cs="宋体"/>
          <w:color w:val="auto"/>
          <w:spacing w:val="42"/>
          <w:highlight w:val="none"/>
          <w:u w:val="single"/>
        </w:rPr>
        <w:t xml:space="preserve"> </w:t>
      </w:r>
      <w:r>
        <w:rPr>
          <w:rFonts w:hint="eastAsia" w:ascii="宋体" w:hAnsi="宋体" w:cs="宋体"/>
          <w:color w:val="auto"/>
          <w:highlight w:val="none"/>
          <w:u w:val="single"/>
        </w:rPr>
        <w:t xml:space="preserve">                 </w:t>
      </w:r>
      <w:r>
        <w:rPr>
          <w:rFonts w:hint="eastAsia" w:ascii="宋体" w:hAnsi="宋体" w:cs="宋体"/>
          <w:color w:val="auto"/>
          <w:spacing w:val="-1"/>
          <w:highlight w:val="none"/>
        </w:rPr>
        <w:t>邮</w:t>
      </w:r>
      <w:r>
        <w:rPr>
          <w:rFonts w:hint="eastAsia" w:ascii="宋体" w:hAnsi="宋体" w:cs="宋体"/>
          <w:color w:val="auto"/>
          <w:highlight w:val="none"/>
        </w:rPr>
        <w:t>编</w:t>
      </w:r>
      <w:r>
        <w:rPr>
          <w:rFonts w:hint="eastAsia" w:ascii="宋体" w:hAnsi="宋体" w:cs="宋体"/>
          <w:color w:val="auto"/>
          <w:highlight w:val="none"/>
          <w:u w:val="single"/>
        </w:rPr>
        <w:t xml:space="preserve">                            </w:t>
      </w:r>
    </w:p>
    <w:p w14:paraId="3B621DD5">
      <w:pPr>
        <w:pStyle w:val="156"/>
        <w:spacing w:line="390" w:lineRule="atLeast"/>
        <w:rPr>
          <w:rFonts w:hint="eastAsia" w:ascii="宋体" w:hAnsi="宋体" w:cs="宋体"/>
          <w:color w:val="auto"/>
          <w:highlight w:val="none"/>
        </w:rPr>
      </w:pPr>
      <w:r>
        <w:rPr>
          <w:rFonts w:hint="eastAsia" w:ascii="宋体" w:hAnsi="宋体" w:cs="宋体"/>
          <w:color w:val="auto"/>
          <w:spacing w:val="-1"/>
          <w:highlight w:val="none"/>
        </w:rPr>
        <w:t>电</w:t>
      </w:r>
      <w:r>
        <w:rPr>
          <w:rFonts w:hint="eastAsia" w:ascii="宋体" w:hAnsi="宋体" w:cs="宋体"/>
          <w:color w:val="auto"/>
          <w:spacing w:val="1"/>
          <w:highlight w:val="none"/>
        </w:rPr>
        <w:t>话</w:t>
      </w:r>
      <w:r>
        <w:rPr>
          <w:rFonts w:hint="eastAsia" w:ascii="宋体" w:hAnsi="宋体" w:cs="宋体"/>
          <w:color w:val="auto"/>
          <w:highlight w:val="none"/>
          <w:u w:val="single"/>
        </w:rPr>
        <w:t xml:space="preserve">                        </w:t>
      </w:r>
      <w:r>
        <w:rPr>
          <w:rFonts w:hint="eastAsia" w:ascii="宋体" w:hAnsi="宋体" w:cs="宋体"/>
          <w:color w:val="auto"/>
          <w:spacing w:val="-1"/>
          <w:highlight w:val="none"/>
        </w:rPr>
        <w:t>传</w:t>
      </w:r>
      <w:r>
        <w:rPr>
          <w:rFonts w:hint="eastAsia" w:ascii="宋体" w:hAnsi="宋体" w:cs="宋体"/>
          <w:color w:val="auto"/>
          <w:highlight w:val="none"/>
        </w:rPr>
        <w:t>真</w:t>
      </w:r>
      <w:r>
        <w:rPr>
          <w:rFonts w:hint="eastAsia" w:ascii="宋体" w:hAnsi="宋体" w:cs="宋体"/>
          <w:color w:val="auto"/>
          <w:highlight w:val="none"/>
          <w:u w:val="single"/>
        </w:rPr>
        <w:t xml:space="preserve">                       </w:t>
      </w:r>
    </w:p>
    <w:p w14:paraId="3549B098">
      <w:pPr>
        <w:pStyle w:val="156"/>
        <w:spacing w:line="390" w:lineRule="atLeast"/>
        <w:rPr>
          <w:rFonts w:hint="eastAsia" w:ascii="宋体" w:hAnsi="宋体" w:cs="宋体"/>
          <w:color w:val="auto"/>
          <w:highlight w:val="none"/>
        </w:rPr>
      </w:pPr>
      <w:r>
        <w:rPr>
          <w:rFonts w:hint="eastAsia" w:ascii="宋体" w:hAnsi="宋体" w:cs="宋体"/>
          <w:color w:val="auto"/>
          <w:highlight w:val="none"/>
        </w:rPr>
        <w:t>电子邮箱</w:t>
      </w:r>
      <w:r>
        <w:rPr>
          <w:rFonts w:hint="eastAsia" w:ascii="宋体" w:hAnsi="宋体" w:cs="宋体"/>
          <w:color w:val="auto"/>
          <w:highlight w:val="none"/>
          <w:u w:val="single"/>
        </w:rPr>
        <w:t xml:space="preserve">                  </w:t>
      </w:r>
      <w:r>
        <w:rPr>
          <w:rFonts w:hint="eastAsia" w:ascii="宋体" w:hAnsi="宋体" w:cs="宋体"/>
          <w:color w:val="auto"/>
          <w:highlight w:val="none"/>
        </w:rPr>
        <w:t>网址：</w:t>
      </w:r>
      <w:r>
        <w:rPr>
          <w:rFonts w:hint="eastAsia" w:ascii="宋体" w:hAnsi="宋体" w:cs="宋体"/>
          <w:color w:val="auto"/>
          <w:highlight w:val="none"/>
          <w:u w:val="single"/>
        </w:rPr>
        <w:t xml:space="preserve">                       </w:t>
      </w:r>
    </w:p>
    <w:p w14:paraId="207A66A1">
      <w:pPr>
        <w:pStyle w:val="156"/>
        <w:spacing w:line="200" w:lineRule="atLeast"/>
        <w:rPr>
          <w:rFonts w:hint="eastAsia" w:ascii="宋体" w:hAnsi="宋体" w:cs="宋体"/>
          <w:color w:val="auto"/>
          <w:highlight w:val="none"/>
        </w:rPr>
      </w:pPr>
      <w:r>
        <w:rPr>
          <w:rFonts w:hint="eastAsia" w:ascii="宋体" w:hAnsi="宋体" w:cs="宋体"/>
          <w:color w:val="auto"/>
          <w:sz w:val="20"/>
          <w:szCs w:val="20"/>
          <w:highlight w:val="none"/>
        </w:rPr>
        <w:t xml:space="preserve">                        </w:t>
      </w:r>
      <w:r>
        <w:rPr>
          <w:rFonts w:hint="eastAsia" w:ascii="宋体" w:hAnsi="宋体" w:cs="宋体"/>
          <w:color w:val="auto"/>
          <w:highlight w:val="none"/>
          <w:u w:val="single"/>
        </w:rPr>
        <w:t xml:space="preserve">       </w:t>
      </w:r>
      <w:r>
        <w:rPr>
          <w:rFonts w:hint="eastAsia" w:ascii="宋体" w:hAnsi="宋体" w:cs="宋体"/>
          <w:color w:val="auto"/>
          <w:highlight w:val="none"/>
        </w:rPr>
        <w:t>年</w:t>
      </w:r>
      <w:r>
        <w:rPr>
          <w:rFonts w:hint="eastAsia" w:ascii="宋体" w:hAnsi="宋体" w:cs="宋体"/>
          <w:color w:val="auto"/>
          <w:spacing w:val="42"/>
          <w:highlight w:val="none"/>
          <w:u w:val="single"/>
        </w:rPr>
        <w:t xml:space="preserve"> </w:t>
      </w:r>
      <w:r>
        <w:rPr>
          <w:rFonts w:hint="eastAsia" w:ascii="宋体" w:hAnsi="宋体" w:cs="宋体"/>
          <w:color w:val="auto"/>
          <w:highlight w:val="none"/>
          <w:u w:val="single"/>
        </w:rPr>
        <w:t xml:space="preserve">    </w:t>
      </w:r>
      <w:r>
        <w:rPr>
          <w:rFonts w:hint="eastAsia" w:ascii="宋体" w:hAnsi="宋体" w:cs="宋体"/>
          <w:color w:val="auto"/>
          <w:highlight w:val="none"/>
        </w:rPr>
        <w:t>月</w:t>
      </w:r>
      <w:r>
        <w:rPr>
          <w:rFonts w:hint="eastAsia" w:ascii="宋体" w:hAnsi="宋体" w:cs="宋体"/>
          <w:color w:val="auto"/>
          <w:spacing w:val="42"/>
          <w:highlight w:val="none"/>
          <w:u w:val="single"/>
        </w:rPr>
        <w:t xml:space="preserve"> </w:t>
      </w:r>
      <w:r>
        <w:rPr>
          <w:rFonts w:hint="eastAsia" w:ascii="宋体" w:hAnsi="宋体" w:cs="宋体"/>
          <w:color w:val="auto"/>
          <w:highlight w:val="none"/>
          <w:u w:val="single"/>
        </w:rPr>
        <w:t xml:space="preserve">  </w:t>
      </w:r>
      <w:r>
        <w:rPr>
          <w:rFonts w:hint="eastAsia" w:ascii="宋体" w:hAnsi="宋体" w:cs="宋体"/>
          <w:color w:val="auto"/>
          <w:highlight w:val="none"/>
        </w:rPr>
        <w:t>日</w:t>
      </w:r>
    </w:p>
    <w:p w14:paraId="2742D182">
      <w:pPr>
        <w:pStyle w:val="156"/>
        <w:spacing w:line="200" w:lineRule="atLeast"/>
        <w:rPr>
          <w:rFonts w:hint="eastAsia" w:ascii="宋体" w:hAnsi="宋体" w:cs="宋体"/>
          <w:color w:val="auto"/>
          <w:sz w:val="20"/>
          <w:szCs w:val="20"/>
          <w:highlight w:val="none"/>
        </w:rPr>
      </w:pPr>
    </w:p>
    <w:p w14:paraId="172078E6">
      <w:pPr>
        <w:pStyle w:val="156"/>
        <w:spacing w:before="6" w:line="220" w:lineRule="atLeast"/>
        <w:rPr>
          <w:rFonts w:hint="eastAsia" w:ascii="宋体" w:hAnsi="宋体" w:cs="宋体"/>
          <w:color w:val="auto"/>
          <w:sz w:val="22"/>
          <w:szCs w:val="22"/>
          <w:highlight w:val="none"/>
        </w:rPr>
      </w:pPr>
    </w:p>
    <w:p w14:paraId="5C850E88">
      <w:pPr>
        <w:pStyle w:val="156"/>
        <w:ind w:left="120" w:right="-20"/>
        <w:rPr>
          <w:rFonts w:hint="eastAsia" w:ascii="宋体" w:hAnsi="宋体" w:cs="宋体"/>
          <w:color w:val="auto"/>
          <w:highlight w:val="none"/>
        </w:rPr>
        <w:sectPr>
          <w:footnotePr>
            <w:numFmt w:val="decimalEnclosedCircleChinese"/>
            <w:numRestart w:val="eachPage"/>
          </w:footnotePr>
          <w:pgSz w:w="11906" w:h="16838"/>
          <w:pgMar w:top="1134" w:right="1134" w:bottom="1134" w:left="1134" w:header="851" w:footer="851" w:gutter="0"/>
          <w:cols w:space="720" w:num="1"/>
          <w:docGrid w:linePitch="286" w:charSpace="0"/>
        </w:sectPr>
      </w:pPr>
    </w:p>
    <w:p w14:paraId="32998782">
      <w:pPr>
        <w:pStyle w:val="3"/>
        <w:widowControl/>
        <w:spacing w:before="120" w:after="120" w:line="240" w:lineRule="auto"/>
        <w:jc w:val="center"/>
        <w:rPr>
          <w:rStyle w:val="107"/>
          <w:rFonts w:hint="eastAsia" w:ascii="宋体" w:hAnsi="宋体" w:eastAsia="宋体" w:cs="宋体"/>
          <w:b/>
          <w:bCs w:val="0"/>
          <w:color w:val="auto"/>
          <w:sz w:val="30"/>
          <w:szCs w:val="30"/>
          <w:highlight w:val="none"/>
        </w:rPr>
      </w:pPr>
      <w:r>
        <w:rPr>
          <w:rStyle w:val="107"/>
          <w:rFonts w:hint="eastAsia" w:ascii="宋体" w:hAnsi="宋体" w:eastAsia="宋体" w:cs="宋体"/>
          <w:b/>
          <w:bCs w:val="0"/>
          <w:color w:val="auto"/>
          <w:sz w:val="30"/>
          <w:szCs w:val="30"/>
          <w:highlight w:val="none"/>
        </w:rPr>
        <w:t>二、开标一览表</w:t>
      </w:r>
      <w:bookmarkEnd w:id="889"/>
      <w:bookmarkEnd w:id="890"/>
    </w:p>
    <w:p w14:paraId="47EB1545">
      <w:pPr>
        <w:widowControl/>
        <w:spacing w:line="333" w:lineRule="atLeast"/>
        <w:jc w:val="right"/>
        <w:rPr>
          <w:rFonts w:hint="eastAsia" w:ascii="宋体" w:hAnsi="宋体" w:cs="宋体"/>
          <w:color w:val="auto"/>
          <w:kern w:val="0"/>
          <w:szCs w:val="21"/>
          <w:highlight w:val="none"/>
        </w:rPr>
      </w:pPr>
      <w:r>
        <w:rPr>
          <w:rFonts w:hint="eastAsia" w:ascii="宋体" w:hAnsi="宋体" w:cs="宋体"/>
          <w:color w:val="auto"/>
          <w:spacing w:val="-1"/>
          <w:kern w:val="0"/>
          <w:position w:val="-4"/>
          <w:szCs w:val="21"/>
          <w:highlight w:val="none"/>
        </w:rPr>
        <w:t>货</w:t>
      </w:r>
      <w:r>
        <w:rPr>
          <w:rFonts w:hint="eastAsia" w:ascii="宋体" w:hAnsi="宋体" w:cs="宋体"/>
          <w:color w:val="auto"/>
          <w:kern w:val="0"/>
          <w:position w:val="-4"/>
          <w:szCs w:val="21"/>
          <w:highlight w:val="none"/>
        </w:rPr>
        <w:t>币单位</w:t>
      </w:r>
      <w:r>
        <w:rPr>
          <w:rFonts w:hint="eastAsia" w:ascii="宋体" w:hAnsi="宋体" w:cs="宋体"/>
          <w:color w:val="auto"/>
          <w:spacing w:val="-24"/>
          <w:kern w:val="0"/>
          <w:position w:val="-4"/>
          <w:szCs w:val="21"/>
          <w:highlight w:val="none"/>
        </w:rPr>
        <w:t>：</w:t>
      </w:r>
      <w:r>
        <w:rPr>
          <w:rFonts w:hint="eastAsia" w:ascii="宋体" w:hAnsi="宋体" w:cs="宋体"/>
          <w:color w:val="auto"/>
          <w:kern w:val="0"/>
          <w:position w:val="-4"/>
          <w:szCs w:val="21"/>
          <w:highlight w:val="none"/>
        </w:rPr>
        <w:t>人民币</w:t>
      </w:r>
    </w:p>
    <w:tbl>
      <w:tblPr>
        <w:tblStyle w:val="48"/>
        <w:tblW w:w="9538" w:type="dxa"/>
        <w:tblInd w:w="209"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28"/>
        <w:gridCol w:w="2715"/>
        <w:gridCol w:w="6095"/>
      </w:tblGrid>
      <w:tr w14:paraId="0842AD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775" w:hRule="atLeast"/>
        </w:trPr>
        <w:tc>
          <w:tcPr>
            <w:tcW w:w="728" w:type="dxa"/>
            <w:noWrap w:val="0"/>
            <w:vAlign w:val="center"/>
          </w:tcPr>
          <w:p w14:paraId="67C6E0C9">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b/>
                <w:color w:val="auto"/>
                <w:kern w:val="0"/>
                <w:szCs w:val="21"/>
                <w:highlight w:val="none"/>
              </w:rPr>
            </w:pPr>
            <w:r>
              <w:rPr>
                <w:rFonts w:hint="eastAsia" w:ascii="宋体" w:hAnsi="宋体" w:cs="宋体"/>
                <w:b/>
                <w:color w:val="auto"/>
                <w:kern w:val="0"/>
                <w:szCs w:val="21"/>
                <w:highlight w:val="none"/>
              </w:rPr>
              <w:t>序号</w:t>
            </w:r>
          </w:p>
        </w:tc>
        <w:tc>
          <w:tcPr>
            <w:tcW w:w="2715" w:type="dxa"/>
            <w:noWrap w:val="0"/>
            <w:vAlign w:val="center"/>
          </w:tcPr>
          <w:p w14:paraId="5C579C8C">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b/>
                <w:color w:val="auto"/>
                <w:kern w:val="0"/>
                <w:szCs w:val="21"/>
                <w:highlight w:val="none"/>
              </w:rPr>
            </w:pPr>
            <w:r>
              <w:rPr>
                <w:rFonts w:hint="eastAsia" w:ascii="宋体" w:hAnsi="宋体" w:cs="宋体"/>
                <w:b/>
                <w:color w:val="auto"/>
                <w:kern w:val="0"/>
                <w:szCs w:val="21"/>
                <w:highlight w:val="none"/>
              </w:rPr>
              <w:t>项目</w:t>
            </w:r>
          </w:p>
        </w:tc>
        <w:tc>
          <w:tcPr>
            <w:tcW w:w="6095" w:type="dxa"/>
            <w:noWrap w:val="0"/>
            <w:vAlign w:val="center"/>
          </w:tcPr>
          <w:p w14:paraId="2ADF44A7">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b/>
                <w:color w:val="auto"/>
                <w:kern w:val="0"/>
                <w:szCs w:val="21"/>
                <w:highlight w:val="none"/>
              </w:rPr>
            </w:pPr>
            <w:r>
              <w:rPr>
                <w:rFonts w:hint="eastAsia" w:ascii="宋体" w:hAnsi="宋体" w:cs="宋体"/>
                <w:b/>
                <w:color w:val="auto"/>
                <w:kern w:val="0"/>
                <w:szCs w:val="21"/>
                <w:highlight w:val="none"/>
              </w:rPr>
              <w:t>内容</w:t>
            </w:r>
          </w:p>
        </w:tc>
      </w:tr>
      <w:tr w14:paraId="08C31F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694" w:hRule="atLeast"/>
        </w:trPr>
        <w:tc>
          <w:tcPr>
            <w:tcW w:w="728" w:type="dxa"/>
            <w:noWrap w:val="0"/>
            <w:vAlign w:val="center"/>
          </w:tcPr>
          <w:p w14:paraId="25177BE8">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1</w:t>
            </w:r>
          </w:p>
        </w:tc>
        <w:tc>
          <w:tcPr>
            <w:tcW w:w="2715" w:type="dxa"/>
            <w:noWrap w:val="0"/>
            <w:vAlign w:val="center"/>
          </w:tcPr>
          <w:p w14:paraId="21ADA1AE">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项目名称</w:t>
            </w:r>
          </w:p>
        </w:tc>
        <w:tc>
          <w:tcPr>
            <w:tcW w:w="6095" w:type="dxa"/>
            <w:noWrap w:val="0"/>
            <w:vAlign w:val="center"/>
          </w:tcPr>
          <w:p w14:paraId="3B25D0CE">
            <w:pPr>
              <w:keepNext w:val="0"/>
              <w:keepLines w:val="0"/>
              <w:widowControl/>
              <w:suppressLineNumbers w:val="0"/>
              <w:adjustRightInd w:val="0"/>
              <w:snapToGrid w:val="0"/>
              <w:spacing w:before="0" w:beforeAutospacing="0" w:after="0" w:afterAutospacing="0"/>
              <w:ind w:left="0" w:right="0"/>
              <w:rPr>
                <w:rFonts w:hint="eastAsia" w:ascii="宋体" w:hAnsi="宋体" w:cs="宋体"/>
                <w:color w:val="auto"/>
                <w:kern w:val="0"/>
                <w:szCs w:val="21"/>
                <w:highlight w:val="none"/>
              </w:rPr>
            </w:pPr>
          </w:p>
        </w:tc>
      </w:tr>
      <w:tr w14:paraId="56EEFB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694" w:hRule="atLeast"/>
        </w:trPr>
        <w:tc>
          <w:tcPr>
            <w:tcW w:w="728" w:type="dxa"/>
            <w:noWrap w:val="0"/>
            <w:vAlign w:val="center"/>
          </w:tcPr>
          <w:p w14:paraId="66914507">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2</w:t>
            </w:r>
          </w:p>
        </w:tc>
        <w:tc>
          <w:tcPr>
            <w:tcW w:w="2715" w:type="dxa"/>
            <w:noWrap w:val="0"/>
            <w:vAlign w:val="center"/>
          </w:tcPr>
          <w:p w14:paraId="5F2892AD">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项目编号</w:t>
            </w:r>
          </w:p>
        </w:tc>
        <w:tc>
          <w:tcPr>
            <w:tcW w:w="6095" w:type="dxa"/>
            <w:noWrap w:val="0"/>
            <w:vAlign w:val="center"/>
          </w:tcPr>
          <w:p w14:paraId="56800A99">
            <w:pPr>
              <w:keepNext w:val="0"/>
              <w:keepLines w:val="0"/>
              <w:widowControl/>
              <w:suppressLineNumbers w:val="0"/>
              <w:adjustRightInd w:val="0"/>
              <w:snapToGrid w:val="0"/>
              <w:spacing w:before="0" w:beforeAutospacing="0" w:after="0" w:afterAutospacing="0"/>
              <w:ind w:left="0" w:right="0"/>
              <w:rPr>
                <w:rFonts w:hint="eastAsia" w:ascii="宋体" w:hAnsi="宋体" w:eastAsia="宋体" w:cs="宋体"/>
                <w:color w:val="auto"/>
                <w:kern w:val="0"/>
                <w:szCs w:val="21"/>
                <w:highlight w:val="none"/>
                <w:lang w:eastAsia="zh-CN"/>
              </w:rPr>
            </w:pPr>
            <w:r>
              <w:rPr>
                <w:rFonts w:hint="eastAsia" w:ascii="宋体" w:hAnsi="宋体" w:cs="宋体"/>
                <w:color w:val="auto"/>
                <w:kern w:val="0"/>
                <w:szCs w:val="21"/>
                <w:highlight w:val="none"/>
                <w:lang w:eastAsia="zh-CN"/>
              </w:rPr>
              <w:t>ZF2025-36-1978</w:t>
            </w:r>
          </w:p>
        </w:tc>
      </w:tr>
      <w:tr w14:paraId="1EEB79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694" w:hRule="atLeast"/>
        </w:trPr>
        <w:tc>
          <w:tcPr>
            <w:tcW w:w="728" w:type="dxa"/>
            <w:noWrap w:val="0"/>
            <w:vAlign w:val="center"/>
          </w:tcPr>
          <w:p w14:paraId="71A07E6A">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3</w:t>
            </w:r>
          </w:p>
        </w:tc>
        <w:tc>
          <w:tcPr>
            <w:tcW w:w="2715" w:type="dxa"/>
            <w:noWrap w:val="0"/>
            <w:vAlign w:val="center"/>
          </w:tcPr>
          <w:p w14:paraId="30DCBC10">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lang w:val="en-US" w:eastAsia="zh-CN"/>
              </w:rPr>
              <w:t>标包</w:t>
            </w:r>
            <w:r>
              <w:rPr>
                <w:rFonts w:hint="eastAsia" w:ascii="宋体" w:hAnsi="宋体" w:cs="宋体"/>
                <w:color w:val="auto"/>
                <w:kern w:val="0"/>
                <w:szCs w:val="21"/>
                <w:highlight w:val="none"/>
              </w:rPr>
              <w:t>号（无分包，不填写）</w:t>
            </w:r>
          </w:p>
        </w:tc>
        <w:tc>
          <w:tcPr>
            <w:tcW w:w="6095" w:type="dxa"/>
            <w:noWrap w:val="0"/>
            <w:vAlign w:val="center"/>
          </w:tcPr>
          <w:p w14:paraId="6E4C939C">
            <w:pPr>
              <w:keepNext w:val="0"/>
              <w:keepLines w:val="0"/>
              <w:widowControl/>
              <w:suppressLineNumbers w:val="0"/>
              <w:adjustRightInd w:val="0"/>
              <w:snapToGrid w:val="0"/>
              <w:spacing w:before="0" w:beforeAutospacing="0" w:after="0" w:afterAutospacing="0"/>
              <w:ind w:left="0" w:right="0"/>
              <w:rPr>
                <w:rFonts w:hint="eastAsia" w:ascii="宋体" w:hAnsi="宋体" w:cs="宋体"/>
                <w:color w:val="auto"/>
                <w:kern w:val="0"/>
                <w:szCs w:val="21"/>
                <w:highlight w:val="none"/>
              </w:rPr>
            </w:pPr>
          </w:p>
        </w:tc>
      </w:tr>
      <w:tr w14:paraId="16C353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694" w:hRule="atLeast"/>
        </w:trPr>
        <w:tc>
          <w:tcPr>
            <w:tcW w:w="728" w:type="dxa"/>
            <w:noWrap w:val="0"/>
            <w:vAlign w:val="center"/>
          </w:tcPr>
          <w:p w14:paraId="018A2D53">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4</w:t>
            </w:r>
          </w:p>
        </w:tc>
        <w:tc>
          <w:tcPr>
            <w:tcW w:w="2715" w:type="dxa"/>
            <w:noWrap w:val="0"/>
            <w:vAlign w:val="center"/>
          </w:tcPr>
          <w:p w14:paraId="2417C9AD">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投标报价</w:t>
            </w:r>
          </w:p>
        </w:tc>
        <w:tc>
          <w:tcPr>
            <w:tcW w:w="6095" w:type="dxa"/>
            <w:noWrap w:val="0"/>
            <w:vAlign w:val="center"/>
          </w:tcPr>
          <w:p w14:paraId="4C1FB11F">
            <w:pPr>
              <w:keepNext w:val="0"/>
              <w:keepLines w:val="0"/>
              <w:widowControl/>
              <w:suppressLineNumbers w:val="0"/>
              <w:adjustRightInd w:val="0"/>
              <w:snapToGrid w:val="0"/>
              <w:spacing w:before="0" w:beforeAutospacing="0" w:after="0" w:afterAutospacing="0"/>
              <w:ind w:left="0" w:right="0"/>
              <w:rPr>
                <w:rFonts w:hint="eastAsia" w:ascii="宋体" w:hAnsi="宋体" w:cs="宋体"/>
                <w:color w:val="auto"/>
                <w:kern w:val="0"/>
                <w:szCs w:val="21"/>
                <w:highlight w:val="none"/>
              </w:rPr>
            </w:pPr>
          </w:p>
        </w:tc>
      </w:tr>
    </w:tbl>
    <w:p w14:paraId="690A3309">
      <w:pPr>
        <w:widowControl/>
        <w:spacing w:line="200" w:lineRule="atLeast"/>
        <w:rPr>
          <w:rFonts w:hint="eastAsia" w:ascii="宋体" w:hAnsi="宋体" w:cs="宋体"/>
          <w:color w:val="auto"/>
          <w:kern w:val="0"/>
          <w:szCs w:val="21"/>
          <w:highlight w:val="none"/>
        </w:rPr>
      </w:pPr>
    </w:p>
    <w:p w14:paraId="7BDEED3E">
      <w:pPr>
        <w:widowControl/>
        <w:spacing w:before="18" w:line="280" w:lineRule="atLeast"/>
        <w:rPr>
          <w:rFonts w:hint="eastAsia" w:ascii="宋体" w:hAnsi="宋体" w:cs="宋体"/>
          <w:color w:val="auto"/>
          <w:kern w:val="0"/>
          <w:szCs w:val="21"/>
          <w:highlight w:val="none"/>
        </w:rPr>
      </w:pPr>
    </w:p>
    <w:p w14:paraId="4F1B309D">
      <w:pPr>
        <w:widowControl/>
        <w:spacing w:line="360" w:lineRule="auto"/>
        <w:ind w:left="2977" w:right="-20"/>
        <w:rPr>
          <w:rFonts w:hint="eastAsia" w:ascii="宋体" w:hAnsi="宋体" w:cs="宋体"/>
          <w:color w:val="auto"/>
          <w:kern w:val="0"/>
          <w:szCs w:val="21"/>
          <w:highlight w:val="none"/>
        </w:rPr>
      </w:pPr>
      <w:r>
        <w:rPr>
          <w:rFonts w:hint="eastAsia" w:ascii="宋体" w:hAnsi="宋体" w:cs="宋体"/>
          <w:color w:val="auto"/>
          <w:kern w:val="0"/>
          <w:szCs w:val="21"/>
          <w:highlight w:val="none"/>
        </w:rPr>
        <w:t>投</w:t>
      </w:r>
      <w:r>
        <w:rPr>
          <w:rFonts w:hint="eastAsia" w:ascii="宋体" w:hAnsi="宋体" w:cs="宋体"/>
          <w:color w:val="auto"/>
          <w:spacing w:val="43"/>
          <w:kern w:val="0"/>
          <w:szCs w:val="21"/>
          <w:highlight w:val="none"/>
        </w:rPr>
        <w:t xml:space="preserve"> </w:t>
      </w:r>
      <w:r>
        <w:rPr>
          <w:rFonts w:hint="eastAsia" w:ascii="宋体" w:hAnsi="宋体" w:cs="宋体"/>
          <w:color w:val="auto"/>
          <w:kern w:val="0"/>
          <w:szCs w:val="21"/>
          <w:highlight w:val="none"/>
        </w:rPr>
        <w:t>标</w:t>
      </w:r>
      <w:r>
        <w:rPr>
          <w:rFonts w:hint="eastAsia" w:ascii="宋体" w:hAnsi="宋体" w:cs="宋体"/>
          <w:color w:val="auto"/>
          <w:spacing w:val="43"/>
          <w:kern w:val="0"/>
          <w:szCs w:val="21"/>
          <w:highlight w:val="none"/>
        </w:rPr>
        <w:t xml:space="preserve"> </w:t>
      </w:r>
      <w:r>
        <w:rPr>
          <w:rFonts w:hint="eastAsia" w:ascii="宋体" w:hAnsi="宋体" w:cs="宋体"/>
          <w:color w:val="auto"/>
          <w:spacing w:val="-1"/>
          <w:kern w:val="0"/>
          <w:szCs w:val="21"/>
          <w:highlight w:val="none"/>
        </w:rPr>
        <w:t>人</w:t>
      </w:r>
      <w:r>
        <w:rPr>
          <w:rFonts w:hint="eastAsia" w:ascii="宋体" w:hAnsi="宋体" w:cs="宋体"/>
          <w:color w:val="auto"/>
          <w:kern w:val="0"/>
          <w:szCs w:val="21"/>
          <w:highlight w:val="none"/>
        </w:rPr>
        <w:t>：</w:t>
      </w:r>
      <w:r>
        <w:rPr>
          <w:rFonts w:hint="eastAsia" w:ascii="宋体" w:hAnsi="宋体" w:cs="宋体"/>
          <w:color w:val="auto"/>
          <w:spacing w:val="42"/>
          <w:kern w:val="0"/>
          <w:szCs w:val="21"/>
          <w:highlight w:val="none"/>
          <w:u w:val="single"/>
        </w:rPr>
        <w:t xml:space="preserve"> </w:t>
      </w:r>
      <w:r>
        <w:rPr>
          <w:rFonts w:hint="eastAsia" w:ascii="宋体" w:hAnsi="宋体" w:cs="宋体"/>
          <w:color w:val="auto"/>
          <w:kern w:val="0"/>
          <w:szCs w:val="21"/>
          <w:highlight w:val="none"/>
          <w:u w:val="single"/>
        </w:rPr>
        <w:t xml:space="preserve">                      </w:t>
      </w:r>
      <w:r>
        <w:rPr>
          <w:rFonts w:hint="eastAsia" w:ascii="宋体" w:hAnsi="宋体" w:cs="宋体"/>
          <w:color w:val="auto"/>
          <w:kern w:val="0"/>
          <w:szCs w:val="21"/>
          <w:highlight w:val="none"/>
        </w:rPr>
        <w:t>（单位盖章）</w:t>
      </w:r>
    </w:p>
    <w:p w14:paraId="71D74321">
      <w:pPr>
        <w:widowControl/>
        <w:spacing w:before="34" w:line="360" w:lineRule="auto"/>
        <w:ind w:left="2977" w:right="-20"/>
        <w:rPr>
          <w:rFonts w:hint="eastAsia" w:ascii="宋体" w:hAnsi="宋体" w:cs="宋体"/>
          <w:color w:val="auto"/>
          <w:kern w:val="0"/>
          <w:szCs w:val="21"/>
          <w:highlight w:val="none"/>
        </w:rPr>
      </w:pPr>
      <w:r>
        <w:rPr>
          <w:rFonts w:hint="eastAsia" w:ascii="宋体" w:hAnsi="宋体" w:cs="宋体"/>
          <w:color w:val="auto"/>
          <w:kern w:val="0"/>
          <w:szCs w:val="21"/>
          <w:highlight w:val="none"/>
        </w:rPr>
        <w:t>法定代表人（单位负责人）或其委托代理人</w:t>
      </w:r>
      <w:r>
        <w:rPr>
          <w:rFonts w:hint="eastAsia" w:ascii="宋体" w:hAnsi="宋体" w:cs="宋体"/>
          <w:color w:val="auto"/>
          <w:spacing w:val="-47"/>
          <w:kern w:val="0"/>
          <w:szCs w:val="21"/>
          <w:highlight w:val="none"/>
        </w:rPr>
        <w:t>：</w:t>
      </w:r>
      <w:r>
        <w:rPr>
          <w:rFonts w:hint="eastAsia" w:ascii="宋体" w:hAnsi="宋体" w:cs="宋体"/>
          <w:color w:val="auto"/>
          <w:spacing w:val="42"/>
          <w:kern w:val="0"/>
          <w:szCs w:val="21"/>
          <w:highlight w:val="none"/>
          <w:u w:val="single"/>
        </w:rPr>
        <w:t xml:space="preserve"> </w:t>
      </w:r>
      <w:r>
        <w:rPr>
          <w:rFonts w:hint="eastAsia" w:ascii="宋体" w:hAnsi="宋体" w:cs="宋体"/>
          <w:color w:val="auto"/>
          <w:kern w:val="0"/>
          <w:szCs w:val="21"/>
          <w:highlight w:val="none"/>
          <w:u w:val="single"/>
        </w:rPr>
        <w:t xml:space="preserve">        </w:t>
      </w:r>
      <w:r>
        <w:rPr>
          <w:rFonts w:hint="eastAsia" w:ascii="宋体" w:hAnsi="宋体" w:cs="宋体"/>
          <w:color w:val="auto"/>
          <w:kern w:val="0"/>
          <w:szCs w:val="21"/>
          <w:highlight w:val="none"/>
        </w:rPr>
        <w:t>（签字或盖章）</w:t>
      </w:r>
    </w:p>
    <w:p w14:paraId="42B6ED9C">
      <w:pPr>
        <w:widowControl/>
        <w:spacing w:before="34" w:line="360" w:lineRule="auto"/>
        <w:ind w:left="5516" w:right="-20"/>
        <w:rPr>
          <w:rFonts w:hint="eastAsia" w:ascii="宋体" w:hAnsi="宋体" w:cs="宋体"/>
          <w:color w:val="auto"/>
          <w:kern w:val="0"/>
          <w:szCs w:val="21"/>
          <w:highlight w:val="none"/>
        </w:rPr>
      </w:pPr>
      <w:r>
        <w:rPr>
          <w:rFonts w:hint="eastAsia" w:ascii="宋体" w:hAnsi="宋体" w:cs="宋体"/>
          <w:color w:val="auto"/>
          <w:kern w:val="0"/>
          <w:szCs w:val="21"/>
          <w:highlight w:val="none"/>
          <w:u w:val="single"/>
        </w:rPr>
        <w:t xml:space="preserve">      </w:t>
      </w:r>
      <w:r>
        <w:rPr>
          <w:rFonts w:hint="eastAsia" w:ascii="宋体" w:hAnsi="宋体" w:cs="宋体"/>
          <w:color w:val="auto"/>
          <w:kern w:val="0"/>
          <w:szCs w:val="21"/>
          <w:highlight w:val="none"/>
        </w:rPr>
        <w:t>年</w:t>
      </w:r>
      <w:r>
        <w:rPr>
          <w:rFonts w:hint="eastAsia" w:ascii="宋体" w:hAnsi="宋体" w:cs="宋体"/>
          <w:color w:val="auto"/>
          <w:spacing w:val="42"/>
          <w:kern w:val="0"/>
          <w:szCs w:val="21"/>
          <w:highlight w:val="none"/>
          <w:u w:val="single"/>
        </w:rPr>
        <w:t xml:space="preserve"> </w:t>
      </w:r>
      <w:r>
        <w:rPr>
          <w:rFonts w:hint="eastAsia" w:ascii="宋体" w:hAnsi="宋体" w:cs="宋体"/>
          <w:color w:val="auto"/>
          <w:kern w:val="0"/>
          <w:szCs w:val="21"/>
          <w:highlight w:val="none"/>
          <w:u w:val="single"/>
        </w:rPr>
        <w:t xml:space="preserve">  </w:t>
      </w:r>
      <w:r>
        <w:rPr>
          <w:rFonts w:hint="eastAsia" w:ascii="宋体" w:hAnsi="宋体" w:cs="宋体"/>
          <w:color w:val="auto"/>
          <w:kern w:val="0"/>
          <w:szCs w:val="21"/>
          <w:highlight w:val="none"/>
        </w:rPr>
        <w:t>月</w:t>
      </w:r>
      <w:r>
        <w:rPr>
          <w:rFonts w:hint="eastAsia" w:ascii="宋体" w:hAnsi="宋体" w:cs="宋体"/>
          <w:color w:val="auto"/>
          <w:spacing w:val="42"/>
          <w:kern w:val="0"/>
          <w:szCs w:val="21"/>
          <w:highlight w:val="none"/>
          <w:u w:val="single"/>
        </w:rPr>
        <w:t xml:space="preserve"> </w:t>
      </w:r>
      <w:r>
        <w:rPr>
          <w:rFonts w:hint="eastAsia" w:ascii="宋体" w:hAnsi="宋体" w:cs="宋体"/>
          <w:color w:val="auto"/>
          <w:kern w:val="0"/>
          <w:szCs w:val="21"/>
          <w:highlight w:val="none"/>
          <w:u w:val="single"/>
        </w:rPr>
        <w:t xml:space="preserve">  </w:t>
      </w:r>
      <w:r>
        <w:rPr>
          <w:rFonts w:hint="eastAsia" w:ascii="宋体" w:hAnsi="宋体" w:cs="宋体"/>
          <w:color w:val="auto"/>
          <w:kern w:val="0"/>
          <w:szCs w:val="21"/>
          <w:highlight w:val="none"/>
        </w:rPr>
        <w:t>日</w:t>
      </w:r>
    </w:p>
    <w:p w14:paraId="532A55E3">
      <w:pPr>
        <w:widowControl/>
        <w:spacing w:line="200" w:lineRule="atLeast"/>
        <w:rPr>
          <w:rFonts w:hint="eastAsia" w:ascii="宋体" w:hAnsi="宋体" w:cs="宋体"/>
          <w:color w:val="auto"/>
          <w:kern w:val="0"/>
          <w:szCs w:val="21"/>
          <w:highlight w:val="none"/>
        </w:rPr>
      </w:pPr>
    </w:p>
    <w:p w14:paraId="0ED9CE67">
      <w:pPr>
        <w:adjustRightInd w:val="0"/>
        <w:snapToGrid w:val="0"/>
        <w:spacing w:before="48" w:beforeLines="20" w:after="48" w:afterLines="20" w:line="400" w:lineRule="exact"/>
        <w:ind w:firstLine="420" w:firstLineChars="200"/>
        <w:rPr>
          <w:rFonts w:hint="eastAsia" w:ascii="宋体" w:hAnsi="宋体"/>
          <w:szCs w:val="22"/>
          <w:highlight w:val="none"/>
        </w:rPr>
      </w:pPr>
      <w:r>
        <w:rPr>
          <w:rFonts w:hint="eastAsia" w:ascii="宋体" w:hAnsi="宋体"/>
          <w:szCs w:val="22"/>
          <w:highlight w:val="none"/>
        </w:rPr>
        <w:t>1. 投标人应严格按照开标一览表的格式填写，否则可能导致其投标文件被否决。</w:t>
      </w:r>
    </w:p>
    <w:p w14:paraId="1CAAA48F">
      <w:pPr>
        <w:adjustRightInd w:val="0"/>
        <w:snapToGrid w:val="0"/>
        <w:spacing w:before="48" w:beforeLines="20" w:after="48" w:afterLines="20" w:line="400" w:lineRule="exact"/>
        <w:ind w:firstLine="420" w:firstLineChars="200"/>
        <w:rPr>
          <w:rFonts w:hint="eastAsia" w:ascii="宋体" w:hAnsi="宋体"/>
          <w:szCs w:val="22"/>
          <w:highlight w:val="none"/>
        </w:rPr>
      </w:pPr>
      <w:r>
        <w:rPr>
          <w:rFonts w:hint="eastAsia" w:ascii="宋体" w:hAnsi="宋体"/>
          <w:szCs w:val="22"/>
          <w:highlight w:val="none"/>
        </w:rPr>
        <w:t>2. 招标项目编号和标包号应按招标文件给定的编号填写。</w:t>
      </w:r>
    </w:p>
    <w:p w14:paraId="666050C9">
      <w:pPr>
        <w:adjustRightInd w:val="0"/>
        <w:snapToGrid w:val="0"/>
        <w:spacing w:before="48" w:beforeLines="20" w:after="48" w:afterLines="20" w:line="400" w:lineRule="exact"/>
        <w:ind w:firstLine="420" w:firstLineChars="200"/>
        <w:rPr>
          <w:rFonts w:hint="eastAsia" w:ascii="宋体" w:hAnsi="宋体"/>
          <w:szCs w:val="22"/>
          <w:highlight w:val="none"/>
        </w:rPr>
      </w:pPr>
      <w:r>
        <w:rPr>
          <w:rFonts w:hint="eastAsia" w:ascii="宋体" w:hAnsi="宋体"/>
          <w:szCs w:val="22"/>
          <w:highlight w:val="none"/>
        </w:rPr>
        <w:t>3. 投标人应就所投标的每一标包分别填写一张开标一览表。</w:t>
      </w:r>
    </w:p>
    <w:p w14:paraId="0AD165D2">
      <w:pPr>
        <w:adjustRightInd w:val="0"/>
        <w:snapToGrid w:val="0"/>
        <w:spacing w:before="48" w:beforeLines="20" w:after="48" w:afterLines="20" w:line="400" w:lineRule="exact"/>
        <w:ind w:firstLine="420" w:firstLineChars="200"/>
        <w:rPr>
          <w:rFonts w:hint="eastAsia" w:ascii="宋体" w:hAnsi="宋体"/>
          <w:szCs w:val="22"/>
          <w:highlight w:val="none"/>
        </w:rPr>
      </w:pPr>
      <w:r>
        <w:rPr>
          <w:rFonts w:hint="eastAsia" w:ascii="宋体" w:hAnsi="宋体"/>
          <w:szCs w:val="22"/>
          <w:highlight w:val="none"/>
        </w:rPr>
        <w:t>4. 本表中投标报价应与表 3-1分项报价表中的</w:t>
      </w:r>
      <w:r>
        <w:rPr>
          <w:rFonts w:hint="eastAsia" w:ascii="宋体" w:hAnsi="宋体"/>
          <w:szCs w:val="22"/>
          <w:highlight w:val="none"/>
          <w:lang w:val="en-US" w:eastAsia="zh-CN"/>
        </w:rPr>
        <w:t>合计</w:t>
      </w:r>
      <w:r>
        <w:rPr>
          <w:rFonts w:hint="eastAsia" w:ascii="宋体" w:hAnsi="宋体"/>
          <w:szCs w:val="22"/>
          <w:highlight w:val="none"/>
        </w:rPr>
        <w:t>(投标报价)金额一致。</w:t>
      </w:r>
    </w:p>
    <w:p w14:paraId="625B8C18">
      <w:pPr>
        <w:widowControl/>
        <w:spacing w:line="272" w:lineRule="atLeast"/>
        <w:ind w:left="160" w:right="-20"/>
        <w:rPr>
          <w:rFonts w:hint="eastAsia" w:ascii="宋体" w:hAnsi="宋体" w:cs="宋体"/>
          <w:color w:val="auto"/>
          <w:kern w:val="0"/>
          <w:szCs w:val="21"/>
          <w:highlight w:val="none"/>
        </w:rPr>
        <w:sectPr>
          <w:footnotePr>
            <w:numFmt w:val="decimalEnclosedCircleChinese"/>
            <w:numRestart w:val="eachPage"/>
          </w:footnotePr>
          <w:pgSz w:w="11906" w:h="16838"/>
          <w:pgMar w:top="1134" w:right="1134" w:bottom="1134" w:left="1134" w:header="851" w:footer="851" w:gutter="0"/>
          <w:cols w:space="720" w:num="1"/>
          <w:docGrid w:linePitch="286" w:charSpace="0"/>
        </w:sectPr>
      </w:pPr>
    </w:p>
    <w:p w14:paraId="5A62421B">
      <w:pPr>
        <w:pStyle w:val="3"/>
        <w:widowControl/>
        <w:spacing w:before="120" w:after="120" w:line="240" w:lineRule="auto"/>
        <w:jc w:val="center"/>
        <w:rPr>
          <w:rStyle w:val="107"/>
          <w:rFonts w:hint="eastAsia" w:ascii="宋体" w:hAnsi="宋体" w:eastAsia="宋体" w:cs="宋体"/>
          <w:b w:val="0"/>
          <w:bCs/>
          <w:color w:val="auto"/>
          <w:sz w:val="30"/>
          <w:szCs w:val="30"/>
          <w:highlight w:val="none"/>
        </w:rPr>
      </w:pPr>
      <w:bookmarkStart w:id="891" w:name="_Toc445554787"/>
      <w:bookmarkStart w:id="892" w:name="_Toc466024588"/>
      <w:r>
        <w:rPr>
          <w:rStyle w:val="107"/>
          <w:rFonts w:hint="eastAsia" w:ascii="宋体" w:hAnsi="宋体" w:eastAsia="宋体" w:cs="宋体"/>
          <w:b/>
          <w:bCs w:val="0"/>
          <w:color w:val="auto"/>
          <w:sz w:val="30"/>
          <w:szCs w:val="30"/>
          <w:highlight w:val="none"/>
        </w:rPr>
        <w:t>三、分项报价表</w:t>
      </w:r>
      <w:bookmarkEnd w:id="891"/>
      <w:bookmarkEnd w:id="892"/>
    </w:p>
    <w:p w14:paraId="5262D025">
      <w:pPr>
        <w:widowControl/>
        <w:ind w:left="1503" w:right="1683"/>
        <w:jc w:val="center"/>
        <w:rPr>
          <w:rFonts w:hint="eastAsia" w:ascii="宋体" w:hAnsi="宋体" w:cs="宋体"/>
          <w:color w:val="auto"/>
          <w:kern w:val="0"/>
          <w:sz w:val="28"/>
          <w:szCs w:val="28"/>
          <w:highlight w:val="none"/>
        </w:rPr>
      </w:pPr>
      <w:r>
        <w:rPr>
          <w:rFonts w:hint="eastAsia" w:ascii="宋体" w:hAnsi="宋体" w:cs="宋体"/>
          <w:color w:val="auto"/>
          <w:kern w:val="0"/>
          <w:sz w:val="28"/>
          <w:szCs w:val="28"/>
          <w:highlight w:val="none"/>
        </w:rPr>
        <w:t>表3-1  分项报价表</w:t>
      </w:r>
    </w:p>
    <w:p w14:paraId="3BA366BE">
      <w:pPr>
        <w:widowControl/>
        <w:spacing w:line="333" w:lineRule="atLeast"/>
        <w:ind w:right="840"/>
        <w:jc w:val="center"/>
        <w:rPr>
          <w:rFonts w:hint="eastAsia" w:ascii="宋体" w:hAnsi="宋体" w:cs="宋体"/>
          <w:color w:val="auto"/>
          <w:kern w:val="0"/>
          <w:szCs w:val="21"/>
          <w:highlight w:val="none"/>
        </w:rPr>
      </w:pPr>
      <w:r>
        <w:rPr>
          <w:rFonts w:hint="eastAsia" w:ascii="宋体" w:hAnsi="宋体" w:cs="宋体"/>
          <w:color w:val="auto"/>
          <w:kern w:val="0"/>
          <w:position w:val="-4"/>
          <w:szCs w:val="21"/>
          <w:highlight w:val="none"/>
        </w:rPr>
        <w:t xml:space="preserve">                                                                        项目编号</w:t>
      </w:r>
      <w:r>
        <w:rPr>
          <w:rFonts w:hint="eastAsia" w:ascii="宋体" w:hAnsi="宋体" w:cs="宋体"/>
          <w:color w:val="auto"/>
          <w:spacing w:val="-24"/>
          <w:kern w:val="0"/>
          <w:position w:val="-4"/>
          <w:szCs w:val="21"/>
          <w:highlight w:val="none"/>
        </w:rPr>
        <w:t>：</w:t>
      </w:r>
      <w:r>
        <w:rPr>
          <w:rFonts w:hint="eastAsia" w:ascii="宋体" w:hAnsi="宋体" w:cs="宋体"/>
          <w:color w:val="auto"/>
          <w:spacing w:val="42"/>
          <w:kern w:val="0"/>
          <w:position w:val="-4"/>
          <w:szCs w:val="21"/>
          <w:highlight w:val="none"/>
          <w:u w:val="single"/>
        </w:rPr>
        <w:t xml:space="preserve">      </w:t>
      </w:r>
      <w:r>
        <w:rPr>
          <w:rFonts w:hint="eastAsia" w:ascii="宋体" w:hAnsi="宋体" w:cs="宋体"/>
          <w:color w:val="auto"/>
          <w:kern w:val="0"/>
          <w:position w:val="-4"/>
          <w:szCs w:val="21"/>
          <w:highlight w:val="none"/>
          <w:u w:val="single"/>
        </w:rPr>
        <w:t xml:space="preserve">   </w:t>
      </w:r>
      <w:r>
        <w:rPr>
          <w:rFonts w:hint="eastAsia" w:ascii="宋体" w:hAnsi="宋体" w:cs="宋体"/>
          <w:color w:val="auto"/>
          <w:kern w:val="0"/>
          <w:position w:val="-4"/>
          <w:szCs w:val="21"/>
          <w:highlight w:val="none"/>
        </w:rPr>
        <w:t xml:space="preserve">  标包号</w:t>
      </w:r>
      <w:r>
        <w:rPr>
          <w:rFonts w:hint="eastAsia" w:ascii="宋体" w:hAnsi="宋体" w:cs="宋体"/>
          <w:color w:val="auto"/>
          <w:spacing w:val="-25"/>
          <w:kern w:val="0"/>
          <w:position w:val="-4"/>
          <w:szCs w:val="21"/>
          <w:highlight w:val="none"/>
        </w:rPr>
        <w:t>：</w:t>
      </w:r>
      <w:r>
        <w:rPr>
          <w:rFonts w:hint="eastAsia" w:ascii="宋体" w:hAnsi="宋体" w:cs="宋体"/>
          <w:color w:val="auto"/>
          <w:spacing w:val="42"/>
          <w:kern w:val="0"/>
          <w:position w:val="-4"/>
          <w:szCs w:val="21"/>
          <w:highlight w:val="none"/>
          <w:u w:val="single"/>
        </w:rPr>
        <w:t xml:space="preserve"> </w:t>
      </w:r>
      <w:r>
        <w:rPr>
          <w:rFonts w:hint="eastAsia" w:ascii="宋体" w:hAnsi="宋体" w:cs="宋体"/>
          <w:color w:val="auto"/>
          <w:kern w:val="0"/>
          <w:position w:val="-4"/>
          <w:szCs w:val="21"/>
          <w:highlight w:val="none"/>
          <w:u w:val="single"/>
        </w:rPr>
        <w:t xml:space="preserve">    </w:t>
      </w:r>
      <w:r>
        <w:rPr>
          <w:rFonts w:hint="eastAsia" w:ascii="宋体" w:hAnsi="宋体" w:cs="宋体"/>
          <w:color w:val="auto"/>
          <w:kern w:val="0"/>
          <w:position w:val="-4"/>
          <w:szCs w:val="21"/>
          <w:highlight w:val="none"/>
        </w:rPr>
        <w:t xml:space="preserve">  </w:t>
      </w:r>
      <w:r>
        <w:rPr>
          <w:rFonts w:hint="eastAsia" w:ascii="宋体" w:hAnsi="宋体" w:cs="宋体"/>
          <w:color w:val="auto"/>
          <w:spacing w:val="-1"/>
          <w:kern w:val="0"/>
          <w:position w:val="-4"/>
          <w:szCs w:val="21"/>
          <w:highlight w:val="none"/>
        </w:rPr>
        <w:t>货</w:t>
      </w:r>
      <w:r>
        <w:rPr>
          <w:rFonts w:hint="eastAsia" w:ascii="宋体" w:hAnsi="宋体" w:cs="宋体"/>
          <w:color w:val="auto"/>
          <w:kern w:val="0"/>
          <w:position w:val="-4"/>
          <w:szCs w:val="21"/>
          <w:highlight w:val="none"/>
        </w:rPr>
        <w:t>币单位</w:t>
      </w:r>
      <w:r>
        <w:rPr>
          <w:rFonts w:hint="eastAsia" w:ascii="宋体" w:hAnsi="宋体" w:cs="宋体"/>
          <w:color w:val="auto"/>
          <w:spacing w:val="-24"/>
          <w:kern w:val="0"/>
          <w:position w:val="-4"/>
          <w:szCs w:val="21"/>
          <w:highlight w:val="none"/>
        </w:rPr>
        <w:t>：</w:t>
      </w:r>
      <w:r>
        <w:rPr>
          <w:rFonts w:hint="eastAsia" w:ascii="宋体" w:hAnsi="宋体" w:cs="宋体"/>
          <w:color w:val="auto"/>
          <w:kern w:val="0"/>
          <w:position w:val="-4"/>
          <w:szCs w:val="21"/>
          <w:highlight w:val="none"/>
        </w:rPr>
        <w:t>人民币元</w:t>
      </w:r>
    </w:p>
    <w:tbl>
      <w:tblPr>
        <w:tblStyle w:val="48"/>
        <w:tblW w:w="14500" w:type="dxa"/>
        <w:tblInd w:w="20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38"/>
        <w:gridCol w:w="1156"/>
        <w:gridCol w:w="1124"/>
        <w:gridCol w:w="567"/>
        <w:gridCol w:w="567"/>
        <w:gridCol w:w="1134"/>
        <w:gridCol w:w="1050"/>
        <w:gridCol w:w="934"/>
        <w:gridCol w:w="1050"/>
        <w:gridCol w:w="651"/>
        <w:gridCol w:w="709"/>
        <w:gridCol w:w="992"/>
        <w:gridCol w:w="993"/>
        <w:gridCol w:w="851"/>
        <w:gridCol w:w="850"/>
        <w:gridCol w:w="1134"/>
      </w:tblGrid>
      <w:tr w14:paraId="4BE207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4" w:hRule="atLeast"/>
        </w:trPr>
        <w:tc>
          <w:tcPr>
            <w:tcW w:w="738" w:type="dxa"/>
            <w:vMerge w:val="restart"/>
            <w:noWrap w:val="0"/>
            <w:vAlign w:val="center"/>
          </w:tcPr>
          <w:p w14:paraId="65C9757B">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序号</w:t>
            </w:r>
          </w:p>
        </w:tc>
        <w:tc>
          <w:tcPr>
            <w:tcW w:w="1156" w:type="dxa"/>
            <w:vMerge w:val="restart"/>
            <w:noWrap w:val="0"/>
            <w:vAlign w:val="center"/>
          </w:tcPr>
          <w:p w14:paraId="6A7EFE45">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货物</w:t>
            </w:r>
            <w:r>
              <w:rPr>
                <w:rFonts w:hint="eastAsia" w:ascii="宋体" w:hAnsi="宋体" w:cs="宋体"/>
                <w:color w:val="auto"/>
                <w:szCs w:val="21"/>
                <w:highlight w:val="none"/>
              </w:rPr>
              <w:t>（服务）</w:t>
            </w:r>
            <w:r>
              <w:rPr>
                <w:rFonts w:hint="eastAsia" w:ascii="宋体" w:hAnsi="宋体" w:cs="宋体"/>
                <w:color w:val="auto"/>
                <w:kern w:val="0"/>
                <w:szCs w:val="21"/>
                <w:highlight w:val="none"/>
              </w:rPr>
              <w:t>名称</w:t>
            </w:r>
          </w:p>
        </w:tc>
        <w:tc>
          <w:tcPr>
            <w:tcW w:w="1124" w:type="dxa"/>
            <w:vMerge w:val="restart"/>
            <w:noWrap w:val="0"/>
            <w:vAlign w:val="center"/>
          </w:tcPr>
          <w:p w14:paraId="246D7552">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规格型号</w:t>
            </w:r>
          </w:p>
        </w:tc>
        <w:tc>
          <w:tcPr>
            <w:tcW w:w="567" w:type="dxa"/>
            <w:vMerge w:val="restart"/>
            <w:noWrap w:val="0"/>
            <w:vAlign w:val="center"/>
          </w:tcPr>
          <w:p w14:paraId="2F9615A6">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数量</w:t>
            </w:r>
          </w:p>
        </w:tc>
        <w:tc>
          <w:tcPr>
            <w:tcW w:w="567" w:type="dxa"/>
            <w:vMerge w:val="restart"/>
            <w:noWrap w:val="0"/>
            <w:vAlign w:val="center"/>
          </w:tcPr>
          <w:p w14:paraId="2274F029">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单位</w:t>
            </w:r>
          </w:p>
        </w:tc>
        <w:tc>
          <w:tcPr>
            <w:tcW w:w="5528" w:type="dxa"/>
            <w:gridSpan w:val="6"/>
            <w:noWrap w:val="0"/>
            <w:vAlign w:val="center"/>
          </w:tcPr>
          <w:p w14:paraId="5BCB9E8B">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单价(元/单位)</w:t>
            </w:r>
          </w:p>
        </w:tc>
        <w:tc>
          <w:tcPr>
            <w:tcW w:w="992" w:type="dxa"/>
            <w:noWrap w:val="0"/>
            <w:vAlign w:val="center"/>
          </w:tcPr>
          <w:p w14:paraId="00FC8731">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合价</w:t>
            </w:r>
          </w:p>
        </w:tc>
        <w:tc>
          <w:tcPr>
            <w:tcW w:w="993" w:type="dxa"/>
            <w:noWrap w:val="0"/>
            <w:vAlign w:val="center"/>
          </w:tcPr>
          <w:p w14:paraId="1B39539D">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制造商</w:t>
            </w:r>
          </w:p>
        </w:tc>
        <w:tc>
          <w:tcPr>
            <w:tcW w:w="851" w:type="dxa"/>
            <w:noWrap w:val="0"/>
            <w:vAlign w:val="center"/>
          </w:tcPr>
          <w:p w14:paraId="775470C5">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品牌</w:t>
            </w:r>
          </w:p>
        </w:tc>
        <w:tc>
          <w:tcPr>
            <w:tcW w:w="850" w:type="dxa"/>
            <w:noWrap w:val="0"/>
            <w:vAlign w:val="center"/>
          </w:tcPr>
          <w:p w14:paraId="637E2D18">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产地</w:t>
            </w:r>
          </w:p>
        </w:tc>
        <w:tc>
          <w:tcPr>
            <w:tcW w:w="1134" w:type="dxa"/>
            <w:noWrap w:val="0"/>
            <w:vAlign w:val="center"/>
          </w:tcPr>
          <w:p w14:paraId="1FEA9CD2">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发货地点</w:t>
            </w:r>
          </w:p>
        </w:tc>
      </w:tr>
      <w:tr w14:paraId="7D5131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5" w:hRule="atLeast"/>
        </w:trPr>
        <w:tc>
          <w:tcPr>
            <w:tcW w:w="738" w:type="dxa"/>
            <w:vMerge w:val="continue"/>
            <w:noWrap w:val="0"/>
            <w:vAlign w:val="center"/>
          </w:tcPr>
          <w:p w14:paraId="3FE643B4">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156" w:type="dxa"/>
            <w:vMerge w:val="continue"/>
            <w:noWrap w:val="0"/>
            <w:vAlign w:val="center"/>
          </w:tcPr>
          <w:p w14:paraId="5469038F">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124" w:type="dxa"/>
            <w:vMerge w:val="continue"/>
            <w:noWrap w:val="0"/>
            <w:vAlign w:val="center"/>
          </w:tcPr>
          <w:p w14:paraId="1FB515D4">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567" w:type="dxa"/>
            <w:vMerge w:val="continue"/>
            <w:noWrap w:val="0"/>
            <w:vAlign w:val="center"/>
          </w:tcPr>
          <w:p w14:paraId="640EC396">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567" w:type="dxa"/>
            <w:vMerge w:val="continue"/>
            <w:noWrap w:val="0"/>
            <w:vAlign w:val="center"/>
          </w:tcPr>
          <w:p w14:paraId="4B3DBE66">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134" w:type="dxa"/>
            <w:noWrap w:val="0"/>
            <w:vAlign w:val="center"/>
          </w:tcPr>
          <w:p w14:paraId="41F55403">
            <w:pPr>
              <w:keepNext w:val="0"/>
              <w:keepLines w:val="0"/>
              <w:suppressLineNumbers w:val="0"/>
              <w:spacing w:before="0" w:beforeAutospacing="0" w:after="0" w:afterAutospacing="0"/>
              <w:ind w:left="0" w:right="0"/>
              <w:jc w:val="center"/>
              <w:rPr>
                <w:rFonts w:hint="eastAsia" w:ascii="宋体" w:hAnsi="宋体" w:cs="宋体"/>
                <w:color w:val="auto"/>
                <w:szCs w:val="21"/>
                <w:highlight w:val="none"/>
              </w:rPr>
            </w:pPr>
            <w:r>
              <w:rPr>
                <w:rFonts w:hint="eastAsia" w:ascii="宋体" w:hAnsi="宋体" w:cs="宋体"/>
                <w:color w:val="auto"/>
                <w:szCs w:val="21"/>
                <w:highlight w:val="none"/>
              </w:rPr>
              <w:t>主机及标准附件</w:t>
            </w:r>
          </w:p>
        </w:tc>
        <w:tc>
          <w:tcPr>
            <w:tcW w:w="1050" w:type="dxa"/>
            <w:noWrap w:val="0"/>
            <w:vAlign w:val="center"/>
          </w:tcPr>
          <w:p w14:paraId="2A7F34A3">
            <w:pPr>
              <w:keepNext w:val="0"/>
              <w:keepLines w:val="0"/>
              <w:suppressLineNumbers w:val="0"/>
              <w:spacing w:before="0" w:beforeAutospacing="0" w:after="0" w:afterAutospacing="0"/>
              <w:ind w:left="0" w:right="0"/>
              <w:jc w:val="center"/>
              <w:rPr>
                <w:rFonts w:hint="eastAsia" w:ascii="宋体" w:hAnsi="宋体" w:cs="宋体"/>
                <w:color w:val="auto"/>
                <w:szCs w:val="21"/>
                <w:highlight w:val="none"/>
              </w:rPr>
            </w:pPr>
            <w:r>
              <w:rPr>
                <w:rFonts w:hint="eastAsia" w:ascii="宋体" w:hAnsi="宋体" w:cs="宋体"/>
                <w:color w:val="auto"/>
                <w:szCs w:val="21"/>
                <w:highlight w:val="none"/>
              </w:rPr>
              <w:t>运输、保险、卸货</w:t>
            </w:r>
          </w:p>
        </w:tc>
        <w:tc>
          <w:tcPr>
            <w:tcW w:w="934" w:type="dxa"/>
            <w:noWrap w:val="0"/>
            <w:vAlign w:val="center"/>
          </w:tcPr>
          <w:p w14:paraId="3273E265">
            <w:pPr>
              <w:keepNext w:val="0"/>
              <w:keepLines w:val="0"/>
              <w:suppressLineNumbers w:val="0"/>
              <w:spacing w:before="0" w:beforeAutospacing="0" w:after="0" w:afterAutospacing="0"/>
              <w:ind w:left="0" w:right="0"/>
              <w:jc w:val="center"/>
              <w:rPr>
                <w:rFonts w:hint="eastAsia" w:ascii="宋体" w:hAnsi="宋体" w:cs="宋体"/>
                <w:color w:val="auto"/>
                <w:szCs w:val="21"/>
                <w:highlight w:val="none"/>
              </w:rPr>
            </w:pPr>
            <w:r>
              <w:rPr>
                <w:rFonts w:hint="eastAsia" w:ascii="宋体" w:hAnsi="宋体" w:cs="宋体"/>
                <w:color w:val="auto"/>
                <w:szCs w:val="21"/>
                <w:highlight w:val="none"/>
              </w:rPr>
              <w:t>安装调试检验</w:t>
            </w:r>
          </w:p>
        </w:tc>
        <w:tc>
          <w:tcPr>
            <w:tcW w:w="1050" w:type="dxa"/>
            <w:noWrap w:val="0"/>
            <w:vAlign w:val="center"/>
          </w:tcPr>
          <w:p w14:paraId="318BBC92">
            <w:pPr>
              <w:keepNext w:val="0"/>
              <w:keepLines w:val="0"/>
              <w:suppressLineNumbers w:val="0"/>
              <w:spacing w:before="0" w:beforeAutospacing="0" w:after="0" w:afterAutospacing="0"/>
              <w:ind w:left="-105" w:leftChars="-50" w:right="-105" w:rightChars="-50"/>
              <w:jc w:val="center"/>
              <w:rPr>
                <w:rFonts w:hint="eastAsia" w:ascii="宋体" w:hAnsi="宋体" w:cs="宋体"/>
                <w:color w:val="auto"/>
                <w:szCs w:val="21"/>
                <w:highlight w:val="none"/>
              </w:rPr>
            </w:pPr>
            <w:r>
              <w:rPr>
                <w:rFonts w:hint="eastAsia" w:ascii="宋体" w:hAnsi="宋体" w:cs="宋体"/>
                <w:color w:val="auto"/>
                <w:szCs w:val="21"/>
                <w:highlight w:val="none"/>
              </w:rPr>
              <w:t>培训及</w:t>
            </w:r>
          </w:p>
          <w:p w14:paraId="7D308F87">
            <w:pPr>
              <w:keepNext w:val="0"/>
              <w:keepLines w:val="0"/>
              <w:suppressLineNumbers w:val="0"/>
              <w:spacing w:before="0" w:beforeAutospacing="0" w:after="0" w:afterAutospacing="0"/>
              <w:ind w:left="-105" w:leftChars="-50" w:right="-105" w:rightChars="-50"/>
              <w:jc w:val="center"/>
              <w:rPr>
                <w:rFonts w:hint="eastAsia" w:ascii="宋体" w:hAnsi="宋体" w:cs="宋体"/>
                <w:color w:val="auto"/>
                <w:szCs w:val="21"/>
                <w:highlight w:val="none"/>
              </w:rPr>
            </w:pPr>
            <w:r>
              <w:rPr>
                <w:rFonts w:hint="eastAsia" w:ascii="宋体" w:hAnsi="宋体" w:cs="宋体"/>
                <w:color w:val="auto"/>
                <w:szCs w:val="21"/>
                <w:highlight w:val="none"/>
              </w:rPr>
              <w:t>技术服务</w:t>
            </w:r>
          </w:p>
        </w:tc>
        <w:tc>
          <w:tcPr>
            <w:tcW w:w="651" w:type="dxa"/>
            <w:noWrap w:val="0"/>
            <w:vAlign w:val="center"/>
          </w:tcPr>
          <w:p w14:paraId="3C8E5E71">
            <w:pPr>
              <w:keepNext w:val="0"/>
              <w:keepLines w:val="0"/>
              <w:suppressLineNumbers w:val="0"/>
              <w:spacing w:before="0" w:beforeAutospacing="0" w:after="0" w:afterAutospacing="0"/>
              <w:ind w:left="0" w:right="0"/>
              <w:jc w:val="center"/>
              <w:rPr>
                <w:rFonts w:hint="eastAsia" w:ascii="宋体" w:hAnsi="宋体" w:cs="宋体"/>
                <w:color w:val="auto"/>
                <w:szCs w:val="21"/>
                <w:highlight w:val="none"/>
              </w:rPr>
            </w:pPr>
            <w:r>
              <w:rPr>
                <w:rFonts w:hint="eastAsia" w:ascii="宋体" w:hAnsi="宋体" w:cs="宋体"/>
                <w:color w:val="auto"/>
                <w:szCs w:val="21"/>
                <w:highlight w:val="none"/>
              </w:rPr>
              <w:t>其他</w:t>
            </w:r>
          </w:p>
        </w:tc>
        <w:tc>
          <w:tcPr>
            <w:tcW w:w="709" w:type="dxa"/>
            <w:noWrap w:val="0"/>
            <w:vAlign w:val="center"/>
          </w:tcPr>
          <w:p w14:paraId="443A032E">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szCs w:val="21"/>
                <w:highlight w:val="none"/>
              </w:rPr>
              <w:t>小计</w:t>
            </w:r>
          </w:p>
        </w:tc>
        <w:tc>
          <w:tcPr>
            <w:tcW w:w="992" w:type="dxa"/>
            <w:noWrap w:val="0"/>
            <w:vAlign w:val="center"/>
          </w:tcPr>
          <w:p w14:paraId="6430F10D">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993" w:type="dxa"/>
            <w:noWrap w:val="0"/>
            <w:vAlign w:val="center"/>
          </w:tcPr>
          <w:p w14:paraId="4E54A313">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851" w:type="dxa"/>
            <w:noWrap w:val="0"/>
            <w:vAlign w:val="center"/>
          </w:tcPr>
          <w:p w14:paraId="4A8600E3">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850" w:type="dxa"/>
            <w:noWrap w:val="0"/>
            <w:vAlign w:val="center"/>
          </w:tcPr>
          <w:p w14:paraId="4AF56940">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134" w:type="dxa"/>
            <w:noWrap w:val="0"/>
            <w:vAlign w:val="center"/>
          </w:tcPr>
          <w:p w14:paraId="610BD251">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r>
      <w:tr w14:paraId="60A6B6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5" w:hRule="atLeast"/>
        </w:trPr>
        <w:tc>
          <w:tcPr>
            <w:tcW w:w="738" w:type="dxa"/>
            <w:noWrap w:val="0"/>
            <w:vAlign w:val="center"/>
          </w:tcPr>
          <w:p w14:paraId="66773D74">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156" w:type="dxa"/>
            <w:noWrap w:val="0"/>
            <w:vAlign w:val="center"/>
          </w:tcPr>
          <w:p w14:paraId="4237D0E4">
            <w:pPr>
              <w:keepNext w:val="0"/>
              <w:keepLines w:val="0"/>
              <w:suppressLineNumbers w:val="0"/>
              <w:spacing w:before="0" w:beforeAutospacing="0" w:after="0" w:afterAutospacing="0"/>
              <w:ind w:left="0" w:right="0"/>
              <w:jc w:val="center"/>
              <w:rPr>
                <w:rFonts w:hint="eastAsia" w:ascii="宋体" w:hAnsi="宋体" w:cs="宋体"/>
                <w:color w:val="auto"/>
                <w:szCs w:val="21"/>
                <w:highlight w:val="none"/>
              </w:rPr>
            </w:pPr>
          </w:p>
        </w:tc>
        <w:tc>
          <w:tcPr>
            <w:tcW w:w="1124" w:type="dxa"/>
            <w:noWrap w:val="0"/>
            <w:vAlign w:val="center"/>
          </w:tcPr>
          <w:p w14:paraId="197D6782">
            <w:pPr>
              <w:keepNext w:val="0"/>
              <w:keepLines w:val="0"/>
              <w:suppressLineNumbers w:val="0"/>
              <w:spacing w:before="0" w:beforeAutospacing="0" w:after="0" w:afterAutospacing="0"/>
              <w:ind w:left="0" w:right="0"/>
              <w:jc w:val="center"/>
              <w:rPr>
                <w:rFonts w:hint="eastAsia" w:ascii="宋体" w:hAnsi="宋体" w:cs="宋体"/>
                <w:color w:val="auto"/>
                <w:szCs w:val="21"/>
                <w:highlight w:val="none"/>
              </w:rPr>
            </w:pPr>
          </w:p>
        </w:tc>
        <w:tc>
          <w:tcPr>
            <w:tcW w:w="567" w:type="dxa"/>
            <w:noWrap w:val="0"/>
            <w:vAlign w:val="center"/>
          </w:tcPr>
          <w:p w14:paraId="027B96A4">
            <w:pPr>
              <w:keepNext w:val="0"/>
              <w:keepLines w:val="0"/>
              <w:suppressLineNumbers w:val="0"/>
              <w:spacing w:before="0" w:beforeAutospacing="0" w:after="0" w:afterAutospacing="0"/>
              <w:ind w:left="0" w:right="0"/>
              <w:jc w:val="center"/>
              <w:rPr>
                <w:rFonts w:hint="eastAsia" w:ascii="宋体" w:hAnsi="宋体" w:cs="宋体"/>
                <w:color w:val="auto"/>
                <w:szCs w:val="21"/>
                <w:highlight w:val="none"/>
              </w:rPr>
            </w:pPr>
          </w:p>
        </w:tc>
        <w:tc>
          <w:tcPr>
            <w:tcW w:w="567" w:type="dxa"/>
            <w:noWrap w:val="0"/>
            <w:vAlign w:val="center"/>
          </w:tcPr>
          <w:p w14:paraId="3D98D33A">
            <w:pPr>
              <w:keepNext w:val="0"/>
              <w:keepLines w:val="0"/>
              <w:suppressLineNumbers w:val="0"/>
              <w:spacing w:before="0" w:beforeAutospacing="0" w:after="0" w:afterAutospacing="0"/>
              <w:ind w:left="0" w:right="0"/>
              <w:jc w:val="center"/>
              <w:rPr>
                <w:rFonts w:hint="eastAsia" w:ascii="宋体" w:hAnsi="宋体" w:cs="宋体"/>
                <w:color w:val="auto"/>
                <w:szCs w:val="21"/>
                <w:highlight w:val="none"/>
              </w:rPr>
            </w:pPr>
          </w:p>
        </w:tc>
        <w:tc>
          <w:tcPr>
            <w:tcW w:w="1134" w:type="dxa"/>
            <w:noWrap w:val="0"/>
            <w:vAlign w:val="center"/>
          </w:tcPr>
          <w:p w14:paraId="56008FCA">
            <w:pPr>
              <w:keepNext w:val="0"/>
              <w:keepLines w:val="0"/>
              <w:suppressLineNumbers w:val="0"/>
              <w:spacing w:before="0" w:beforeAutospacing="0" w:after="0" w:afterAutospacing="0"/>
              <w:ind w:left="0" w:right="0"/>
              <w:jc w:val="center"/>
              <w:rPr>
                <w:rFonts w:hint="eastAsia" w:ascii="宋体" w:hAnsi="宋体" w:cs="宋体"/>
                <w:color w:val="auto"/>
                <w:szCs w:val="21"/>
                <w:highlight w:val="none"/>
              </w:rPr>
            </w:pPr>
          </w:p>
        </w:tc>
        <w:tc>
          <w:tcPr>
            <w:tcW w:w="1050" w:type="dxa"/>
            <w:noWrap w:val="0"/>
            <w:vAlign w:val="center"/>
          </w:tcPr>
          <w:p w14:paraId="46EB2BC5">
            <w:pPr>
              <w:keepNext w:val="0"/>
              <w:keepLines w:val="0"/>
              <w:suppressLineNumbers w:val="0"/>
              <w:spacing w:before="0" w:beforeAutospacing="0" w:after="0" w:afterAutospacing="0"/>
              <w:ind w:left="0" w:right="0"/>
              <w:jc w:val="center"/>
              <w:rPr>
                <w:rFonts w:hint="eastAsia" w:ascii="宋体" w:hAnsi="宋体" w:cs="宋体"/>
                <w:color w:val="auto"/>
                <w:szCs w:val="21"/>
                <w:highlight w:val="none"/>
              </w:rPr>
            </w:pPr>
          </w:p>
        </w:tc>
        <w:tc>
          <w:tcPr>
            <w:tcW w:w="934" w:type="dxa"/>
            <w:noWrap w:val="0"/>
            <w:vAlign w:val="center"/>
          </w:tcPr>
          <w:p w14:paraId="2ED07DC3">
            <w:pPr>
              <w:keepNext w:val="0"/>
              <w:keepLines w:val="0"/>
              <w:suppressLineNumbers w:val="0"/>
              <w:spacing w:before="0" w:beforeAutospacing="0" w:after="0" w:afterAutospacing="0"/>
              <w:ind w:left="0" w:right="0"/>
              <w:jc w:val="center"/>
              <w:rPr>
                <w:rFonts w:hint="eastAsia" w:ascii="宋体" w:hAnsi="宋体" w:cs="宋体"/>
                <w:color w:val="auto"/>
                <w:szCs w:val="21"/>
                <w:highlight w:val="none"/>
              </w:rPr>
            </w:pPr>
          </w:p>
        </w:tc>
        <w:tc>
          <w:tcPr>
            <w:tcW w:w="1050" w:type="dxa"/>
            <w:noWrap w:val="0"/>
            <w:vAlign w:val="center"/>
          </w:tcPr>
          <w:p w14:paraId="0A41753E">
            <w:pPr>
              <w:keepNext w:val="0"/>
              <w:keepLines w:val="0"/>
              <w:suppressLineNumbers w:val="0"/>
              <w:spacing w:before="0" w:beforeAutospacing="0" w:after="0" w:afterAutospacing="0"/>
              <w:ind w:left="0" w:right="0"/>
              <w:jc w:val="center"/>
              <w:rPr>
                <w:rFonts w:hint="eastAsia" w:ascii="宋体" w:hAnsi="宋体" w:cs="宋体"/>
                <w:color w:val="auto"/>
                <w:szCs w:val="21"/>
                <w:highlight w:val="none"/>
              </w:rPr>
            </w:pPr>
          </w:p>
        </w:tc>
        <w:tc>
          <w:tcPr>
            <w:tcW w:w="651" w:type="dxa"/>
            <w:noWrap w:val="0"/>
            <w:vAlign w:val="center"/>
          </w:tcPr>
          <w:p w14:paraId="075BD53B">
            <w:pPr>
              <w:keepNext w:val="0"/>
              <w:keepLines w:val="0"/>
              <w:suppressLineNumbers w:val="0"/>
              <w:spacing w:before="0" w:beforeAutospacing="0" w:after="0" w:afterAutospacing="0"/>
              <w:ind w:left="0" w:right="0"/>
              <w:jc w:val="center"/>
              <w:rPr>
                <w:rFonts w:hint="eastAsia" w:ascii="宋体" w:hAnsi="宋体" w:cs="宋体"/>
                <w:color w:val="auto"/>
                <w:szCs w:val="21"/>
                <w:highlight w:val="none"/>
              </w:rPr>
            </w:pPr>
          </w:p>
        </w:tc>
        <w:tc>
          <w:tcPr>
            <w:tcW w:w="709" w:type="dxa"/>
            <w:noWrap w:val="0"/>
            <w:vAlign w:val="center"/>
          </w:tcPr>
          <w:p w14:paraId="41EB5C0E">
            <w:pPr>
              <w:keepNext w:val="0"/>
              <w:keepLines w:val="0"/>
              <w:suppressLineNumbers w:val="0"/>
              <w:spacing w:before="0" w:beforeAutospacing="0" w:after="0" w:afterAutospacing="0"/>
              <w:ind w:left="0" w:right="0"/>
              <w:jc w:val="center"/>
              <w:rPr>
                <w:rFonts w:hint="eastAsia" w:ascii="宋体" w:hAnsi="宋体" w:cs="宋体"/>
                <w:color w:val="auto"/>
                <w:szCs w:val="21"/>
                <w:highlight w:val="none"/>
              </w:rPr>
            </w:pPr>
          </w:p>
        </w:tc>
        <w:tc>
          <w:tcPr>
            <w:tcW w:w="992" w:type="dxa"/>
            <w:noWrap w:val="0"/>
            <w:vAlign w:val="center"/>
          </w:tcPr>
          <w:p w14:paraId="5FA2145C">
            <w:pPr>
              <w:keepNext w:val="0"/>
              <w:keepLines w:val="0"/>
              <w:suppressLineNumbers w:val="0"/>
              <w:spacing w:before="0" w:beforeAutospacing="0" w:after="0" w:afterAutospacing="0"/>
              <w:ind w:left="0" w:right="0"/>
              <w:jc w:val="center"/>
              <w:rPr>
                <w:rFonts w:hint="eastAsia" w:ascii="宋体" w:hAnsi="宋体" w:cs="宋体"/>
                <w:color w:val="auto"/>
                <w:szCs w:val="21"/>
                <w:highlight w:val="none"/>
              </w:rPr>
            </w:pPr>
          </w:p>
        </w:tc>
        <w:tc>
          <w:tcPr>
            <w:tcW w:w="993" w:type="dxa"/>
            <w:noWrap w:val="0"/>
            <w:vAlign w:val="center"/>
          </w:tcPr>
          <w:p w14:paraId="77BE82E4">
            <w:pPr>
              <w:keepNext w:val="0"/>
              <w:keepLines w:val="0"/>
              <w:suppressLineNumbers w:val="0"/>
              <w:spacing w:before="0" w:beforeAutospacing="0" w:after="0" w:afterAutospacing="0"/>
              <w:ind w:left="0" w:right="0"/>
              <w:jc w:val="center"/>
              <w:rPr>
                <w:rFonts w:hint="eastAsia" w:ascii="宋体" w:hAnsi="宋体" w:cs="宋体"/>
                <w:color w:val="auto"/>
                <w:szCs w:val="21"/>
                <w:highlight w:val="none"/>
              </w:rPr>
            </w:pPr>
          </w:p>
        </w:tc>
        <w:tc>
          <w:tcPr>
            <w:tcW w:w="851" w:type="dxa"/>
            <w:noWrap w:val="0"/>
            <w:vAlign w:val="center"/>
          </w:tcPr>
          <w:p w14:paraId="12805DA5">
            <w:pPr>
              <w:keepNext w:val="0"/>
              <w:keepLines w:val="0"/>
              <w:suppressLineNumbers w:val="0"/>
              <w:spacing w:before="0" w:beforeAutospacing="0" w:after="0" w:afterAutospacing="0"/>
              <w:ind w:left="0" w:right="0"/>
              <w:jc w:val="center"/>
              <w:rPr>
                <w:rFonts w:hint="eastAsia" w:ascii="宋体" w:hAnsi="宋体" w:cs="宋体"/>
                <w:color w:val="auto"/>
                <w:szCs w:val="21"/>
                <w:highlight w:val="none"/>
              </w:rPr>
            </w:pPr>
          </w:p>
        </w:tc>
        <w:tc>
          <w:tcPr>
            <w:tcW w:w="850" w:type="dxa"/>
            <w:noWrap w:val="0"/>
            <w:vAlign w:val="center"/>
          </w:tcPr>
          <w:p w14:paraId="012E33AA">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134" w:type="dxa"/>
            <w:noWrap w:val="0"/>
            <w:vAlign w:val="center"/>
          </w:tcPr>
          <w:p w14:paraId="2F8EDDE0">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r>
      <w:tr w14:paraId="199834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5" w:hRule="atLeast"/>
        </w:trPr>
        <w:tc>
          <w:tcPr>
            <w:tcW w:w="738" w:type="dxa"/>
            <w:noWrap w:val="0"/>
            <w:vAlign w:val="center"/>
          </w:tcPr>
          <w:p w14:paraId="2AA55813">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156" w:type="dxa"/>
            <w:noWrap w:val="0"/>
            <w:vAlign w:val="center"/>
          </w:tcPr>
          <w:p w14:paraId="4AA2D716">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124" w:type="dxa"/>
            <w:noWrap w:val="0"/>
            <w:vAlign w:val="center"/>
          </w:tcPr>
          <w:p w14:paraId="6746DC9A">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567" w:type="dxa"/>
            <w:noWrap w:val="0"/>
            <w:vAlign w:val="center"/>
          </w:tcPr>
          <w:p w14:paraId="7CB1B378">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567" w:type="dxa"/>
            <w:noWrap w:val="0"/>
            <w:vAlign w:val="center"/>
          </w:tcPr>
          <w:p w14:paraId="3E1C9811">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134" w:type="dxa"/>
            <w:noWrap w:val="0"/>
            <w:vAlign w:val="center"/>
          </w:tcPr>
          <w:p w14:paraId="1A8FB216">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050" w:type="dxa"/>
            <w:noWrap w:val="0"/>
            <w:vAlign w:val="center"/>
          </w:tcPr>
          <w:p w14:paraId="7A01F0C9">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934" w:type="dxa"/>
            <w:noWrap w:val="0"/>
            <w:vAlign w:val="center"/>
          </w:tcPr>
          <w:p w14:paraId="12CC1900">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050" w:type="dxa"/>
            <w:noWrap w:val="0"/>
            <w:vAlign w:val="center"/>
          </w:tcPr>
          <w:p w14:paraId="6CAFA23C">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651" w:type="dxa"/>
            <w:noWrap w:val="0"/>
            <w:vAlign w:val="center"/>
          </w:tcPr>
          <w:p w14:paraId="2C706578">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709" w:type="dxa"/>
            <w:noWrap w:val="0"/>
            <w:vAlign w:val="center"/>
          </w:tcPr>
          <w:p w14:paraId="3C9353D5">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992" w:type="dxa"/>
            <w:noWrap w:val="0"/>
            <w:vAlign w:val="center"/>
          </w:tcPr>
          <w:p w14:paraId="187EF096">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993" w:type="dxa"/>
            <w:noWrap w:val="0"/>
            <w:vAlign w:val="center"/>
          </w:tcPr>
          <w:p w14:paraId="2CA778E9">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851" w:type="dxa"/>
            <w:noWrap w:val="0"/>
            <w:vAlign w:val="center"/>
          </w:tcPr>
          <w:p w14:paraId="6DDCDEA9">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850" w:type="dxa"/>
            <w:noWrap w:val="0"/>
            <w:vAlign w:val="center"/>
          </w:tcPr>
          <w:p w14:paraId="7132F968">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134" w:type="dxa"/>
            <w:noWrap w:val="0"/>
            <w:vAlign w:val="center"/>
          </w:tcPr>
          <w:p w14:paraId="54BC955C">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r>
      <w:tr w14:paraId="07311A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5" w:hRule="atLeast"/>
        </w:trPr>
        <w:tc>
          <w:tcPr>
            <w:tcW w:w="738" w:type="dxa"/>
            <w:noWrap w:val="0"/>
            <w:vAlign w:val="center"/>
          </w:tcPr>
          <w:p w14:paraId="29453019">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156" w:type="dxa"/>
            <w:noWrap w:val="0"/>
            <w:vAlign w:val="center"/>
          </w:tcPr>
          <w:p w14:paraId="5759F239">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124" w:type="dxa"/>
            <w:noWrap w:val="0"/>
            <w:vAlign w:val="center"/>
          </w:tcPr>
          <w:p w14:paraId="2860FE6D">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567" w:type="dxa"/>
            <w:noWrap w:val="0"/>
            <w:vAlign w:val="center"/>
          </w:tcPr>
          <w:p w14:paraId="1FA09E97">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567" w:type="dxa"/>
            <w:noWrap w:val="0"/>
            <w:vAlign w:val="center"/>
          </w:tcPr>
          <w:p w14:paraId="30A1D545">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134" w:type="dxa"/>
            <w:noWrap w:val="0"/>
            <w:vAlign w:val="center"/>
          </w:tcPr>
          <w:p w14:paraId="6FDA8811">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050" w:type="dxa"/>
            <w:noWrap w:val="0"/>
            <w:vAlign w:val="center"/>
          </w:tcPr>
          <w:p w14:paraId="71766C2D">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934" w:type="dxa"/>
            <w:noWrap w:val="0"/>
            <w:vAlign w:val="center"/>
          </w:tcPr>
          <w:p w14:paraId="18ABC3A9">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050" w:type="dxa"/>
            <w:noWrap w:val="0"/>
            <w:vAlign w:val="center"/>
          </w:tcPr>
          <w:p w14:paraId="02F4E44A">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651" w:type="dxa"/>
            <w:noWrap w:val="0"/>
            <w:vAlign w:val="center"/>
          </w:tcPr>
          <w:p w14:paraId="12990D05">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709" w:type="dxa"/>
            <w:noWrap w:val="0"/>
            <w:vAlign w:val="center"/>
          </w:tcPr>
          <w:p w14:paraId="31FC6E08">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992" w:type="dxa"/>
            <w:noWrap w:val="0"/>
            <w:vAlign w:val="center"/>
          </w:tcPr>
          <w:p w14:paraId="3A7F05C4">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993" w:type="dxa"/>
            <w:noWrap w:val="0"/>
            <w:vAlign w:val="center"/>
          </w:tcPr>
          <w:p w14:paraId="70377D22">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851" w:type="dxa"/>
            <w:noWrap w:val="0"/>
            <w:vAlign w:val="center"/>
          </w:tcPr>
          <w:p w14:paraId="1ACD2221">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850" w:type="dxa"/>
            <w:noWrap w:val="0"/>
            <w:vAlign w:val="center"/>
          </w:tcPr>
          <w:p w14:paraId="58F9D3F1">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134" w:type="dxa"/>
            <w:noWrap w:val="0"/>
            <w:vAlign w:val="center"/>
          </w:tcPr>
          <w:p w14:paraId="075E6ADB">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r>
      <w:tr w14:paraId="510521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4" w:hRule="atLeast"/>
        </w:trPr>
        <w:tc>
          <w:tcPr>
            <w:tcW w:w="738" w:type="dxa"/>
            <w:noWrap w:val="0"/>
            <w:vAlign w:val="center"/>
          </w:tcPr>
          <w:p w14:paraId="19505375">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156" w:type="dxa"/>
            <w:noWrap w:val="0"/>
            <w:vAlign w:val="center"/>
          </w:tcPr>
          <w:p w14:paraId="6726DE66">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124" w:type="dxa"/>
            <w:noWrap w:val="0"/>
            <w:vAlign w:val="center"/>
          </w:tcPr>
          <w:p w14:paraId="73AC30B0">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567" w:type="dxa"/>
            <w:noWrap w:val="0"/>
            <w:vAlign w:val="center"/>
          </w:tcPr>
          <w:p w14:paraId="711A8DA8">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567" w:type="dxa"/>
            <w:noWrap w:val="0"/>
            <w:vAlign w:val="center"/>
          </w:tcPr>
          <w:p w14:paraId="112C6A1C">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134" w:type="dxa"/>
            <w:noWrap w:val="0"/>
            <w:vAlign w:val="center"/>
          </w:tcPr>
          <w:p w14:paraId="3B129036">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050" w:type="dxa"/>
            <w:noWrap w:val="0"/>
            <w:vAlign w:val="center"/>
          </w:tcPr>
          <w:p w14:paraId="38701BF5">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934" w:type="dxa"/>
            <w:noWrap w:val="0"/>
            <w:vAlign w:val="center"/>
          </w:tcPr>
          <w:p w14:paraId="4B70CA3E">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050" w:type="dxa"/>
            <w:noWrap w:val="0"/>
            <w:vAlign w:val="center"/>
          </w:tcPr>
          <w:p w14:paraId="32314B2A">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651" w:type="dxa"/>
            <w:noWrap w:val="0"/>
            <w:vAlign w:val="center"/>
          </w:tcPr>
          <w:p w14:paraId="2A725FA3">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709" w:type="dxa"/>
            <w:noWrap w:val="0"/>
            <w:vAlign w:val="center"/>
          </w:tcPr>
          <w:p w14:paraId="283388E4">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992" w:type="dxa"/>
            <w:noWrap w:val="0"/>
            <w:vAlign w:val="center"/>
          </w:tcPr>
          <w:p w14:paraId="05B99AE7">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993" w:type="dxa"/>
            <w:noWrap w:val="0"/>
            <w:vAlign w:val="center"/>
          </w:tcPr>
          <w:p w14:paraId="5F122192">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851" w:type="dxa"/>
            <w:noWrap w:val="0"/>
            <w:vAlign w:val="center"/>
          </w:tcPr>
          <w:p w14:paraId="566C2A1F">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850" w:type="dxa"/>
            <w:noWrap w:val="0"/>
            <w:vAlign w:val="center"/>
          </w:tcPr>
          <w:p w14:paraId="7E4166A4">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134" w:type="dxa"/>
            <w:noWrap w:val="0"/>
            <w:vAlign w:val="center"/>
          </w:tcPr>
          <w:p w14:paraId="4B5147E0">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r>
      <w:tr w14:paraId="4C7910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5" w:hRule="atLeast"/>
        </w:trPr>
        <w:tc>
          <w:tcPr>
            <w:tcW w:w="738" w:type="dxa"/>
            <w:noWrap w:val="0"/>
            <w:vAlign w:val="center"/>
          </w:tcPr>
          <w:p w14:paraId="044BA755">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156" w:type="dxa"/>
            <w:noWrap w:val="0"/>
            <w:vAlign w:val="center"/>
          </w:tcPr>
          <w:p w14:paraId="5E49D05A">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124" w:type="dxa"/>
            <w:noWrap w:val="0"/>
            <w:vAlign w:val="center"/>
          </w:tcPr>
          <w:p w14:paraId="735B44C9">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567" w:type="dxa"/>
            <w:noWrap w:val="0"/>
            <w:vAlign w:val="center"/>
          </w:tcPr>
          <w:p w14:paraId="308917A9">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567" w:type="dxa"/>
            <w:noWrap w:val="0"/>
            <w:vAlign w:val="center"/>
          </w:tcPr>
          <w:p w14:paraId="02A467A3">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134" w:type="dxa"/>
            <w:noWrap w:val="0"/>
            <w:vAlign w:val="center"/>
          </w:tcPr>
          <w:p w14:paraId="3D099BC3">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050" w:type="dxa"/>
            <w:noWrap w:val="0"/>
            <w:vAlign w:val="center"/>
          </w:tcPr>
          <w:p w14:paraId="051F9228">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934" w:type="dxa"/>
            <w:noWrap w:val="0"/>
            <w:vAlign w:val="center"/>
          </w:tcPr>
          <w:p w14:paraId="46A79514">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050" w:type="dxa"/>
            <w:noWrap w:val="0"/>
            <w:vAlign w:val="center"/>
          </w:tcPr>
          <w:p w14:paraId="0B9DB38F">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651" w:type="dxa"/>
            <w:noWrap w:val="0"/>
            <w:vAlign w:val="center"/>
          </w:tcPr>
          <w:p w14:paraId="2B761B3D">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709" w:type="dxa"/>
            <w:noWrap w:val="0"/>
            <w:vAlign w:val="center"/>
          </w:tcPr>
          <w:p w14:paraId="35A126B1">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992" w:type="dxa"/>
            <w:noWrap w:val="0"/>
            <w:vAlign w:val="center"/>
          </w:tcPr>
          <w:p w14:paraId="182F41A1">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993" w:type="dxa"/>
            <w:noWrap w:val="0"/>
            <w:vAlign w:val="center"/>
          </w:tcPr>
          <w:p w14:paraId="3798A444">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851" w:type="dxa"/>
            <w:noWrap w:val="0"/>
            <w:vAlign w:val="center"/>
          </w:tcPr>
          <w:p w14:paraId="671D82A8">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850" w:type="dxa"/>
            <w:noWrap w:val="0"/>
            <w:vAlign w:val="center"/>
          </w:tcPr>
          <w:p w14:paraId="444539B8">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134" w:type="dxa"/>
            <w:noWrap w:val="0"/>
            <w:vAlign w:val="center"/>
          </w:tcPr>
          <w:p w14:paraId="48D1FBD2">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r>
      <w:tr w14:paraId="155DA7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5" w:hRule="atLeast"/>
        </w:trPr>
        <w:tc>
          <w:tcPr>
            <w:tcW w:w="9680" w:type="dxa"/>
            <w:gridSpan w:val="11"/>
            <w:noWrap w:val="0"/>
            <w:vAlign w:val="center"/>
          </w:tcPr>
          <w:p w14:paraId="220E4D2A">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合计（投标报价）</w:t>
            </w:r>
          </w:p>
        </w:tc>
        <w:tc>
          <w:tcPr>
            <w:tcW w:w="992" w:type="dxa"/>
            <w:noWrap w:val="0"/>
            <w:vAlign w:val="center"/>
          </w:tcPr>
          <w:p w14:paraId="1F034D7D">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3828" w:type="dxa"/>
            <w:gridSpan w:val="4"/>
            <w:noWrap w:val="0"/>
            <w:vAlign w:val="center"/>
          </w:tcPr>
          <w:p w14:paraId="3EC72B70">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w:t>
            </w:r>
          </w:p>
        </w:tc>
      </w:tr>
    </w:tbl>
    <w:p w14:paraId="2F81D9DE">
      <w:pPr>
        <w:widowControl/>
        <w:spacing w:line="200" w:lineRule="atLeast"/>
        <w:rPr>
          <w:rFonts w:hint="eastAsia" w:ascii="宋体" w:hAnsi="宋体" w:cs="宋体"/>
          <w:color w:val="auto"/>
          <w:kern w:val="0"/>
          <w:szCs w:val="21"/>
          <w:highlight w:val="none"/>
        </w:rPr>
      </w:pPr>
      <w:r>
        <w:rPr>
          <w:rFonts w:hint="eastAsia" w:ascii="宋体" w:hAnsi="宋体" w:cs="宋体"/>
          <w:color w:val="auto"/>
          <w:kern w:val="0"/>
          <w:szCs w:val="21"/>
          <w:highlight w:val="none"/>
        </w:rPr>
        <w:t>注：</w:t>
      </w:r>
    </w:p>
    <w:p w14:paraId="79D99018">
      <w:pPr>
        <w:widowControl/>
        <w:spacing w:line="200" w:lineRule="atLeast"/>
        <w:rPr>
          <w:rFonts w:hint="eastAsia" w:ascii="宋体" w:hAnsi="宋体" w:cs="宋体"/>
          <w:color w:val="auto"/>
          <w:kern w:val="0"/>
          <w:szCs w:val="21"/>
          <w:highlight w:val="none"/>
        </w:rPr>
      </w:pPr>
      <w:r>
        <w:rPr>
          <w:rFonts w:hint="eastAsia" w:ascii="宋体" w:hAnsi="宋体" w:cs="宋体"/>
          <w:color w:val="auto"/>
          <w:kern w:val="0"/>
          <w:szCs w:val="21"/>
          <w:highlight w:val="none"/>
        </w:rPr>
        <w:t>1.“单价”系指货物</w:t>
      </w:r>
      <w:r>
        <w:rPr>
          <w:rFonts w:hint="eastAsia" w:ascii="宋体" w:hAnsi="宋体" w:cs="宋体"/>
          <w:color w:val="auto"/>
          <w:szCs w:val="21"/>
          <w:highlight w:val="none"/>
        </w:rPr>
        <w:t>（服务）</w:t>
      </w:r>
      <w:r>
        <w:rPr>
          <w:rFonts w:hint="eastAsia" w:ascii="宋体" w:hAnsi="宋体" w:cs="宋体"/>
          <w:color w:val="auto"/>
          <w:kern w:val="0"/>
          <w:szCs w:val="21"/>
          <w:highlight w:val="none"/>
        </w:rPr>
        <w:t>生产、包装、运输、保险、装卸（至指定地点）、安装（招标文件要求报价）、调试、检验、试运行、技术服务、培训等所有应由投标人承担的各项费用及税金。</w:t>
      </w:r>
    </w:p>
    <w:p w14:paraId="30020445">
      <w:pPr>
        <w:widowControl/>
        <w:spacing w:line="200" w:lineRule="atLeast"/>
        <w:rPr>
          <w:rFonts w:hint="eastAsia" w:ascii="宋体" w:hAnsi="宋体" w:cs="宋体"/>
          <w:color w:val="auto"/>
          <w:kern w:val="0"/>
          <w:szCs w:val="21"/>
          <w:highlight w:val="none"/>
        </w:rPr>
      </w:pPr>
      <w:r>
        <w:rPr>
          <w:rFonts w:hint="eastAsia" w:ascii="宋体" w:hAnsi="宋体" w:cs="宋体"/>
          <w:color w:val="auto"/>
          <w:kern w:val="0"/>
          <w:szCs w:val="21"/>
          <w:highlight w:val="none"/>
        </w:rPr>
        <w:t>2.投标报价=分项报价表合计。</w:t>
      </w:r>
    </w:p>
    <w:p w14:paraId="3DE20D86">
      <w:pPr>
        <w:widowControl/>
        <w:spacing w:line="200" w:lineRule="atLeast"/>
        <w:rPr>
          <w:rFonts w:ascii="宋体" w:hAnsi="宋体" w:cs="宋体"/>
          <w:color w:val="auto"/>
          <w:kern w:val="0"/>
          <w:szCs w:val="21"/>
          <w:highlight w:val="none"/>
        </w:rPr>
      </w:pPr>
      <w:r>
        <w:rPr>
          <w:rFonts w:hint="eastAsia" w:ascii="宋体" w:hAnsi="宋体" w:cs="宋体"/>
          <w:color w:val="auto"/>
          <w:kern w:val="0"/>
          <w:szCs w:val="21"/>
          <w:highlight w:val="none"/>
        </w:rPr>
        <w:t>3.要求单独报价的配件（或附件），计入投标总价时，需在分项报价表中列明。</w:t>
      </w:r>
    </w:p>
    <w:p w14:paraId="65B9317B">
      <w:pPr>
        <w:widowControl/>
        <w:spacing w:line="200" w:lineRule="atLeast"/>
        <w:rPr>
          <w:rFonts w:hint="eastAsia" w:ascii="宋体" w:hAnsi="宋体" w:cs="宋体"/>
          <w:color w:val="auto"/>
          <w:kern w:val="0"/>
          <w:sz w:val="20"/>
          <w:szCs w:val="20"/>
          <w:highlight w:val="none"/>
        </w:rPr>
        <w:sectPr>
          <w:footnotePr>
            <w:numFmt w:val="decimalEnclosedCircleChinese"/>
            <w:numRestart w:val="eachPage"/>
          </w:footnotePr>
          <w:pgSz w:w="16838" w:h="11906" w:orient="landscape"/>
          <w:pgMar w:top="1134" w:right="1134" w:bottom="1134" w:left="1134" w:header="851" w:footer="851" w:gutter="0"/>
          <w:cols w:space="720" w:num="1"/>
          <w:docGrid w:linePitch="286" w:charSpace="0"/>
        </w:sectPr>
      </w:pPr>
      <w:r>
        <w:rPr>
          <w:rFonts w:hint="eastAsia" w:ascii="宋体" w:hAnsi="宋体" w:cs="宋体"/>
          <w:color w:val="auto"/>
          <w:kern w:val="0"/>
          <w:sz w:val="20"/>
          <w:szCs w:val="20"/>
          <w:highlight w:val="none"/>
        </w:rPr>
        <w:t xml:space="preserve"> </w:t>
      </w:r>
    </w:p>
    <w:p w14:paraId="0EE45DBD">
      <w:pPr>
        <w:widowControl/>
        <w:ind w:left="1503" w:right="1683"/>
        <w:jc w:val="center"/>
        <w:rPr>
          <w:rFonts w:hint="eastAsia" w:ascii="宋体" w:hAnsi="宋体" w:cs="宋体"/>
          <w:color w:val="auto"/>
          <w:kern w:val="0"/>
          <w:sz w:val="28"/>
          <w:szCs w:val="28"/>
          <w:highlight w:val="none"/>
        </w:rPr>
      </w:pPr>
      <w:r>
        <w:rPr>
          <w:rFonts w:hint="eastAsia" w:ascii="宋体" w:hAnsi="宋体" w:cs="宋体"/>
          <w:color w:val="auto"/>
          <w:kern w:val="0"/>
          <w:sz w:val="28"/>
          <w:szCs w:val="28"/>
          <w:highlight w:val="none"/>
        </w:rPr>
        <w:t>表3-2  单独报价配件（或附件）一览表</w:t>
      </w:r>
    </w:p>
    <w:p w14:paraId="0084AC2A">
      <w:pPr>
        <w:widowControl/>
        <w:spacing w:line="333" w:lineRule="atLeast"/>
        <w:jc w:val="right"/>
        <w:rPr>
          <w:rFonts w:hint="eastAsia" w:ascii="宋体" w:hAnsi="宋体" w:cs="宋体"/>
          <w:color w:val="auto"/>
          <w:kern w:val="0"/>
          <w:szCs w:val="21"/>
          <w:highlight w:val="none"/>
        </w:rPr>
      </w:pPr>
      <w:r>
        <w:rPr>
          <w:rFonts w:hint="eastAsia" w:ascii="宋体" w:hAnsi="宋体" w:cs="宋体"/>
          <w:color w:val="auto"/>
          <w:kern w:val="0"/>
          <w:position w:val="-4"/>
          <w:szCs w:val="21"/>
          <w:highlight w:val="none"/>
        </w:rPr>
        <w:t>项目编号</w:t>
      </w:r>
      <w:r>
        <w:rPr>
          <w:rFonts w:hint="eastAsia" w:ascii="宋体" w:hAnsi="宋体" w:cs="宋体"/>
          <w:color w:val="auto"/>
          <w:spacing w:val="-24"/>
          <w:kern w:val="0"/>
          <w:position w:val="-4"/>
          <w:szCs w:val="21"/>
          <w:highlight w:val="none"/>
        </w:rPr>
        <w:t>：</w:t>
      </w:r>
      <w:r>
        <w:rPr>
          <w:rFonts w:hint="eastAsia" w:ascii="宋体" w:hAnsi="宋体" w:cs="宋体"/>
          <w:color w:val="auto"/>
          <w:spacing w:val="42"/>
          <w:kern w:val="0"/>
          <w:position w:val="-4"/>
          <w:szCs w:val="21"/>
          <w:highlight w:val="none"/>
          <w:u w:val="single"/>
        </w:rPr>
        <w:t xml:space="preserve">      </w:t>
      </w:r>
      <w:r>
        <w:rPr>
          <w:rFonts w:hint="eastAsia" w:ascii="宋体" w:hAnsi="宋体" w:cs="宋体"/>
          <w:color w:val="auto"/>
          <w:kern w:val="0"/>
          <w:position w:val="-4"/>
          <w:szCs w:val="21"/>
          <w:highlight w:val="none"/>
          <w:u w:val="single"/>
        </w:rPr>
        <w:t xml:space="preserve">   </w:t>
      </w:r>
      <w:r>
        <w:rPr>
          <w:rFonts w:hint="eastAsia" w:ascii="宋体" w:hAnsi="宋体" w:cs="宋体"/>
          <w:color w:val="auto"/>
          <w:kern w:val="0"/>
          <w:position w:val="-4"/>
          <w:szCs w:val="21"/>
          <w:highlight w:val="none"/>
        </w:rPr>
        <w:t>标包号</w:t>
      </w:r>
      <w:r>
        <w:rPr>
          <w:rFonts w:hint="eastAsia" w:ascii="宋体" w:hAnsi="宋体" w:cs="宋体"/>
          <w:color w:val="auto"/>
          <w:spacing w:val="-25"/>
          <w:kern w:val="0"/>
          <w:position w:val="-4"/>
          <w:szCs w:val="21"/>
          <w:highlight w:val="none"/>
        </w:rPr>
        <w:t>：</w:t>
      </w:r>
      <w:r>
        <w:rPr>
          <w:rFonts w:hint="eastAsia" w:ascii="宋体" w:hAnsi="宋体" w:cs="宋体"/>
          <w:color w:val="auto"/>
          <w:spacing w:val="42"/>
          <w:kern w:val="0"/>
          <w:position w:val="-4"/>
          <w:szCs w:val="21"/>
          <w:highlight w:val="none"/>
          <w:u w:val="single"/>
        </w:rPr>
        <w:t xml:space="preserve"> </w:t>
      </w:r>
      <w:r>
        <w:rPr>
          <w:rFonts w:hint="eastAsia" w:ascii="宋体" w:hAnsi="宋体" w:cs="宋体"/>
          <w:color w:val="auto"/>
          <w:kern w:val="0"/>
          <w:position w:val="-4"/>
          <w:szCs w:val="21"/>
          <w:highlight w:val="none"/>
          <w:u w:val="single"/>
        </w:rPr>
        <w:t xml:space="preserve">    </w:t>
      </w:r>
      <w:r>
        <w:rPr>
          <w:rFonts w:hint="eastAsia" w:ascii="宋体" w:hAnsi="宋体" w:cs="宋体"/>
          <w:color w:val="auto"/>
          <w:spacing w:val="-1"/>
          <w:kern w:val="0"/>
          <w:position w:val="-4"/>
          <w:szCs w:val="21"/>
          <w:highlight w:val="none"/>
        </w:rPr>
        <w:t>货</w:t>
      </w:r>
      <w:r>
        <w:rPr>
          <w:rFonts w:hint="eastAsia" w:ascii="宋体" w:hAnsi="宋体" w:cs="宋体"/>
          <w:color w:val="auto"/>
          <w:kern w:val="0"/>
          <w:position w:val="-4"/>
          <w:szCs w:val="21"/>
          <w:highlight w:val="none"/>
        </w:rPr>
        <w:t>币单位</w:t>
      </w:r>
      <w:r>
        <w:rPr>
          <w:rFonts w:hint="eastAsia" w:ascii="宋体" w:hAnsi="宋体" w:cs="宋体"/>
          <w:color w:val="auto"/>
          <w:spacing w:val="-24"/>
          <w:kern w:val="0"/>
          <w:position w:val="-4"/>
          <w:szCs w:val="21"/>
          <w:highlight w:val="none"/>
        </w:rPr>
        <w:t>：</w:t>
      </w:r>
      <w:r>
        <w:rPr>
          <w:rFonts w:hint="eastAsia" w:ascii="宋体" w:hAnsi="宋体" w:cs="宋体"/>
          <w:color w:val="auto"/>
          <w:kern w:val="0"/>
          <w:position w:val="-4"/>
          <w:szCs w:val="21"/>
          <w:highlight w:val="none"/>
        </w:rPr>
        <w:t>人民币</w:t>
      </w:r>
    </w:p>
    <w:tbl>
      <w:tblPr>
        <w:tblStyle w:val="48"/>
        <w:tblW w:w="15067" w:type="dxa"/>
        <w:tblInd w:w="20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38"/>
        <w:gridCol w:w="1156"/>
        <w:gridCol w:w="1124"/>
        <w:gridCol w:w="567"/>
        <w:gridCol w:w="1134"/>
        <w:gridCol w:w="1050"/>
        <w:gridCol w:w="934"/>
        <w:gridCol w:w="1276"/>
        <w:gridCol w:w="793"/>
        <w:gridCol w:w="711"/>
        <w:gridCol w:w="993"/>
        <w:gridCol w:w="851"/>
        <w:gridCol w:w="850"/>
        <w:gridCol w:w="1275"/>
        <w:gridCol w:w="1615"/>
      </w:tblGrid>
      <w:tr w14:paraId="31637E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1" w:hRule="atLeast"/>
        </w:trPr>
        <w:tc>
          <w:tcPr>
            <w:tcW w:w="738" w:type="dxa"/>
            <w:vMerge w:val="restart"/>
            <w:noWrap w:val="0"/>
            <w:vAlign w:val="center"/>
          </w:tcPr>
          <w:p w14:paraId="73C12F59">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序号</w:t>
            </w:r>
          </w:p>
        </w:tc>
        <w:tc>
          <w:tcPr>
            <w:tcW w:w="1156" w:type="dxa"/>
            <w:vMerge w:val="restart"/>
            <w:noWrap w:val="0"/>
            <w:vAlign w:val="center"/>
          </w:tcPr>
          <w:p w14:paraId="23540D28">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配件、附件名称</w:t>
            </w:r>
          </w:p>
        </w:tc>
        <w:tc>
          <w:tcPr>
            <w:tcW w:w="1124" w:type="dxa"/>
            <w:vMerge w:val="restart"/>
            <w:noWrap w:val="0"/>
            <w:vAlign w:val="center"/>
          </w:tcPr>
          <w:p w14:paraId="49EBB774">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规格型号</w:t>
            </w:r>
          </w:p>
        </w:tc>
        <w:tc>
          <w:tcPr>
            <w:tcW w:w="567" w:type="dxa"/>
            <w:vMerge w:val="restart"/>
            <w:noWrap w:val="0"/>
            <w:vAlign w:val="center"/>
          </w:tcPr>
          <w:p w14:paraId="3B4E89D6">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单位</w:t>
            </w:r>
          </w:p>
        </w:tc>
        <w:tc>
          <w:tcPr>
            <w:tcW w:w="5898" w:type="dxa"/>
            <w:gridSpan w:val="6"/>
            <w:noWrap w:val="0"/>
            <w:vAlign w:val="center"/>
          </w:tcPr>
          <w:p w14:paraId="2E136532">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单价</w:t>
            </w:r>
          </w:p>
        </w:tc>
        <w:tc>
          <w:tcPr>
            <w:tcW w:w="993" w:type="dxa"/>
            <w:vMerge w:val="restart"/>
            <w:noWrap w:val="0"/>
            <w:vAlign w:val="center"/>
          </w:tcPr>
          <w:p w14:paraId="732CF66B">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制造商</w:t>
            </w:r>
          </w:p>
        </w:tc>
        <w:tc>
          <w:tcPr>
            <w:tcW w:w="851" w:type="dxa"/>
            <w:vMerge w:val="restart"/>
            <w:noWrap w:val="0"/>
            <w:vAlign w:val="center"/>
          </w:tcPr>
          <w:p w14:paraId="3606B8DB">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品牌</w:t>
            </w:r>
          </w:p>
        </w:tc>
        <w:tc>
          <w:tcPr>
            <w:tcW w:w="850" w:type="dxa"/>
            <w:vMerge w:val="restart"/>
            <w:noWrap w:val="0"/>
            <w:vAlign w:val="center"/>
          </w:tcPr>
          <w:p w14:paraId="6CB4BBF6">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产地</w:t>
            </w:r>
          </w:p>
        </w:tc>
        <w:tc>
          <w:tcPr>
            <w:tcW w:w="1275" w:type="dxa"/>
            <w:vMerge w:val="restart"/>
            <w:noWrap w:val="0"/>
            <w:vAlign w:val="center"/>
          </w:tcPr>
          <w:p w14:paraId="61E0FDF4">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发货地点</w:t>
            </w:r>
          </w:p>
        </w:tc>
        <w:tc>
          <w:tcPr>
            <w:tcW w:w="1615" w:type="dxa"/>
            <w:vMerge w:val="restart"/>
            <w:noWrap w:val="0"/>
            <w:vAlign w:val="center"/>
          </w:tcPr>
          <w:p w14:paraId="7FEB2422">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已计入本次投标总价的数量</w:t>
            </w:r>
          </w:p>
        </w:tc>
      </w:tr>
      <w:tr w14:paraId="27532F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5" w:hRule="atLeast"/>
        </w:trPr>
        <w:tc>
          <w:tcPr>
            <w:tcW w:w="738" w:type="dxa"/>
            <w:vMerge w:val="continue"/>
            <w:noWrap w:val="0"/>
            <w:vAlign w:val="center"/>
          </w:tcPr>
          <w:p w14:paraId="5135996B">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156" w:type="dxa"/>
            <w:vMerge w:val="continue"/>
            <w:noWrap w:val="0"/>
            <w:vAlign w:val="center"/>
          </w:tcPr>
          <w:p w14:paraId="160B1D5C">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124" w:type="dxa"/>
            <w:vMerge w:val="continue"/>
            <w:noWrap w:val="0"/>
            <w:vAlign w:val="center"/>
          </w:tcPr>
          <w:p w14:paraId="2C836281">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567" w:type="dxa"/>
            <w:vMerge w:val="continue"/>
            <w:noWrap w:val="0"/>
            <w:vAlign w:val="center"/>
          </w:tcPr>
          <w:p w14:paraId="45B2DAFF">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134" w:type="dxa"/>
            <w:noWrap w:val="0"/>
            <w:vAlign w:val="center"/>
          </w:tcPr>
          <w:p w14:paraId="1640549F">
            <w:pPr>
              <w:keepNext w:val="0"/>
              <w:keepLines w:val="0"/>
              <w:suppressLineNumbers w:val="0"/>
              <w:spacing w:before="0" w:beforeAutospacing="0" w:after="0" w:afterAutospacing="0"/>
              <w:ind w:left="0" w:right="0"/>
              <w:jc w:val="center"/>
              <w:rPr>
                <w:rFonts w:hint="eastAsia" w:ascii="宋体" w:hAnsi="宋体" w:cs="宋体"/>
                <w:color w:val="auto"/>
                <w:szCs w:val="21"/>
                <w:highlight w:val="none"/>
              </w:rPr>
            </w:pPr>
            <w:r>
              <w:rPr>
                <w:rFonts w:hint="eastAsia" w:ascii="宋体" w:hAnsi="宋体" w:cs="宋体"/>
                <w:color w:val="auto"/>
                <w:szCs w:val="21"/>
                <w:highlight w:val="none"/>
              </w:rPr>
              <w:t>主机及标准附件</w:t>
            </w:r>
          </w:p>
        </w:tc>
        <w:tc>
          <w:tcPr>
            <w:tcW w:w="1050" w:type="dxa"/>
            <w:noWrap w:val="0"/>
            <w:vAlign w:val="center"/>
          </w:tcPr>
          <w:p w14:paraId="63A426D2">
            <w:pPr>
              <w:keepNext w:val="0"/>
              <w:keepLines w:val="0"/>
              <w:suppressLineNumbers w:val="0"/>
              <w:spacing w:before="0" w:beforeAutospacing="0" w:after="0" w:afterAutospacing="0"/>
              <w:ind w:left="0" w:right="0"/>
              <w:jc w:val="center"/>
              <w:rPr>
                <w:rFonts w:hint="eastAsia" w:ascii="宋体" w:hAnsi="宋体" w:cs="宋体"/>
                <w:color w:val="auto"/>
                <w:szCs w:val="21"/>
                <w:highlight w:val="none"/>
              </w:rPr>
            </w:pPr>
            <w:r>
              <w:rPr>
                <w:rFonts w:hint="eastAsia" w:ascii="宋体" w:hAnsi="宋体" w:cs="宋体"/>
                <w:color w:val="auto"/>
                <w:szCs w:val="21"/>
                <w:highlight w:val="none"/>
              </w:rPr>
              <w:t>运输、保险、卸货</w:t>
            </w:r>
          </w:p>
        </w:tc>
        <w:tc>
          <w:tcPr>
            <w:tcW w:w="934" w:type="dxa"/>
            <w:noWrap w:val="0"/>
            <w:vAlign w:val="center"/>
          </w:tcPr>
          <w:p w14:paraId="744821CA">
            <w:pPr>
              <w:keepNext w:val="0"/>
              <w:keepLines w:val="0"/>
              <w:suppressLineNumbers w:val="0"/>
              <w:spacing w:before="0" w:beforeAutospacing="0" w:after="0" w:afterAutospacing="0"/>
              <w:ind w:left="0" w:right="0"/>
              <w:jc w:val="center"/>
              <w:rPr>
                <w:rFonts w:hint="eastAsia" w:ascii="宋体" w:hAnsi="宋体" w:cs="宋体"/>
                <w:color w:val="auto"/>
                <w:szCs w:val="21"/>
                <w:highlight w:val="none"/>
              </w:rPr>
            </w:pPr>
            <w:r>
              <w:rPr>
                <w:rFonts w:hint="eastAsia" w:ascii="宋体" w:hAnsi="宋体" w:cs="宋体"/>
                <w:color w:val="auto"/>
                <w:szCs w:val="21"/>
                <w:highlight w:val="none"/>
              </w:rPr>
              <w:t>安装调试检验</w:t>
            </w:r>
          </w:p>
        </w:tc>
        <w:tc>
          <w:tcPr>
            <w:tcW w:w="1276" w:type="dxa"/>
            <w:noWrap w:val="0"/>
            <w:vAlign w:val="center"/>
          </w:tcPr>
          <w:p w14:paraId="3AEFF60A">
            <w:pPr>
              <w:keepNext w:val="0"/>
              <w:keepLines w:val="0"/>
              <w:suppressLineNumbers w:val="0"/>
              <w:spacing w:before="0" w:beforeAutospacing="0" w:after="0" w:afterAutospacing="0"/>
              <w:ind w:left="0" w:right="0"/>
              <w:jc w:val="center"/>
              <w:rPr>
                <w:rFonts w:hint="eastAsia" w:ascii="宋体" w:hAnsi="宋体" w:cs="宋体"/>
                <w:color w:val="auto"/>
                <w:szCs w:val="21"/>
                <w:highlight w:val="none"/>
              </w:rPr>
            </w:pPr>
            <w:r>
              <w:rPr>
                <w:rFonts w:hint="eastAsia" w:ascii="宋体" w:hAnsi="宋体" w:cs="宋体"/>
                <w:color w:val="auto"/>
                <w:szCs w:val="21"/>
                <w:highlight w:val="none"/>
              </w:rPr>
              <w:t>培训及</w:t>
            </w:r>
          </w:p>
          <w:p w14:paraId="1DD0E586">
            <w:pPr>
              <w:keepNext w:val="0"/>
              <w:keepLines w:val="0"/>
              <w:suppressLineNumbers w:val="0"/>
              <w:spacing w:before="0" w:beforeAutospacing="0" w:after="0" w:afterAutospacing="0"/>
              <w:ind w:left="0" w:right="0"/>
              <w:jc w:val="center"/>
              <w:rPr>
                <w:rFonts w:hint="eastAsia" w:ascii="宋体" w:hAnsi="宋体" w:cs="宋体"/>
                <w:color w:val="auto"/>
                <w:szCs w:val="21"/>
                <w:highlight w:val="none"/>
              </w:rPr>
            </w:pPr>
            <w:r>
              <w:rPr>
                <w:rFonts w:hint="eastAsia" w:ascii="宋体" w:hAnsi="宋体" w:cs="宋体"/>
                <w:color w:val="auto"/>
                <w:szCs w:val="21"/>
                <w:highlight w:val="none"/>
              </w:rPr>
              <w:t>技术服务</w:t>
            </w:r>
          </w:p>
        </w:tc>
        <w:tc>
          <w:tcPr>
            <w:tcW w:w="793" w:type="dxa"/>
            <w:noWrap w:val="0"/>
            <w:vAlign w:val="center"/>
          </w:tcPr>
          <w:p w14:paraId="1EF50C0F">
            <w:pPr>
              <w:keepNext w:val="0"/>
              <w:keepLines w:val="0"/>
              <w:suppressLineNumbers w:val="0"/>
              <w:spacing w:before="0" w:beforeAutospacing="0" w:after="0" w:afterAutospacing="0"/>
              <w:ind w:left="0" w:right="0"/>
              <w:jc w:val="center"/>
              <w:rPr>
                <w:rFonts w:hint="eastAsia" w:ascii="宋体" w:hAnsi="宋体" w:cs="宋体"/>
                <w:color w:val="auto"/>
                <w:szCs w:val="21"/>
                <w:highlight w:val="none"/>
              </w:rPr>
            </w:pPr>
            <w:r>
              <w:rPr>
                <w:rFonts w:hint="eastAsia" w:ascii="宋体" w:hAnsi="宋体" w:cs="宋体"/>
                <w:color w:val="auto"/>
                <w:szCs w:val="21"/>
                <w:highlight w:val="none"/>
              </w:rPr>
              <w:t>其他</w:t>
            </w:r>
          </w:p>
        </w:tc>
        <w:tc>
          <w:tcPr>
            <w:tcW w:w="711" w:type="dxa"/>
            <w:noWrap w:val="0"/>
            <w:vAlign w:val="center"/>
          </w:tcPr>
          <w:p w14:paraId="675880D0">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szCs w:val="21"/>
                <w:highlight w:val="none"/>
              </w:rPr>
              <w:t>小计</w:t>
            </w:r>
          </w:p>
        </w:tc>
        <w:tc>
          <w:tcPr>
            <w:tcW w:w="993" w:type="dxa"/>
            <w:vMerge w:val="continue"/>
            <w:noWrap w:val="0"/>
            <w:vAlign w:val="center"/>
          </w:tcPr>
          <w:p w14:paraId="61103FF9">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851" w:type="dxa"/>
            <w:vMerge w:val="continue"/>
            <w:noWrap w:val="0"/>
            <w:vAlign w:val="center"/>
          </w:tcPr>
          <w:p w14:paraId="4681B05D">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850" w:type="dxa"/>
            <w:vMerge w:val="continue"/>
            <w:noWrap w:val="0"/>
            <w:vAlign w:val="center"/>
          </w:tcPr>
          <w:p w14:paraId="34706F66">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275" w:type="dxa"/>
            <w:vMerge w:val="continue"/>
            <w:noWrap w:val="0"/>
            <w:vAlign w:val="center"/>
          </w:tcPr>
          <w:p w14:paraId="5CC09DB8">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615" w:type="dxa"/>
            <w:vMerge w:val="continue"/>
            <w:noWrap w:val="0"/>
            <w:vAlign w:val="center"/>
          </w:tcPr>
          <w:p w14:paraId="487CEB3B">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r>
      <w:tr w14:paraId="049E71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5" w:hRule="atLeast"/>
        </w:trPr>
        <w:tc>
          <w:tcPr>
            <w:tcW w:w="738" w:type="dxa"/>
            <w:noWrap w:val="0"/>
            <w:vAlign w:val="center"/>
          </w:tcPr>
          <w:p w14:paraId="1506E29B">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156" w:type="dxa"/>
            <w:noWrap w:val="0"/>
            <w:vAlign w:val="center"/>
          </w:tcPr>
          <w:p w14:paraId="4DBE6C64">
            <w:pPr>
              <w:keepNext w:val="0"/>
              <w:keepLines w:val="0"/>
              <w:suppressLineNumbers w:val="0"/>
              <w:spacing w:before="0" w:beforeAutospacing="0" w:after="0" w:afterAutospacing="0"/>
              <w:ind w:left="0" w:right="0"/>
              <w:jc w:val="center"/>
              <w:rPr>
                <w:rFonts w:hint="eastAsia" w:ascii="宋体" w:hAnsi="宋体" w:cs="宋体"/>
                <w:color w:val="auto"/>
                <w:szCs w:val="21"/>
                <w:highlight w:val="none"/>
              </w:rPr>
            </w:pPr>
          </w:p>
        </w:tc>
        <w:tc>
          <w:tcPr>
            <w:tcW w:w="1124" w:type="dxa"/>
            <w:noWrap w:val="0"/>
            <w:vAlign w:val="center"/>
          </w:tcPr>
          <w:p w14:paraId="717BDB18">
            <w:pPr>
              <w:keepNext w:val="0"/>
              <w:keepLines w:val="0"/>
              <w:suppressLineNumbers w:val="0"/>
              <w:spacing w:before="0" w:beforeAutospacing="0" w:after="0" w:afterAutospacing="0"/>
              <w:ind w:left="0" w:right="0"/>
              <w:jc w:val="center"/>
              <w:rPr>
                <w:rFonts w:hint="eastAsia" w:ascii="宋体" w:hAnsi="宋体" w:cs="宋体"/>
                <w:color w:val="auto"/>
                <w:szCs w:val="21"/>
                <w:highlight w:val="none"/>
              </w:rPr>
            </w:pPr>
          </w:p>
        </w:tc>
        <w:tc>
          <w:tcPr>
            <w:tcW w:w="567" w:type="dxa"/>
            <w:noWrap w:val="0"/>
            <w:vAlign w:val="center"/>
          </w:tcPr>
          <w:p w14:paraId="312702BA">
            <w:pPr>
              <w:keepNext w:val="0"/>
              <w:keepLines w:val="0"/>
              <w:suppressLineNumbers w:val="0"/>
              <w:spacing w:before="0" w:beforeAutospacing="0" w:after="0" w:afterAutospacing="0"/>
              <w:ind w:left="0" w:right="0"/>
              <w:jc w:val="center"/>
              <w:rPr>
                <w:rFonts w:hint="eastAsia" w:ascii="宋体" w:hAnsi="宋体" w:cs="宋体"/>
                <w:color w:val="auto"/>
                <w:szCs w:val="21"/>
                <w:highlight w:val="none"/>
              </w:rPr>
            </w:pPr>
          </w:p>
        </w:tc>
        <w:tc>
          <w:tcPr>
            <w:tcW w:w="1134" w:type="dxa"/>
            <w:noWrap w:val="0"/>
            <w:vAlign w:val="center"/>
          </w:tcPr>
          <w:p w14:paraId="0E538D1D">
            <w:pPr>
              <w:keepNext w:val="0"/>
              <w:keepLines w:val="0"/>
              <w:suppressLineNumbers w:val="0"/>
              <w:spacing w:before="0" w:beforeAutospacing="0" w:after="0" w:afterAutospacing="0"/>
              <w:ind w:left="0" w:right="0"/>
              <w:jc w:val="center"/>
              <w:rPr>
                <w:rFonts w:hint="eastAsia" w:ascii="宋体" w:hAnsi="宋体" w:cs="宋体"/>
                <w:color w:val="auto"/>
                <w:szCs w:val="21"/>
                <w:highlight w:val="none"/>
              </w:rPr>
            </w:pPr>
          </w:p>
        </w:tc>
        <w:tc>
          <w:tcPr>
            <w:tcW w:w="1050" w:type="dxa"/>
            <w:noWrap w:val="0"/>
            <w:vAlign w:val="center"/>
          </w:tcPr>
          <w:p w14:paraId="2944FE4D">
            <w:pPr>
              <w:keepNext w:val="0"/>
              <w:keepLines w:val="0"/>
              <w:suppressLineNumbers w:val="0"/>
              <w:spacing w:before="0" w:beforeAutospacing="0" w:after="0" w:afterAutospacing="0"/>
              <w:ind w:left="0" w:right="0"/>
              <w:jc w:val="center"/>
              <w:rPr>
                <w:rFonts w:hint="eastAsia" w:ascii="宋体" w:hAnsi="宋体" w:cs="宋体"/>
                <w:color w:val="auto"/>
                <w:szCs w:val="21"/>
                <w:highlight w:val="none"/>
              </w:rPr>
            </w:pPr>
          </w:p>
        </w:tc>
        <w:tc>
          <w:tcPr>
            <w:tcW w:w="934" w:type="dxa"/>
            <w:noWrap w:val="0"/>
            <w:vAlign w:val="center"/>
          </w:tcPr>
          <w:p w14:paraId="72242DF9">
            <w:pPr>
              <w:keepNext w:val="0"/>
              <w:keepLines w:val="0"/>
              <w:suppressLineNumbers w:val="0"/>
              <w:spacing w:before="0" w:beforeAutospacing="0" w:after="0" w:afterAutospacing="0"/>
              <w:ind w:left="0" w:right="0"/>
              <w:jc w:val="center"/>
              <w:rPr>
                <w:rFonts w:hint="eastAsia" w:ascii="宋体" w:hAnsi="宋体" w:cs="宋体"/>
                <w:color w:val="auto"/>
                <w:szCs w:val="21"/>
                <w:highlight w:val="none"/>
              </w:rPr>
            </w:pPr>
          </w:p>
        </w:tc>
        <w:tc>
          <w:tcPr>
            <w:tcW w:w="1276" w:type="dxa"/>
            <w:noWrap w:val="0"/>
            <w:vAlign w:val="center"/>
          </w:tcPr>
          <w:p w14:paraId="2016C485">
            <w:pPr>
              <w:keepNext w:val="0"/>
              <w:keepLines w:val="0"/>
              <w:suppressLineNumbers w:val="0"/>
              <w:spacing w:before="0" w:beforeAutospacing="0" w:after="0" w:afterAutospacing="0"/>
              <w:ind w:left="0" w:right="0"/>
              <w:jc w:val="center"/>
              <w:rPr>
                <w:rFonts w:hint="eastAsia" w:ascii="宋体" w:hAnsi="宋体" w:cs="宋体"/>
                <w:color w:val="auto"/>
                <w:szCs w:val="21"/>
                <w:highlight w:val="none"/>
              </w:rPr>
            </w:pPr>
          </w:p>
        </w:tc>
        <w:tc>
          <w:tcPr>
            <w:tcW w:w="793" w:type="dxa"/>
            <w:noWrap w:val="0"/>
            <w:vAlign w:val="center"/>
          </w:tcPr>
          <w:p w14:paraId="0C3E6514">
            <w:pPr>
              <w:keepNext w:val="0"/>
              <w:keepLines w:val="0"/>
              <w:suppressLineNumbers w:val="0"/>
              <w:spacing w:before="0" w:beforeAutospacing="0" w:after="0" w:afterAutospacing="0"/>
              <w:ind w:left="0" w:right="0"/>
              <w:jc w:val="center"/>
              <w:rPr>
                <w:rFonts w:hint="eastAsia" w:ascii="宋体" w:hAnsi="宋体" w:cs="宋体"/>
                <w:color w:val="auto"/>
                <w:szCs w:val="21"/>
                <w:highlight w:val="none"/>
              </w:rPr>
            </w:pPr>
          </w:p>
        </w:tc>
        <w:tc>
          <w:tcPr>
            <w:tcW w:w="711" w:type="dxa"/>
            <w:noWrap w:val="0"/>
            <w:vAlign w:val="center"/>
          </w:tcPr>
          <w:p w14:paraId="4B667C66">
            <w:pPr>
              <w:keepNext w:val="0"/>
              <w:keepLines w:val="0"/>
              <w:suppressLineNumbers w:val="0"/>
              <w:spacing w:before="0" w:beforeAutospacing="0" w:after="0" w:afterAutospacing="0"/>
              <w:ind w:left="0" w:right="0"/>
              <w:jc w:val="center"/>
              <w:rPr>
                <w:rFonts w:hint="eastAsia" w:ascii="宋体" w:hAnsi="宋体" w:cs="宋体"/>
                <w:color w:val="auto"/>
                <w:szCs w:val="21"/>
                <w:highlight w:val="none"/>
              </w:rPr>
            </w:pPr>
          </w:p>
        </w:tc>
        <w:tc>
          <w:tcPr>
            <w:tcW w:w="993" w:type="dxa"/>
            <w:noWrap w:val="0"/>
            <w:vAlign w:val="center"/>
          </w:tcPr>
          <w:p w14:paraId="72EA6B65">
            <w:pPr>
              <w:keepNext w:val="0"/>
              <w:keepLines w:val="0"/>
              <w:suppressLineNumbers w:val="0"/>
              <w:spacing w:before="0" w:beforeAutospacing="0" w:after="0" w:afterAutospacing="0"/>
              <w:ind w:left="0" w:right="0"/>
              <w:jc w:val="center"/>
              <w:rPr>
                <w:rFonts w:hint="eastAsia" w:ascii="宋体" w:hAnsi="宋体" w:cs="宋体"/>
                <w:color w:val="auto"/>
                <w:szCs w:val="21"/>
                <w:highlight w:val="none"/>
              </w:rPr>
            </w:pPr>
          </w:p>
        </w:tc>
        <w:tc>
          <w:tcPr>
            <w:tcW w:w="851" w:type="dxa"/>
            <w:noWrap w:val="0"/>
            <w:vAlign w:val="center"/>
          </w:tcPr>
          <w:p w14:paraId="76616D07">
            <w:pPr>
              <w:keepNext w:val="0"/>
              <w:keepLines w:val="0"/>
              <w:suppressLineNumbers w:val="0"/>
              <w:spacing w:before="0" w:beforeAutospacing="0" w:after="0" w:afterAutospacing="0"/>
              <w:ind w:left="0" w:right="0"/>
              <w:jc w:val="center"/>
              <w:rPr>
                <w:rFonts w:hint="eastAsia" w:ascii="宋体" w:hAnsi="宋体" w:cs="宋体"/>
                <w:color w:val="auto"/>
                <w:szCs w:val="21"/>
                <w:highlight w:val="none"/>
              </w:rPr>
            </w:pPr>
          </w:p>
        </w:tc>
        <w:tc>
          <w:tcPr>
            <w:tcW w:w="850" w:type="dxa"/>
            <w:noWrap w:val="0"/>
            <w:vAlign w:val="center"/>
          </w:tcPr>
          <w:p w14:paraId="797E2E5B">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275" w:type="dxa"/>
            <w:noWrap w:val="0"/>
            <w:vAlign w:val="center"/>
          </w:tcPr>
          <w:p w14:paraId="5C49B065">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615" w:type="dxa"/>
            <w:noWrap w:val="0"/>
            <w:vAlign w:val="center"/>
          </w:tcPr>
          <w:p w14:paraId="7037F8F3">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r>
      <w:tr w14:paraId="082F0E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5" w:hRule="atLeast"/>
        </w:trPr>
        <w:tc>
          <w:tcPr>
            <w:tcW w:w="738" w:type="dxa"/>
            <w:noWrap w:val="0"/>
            <w:vAlign w:val="center"/>
          </w:tcPr>
          <w:p w14:paraId="00D414D5">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156" w:type="dxa"/>
            <w:noWrap w:val="0"/>
            <w:vAlign w:val="center"/>
          </w:tcPr>
          <w:p w14:paraId="3A4644A1">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124" w:type="dxa"/>
            <w:noWrap w:val="0"/>
            <w:vAlign w:val="center"/>
          </w:tcPr>
          <w:p w14:paraId="6A1BBF68">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567" w:type="dxa"/>
            <w:noWrap w:val="0"/>
            <w:vAlign w:val="center"/>
          </w:tcPr>
          <w:p w14:paraId="45CF88E3">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134" w:type="dxa"/>
            <w:noWrap w:val="0"/>
            <w:vAlign w:val="center"/>
          </w:tcPr>
          <w:p w14:paraId="01A20596">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050" w:type="dxa"/>
            <w:noWrap w:val="0"/>
            <w:vAlign w:val="center"/>
          </w:tcPr>
          <w:p w14:paraId="056CF175">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934" w:type="dxa"/>
            <w:noWrap w:val="0"/>
            <w:vAlign w:val="center"/>
          </w:tcPr>
          <w:p w14:paraId="09B9F361">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276" w:type="dxa"/>
            <w:noWrap w:val="0"/>
            <w:vAlign w:val="center"/>
          </w:tcPr>
          <w:p w14:paraId="570EA1D2">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793" w:type="dxa"/>
            <w:noWrap w:val="0"/>
            <w:vAlign w:val="center"/>
          </w:tcPr>
          <w:p w14:paraId="2C555BD2">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711" w:type="dxa"/>
            <w:noWrap w:val="0"/>
            <w:vAlign w:val="center"/>
          </w:tcPr>
          <w:p w14:paraId="190E0703">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993" w:type="dxa"/>
            <w:noWrap w:val="0"/>
            <w:vAlign w:val="center"/>
          </w:tcPr>
          <w:p w14:paraId="00090771">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851" w:type="dxa"/>
            <w:noWrap w:val="0"/>
            <w:vAlign w:val="center"/>
          </w:tcPr>
          <w:p w14:paraId="3AD336C0">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850" w:type="dxa"/>
            <w:noWrap w:val="0"/>
            <w:vAlign w:val="center"/>
          </w:tcPr>
          <w:p w14:paraId="418FD070">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275" w:type="dxa"/>
            <w:noWrap w:val="0"/>
            <w:vAlign w:val="center"/>
          </w:tcPr>
          <w:p w14:paraId="71357E26">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615" w:type="dxa"/>
            <w:noWrap w:val="0"/>
            <w:vAlign w:val="center"/>
          </w:tcPr>
          <w:p w14:paraId="35A57C54">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r>
      <w:tr w14:paraId="231563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5" w:hRule="atLeast"/>
        </w:trPr>
        <w:tc>
          <w:tcPr>
            <w:tcW w:w="738" w:type="dxa"/>
            <w:noWrap w:val="0"/>
            <w:vAlign w:val="center"/>
          </w:tcPr>
          <w:p w14:paraId="3F93887B">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156" w:type="dxa"/>
            <w:noWrap w:val="0"/>
            <w:vAlign w:val="center"/>
          </w:tcPr>
          <w:p w14:paraId="42764847">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124" w:type="dxa"/>
            <w:noWrap w:val="0"/>
            <w:vAlign w:val="center"/>
          </w:tcPr>
          <w:p w14:paraId="5E8A3673">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567" w:type="dxa"/>
            <w:noWrap w:val="0"/>
            <w:vAlign w:val="center"/>
          </w:tcPr>
          <w:p w14:paraId="4C923DA7">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134" w:type="dxa"/>
            <w:noWrap w:val="0"/>
            <w:vAlign w:val="center"/>
          </w:tcPr>
          <w:p w14:paraId="433028CB">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050" w:type="dxa"/>
            <w:noWrap w:val="0"/>
            <w:vAlign w:val="center"/>
          </w:tcPr>
          <w:p w14:paraId="318810AA">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934" w:type="dxa"/>
            <w:noWrap w:val="0"/>
            <w:vAlign w:val="center"/>
          </w:tcPr>
          <w:p w14:paraId="470EB719">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276" w:type="dxa"/>
            <w:noWrap w:val="0"/>
            <w:vAlign w:val="center"/>
          </w:tcPr>
          <w:p w14:paraId="580AD76C">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793" w:type="dxa"/>
            <w:noWrap w:val="0"/>
            <w:vAlign w:val="center"/>
          </w:tcPr>
          <w:p w14:paraId="437B6D33">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711" w:type="dxa"/>
            <w:noWrap w:val="0"/>
            <w:vAlign w:val="center"/>
          </w:tcPr>
          <w:p w14:paraId="1901792A">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993" w:type="dxa"/>
            <w:noWrap w:val="0"/>
            <w:vAlign w:val="center"/>
          </w:tcPr>
          <w:p w14:paraId="208A183D">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851" w:type="dxa"/>
            <w:noWrap w:val="0"/>
            <w:vAlign w:val="center"/>
          </w:tcPr>
          <w:p w14:paraId="0F1C0FC8">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850" w:type="dxa"/>
            <w:noWrap w:val="0"/>
            <w:vAlign w:val="center"/>
          </w:tcPr>
          <w:p w14:paraId="00D881E7">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275" w:type="dxa"/>
            <w:noWrap w:val="0"/>
            <w:vAlign w:val="center"/>
          </w:tcPr>
          <w:p w14:paraId="46C2FB50">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615" w:type="dxa"/>
            <w:noWrap w:val="0"/>
            <w:vAlign w:val="center"/>
          </w:tcPr>
          <w:p w14:paraId="08504447">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r>
      <w:tr w14:paraId="77E134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4" w:hRule="atLeast"/>
        </w:trPr>
        <w:tc>
          <w:tcPr>
            <w:tcW w:w="738" w:type="dxa"/>
            <w:noWrap w:val="0"/>
            <w:vAlign w:val="center"/>
          </w:tcPr>
          <w:p w14:paraId="1675008D">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156" w:type="dxa"/>
            <w:noWrap w:val="0"/>
            <w:vAlign w:val="center"/>
          </w:tcPr>
          <w:p w14:paraId="504DBD5C">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124" w:type="dxa"/>
            <w:noWrap w:val="0"/>
            <w:vAlign w:val="center"/>
          </w:tcPr>
          <w:p w14:paraId="5BB45396">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567" w:type="dxa"/>
            <w:noWrap w:val="0"/>
            <w:vAlign w:val="center"/>
          </w:tcPr>
          <w:p w14:paraId="16A8390D">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134" w:type="dxa"/>
            <w:noWrap w:val="0"/>
            <w:vAlign w:val="center"/>
          </w:tcPr>
          <w:p w14:paraId="2D4BB025">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050" w:type="dxa"/>
            <w:noWrap w:val="0"/>
            <w:vAlign w:val="center"/>
          </w:tcPr>
          <w:p w14:paraId="0F286324">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934" w:type="dxa"/>
            <w:noWrap w:val="0"/>
            <w:vAlign w:val="center"/>
          </w:tcPr>
          <w:p w14:paraId="56716C70">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276" w:type="dxa"/>
            <w:noWrap w:val="0"/>
            <w:vAlign w:val="center"/>
          </w:tcPr>
          <w:p w14:paraId="59261622">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793" w:type="dxa"/>
            <w:noWrap w:val="0"/>
            <w:vAlign w:val="center"/>
          </w:tcPr>
          <w:p w14:paraId="4B292A3C">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711" w:type="dxa"/>
            <w:noWrap w:val="0"/>
            <w:vAlign w:val="center"/>
          </w:tcPr>
          <w:p w14:paraId="4B62999D">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993" w:type="dxa"/>
            <w:noWrap w:val="0"/>
            <w:vAlign w:val="center"/>
          </w:tcPr>
          <w:p w14:paraId="0A2D9F83">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851" w:type="dxa"/>
            <w:noWrap w:val="0"/>
            <w:vAlign w:val="center"/>
          </w:tcPr>
          <w:p w14:paraId="7265C15B">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850" w:type="dxa"/>
            <w:noWrap w:val="0"/>
            <w:vAlign w:val="center"/>
          </w:tcPr>
          <w:p w14:paraId="10E5A90C">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275" w:type="dxa"/>
            <w:noWrap w:val="0"/>
            <w:vAlign w:val="center"/>
          </w:tcPr>
          <w:p w14:paraId="4110D41A">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615" w:type="dxa"/>
            <w:noWrap w:val="0"/>
            <w:vAlign w:val="center"/>
          </w:tcPr>
          <w:p w14:paraId="33A6C33A">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r>
      <w:tr w14:paraId="25A1A7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5" w:hRule="atLeast"/>
        </w:trPr>
        <w:tc>
          <w:tcPr>
            <w:tcW w:w="738" w:type="dxa"/>
            <w:noWrap w:val="0"/>
            <w:vAlign w:val="center"/>
          </w:tcPr>
          <w:p w14:paraId="5F0E50E7">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156" w:type="dxa"/>
            <w:noWrap w:val="0"/>
            <w:vAlign w:val="center"/>
          </w:tcPr>
          <w:p w14:paraId="67E84E8E">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124" w:type="dxa"/>
            <w:noWrap w:val="0"/>
            <w:vAlign w:val="center"/>
          </w:tcPr>
          <w:p w14:paraId="58027348">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567" w:type="dxa"/>
            <w:noWrap w:val="0"/>
            <w:vAlign w:val="center"/>
          </w:tcPr>
          <w:p w14:paraId="5BF3FF3C">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134" w:type="dxa"/>
            <w:noWrap w:val="0"/>
            <w:vAlign w:val="center"/>
          </w:tcPr>
          <w:p w14:paraId="01B82174">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050" w:type="dxa"/>
            <w:noWrap w:val="0"/>
            <w:vAlign w:val="center"/>
          </w:tcPr>
          <w:p w14:paraId="1C9CC2BA">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934" w:type="dxa"/>
            <w:noWrap w:val="0"/>
            <w:vAlign w:val="center"/>
          </w:tcPr>
          <w:p w14:paraId="405BB474">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276" w:type="dxa"/>
            <w:noWrap w:val="0"/>
            <w:vAlign w:val="center"/>
          </w:tcPr>
          <w:p w14:paraId="22CB5216">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793" w:type="dxa"/>
            <w:noWrap w:val="0"/>
            <w:vAlign w:val="center"/>
          </w:tcPr>
          <w:p w14:paraId="2A1548AC">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711" w:type="dxa"/>
            <w:noWrap w:val="0"/>
            <w:vAlign w:val="center"/>
          </w:tcPr>
          <w:p w14:paraId="29482B55">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993" w:type="dxa"/>
            <w:noWrap w:val="0"/>
            <w:vAlign w:val="center"/>
          </w:tcPr>
          <w:p w14:paraId="4D03AF1F">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851" w:type="dxa"/>
            <w:noWrap w:val="0"/>
            <w:vAlign w:val="center"/>
          </w:tcPr>
          <w:p w14:paraId="2F617F71">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850" w:type="dxa"/>
            <w:noWrap w:val="0"/>
            <w:vAlign w:val="center"/>
          </w:tcPr>
          <w:p w14:paraId="337D6688">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275" w:type="dxa"/>
            <w:noWrap w:val="0"/>
            <w:vAlign w:val="center"/>
          </w:tcPr>
          <w:p w14:paraId="47FDAA27">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615" w:type="dxa"/>
            <w:noWrap w:val="0"/>
            <w:vAlign w:val="center"/>
          </w:tcPr>
          <w:p w14:paraId="45BBE9CB">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r>
      <w:tr w14:paraId="42F827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5" w:hRule="atLeast"/>
        </w:trPr>
        <w:tc>
          <w:tcPr>
            <w:tcW w:w="15067" w:type="dxa"/>
            <w:gridSpan w:val="15"/>
            <w:noWrap w:val="0"/>
            <w:vAlign w:val="center"/>
          </w:tcPr>
          <w:p w14:paraId="2374C728">
            <w:pPr>
              <w:keepNext w:val="0"/>
              <w:keepLines w:val="0"/>
              <w:widowControl/>
              <w:suppressLineNumbers w:val="0"/>
              <w:adjustRightInd w:val="0"/>
              <w:snapToGrid w:val="0"/>
              <w:spacing w:before="0" w:beforeAutospacing="0" w:after="0" w:afterAutospacing="0"/>
              <w:ind w:left="0" w:right="0"/>
              <w:jc w:val="both"/>
              <w:rPr>
                <w:rFonts w:hint="eastAsia" w:ascii="宋体" w:hAnsi="宋体" w:cs="宋体"/>
                <w:color w:val="auto"/>
                <w:kern w:val="0"/>
                <w:szCs w:val="21"/>
                <w:highlight w:val="none"/>
              </w:rPr>
            </w:pPr>
          </w:p>
        </w:tc>
      </w:tr>
    </w:tbl>
    <w:p w14:paraId="24F01B4B">
      <w:pPr>
        <w:widowControl/>
        <w:spacing w:line="200" w:lineRule="atLeast"/>
        <w:rPr>
          <w:rFonts w:hint="eastAsia" w:ascii="宋体" w:hAnsi="宋体" w:cs="宋体"/>
          <w:color w:val="auto"/>
          <w:kern w:val="0"/>
          <w:szCs w:val="21"/>
          <w:highlight w:val="none"/>
        </w:rPr>
      </w:pPr>
      <w:r>
        <w:rPr>
          <w:rFonts w:hint="eastAsia" w:ascii="宋体" w:hAnsi="宋体" w:cs="宋体"/>
          <w:color w:val="auto"/>
          <w:kern w:val="0"/>
          <w:szCs w:val="21"/>
          <w:highlight w:val="none"/>
        </w:rPr>
        <w:t>注：</w:t>
      </w:r>
    </w:p>
    <w:p w14:paraId="246C78D3">
      <w:pPr>
        <w:widowControl/>
        <w:spacing w:line="200" w:lineRule="atLeast"/>
        <w:rPr>
          <w:rFonts w:hint="eastAsia" w:ascii="宋体" w:hAnsi="宋体" w:cs="宋体"/>
          <w:color w:val="auto"/>
          <w:kern w:val="0"/>
          <w:szCs w:val="21"/>
          <w:highlight w:val="none"/>
        </w:rPr>
      </w:pPr>
      <w:r>
        <w:rPr>
          <w:rFonts w:hint="eastAsia" w:ascii="宋体" w:hAnsi="宋体" w:cs="宋体"/>
          <w:color w:val="auto"/>
          <w:kern w:val="0"/>
          <w:szCs w:val="21"/>
          <w:highlight w:val="none"/>
        </w:rPr>
        <w:t>1.“单价”系指货物</w:t>
      </w:r>
      <w:r>
        <w:rPr>
          <w:rFonts w:hint="eastAsia" w:ascii="宋体" w:hAnsi="宋体" w:cs="宋体"/>
          <w:color w:val="auto"/>
          <w:szCs w:val="21"/>
          <w:highlight w:val="none"/>
        </w:rPr>
        <w:t>（服务）</w:t>
      </w:r>
      <w:r>
        <w:rPr>
          <w:rFonts w:hint="eastAsia" w:ascii="宋体" w:hAnsi="宋体" w:cs="宋体"/>
          <w:color w:val="auto"/>
          <w:kern w:val="0"/>
          <w:szCs w:val="21"/>
          <w:highlight w:val="none"/>
        </w:rPr>
        <w:t>生产、包装、运输、保险、装卸（至指定地点）、安装（招标文件要求报价）、调试、检验、试运行、技术服务、培训等所有应由投标人承担的各项费用及税金。</w:t>
      </w:r>
    </w:p>
    <w:p w14:paraId="6B2C18D4">
      <w:pPr>
        <w:widowControl/>
        <w:spacing w:before="8" w:line="110" w:lineRule="atLeast"/>
        <w:rPr>
          <w:rFonts w:ascii="宋体" w:hAnsi="宋体" w:cs="宋体"/>
          <w:color w:val="auto"/>
          <w:kern w:val="0"/>
          <w:szCs w:val="21"/>
          <w:highlight w:val="none"/>
        </w:rPr>
      </w:pPr>
      <w:r>
        <w:rPr>
          <w:rFonts w:hint="eastAsia" w:ascii="宋体" w:hAnsi="宋体" w:cs="宋体"/>
          <w:color w:val="auto"/>
          <w:kern w:val="0"/>
          <w:szCs w:val="21"/>
          <w:highlight w:val="none"/>
        </w:rPr>
        <w:t>2.</w:t>
      </w:r>
      <w:r>
        <w:rPr>
          <w:rFonts w:hint="eastAsia"/>
          <w:color w:val="auto"/>
          <w:highlight w:val="none"/>
        </w:rPr>
        <w:t xml:space="preserve"> </w:t>
      </w:r>
      <w:r>
        <w:rPr>
          <w:rFonts w:hint="eastAsia" w:ascii="宋体" w:hAnsi="宋体" w:cs="宋体"/>
          <w:color w:val="auto"/>
          <w:kern w:val="0"/>
          <w:szCs w:val="21"/>
          <w:highlight w:val="none"/>
        </w:rPr>
        <w:t>在签订分合同时，各使用单位可根据临床使用需求，决定选择性采购招标文件中列明须单独报价的部分配件，实际合同价格为相应标准配置设备中标价格扣除不采购部分配件价格的价格。选择采购配件的执行价格不得高于投标文件中承诺的价格。投标人不得以货物的实际供货数量有变化为理由要求对各种货物的单价进行变更或拒签合同。</w:t>
      </w:r>
    </w:p>
    <w:p w14:paraId="64DD7855">
      <w:pPr>
        <w:widowControl/>
        <w:spacing w:line="200" w:lineRule="atLeast"/>
        <w:rPr>
          <w:rFonts w:ascii="宋体" w:hAnsi="宋体" w:cs="宋体"/>
          <w:color w:val="auto"/>
          <w:kern w:val="0"/>
          <w:szCs w:val="21"/>
          <w:highlight w:val="none"/>
        </w:rPr>
      </w:pPr>
      <w:r>
        <w:rPr>
          <w:rFonts w:hint="eastAsia" w:ascii="宋体" w:hAnsi="宋体" w:cs="宋体"/>
          <w:color w:val="auto"/>
          <w:kern w:val="0"/>
          <w:szCs w:val="21"/>
          <w:highlight w:val="none"/>
        </w:rPr>
        <w:t>3.招标文件采购需求中要求单独报价的配件（或附件），均需在本表中列明。</w:t>
      </w:r>
    </w:p>
    <w:p w14:paraId="07628DA0">
      <w:pPr>
        <w:widowControl/>
        <w:spacing w:before="8" w:line="110" w:lineRule="atLeast"/>
        <w:rPr>
          <w:rFonts w:hint="eastAsia" w:ascii="宋体" w:hAnsi="宋体" w:cs="宋体"/>
          <w:color w:val="auto"/>
          <w:kern w:val="0"/>
          <w:szCs w:val="21"/>
          <w:highlight w:val="none"/>
        </w:rPr>
      </w:pPr>
    </w:p>
    <w:p w14:paraId="58059B3D">
      <w:pPr>
        <w:widowControl/>
        <w:ind w:left="1503" w:right="1683"/>
        <w:jc w:val="center"/>
        <w:rPr>
          <w:rFonts w:hint="eastAsia" w:ascii="宋体" w:hAnsi="宋体" w:cs="宋体"/>
          <w:color w:val="auto"/>
          <w:spacing w:val="12"/>
          <w:kern w:val="0"/>
          <w:sz w:val="28"/>
          <w:szCs w:val="28"/>
          <w:highlight w:val="none"/>
        </w:rPr>
      </w:pPr>
    </w:p>
    <w:p w14:paraId="1BB15659">
      <w:pPr>
        <w:widowControl/>
        <w:ind w:left="1503" w:right="1683"/>
        <w:jc w:val="center"/>
        <w:rPr>
          <w:rFonts w:hint="eastAsia" w:ascii="宋体" w:hAnsi="宋体" w:cs="宋体"/>
          <w:color w:val="auto"/>
          <w:kern w:val="0"/>
          <w:sz w:val="28"/>
          <w:szCs w:val="28"/>
          <w:highlight w:val="none"/>
        </w:rPr>
      </w:pPr>
      <w:r>
        <w:rPr>
          <w:rFonts w:hint="eastAsia" w:ascii="宋体" w:hAnsi="宋体" w:cs="宋体"/>
          <w:color w:val="auto"/>
          <w:spacing w:val="12"/>
          <w:kern w:val="0"/>
          <w:sz w:val="28"/>
          <w:szCs w:val="28"/>
          <w:highlight w:val="none"/>
        </w:rPr>
        <w:br w:type="page"/>
      </w:r>
      <w:r>
        <w:rPr>
          <w:rFonts w:hint="eastAsia" w:ascii="宋体" w:hAnsi="宋体" w:cs="宋体"/>
          <w:color w:val="auto"/>
          <w:spacing w:val="12"/>
          <w:kern w:val="0"/>
          <w:sz w:val="28"/>
          <w:szCs w:val="28"/>
          <w:highlight w:val="none"/>
        </w:rPr>
        <w:t>表3-3  质保期外备件及易损件</w:t>
      </w:r>
      <w:r>
        <w:rPr>
          <w:rFonts w:hint="eastAsia" w:ascii="宋体" w:hAnsi="宋体" w:cs="宋体"/>
          <w:color w:val="auto"/>
          <w:kern w:val="0"/>
          <w:sz w:val="28"/>
          <w:szCs w:val="28"/>
          <w:highlight w:val="none"/>
        </w:rPr>
        <w:t>分项报价表</w:t>
      </w:r>
    </w:p>
    <w:p w14:paraId="3075D284">
      <w:pPr>
        <w:widowControl/>
        <w:spacing w:line="333" w:lineRule="atLeast"/>
        <w:jc w:val="right"/>
        <w:rPr>
          <w:rFonts w:hint="eastAsia" w:ascii="宋体" w:hAnsi="宋体" w:cs="宋体"/>
          <w:color w:val="auto"/>
          <w:kern w:val="0"/>
          <w:szCs w:val="21"/>
          <w:highlight w:val="none"/>
        </w:rPr>
      </w:pPr>
      <w:r>
        <w:rPr>
          <w:rFonts w:hint="eastAsia" w:ascii="宋体" w:hAnsi="宋体" w:cs="宋体"/>
          <w:color w:val="auto"/>
          <w:kern w:val="0"/>
          <w:position w:val="-4"/>
          <w:szCs w:val="21"/>
          <w:highlight w:val="none"/>
        </w:rPr>
        <w:t>项目编号</w:t>
      </w:r>
      <w:r>
        <w:rPr>
          <w:rFonts w:hint="eastAsia" w:ascii="宋体" w:hAnsi="宋体" w:cs="宋体"/>
          <w:color w:val="auto"/>
          <w:spacing w:val="-24"/>
          <w:kern w:val="0"/>
          <w:position w:val="-4"/>
          <w:szCs w:val="21"/>
          <w:highlight w:val="none"/>
        </w:rPr>
        <w:t>：</w:t>
      </w:r>
      <w:r>
        <w:rPr>
          <w:rFonts w:hint="eastAsia" w:ascii="宋体" w:hAnsi="宋体" w:cs="宋体"/>
          <w:color w:val="auto"/>
          <w:spacing w:val="42"/>
          <w:kern w:val="0"/>
          <w:position w:val="-4"/>
          <w:szCs w:val="21"/>
          <w:highlight w:val="none"/>
          <w:u w:val="single"/>
        </w:rPr>
        <w:t xml:space="preserve">      </w:t>
      </w:r>
      <w:r>
        <w:rPr>
          <w:rFonts w:hint="eastAsia" w:ascii="宋体" w:hAnsi="宋体" w:cs="宋体"/>
          <w:color w:val="auto"/>
          <w:kern w:val="0"/>
          <w:position w:val="-4"/>
          <w:szCs w:val="21"/>
          <w:highlight w:val="none"/>
          <w:u w:val="single"/>
        </w:rPr>
        <w:t xml:space="preserve">   </w:t>
      </w:r>
      <w:r>
        <w:rPr>
          <w:rFonts w:hint="eastAsia" w:ascii="宋体" w:hAnsi="宋体" w:cs="宋体"/>
          <w:color w:val="auto"/>
          <w:kern w:val="0"/>
          <w:position w:val="-4"/>
          <w:szCs w:val="21"/>
          <w:highlight w:val="none"/>
        </w:rPr>
        <w:t>标包号</w:t>
      </w:r>
      <w:r>
        <w:rPr>
          <w:rFonts w:hint="eastAsia" w:ascii="宋体" w:hAnsi="宋体" w:cs="宋体"/>
          <w:color w:val="auto"/>
          <w:spacing w:val="-25"/>
          <w:kern w:val="0"/>
          <w:position w:val="-4"/>
          <w:szCs w:val="21"/>
          <w:highlight w:val="none"/>
        </w:rPr>
        <w:t>：</w:t>
      </w:r>
      <w:r>
        <w:rPr>
          <w:rFonts w:hint="eastAsia" w:ascii="宋体" w:hAnsi="宋体" w:cs="宋体"/>
          <w:color w:val="auto"/>
          <w:spacing w:val="42"/>
          <w:kern w:val="0"/>
          <w:position w:val="-4"/>
          <w:szCs w:val="21"/>
          <w:highlight w:val="none"/>
          <w:u w:val="single"/>
        </w:rPr>
        <w:t xml:space="preserve"> </w:t>
      </w:r>
      <w:r>
        <w:rPr>
          <w:rFonts w:hint="eastAsia" w:ascii="宋体" w:hAnsi="宋体" w:cs="宋体"/>
          <w:color w:val="auto"/>
          <w:kern w:val="0"/>
          <w:position w:val="-4"/>
          <w:szCs w:val="21"/>
          <w:highlight w:val="none"/>
          <w:u w:val="single"/>
        </w:rPr>
        <w:t xml:space="preserve">    </w:t>
      </w:r>
      <w:r>
        <w:rPr>
          <w:rFonts w:hint="eastAsia" w:ascii="宋体" w:hAnsi="宋体" w:cs="宋体"/>
          <w:color w:val="auto"/>
          <w:spacing w:val="-1"/>
          <w:kern w:val="0"/>
          <w:position w:val="-4"/>
          <w:szCs w:val="21"/>
          <w:highlight w:val="none"/>
        </w:rPr>
        <w:t>货</w:t>
      </w:r>
      <w:r>
        <w:rPr>
          <w:rFonts w:hint="eastAsia" w:ascii="宋体" w:hAnsi="宋体" w:cs="宋体"/>
          <w:color w:val="auto"/>
          <w:kern w:val="0"/>
          <w:position w:val="-4"/>
          <w:szCs w:val="21"/>
          <w:highlight w:val="none"/>
        </w:rPr>
        <w:t>币单位</w:t>
      </w:r>
      <w:r>
        <w:rPr>
          <w:rFonts w:hint="eastAsia" w:ascii="宋体" w:hAnsi="宋体" w:cs="宋体"/>
          <w:color w:val="auto"/>
          <w:spacing w:val="-24"/>
          <w:kern w:val="0"/>
          <w:position w:val="-4"/>
          <w:szCs w:val="21"/>
          <w:highlight w:val="none"/>
        </w:rPr>
        <w:t>：</w:t>
      </w:r>
      <w:r>
        <w:rPr>
          <w:rFonts w:hint="eastAsia" w:ascii="宋体" w:hAnsi="宋体" w:cs="宋体"/>
          <w:color w:val="auto"/>
          <w:kern w:val="0"/>
          <w:position w:val="-4"/>
          <w:szCs w:val="21"/>
          <w:highlight w:val="none"/>
        </w:rPr>
        <w:t>人民币</w:t>
      </w:r>
    </w:p>
    <w:tbl>
      <w:tblPr>
        <w:tblStyle w:val="48"/>
        <w:tblW w:w="4993"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791"/>
        <w:gridCol w:w="1261"/>
        <w:gridCol w:w="1231"/>
        <w:gridCol w:w="617"/>
        <w:gridCol w:w="1435"/>
        <w:gridCol w:w="1491"/>
        <w:gridCol w:w="1429"/>
        <w:gridCol w:w="1326"/>
        <w:gridCol w:w="827"/>
        <w:gridCol w:w="1090"/>
        <w:gridCol w:w="930"/>
        <w:gridCol w:w="930"/>
        <w:gridCol w:w="1407"/>
      </w:tblGrid>
      <w:tr w14:paraId="4C7139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1" w:hRule="atLeast"/>
        </w:trPr>
        <w:tc>
          <w:tcPr>
            <w:tcW w:w="268" w:type="pct"/>
            <w:vMerge w:val="restart"/>
            <w:noWrap w:val="0"/>
            <w:vAlign w:val="center"/>
          </w:tcPr>
          <w:p w14:paraId="37ED7C49">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序号</w:t>
            </w:r>
          </w:p>
        </w:tc>
        <w:tc>
          <w:tcPr>
            <w:tcW w:w="427" w:type="pct"/>
            <w:vMerge w:val="restart"/>
            <w:noWrap w:val="0"/>
            <w:vAlign w:val="center"/>
          </w:tcPr>
          <w:p w14:paraId="718270DB">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质保期外备件及易损件名称</w:t>
            </w:r>
          </w:p>
        </w:tc>
        <w:tc>
          <w:tcPr>
            <w:tcW w:w="417" w:type="pct"/>
            <w:vMerge w:val="restart"/>
            <w:noWrap w:val="0"/>
            <w:vAlign w:val="center"/>
          </w:tcPr>
          <w:p w14:paraId="180614C9">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规格型号</w:t>
            </w:r>
          </w:p>
        </w:tc>
        <w:tc>
          <w:tcPr>
            <w:tcW w:w="209" w:type="pct"/>
            <w:vMerge w:val="restart"/>
            <w:noWrap w:val="0"/>
            <w:vAlign w:val="center"/>
          </w:tcPr>
          <w:p w14:paraId="7D308C45">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单位</w:t>
            </w:r>
          </w:p>
        </w:tc>
        <w:tc>
          <w:tcPr>
            <w:tcW w:w="2204" w:type="pct"/>
            <w:gridSpan w:val="5"/>
            <w:noWrap w:val="0"/>
            <w:vAlign w:val="center"/>
          </w:tcPr>
          <w:p w14:paraId="75BF22BD">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单价</w:t>
            </w:r>
          </w:p>
        </w:tc>
        <w:tc>
          <w:tcPr>
            <w:tcW w:w="369" w:type="pct"/>
            <w:vMerge w:val="restart"/>
            <w:noWrap w:val="0"/>
            <w:vAlign w:val="center"/>
          </w:tcPr>
          <w:p w14:paraId="1DBD2DC8">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制造商</w:t>
            </w:r>
          </w:p>
        </w:tc>
        <w:tc>
          <w:tcPr>
            <w:tcW w:w="315" w:type="pct"/>
            <w:vMerge w:val="restart"/>
            <w:noWrap w:val="0"/>
            <w:vAlign w:val="center"/>
          </w:tcPr>
          <w:p w14:paraId="4C3F66AA">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品牌</w:t>
            </w:r>
          </w:p>
        </w:tc>
        <w:tc>
          <w:tcPr>
            <w:tcW w:w="315" w:type="pct"/>
            <w:vMerge w:val="restart"/>
            <w:noWrap w:val="0"/>
            <w:vAlign w:val="center"/>
          </w:tcPr>
          <w:p w14:paraId="072B4AFF">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产地</w:t>
            </w:r>
          </w:p>
        </w:tc>
        <w:tc>
          <w:tcPr>
            <w:tcW w:w="473" w:type="pct"/>
            <w:vMerge w:val="restart"/>
            <w:noWrap w:val="0"/>
            <w:vAlign w:val="center"/>
          </w:tcPr>
          <w:p w14:paraId="342DBAC1">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发货地点</w:t>
            </w:r>
          </w:p>
        </w:tc>
      </w:tr>
      <w:tr w14:paraId="221802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5" w:hRule="atLeast"/>
        </w:trPr>
        <w:tc>
          <w:tcPr>
            <w:tcW w:w="268" w:type="pct"/>
            <w:vMerge w:val="continue"/>
            <w:noWrap w:val="0"/>
            <w:vAlign w:val="center"/>
          </w:tcPr>
          <w:p w14:paraId="3201C5FA">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427" w:type="pct"/>
            <w:vMerge w:val="continue"/>
            <w:noWrap w:val="0"/>
            <w:vAlign w:val="center"/>
          </w:tcPr>
          <w:p w14:paraId="4E51E8BD">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417" w:type="pct"/>
            <w:vMerge w:val="continue"/>
            <w:noWrap w:val="0"/>
            <w:vAlign w:val="center"/>
          </w:tcPr>
          <w:p w14:paraId="39050EA2">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209" w:type="pct"/>
            <w:vMerge w:val="continue"/>
            <w:noWrap w:val="0"/>
            <w:vAlign w:val="center"/>
          </w:tcPr>
          <w:p w14:paraId="380B0484">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486" w:type="pct"/>
            <w:noWrap w:val="0"/>
            <w:vAlign w:val="center"/>
          </w:tcPr>
          <w:p w14:paraId="7C5DF975">
            <w:pPr>
              <w:keepNext w:val="0"/>
              <w:keepLines w:val="0"/>
              <w:suppressLineNumbers w:val="0"/>
              <w:spacing w:before="0" w:beforeAutospacing="0" w:after="0" w:afterAutospacing="0"/>
              <w:ind w:left="0" w:right="0"/>
              <w:jc w:val="center"/>
              <w:rPr>
                <w:rFonts w:hint="eastAsia" w:ascii="宋体" w:hAnsi="宋体" w:cs="宋体"/>
                <w:color w:val="auto"/>
                <w:szCs w:val="21"/>
                <w:highlight w:val="none"/>
              </w:rPr>
            </w:pPr>
            <w:r>
              <w:rPr>
                <w:rFonts w:hint="eastAsia" w:ascii="宋体" w:hAnsi="宋体" w:cs="宋体"/>
                <w:color w:val="auto"/>
                <w:szCs w:val="21"/>
                <w:highlight w:val="none"/>
              </w:rPr>
              <w:t>运输、保险、卸货</w:t>
            </w:r>
          </w:p>
        </w:tc>
        <w:tc>
          <w:tcPr>
            <w:tcW w:w="505" w:type="pct"/>
            <w:noWrap w:val="0"/>
            <w:vAlign w:val="center"/>
          </w:tcPr>
          <w:p w14:paraId="7A035C5D">
            <w:pPr>
              <w:keepNext w:val="0"/>
              <w:keepLines w:val="0"/>
              <w:suppressLineNumbers w:val="0"/>
              <w:spacing w:before="0" w:beforeAutospacing="0" w:after="0" w:afterAutospacing="0"/>
              <w:ind w:left="0" w:right="0"/>
              <w:jc w:val="center"/>
              <w:rPr>
                <w:rFonts w:hint="eastAsia" w:ascii="宋体" w:hAnsi="宋体" w:cs="宋体"/>
                <w:color w:val="auto"/>
                <w:szCs w:val="21"/>
                <w:highlight w:val="none"/>
              </w:rPr>
            </w:pPr>
            <w:r>
              <w:rPr>
                <w:rFonts w:hint="eastAsia" w:ascii="宋体" w:hAnsi="宋体" w:cs="宋体"/>
                <w:color w:val="auto"/>
                <w:szCs w:val="21"/>
                <w:highlight w:val="none"/>
              </w:rPr>
              <w:t>安装调试检验</w:t>
            </w:r>
          </w:p>
        </w:tc>
        <w:tc>
          <w:tcPr>
            <w:tcW w:w="484" w:type="pct"/>
            <w:noWrap w:val="0"/>
            <w:vAlign w:val="center"/>
          </w:tcPr>
          <w:p w14:paraId="6CD22682">
            <w:pPr>
              <w:keepNext w:val="0"/>
              <w:keepLines w:val="0"/>
              <w:suppressLineNumbers w:val="0"/>
              <w:spacing w:before="0" w:beforeAutospacing="0" w:after="0" w:afterAutospacing="0"/>
              <w:ind w:left="0" w:right="0"/>
              <w:jc w:val="center"/>
              <w:rPr>
                <w:rFonts w:hint="eastAsia" w:ascii="宋体" w:hAnsi="宋体" w:cs="宋体"/>
                <w:color w:val="auto"/>
                <w:szCs w:val="21"/>
                <w:highlight w:val="none"/>
              </w:rPr>
            </w:pPr>
            <w:r>
              <w:rPr>
                <w:rFonts w:hint="eastAsia" w:ascii="宋体" w:hAnsi="宋体" w:cs="宋体"/>
                <w:color w:val="auto"/>
                <w:szCs w:val="21"/>
                <w:highlight w:val="none"/>
              </w:rPr>
              <w:t>培训及</w:t>
            </w:r>
          </w:p>
          <w:p w14:paraId="3B66DC3B">
            <w:pPr>
              <w:keepNext w:val="0"/>
              <w:keepLines w:val="0"/>
              <w:suppressLineNumbers w:val="0"/>
              <w:spacing w:before="0" w:beforeAutospacing="0" w:after="0" w:afterAutospacing="0"/>
              <w:ind w:left="0" w:right="0"/>
              <w:jc w:val="center"/>
              <w:rPr>
                <w:rFonts w:hint="eastAsia" w:ascii="宋体" w:hAnsi="宋体" w:cs="宋体"/>
                <w:color w:val="auto"/>
                <w:szCs w:val="21"/>
                <w:highlight w:val="none"/>
              </w:rPr>
            </w:pPr>
            <w:r>
              <w:rPr>
                <w:rFonts w:hint="eastAsia" w:ascii="宋体" w:hAnsi="宋体" w:cs="宋体"/>
                <w:color w:val="auto"/>
                <w:szCs w:val="21"/>
                <w:highlight w:val="none"/>
              </w:rPr>
              <w:t>技术服务</w:t>
            </w:r>
          </w:p>
        </w:tc>
        <w:tc>
          <w:tcPr>
            <w:tcW w:w="449" w:type="pct"/>
            <w:noWrap w:val="0"/>
            <w:vAlign w:val="center"/>
          </w:tcPr>
          <w:p w14:paraId="0F3ECF7C">
            <w:pPr>
              <w:keepNext w:val="0"/>
              <w:keepLines w:val="0"/>
              <w:suppressLineNumbers w:val="0"/>
              <w:spacing w:before="0" w:beforeAutospacing="0" w:after="0" w:afterAutospacing="0"/>
              <w:ind w:left="0" w:right="0"/>
              <w:jc w:val="center"/>
              <w:rPr>
                <w:rFonts w:hint="eastAsia" w:ascii="宋体" w:hAnsi="宋体" w:cs="宋体"/>
                <w:color w:val="auto"/>
                <w:szCs w:val="21"/>
                <w:highlight w:val="none"/>
              </w:rPr>
            </w:pPr>
            <w:r>
              <w:rPr>
                <w:rFonts w:hint="eastAsia" w:ascii="宋体" w:hAnsi="宋体" w:cs="宋体"/>
                <w:color w:val="auto"/>
                <w:szCs w:val="21"/>
                <w:highlight w:val="none"/>
              </w:rPr>
              <w:t>其他</w:t>
            </w:r>
          </w:p>
        </w:tc>
        <w:tc>
          <w:tcPr>
            <w:tcW w:w="279" w:type="pct"/>
            <w:noWrap w:val="0"/>
            <w:vAlign w:val="center"/>
          </w:tcPr>
          <w:p w14:paraId="20D1989E">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szCs w:val="21"/>
                <w:highlight w:val="none"/>
              </w:rPr>
              <w:t>小计</w:t>
            </w:r>
          </w:p>
        </w:tc>
        <w:tc>
          <w:tcPr>
            <w:tcW w:w="369" w:type="pct"/>
            <w:vMerge w:val="continue"/>
            <w:noWrap w:val="0"/>
            <w:vAlign w:val="center"/>
          </w:tcPr>
          <w:p w14:paraId="589BFA1E">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315" w:type="pct"/>
            <w:vMerge w:val="continue"/>
            <w:noWrap w:val="0"/>
            <w:vAlign w:val="center"/>
          </w:tcPr>
          <w:p w14:paraId="47E5A690">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315" w:type="pct"/>
            <w:vMerge w:val="continue"/>
            <w:noWrap w:val="0"/>
            <w:vAlign w:val="center"/>
          </w:tcPr>
          <w:p w14:paraId="231C32E5">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473" w:type="pct"/>
            <w:vMerge w:val="continue"/>
            <w:noWrap w:val="0"/>
            <w:vAlign w:val="center"/>
          </w:tcPr>
          <w:p w14:paraId="136276A4">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r>
      <w:tr w14:paraId="0A4192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5" w:hRule="atLeast"/>
        </w:trPr>
        <w:tc>
          <w:tcPr>
            <w:tcW w:w="268" w:type="pct"/>
            <w:noWrap w:val="0"/>
            <w:vAlign w:val="center"/>
          </w:tcPr>
          <w:p w14:paraId="4179ED12">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427" w:type="pct"/>
            <w:noWrap w:val="0"/>
            <w:vAlign w:val="center"/>
          </w:tcPr>
          <w:p w14:paraId="4FABABC5">
            <w:pPr>
              <w:keepNext w:val="0"/>
              <w:keepLines w:val="0"/>
              <w:suppressLineNumbers w:val="0"/>
              <w:spacing w:before="0" w:beforeAutospacing="0" w:after="0" w:afterAutospacing="0"/>
              <w:ind w:left="0" w:right="0"/>
              <w:jc w:val="center"/>
              <w:rPr>
                <w:rFonts w:hint="eastAsia" w:ascii="宋体" w:hAnsi="宋体" w:cs="宋体"/>
                <w:color w:val="auto"/>
                <w:szCs w:val="21"/>
                <w:highlight w:val="none"/>
              </w:rPr>
            </w:pPr>
          </w:p>
        </w:tc>
        <w:tc>
          <w:tcPr>
            <w:tcW w:w="417" w:type="pct"/>
            <w:noWrap w:val="0"/>
            <w:vAlign w:val="center"/>
          </w:tcPr>
          <w:p w14:paraId="2F93FA02">
            <w:pPr>
              <w:keepNext w:val="0"/>
              <w:keepLines w:val="0"/>
              <w:suppressLineNumbers w:val="0"/>
              <w:spacing w:before="0" w:beforeAutospacing="0" w:after="0" w:afterAutospacing="0"/>
              <w:ind w:left="0" w:right="0"/>
              <w:jc w:val="center"/>
              <w:rPr>
                <w:rFonts w:hint="eastAsia" w:ascii="宋体" w:hAnsi="宋体" w:cs="宋体"/>
                <w:color w:val="auto"/>
                <w:szCs w:val="21"/>
                <w:highlight w:val="none"/>
              </w:rPr>
            </w:pPr>
          </w:p>
        </w:tc>
        <w:tc>
          <w:tcPr>
            <w:tcW w:w="209" w:type="pct"/>
            <w:noWrap w:val="0"/>
            <w:vAlign w:val="center"/>
          </w:tcPr>
          <w:p w14:paraId="31CBF35D">
            <w:pPr>
              <w:keepNext w:val="0"/>
              <w:keepLines w:val="0"/>
              <w:suppressLineNumbers w:val="0"/>
              <w:spacing w:before="0" w:beforeAutospacing="0" w:after="0" w:afterAutospacing="0"/>
              <w:ind w:left="0" w:right="0"/>
              <w:jc w:val="center"/>
              <w:rPr>
                <w:rFonts w:hint="eastAsia" w:ascii="宋体" w:hAnsi="宋体" w:cs="宋体"/>
                <w:color w:val="auto"/>
                <w:szCs w:val="21"/>
                <w:highlight w:val="none"/>
              </w:rPr>
            </w:pPr>
          </w:p>
        </w:tc>
        <w:tc>
          <w:tcPr>
            <w:tcW w:w="486" w:type="pct"/>
            <w:noWrap w:val="0"/>
            <w:vAlign w:val="center"/>
          </w:tcPr>
          <w:p w14:paraId="1A007558">
            <w:pPr>
              <w:keepNext w:val="0"/>
              <w:keepLines w:val="0"/>
              <w:suppressLineNumbers w:val="0"/>
              <w:spacing w:before="0" w:beforeAutospacing="0" w:after="0" w:afterAutospacing="0"/>
              <w:ind w:left="0" w:right="0"/>
              <w:jc w:val="center"/>
              <w:rPr>
                <w:rFonts w:hint="eastAsia" w:ascii="宋体" w:hAnsi="宋体" w:cs="宋体"/>
                <w:color w:val="auto"/>
                <w:szCs w:val="21"/>
                <w:highlight w:val="none"/>
              </w:rPr>
            </w:pPr>
          </w:p>
        </w:tc>
        <w:tc>
          <w:tcPr>
            <w:tcW w:w="505" w:type="pct"/>
            <w:noWrap w:val="0"/>
            <w:vAlign w:val="center"/>
          </w:tcPr>
          <w:p w14:paraId="4CF03F66">
            <w:pPr>
              <w:keepNext w:val="0"/>
              <w:keepLines w:val="0"/>
              <w:suppressLineNumbers w:val="0"/>
              <w:spacing w:before="0" w:beforeAutospacing="0" w:after="0" w:afterAutospacing="0"/>
              <w:ind w:left="0" w:right="0"/>
              <w:jc w:val="center"/>
              <w:rPr>
                <w:rFonts w:hint="eastAsia" w:ascii="宋体" w:hAnsi="宋体" w:cs="宋体"/>
                <w:color w:val="auto"/>
                <w:szCs w:val="21"/>
                <w:highlight w:val="none"/>
              </w:rPr>
            </w:pPr>
          </w:p>
        </w:tc>
        <w:tc>
          <w:tcPr>
            <w:tcW w:w="484" w:type="pct"/>
            <w:noWrap w:val="0"/>
            <w:vAlign w:val="center"/>
          </w:tcPr>
          <w:p w14:paraId="39A77791">
            <w:pPr>
              <w:keepNext w:val="0"/>
              <w:keepLines w:val="0"/>
              <w:suppressLineNumbers w:val="0"/>
              <w:spacing w:before="0" w:beforeAutospacing="0" w:after="0" w:afterAutospacing="0"/>
              <w:ind w:left="0" w:right="0"/>
              <w:jc w:val="center"/>
              <w:rPr>
                <w:rFonts w:hint="eastAsia" w:ascii="宋体" w:hAnsi="宋体" w:cs="宋体"/>
                <w:color w:val="auto"/>
                <w:szCs w:val="21"/>
                <w:highlight w:val="none"/>
              </w:rPr>
            </w:pPr>
          </w:p>
        </w:tc>
        <w:tc>
          <w:tcPr>
            <w:tcW w:w="449" w:type="pct"/>
            <w:noWrap w:val="0"/>
            <w:vAlign w:val="center"/>
          </w:tcPr>
          <w:p w14:paraId="2416F3AB">
            <w:pPr>
              <w:keepNext w:val="0"/>
              <w:keepLines w:val="0"/>
              <w:suppressLineNumbers w:val="0"/>
              <w:spacing w:before="0" w:beforeAutospacing="0" w:after="0" w:afterAutospacing="0"/>
              <w:ind w:left="0" w:right="0"/>
              <w:jc w:val="center"/>
              <w:rPr>
                <w:rFonts w:hint="eastAsia" w:ascii="宋体" w:hAnsi="宋体" w:cs="宋体"/>
                <w:color w:val="auto"/>
                <w:szCs w:val="21"/>
                <w:highlight w:val="none"/>
              </w:rPr>
            </w:pPr>
          </w:p>
        </w:tc>
        <w:tc>
          <w:tcPr>
            <w:tcW w:w="279" w:type="pct"/>
            <w:noWrap w:val="0"/>
            <w:vAlign w:val="center"/>
          </w:tcPr>
          <w:p w14:paraId="437B133A">
            <w:pPr>
              <w:keepNext w:val="0"/>
              <w:keepLines w:val="0"/>
              <w:suppressLineNumbers w:val="0"/>
              <w:spacing w:before="0" w:beforeAutospacing="0" w:after="0" w:afterAutospacing="0"/>
              <w:ind w:left="0" w:right="0"/>
              <w:jc w:val="center"/>
              <w:rPr>
                <w:rFonts w:hint="eastAsia" w:ascii="宋体" w:hAnsi="宋体" w:cs="宋体"/>
                <w:color w:val="auto"/>
                <w:szCs w:val="21"/>
                <w:highlight w:val="none"/>
              </w:rPr>
            </w:pPr>
          </w:p>
        </w:tc>
        <w:tc>
          <w:tcPr>
            <w:tcW w:w="369" w:type="pct"/>
            <w:noWrap w:val="0"/>
            <w:vAlign w:val="center"/>
          </w:tcPr>
          <w:p w14:paraId="46CCB6F0">
            <w:pPr>
              <w:keepNext w:val="0"/>
              <w:keepLines w:val="0"/>
              <w:suppressLineNumbers w:val="0"/>
              <w:spacing w:before="0" w:beforeAutospacing="0" w:after="0" w:afterAutospacing="0"/>
              <w:ind w:left="0" w:right="0"/>
              <w:jc w:val="center"/>
              <w:rPr>
                <w:rFonts w:hint="eastAsia" w:ascii="宋体" w:hAnsi="宋体" w:cs="宋体"/>
                <w:color w:val="auto"/>
                <w:szCs w:val="21"/>
                <w:highlight w:val="none"/>
              </w:rPr>
            </w:pPr>
          </w:p>
        </w:tc>
        <w:tc>
          <w:tcPr>
            <w:tcW w:w="315" w:type="pct"/>
            <w:noWrap w:val="0"/>
            <w:vAlign w:val="center"/>
          </w:tcPr>
          <w:p w14:paraId="0E90AEFA">
            <w:pPr>
              <w:keepNext w:val="0"/>
              <w:keepLines w:val="0"/>
              <w:suppressLineNumbers w:val="0"/>
              <w:spacing w:before="0" w:beforeAutospacing="0" w:after="0" w:afterAutospacing="0"/>
              <w:ind w:left="0" w:right="0"/>
              <w:jc w:val="center"/>
              <w:rPr>
                <w:rFonts w:hint="eastAsia" w:ascii="宋体" w:hAnsi="宋体" w:cs="宋体"/>
                <w:color w:val="auto"/>
                <w:szCs w:val="21"/>
                <w:highlight w:val="none"/>
              </w:rPr>
            </w:pPr>
          </w:p>
        </w:tc>
        <w:tc>
          <w:tcPr>
            <w:tcW w:w="315" w:type="pct"/>
            <w:noWrap w:val="0"/>
            <w:vAlign w:val="center"/>
          </w:tcPr>
          <w:p w14:paraId="6CED2FA9">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473" w:type="pct"/>
            <w:noWrap w:val="0"/>
            <w:vAlign w:val="center"/>
          </w:tcPr>
          <w:p w14:paraId="33D987F6">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r>
      <w:tr w14:paraId="6522F0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5" w:hRule="atLeast"/>
        </w:trPr>
        <w:tc>
          <w:tcPr>
            <w:tcW w:w="268" w:type="pct"/>
            <w:noWrap w:val="0"/>
            <w:vAlign w:val="center"/>
          </w:tcPr>
          <w:p w14:paraId="44CFB0F4">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427" w:type="pct"/>
            <w:noWrap w:val="0"/>
            <w:vAlign w:val="center"/>
          </w:tcPr>
          <w:p w14:paraId="7162C901">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417" w:type="pct"/>
            <w:noWrap w:val="0"/>
            <w:vAlign w:val="center"/>
          </w:tcPr>
          <w:p w14:paraId="6ADD9828">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209" w:type="pct"/>
            <w:noWrap w:val="0"/>
            <w:vAlign w:val="center"/>
          </w:tcPr>
          <w:p w14:paraId="546FD03F">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486" w:type="pct"/>
            <w:noWrap w:val="0"/>
            <w:vAlign w:val="center"/>
          </w:tcPr>
          <w:p w14:paraId="743D4444">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505" w:type="pct"/>
            <w:noWrap w:val="0"/>
            <w:vAlign w:val="center"/>
          </w:tcPr>
          <w:p w14:paraId="4E202FE9">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484" w:type="pct"/>
            <w:noWrap w:val="0"/>
            <w:vAlign w:val="center"/>
          </w:tcPr>
          <w:p w14:paraId="05216D80">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449" w:type="pct"/>
            <w:noWrap w:val="0"/>
            <w:vAlign w:val="center"/>
          </w:tcPr>
          <w:p w14:paraId="2E50DC2E">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279" w:type="pct"/>
            <w:noWrap w:val="0"/>
            <w:vAlign w:val="center"/>
          </w:tcPr>
          <w:p w14:paraId="5C50272C">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369" w:type="pct"/>
            <w:noWrap w:val="0"/>
            <w:vAlign w:val="center"/>
          </w:tcPr>
          <w:p w14:paraId="172B6487">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315" w:type="pct"/>
            <w:noWrap w:val="0"/>
            <w:vAlign w:val="center"/>
          </w:tcPr>
          <w:p w14:paraId="52196AD1">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315" w:type="pct"/>
            <w:noWrap w:val="0"/>
            <w:vAlign w:val="center"/>
          </w:tcPr>
          <w:p w14:paraId="46EF363A">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473" w:type="pct"/>
            <w:noWrap w:val="0"/>
            <w:vAlign w:val="center"/>
          </w:tcPr>
          <w:p w14:paraId="2A529029">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r>
      <w:tr w14:paraId="4059E2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5" w:hRule="atLeast"/>
        </w:trPr>
        <w:tc>
          <w:tcPr>
            <w:tcW w:w="268" w:type="pct"/>
            <w:noWrap w:val="0"/>
            <w:vAlign w:val="center"/>
          </w:tcPr>
          <w:p w14:paraId="00935FBF">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427" w:type="pct"/>
            <w:noWrap w:val="0"/>
            <w:vAlign w:val="center"/>
          </w:tcPr>
          <w:p w14:paraId="3F01D8A6">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417" w:type="pct"/>
            <w:noWrap w:val="0"/>
            <w:vAlign w:val="center"/>
          </w:tcPr>
          <w:p w14:paraId="1260DC96">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209" w:type="pct"/>
            <w:noWrap w:val="0"/>
            <w:vAlign w:val="center"/>
          </w:tcPr>
          <w:p w14:paraId="5CF31946">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486" w:type="pct"/>
            <w:noWrap w:val="0"/>
            <w:vAlign w:val="center"/>
          </w:tcPr>
          <w:p w14:paraId="1F143F77">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505" w:type="pct"/>
            <w:noWrap w:val="0"/>
            <w:vAlign w:val="center"/>
          </w:tcPr>
          <w:p w14:paraId="536116D2">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484" w:type="pct"/>
            <w:noWrap w:val="0"/>
            <w:vAlign w:val="center"/>
          </w:tcPr>
          <w:p w14:paraId="2250E96A">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449" w:type="pct"/>
            <w:noWrap w:val="0"/>
            <w:vAlign w:val="center"/>
          </w:tcPr>
          <w:p w14:paraId="04EB7741">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279" w:type="pct"/>
            <w:noWrap w:val="0"/>
            <w:vAlign w:val="center"/>
          </w:tcPr>
          <w:p w14:paraId="6A1A579E">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369" w:type="pct"/>
            <w:noWrap w:val="0"/>
            <w:vAlign w:val="center"/>
          </w:tcPr>
          <w:p w14:paraId="2AFD9EAB">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315" w:type="pct"/>
            <w:noWrap w:val="0"/>
            <w:vAlign w:val="center"/>
          </w:tcPr>
          <w:p w14:paraId="5D9B5A98">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315" w:type="pct"/>
            <w:noWrap w:val="0"/>
            <w:vAlign w:val="center"/>
          </w:tcPr>
          <w:p w14:paraId="47BD847E">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473" w:type="pct"/>
            <w:noWrap w:val="0"/>
            <w:vAlign w:val="center"/>
          </w:tcPr>
          <w:p w14:paraId="40782C90">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r>
      <w:tr w14:paraId="736AA8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04" w:hRule="atLeast"/>
        </w:trPr>
        <w:tc>
          <w:tcPr>
            <w:tcW w:w="268" w:type="pct"/>
            <w:noWrap w:val="0"/>
            <w:vAlign w:val="center"/>
          </w:tcPr>
          <w:p w14:paraId="4B62FF27">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427" w:type="pct"/>
            <w:noWrap w:val="0"/>
            <w:vAlign w:val="center"/>
          </w:tcPr>
          <w:p w14:paraId="5EDF3B45">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417" w:type="pct"/>
            <w:noWrap w:val="0"/>
            <w:vAlign w:val="center"/>
          </w:tcPr>
          <w:p w14:paraId="1F46A563">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209" w:type="pct"/>
            <w:noWrap w:val="0"/>
            <w:vAlign w:val="center"/>
          </w:tcPr>
          <w:p w14:paraId="5D7445C9">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486" w:type="pct"/>
            <w:noWrap w:val="0"/>
            <w:vAlign w:val="center"/>
          </w:tcPr>
          <w:p w14:paraId="273D2213">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505" w:type="pct"/>
            <w:noWrap w:val="0"/>
            <w:vAlign w:val="center"/>
          </w:tcPr>
          <w:p w14:paraId="71A9D5D5">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484" w:type="pct"/>
            <w:noWrap w:val="0"/>
            <w:vAlign w:val="center"/>
          </w:tcPr>
          <w:p w14:paraId="23EC805C">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449" w:type="pct"/>
            <w:noWrap w:val="0"/>
            <w:vAlign w:val="center"/>
          </w:tcPr>
          <w:p w14:paraId="73C4B49E">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279" w:type="pct"/>
            <w:noWrap w:val="0"/>
            <w:vAlign w:val="center"/>
          </w:tcPr>
          <w:p w14:paraId="1D8CC4AB">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369" w:type="pct"/>
            <w:noWrap w:val="0"/>
            <w:vAlign w:val="center"/>
          </w:tcPr>
          <w:p w14:paraId="5E14C773">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315" w:type="pct"/>
            <w:noWrap w:val="0"/>
            <w:vAlign w:val="center"/>
          </w:tcPr>
          <w:p w14:paraId="10528EA4">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315" w:type="pct"/>
            <w:noWrap w:val="0"/>
            <w:vAlign w:val="center"/>
          </w:tcPr>
          <w:p w14:paraId="65B37A8A">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473" w:type="pct"/>
            <w:noWrap w:val="0"/>
            <w:vAlign w:val="center"/>
          </w:tcPr>
          <w:p w14:paraId="10618794">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r>
      <w:tr w14:paraId="2D4F2F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05" w:hRule="atLeast"/>
        </w:trPr>
        <w:tc>
          <w:tcPr>
            <w:tcW w:w="268" w:type="pct"/>
            <w:noWrap w:val="0"/>
            <w:vAlign w:val="center"/>
          </w:tcPr>
          <w:p w14:paraId="645E0F56">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427" w:type="pct"/>
            <w:noWrap w:val="0"/>
            <w:vAlign w:val="center"/>
          </w:tcPr>
          <w:p w14:paraId="04531093">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417" w:type="pct"/>
            <w:noWrap w:val="0"/>
            <w:vAlign w:val="center"/>
          </w:tcPr>
          <w:p w14:paraId="2418FD13">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209" w:type="pct"/>
            <w:noWrap w:val="0"/>
            <w:vAlign w:val="center"/>
          </w:tcPr>
          <w:p w14:paraId="198A9802">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486" w:type="pct"/>
            <w:noWrap w:val="0"/>
            <w:vAlign w:val="center"/>
          </w:tcPr>
          <w:p w14:paraId="24CB32A1">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505" w:type="pct"/>
            <w:noWrap w:val="0"/>
            <w:vAlign w:val="center"/>
          </w:tcPr>
          <w:p w14:paraId="77CA90B6">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484" w:type="pct"/>
            <w:noWrap w:val="0"/>
            <w:vAlign w:val="center"/>
          </w:tcPr>
          <w:p w14:paraId="2AA183F5">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449" w:type="pct"/>
            <w:noWrap w:val="0"/>
            <w:vAlign w:val="center"/>
          </w:tcPr>
          <w:p w14:paraId="48696560">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279" w:type="pct"/>
            <w:noWrap w:val="0"/>
            <w:vAlign w:val="center"/>
          </w:tcPr>
          <w:p w14:paraId="0A9D5C3E">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369" w:type="pct"/>
            <w:noWrap w:val="0"/>
            <w:vAlign w:val="center"/>
          </w:tcPr>
          <w:p w14:paraId="6DC6B9CC">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315" w:type="pct"/>
            <w:noWrap w:val="0"/>
            <w:vAlign w:val="center"/>
          </w:tcPr>
          <w:p w14:paraId="49D1A8F2">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315" w:type="pct"/>
            <w:noWrap w:val="0"/>
            <w:vAlign w:val="center"/>
          </w:tcPr>
          <w:p w14:paraId="6DE7FACD">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473" w:type="pct"/>
            <w:noWrap w:val="0"/>
            <w:vAlign w:val="center"/>
          </w:tcPr>
          <w:p w14:paraId="6808C437">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r>
      <w:tr w14:paraId="13A9E1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05" w:hRule="atLeast"/>
        </w:trPr>
        <w:tc>
          <w:tcPr>
            <w:tcW w:w="5000" w:type="pct"/>
            <w:gridSpan w:val="13"/>
            <w:noWrap w:val="0"/>
            <w:vAlign w:val="center"/>
          </w:tcPr>
          <w:p w14:paraId="15BBC0C7">
            <w:pPr>
              <w:keepNext w:val="0"/>
              <w:keepLines w:val="0"/>
              <w:widowControl/>
              <w:suppressLineNumbers w:val="0"/>
              <w:adjustRightInd w:val="0"/>
              <w:snapToGrid w:val="0"/>
              <w:spacing w:before="0" w:beforeAutospacing="0" w:after="0" w:afterAutospacing="0"/>
              <w:ind w:left="0" w:right="0"/>
              <w:jc w:val="left"/>
              <w:rPr>
                <w:rFonts w:hint="eastAsia" w:ascii="宋体" w:hAnsi="宋体" w:cs="宋体"/>
                <w:color w:val="auto"/>
                <w:kern w:val="0"/>
                <w:szCs w:val="21"/>
                <w:highlight w:val="none"/>
              </w:rPr>
            </w:pPr>
            <w:r>
              <w:rPr>
                <w:rFonts w:hint="eastAsia" w:ascii="宋体" w:hAnsi="宋体" w:cs="宋体"/>
                <w:b/>
                <w:bCs/>
                <w:color w:val="auto"/>
                <w:kern w:val="0"/>
                <w:szCs w:val="21"/>
                <w:highlight w:val="none"/>
              </w:rPr>
              <w:t>注：此表价格不含在投标总价内</w:t>
            </w:r>
          </w:p>
        </w:tc>
      </w:tr>
    </w:tbl>
    <w:p w14:paraId="7FAF4924">
      <w:pPr>
        <w:widowControl/>
        <w:spacing w:line="272" w:lineRule="atLeast"/>
        <w:ind w:left="160" w:right="-20"/>
        <w:rPr>
          <w:rFonts w:hint="eastAsia" w:ascii="宋体" w:hAnsi="宋体" w:cs="宋体"/>
          <w:color w:val="auto"/>
          <w:kern w:val="0"/>
          <w:szCs w:val="21"/>
          <w:highlight w:val="none"/>
        </w:rPr>
      </w:pPr>
    </w:p>
    <w:p w14:paraId="21787885">
      <w:pPr>
        <w:widowControl/>
        <w:spacing w:line="272" w:lineRule="atLeast"/>
        <w:ind w:left="160" w:right="-20"/>
        <w:rPr>
          <w:rFonts w:hint="eastAsia" w:ascii="宋体" w:hAnsi="宋体" w:cs="宋体"/>
          <w:color w:val="auto"/>
          <w:kern w:val="0"/>
          <w:szCs w:val="21"/>
          <w:highlight w:val="none"/>
        </w:rPr>
      </w:pPr>
    </w:p>
    <w:p w14:paraId="51A33AB3">
      <w:pPr>
        <w:widowControl/>
        <w:ind w:left="1503" w:right="1683"/>
        <w:jc w:val="center"/>
        <w:rPr>
          <w:rFonts w:hint="eastAsia" w:ascii="宋体" w:hAnsi="宋体" w:cs="宋体"/>
          <w:color w:val="auto"/>
          <w:spacing w:val="12"/>
          <w:kern w:val="0"/>
          <w:sz w:val="28"/>
          <w:szCs w:val="28"/>
          <w:highlight w:val="none"/>
        </w:rPr>
      </w:pPr>
    </w:p>
    <w:p w14:paraId="6C765DE0">
      <w:pPr>
        <w:widowControl/>
        <w:ind w:left="1503" w:right="1683"/>
        <w:jc w:val="center"/>
        <w:rPr>
          <w:rFonts w:hint="eastAsia" w:ascii="宋体" w:hAnsi="宋体" w:cs="宋体"/>
          <w:color w:val="auto"/>
          <w:kern w:val="0"/>
          <w:sz w:val="28"/>
          <w:szCs w:val="28"/>
          <w:highlight w:val="none"/>
        </w:rPr>
      </w:pPr>
      <w:r>
        <w:rPr>
          <w:rFonts w:hint="eastAsia" w:ascii="宋体" w:hAnsi="宋体" w:cs="宋体"/>
          <w:color w:val="auto"/>
          <w:spacing w:val="12"/>
          <w:kern w:val="0"/>
          <w:sz w:val="28"/>
          <w:szCs w:val="28"/>
          <w:highlight w:val="none"/>
        </w:rPr>
        <w:t>表3-4  质保期外维保服务</w:t>
      </w:r>
      <w:r>
        <w:rPr>
          <w:rFonts w:hint="eastAsia" w:ascii="宋体" w:hAnsi="宋体" w:cs="宋体"/>
          <w:color w:val="auto"/>
          <w:kern w:val="0"/>
          <w:sz w:val="28"/>
          <w:szCs w:val="28"/>
          <w:highlight w:val="none"/>
        </w:rPr>
        <w:t>报价表</w:t>
      </w:r>
    </w:p>
    <w:p w14:paraId="57A6799B">
      <w:pPr>
        <w:widowControl/>
        <w:wordWrap w:val="0"/>
        <w:spacing w:line="272" w:lineRule="atLeast"/>
        <w:ind w:left="160" w:right="-20"/>
        <w:jc w:val="right"/>
        <w:rPr>
          <w:rFonts w:hint="eastAsia" w:ascii="宋体" w:hAnsi="宋体" w:cs="宋体"/>
          <w:color w:val="auto"/>
          <w:kern w:val="0"/>
          <w:position w:val="-4"/>
          <w:szCs w:val="21"/>
          <w:highlight w:val="none"/>
        </w:rPr>
      </w:pPr>
      <w:r>
        <w:rPr>
          <w:rFonts w:hint="eastAsia" w:ascii="宋体" w:hAnsi="宋体" w:cs="宋体"/>
          <w:color w:val="auto"/>
          <w:kern w:val="0"/>
          <w:position w:val="-4"/>
          <w:szCs w:val="21"/>
          <w:highlight w:val="none"/>
        </w:rPr>
        <w:t>项目编号</w:t>
      </w:r>
      <w:r>
        <w:rPr>
          <w:rFonts w:hint="eastAsia" w:ascii="宋体" w:hAnsi="宋体" w:cs="宋体"/>
          <w:color w:val="auto"/>
          <w:spacing w:val="-24"/>
          <w:kern w:val="0"/>
          <w:position w:val="-4"/>
          <w:szCs w:val="21"/>
          <w:highlight w:val="none"/>
        </w:rPr>
        <w:t>：</w:t>
      </w:r>
      <w:r>
        <w:rPr>
          <w:rFonts w:hint="eastAsia" w:ascii="宋体" w:hAnsi="宋体" w:cs="宋体"/>
          <w:color w:val="auto"/>
          <w:spacing w:val="42"/>
          <w:kern w:val="0"/>
          <w:position w:val="-4"/>
          <w:szCs w:val="21"/>
          <w:highlight w:val="none"/>
          <w:u w:val="single"/>
        </w:rPr>
        <w:t xml:space="preserve">      </w:t>
      </w:r>
      <w:r>
        <w:rPr>
          <w:rFonts w:hint="eastAsia" w:ascii="宋体" w:hAnsi="宋体" w:cs="宋体"/>
          <w:color w:val="auto"/>
          <w:kern w:val="0"/>
          <w:position w:val="-4"/>
          <w:szCs w:val="21"/>
          <w:highlight w:val="none"/>
          <w:u w:val="single"/>
        </w:rPr>
        <w:t xml:space="preserve">   </w:t>
      </w:r>
      <w:r>
        <w:rPr>
          <w:rFonts w:hint="eastAsia" w:ascii="宋体" w:hAnsi="宋体" w:cs="宋体"/>
          <w:color w:val="auto"/>
          <w:kern w:val="0"/>
          <w:position w:val="-4"/>
          <w:szCs w:val="21"/>
          <w:highlight w:val="none"/>
        </w:rPr>
        <w:t>标包号</w:t>
      </w:r>
      <w:r>
        <w:rPr>
          <w:rFonts w:hint="eastAsia" w:ascii="宋体" w:hAnsi="宋体" w:cs="宋体"/>
          <w:color w:val="auto"/>
          <w:spacing w:val="-25"/>
          <w:kern w:val="0"/>
          <w:position w:val="-4"/>
          <w:szCs w:val="21"/>
          <w:highlight w:val="none"/>
        </w:rPr>
        <w:t>：</w:t>
      </w:r>
      <w:r>
        <w:rPr>
          <w:rFonts w:hint="eastAsia" w:ascii="宋体" w:hAnsi="宋体" w:cs="宋体"/>
          <w:color w:val="auto"/>
          <w:spacing w:val="42"/>
          <w:kern w:val="0"/>
          <w:position w:val="-4"/>
          <w:szCs w:val="21"/>
          <w:highlight w:val="none"/>
          <w:u w:val="single"/>
        </w:rPr>
        <w:t xml:space="preserve"> </w:t>
      </w:r>
      <w:r>
        <w:rPr>
          <w:rFonts w:hint="eastAsia" w:ascii="宋体" w:hAnsi="宋体" w:cs="宋体"/>
          <w:color w:val="auto"/>
          <w:kern w:val="0"/>
          <w:position w:val="-4"/>
          <w:szCs w:val="21"/>
          <w:highlight w:val="none"/>
          <w:u w:val="single"/>
        </w:rPr>
        <w:t xml:space="preserve">    </w:t>
      </w:r>
      <w:r>
        <w:rPr>
          <w:rFonts w:hint="eastAsia" w:ascii="宋体" w:hAnsi="宋体" w:cs="宋体"/>
          <w:color w:val="auto"/>
          <w:spacing w:val="-1"/>
          <w:kern w:val="0"/>
          <w:position w:val="-4"/>
          <w:szCs w:val="21"/>
          <w:highlight w:val="none"/>
        </w:rPr>
        <w:t>货</w:t>
      </w:r>
      <w:r>
        <w:rPr>
          <w:rFonts w:hint="eastAsia" w:ascii="宋体" w:hAnsi="宋体" w:cs="宋体"/>
          <w:color w:val="auto"/>
          <w:kern w:val="0"/>
          <w:position w:val="-4"/>
          <w:szCs w:val="21"/>
          <w:highlight w:val="none"/>
        </w:rPr>
        <w:t>币单位</w:t>
      </w:r>
      <w:r>
        <w:rPr>
          <w:rFonts w:hint="eastAsia" w:ascii="宋体" w:hAnsi="宋体" w:cs="宋体"/>
          <w:color w:val="auto"/>
          <w:spacing w:val="-24"/>
          <w:kern w:val="0"/>
          <w:position w:val="-4"/>
          <w:szCs w:val="21"/>
          <w:highlight w:val="none"/>
        </w:rPr>
        <w:t>：</w:t>
      </w:r>
      <w:r>
        <w:rPr>
          <w:rFonts w:hint="eastAsia" w:ascii="宋体" w:hAnsi="宋体" w:cs="宋体"/>
          <w:color w:val="auto"/>
          <w:kern w:val="0"/>
          <w:position w:val="-4"/>
          <w:szCs w:val="21"/>
          <w:highlight w:val="none"/>
        </w:rPr>
        <w:t xml:space="preserve">%   </w:t>
      </w:r>
    </w:p>
    <w:tbl>
      <w:tblPr>
        <w:tblStyle w:val="48"/>
        <w:tblW w:w="4935"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960"/>
        <w:gridCol w:w="3038"/>
        <w:gridCol w:w="940"/>
        <w:gridCol w:w="940"/>
        <w:gridCol w:w="2312"/>
        <w:gridCol w:w="1839"/>
        <w:gridCol w:w="4565"/>
      </w:tblGrid>
      <w:tr w14:paraId="2D5E99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4" w:hRule="atLeast"/>
        </w:trPr>
        <w:tc>
          <w:tcPr>
            <w:tcW w:w="329" w:type="pct"/>
            <w:noWrap w:val="0"/>
            <w:vAlign w:val="center"/>
          </w:tcPr>
          <w:p w14:paraId="3DBCDB52">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序号</w:t>
            </w:r>
          </w:p>
        </w:tc>
        <w:tc>
          <w:tcPr>
            <w:tcW w:w="1041" w:type="pct"/>
            <w:noWrap w:val="0"/>
            <w:vAlign w:val="center"/>
          </w:tcPr>
          <w:p w14:paraId="0BE7D2E4">
            <w:pPr>
              <w:keepNext w:val="0"/>
              <w:keepLines w:val="0"/>
              <w:widowControl/>
              <w:suppressLineNumbers w:val="0"/>
              <w:adjustRightInd w:val="0"/>
              <w:snapToGrid w:val="0"/>
              <w:spacing w:before="0" w:beforeAutospacing="0" w:after="0" w:afterAutospacing="0"/>
              <w:ind w:left="0" w:right="0"/>
              <w:jc w:val="center"/>
              <w:rPr>
                <w:rFonts w:hint="default" w:ascii="宋体" w:hAnsi="宋体" w:cs="宋体"/>
                <w:color w:val="auto"/>
                <w:kern w:val="0"/>
                <w:szCs w:val="21"/>
                <w:highlight w:val="none"/>
              </w:rPr>
            </w:pPr>
            <w:r>
              <w:rPr>
                <w:rFonts w:hint="eastAsia" w:ascii="宋体" w:hAnsi="宋体" w:cs="宋体"/>
                <w:color w:val="auto"/>
                <w:kern w:val="0"/>
                <w:szCs w:val="21"/>
                <w:highlight w:val="none"/>
              </w:rPr>
              <w:t>服务内容</w:t>
            </w:r>
          </w:p>
        </w:tc>
        <w:tc>
          <w:tcPr>
            <w:tcW w:w="322" w:type="pct"/>
            <w:noWrap w:val="0"/>
            <w:vAlign w:val="center"/>
          </w:tcPr>
          <w:p w14:paraId="4EAF207B">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数量</w:t>
            </w:r>
          </w:p>
        </w:tc>
        <w:tc>
          <w:tcPr>
            <w:tcW w:w="322" w:type="pct"/>
            <w:noWrap w:val="0"/>
            <w:vAlign w:val="center"/>
          </w:tcPr>
          <w:p w14:paraId="1977FD19">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单位</w:t>
            </w:r>
          </w:p>
        </w:tc>
        <w:tc>
          <w:tcPr>
            <w:tcW w:w="792" w:type="pct"/>
            <w:noWrap w:val="0"/>
            <w:vAlign w:val="center"/>
          </w:tcPr>
          <w:p w14:paraId="48AA704C">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报价（全保）</w:t>
            </w:r>
          </w:p>
        </w:tc>
        <w:tc>
          <w:tcPr>
            <w:tcW w:w="630" w:type="pct"/>
            <w:noWrap w:val="0"/>
            <w:vAlign w:val="center"/>
          </w:tcPr>
          <w:p w14:paraId="49733146">
            <w:pPr>
              <w:keepNext w:val="0"/>
              <w:keepLines w:val="0"/>
              <w:widowControl/>
              <w:suppressLineNumbers w:val="0"/>
              <w:adjustRightInd w:val="0"/>
              <w:snapToGrid w:val="0"/>
              <w:spacing w:before="0" w:beforeAutospacing="0" w:after="0" w:afterAutospacing="0"/>
              <w:ind w:left="0" w:right="0"/>
              <w:jc w:val="center"/>
              <w:rPr>
                <w:rFonts w:hint="default" w:ascii="宋体" w:hAnsi="宋体" w:cs="宋体"/>
                <w:color w:val="auto"/>
                <w:kern w:val="0"/>
                <w:szCs w:val="21"/>
                <w:highlight w:val="none"/>
              </w:rPr>
            </w:pPr>
            <w:r>
              <w:rPr>
                <w:rFonts w:hint="eastAsia" w:ascii="宋体" w:hAnsi="宋体" w:cs="宋体"/>
                <w:color w:val="auto"/>
                <w:kern w:val="0"/>
                <w:szCs w:val="21"/>
                <w:highlight w:val="none"/>
              </w:rPr>
              <w:t>报价（技术保）</w:t>
            </w:r>
          </w:p>
        </w:tc>
        <w:tc>
          <w:tcPr>
            <w:tcW w:w="1563" w:type="pct"/>
            <w:noWrap w:val="0"/>
            <w:vAlign w:val="center"/>
          </w:tcPr>
          <w:p w14:paraId="588614D6">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备注</w:t>
            </w:r>
          </w:p>
        </w:tc>
      </w:tr>
      <w:tr w14:paraId="7FA97C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4" w:hRule="atLeast"/>
        </w:trPr>
        <w:tc>
          <w:tcPr>
            <w:tcW w:w="329" w:type="pct"/>
            <w:noWrap w:val="0"/>
            <w:vAlign w:val="center"/>
          </w:tcPr>
          <w:p w14:paraId="592CB0EE">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1</w:t>
            </w:r>
          </w:p>
        </w:tc>
        <w:tc>
          <w:tcPr>
            <w:tcW w:w="1041" w:type="pct"/>
            <w:noWrap w:val="0"/>
            <w:vAlign w:val="center"/>
          </w:tcPr>
          <w:p w14:paraId="09481C7D">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年度质保期外维保服务</w:t>
            </w:r>
          </w:p>
        </w:tc>
        <w:tc>
          <w:tcPr>
            <w:tcW w:w="322" w:type="pct"/>
            <w:noWrap w:val="0"/>
            <w:vAlign w:val="center"/>
          </w:tcPr>
          <w:p w14:paraId="5B200759">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1</w:t>
            </w:r>
          </w:p>
        </w:tc>
        <w:tc>
          <w:tcPr>
            <w:tcW w:w="322" w:type="pct"/>
            <w:noWrap w:val="0"/>
            <w:vAlign w:val="center"/>
          </w:tcPr>
          <w:p w14:paraId="043DACF5">
            <w:pPr>
              <w:keepNext w:val="0"/>
              <w:keepLines w:val="0"/>
              <w:widowControl/>
              <w:suppressLineNumbers w:val="0"/>
              <w:adjustRightInd w:val="0"/>
              <w:snapToGrid w:val="0"/>
              <w:spacing w:before="0" w:beforeAutospacing="0" w:after="0" w:afterAutospacing="0"/>
              <w:ind w:left="0" w:right="0"/>
              <w:jc w:val="center"/>
              <w:rPr>
                <w:rFonts w:hint="default" w:ascii="宋体" w:hAnsi="宋体" w:cs="宋体"/>
                <w:color w:val="auto"/>
                <w:kern w:val="0"/>
                <w:szCs w:val="21"/>
                <w:highlight w:val="none"/>
              </w:rPr>
            </w:pPr>
            <w:r>
              <w:rPr>
                <w:rFonts w:hint="eastAsia" w:ascii="宋体" w:hAnsi="宋体" w:cs="宋体"/>
                <w:color w:val="auto"/>
                <w:kern w:val="0"/>
                <w:szCs w:val="21"/>
                <w:highlight w:val="none"/>
              </w:rPr>
              <w:t>年</w:t>
            </w:r>
          </w:p>
        </w:tc>
        <w:tc>
          <w:tcPr>
            <w:tcW w:w="792" w:type="pct"/>
            <w:noWrap w:val="0"/>
            <w:vAlign w:val="center"/>
          </w:tcPr>
          <w:p w14:paraId="04944B8A">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w:t>
            </w:r>
          </w:p>
        </w:tc>
        <w:tc>
          <w:tcPr>
            <w:tcW w:w="630" w:type="pct"/>
            <w:noWrap w:val="0"/>
            <w:vAlign w:val="center"/>
          </w:tcPr>
          <w:p w14:paraId="0673E57A">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w:t>
            </w:r>
          </w:p>
        </w:tc>
        <w:tc>
          <w:tcPr>
            <w:tcW w:w="1563" w:type="pct"/>
            <w:noWrap w:val="0"/>
            <w:vAlign w:val="center"/>
          </w:tcPr>
          <w:p w14:paraId="45D192AA">
            <w:pPr>
              <w:keepNext w:val="0"/>
              <w:keepLines w:val="0"/>
              <w:widowControl/>
              <w:suppressLineNumbers w:val="0"/>
              <w:adjustRightInd w:val="0"/>
              <w:snapToGrid w:val="0"/>
              <w:spacing w:before="0" w:beforeAutospacing="0" w:after="0" w:afterAutospacing="0"/>
              <w:ind w:left="0" w:right="0"/>
              <w:jc w:val="left"/>
              <w:rPr>
                <w:rFonts w:hint="default" w:ascii="宋体" w:hAnsi="宋体" w:cs="宋体"/>
                <w:color w:val="auto"/>
                <w:kern w:val="0"/>
                <w:szCs w:val="21"/>
                <w:highlight w:val="none"/>
              </w:rPr>
            </w:pPr>
            <w:r>
              <w:rPr>
                <w:rFonts w:hint="eastAsia" w:ascii="宋体" w:hAnsi="宋体" w:cs="宋体"/>
                <w:color w:val="auto"/>
                <w:kern w:val="0"/>
                <w:szCs w:val="21"/>
                <w:highlight w:val="none"/>
              </w:rPr>
              <w:t>按费率报价（例如，若全保报价为8%，则质保期外年度维保服务全保价格=实际合同价格*8%）</w:t>
            </w:r>
          </w:p>
        </w:tc>
      </w:tr>
      <w:tr w14:paraId="4FB0C3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4" w:hRule="atLeast"/>
        </w:trPr>
        <w:tc>
          <w:tcPr>
            <w:tcW w:w="329" w:type="pct"/>
            <w:noWrap w:val="0"/>
            <w:vAlign w:val="top"/>
          </w:tcPr>
          <w:p w14:paraId="0C9C8E6C">
            <w:pPr>
              <w:keepNext w:val="0"/>
              <w:keepLines w:val="0"/>
              <w:widowControl/>
              <w:suppressLineNumbers w:val="0"/>
              <w:adjustRightInd w:val="0"/>
              <w:snapToGrid w:val="0"/>
              <w:spacing w:before="0" w:beforeAutospacing="0" w:after="0" w:afterAutospacing="0"/>
              <w:ind w:left="0" w:right="0"/>
              <w:jc w:val="left"/>
              <w:rPr>
                <w:rFonts w:hint="eastAsia" w:ascii="宋体" w:hAnsi="宋体" w:cs="宋体"/>
                <w:b/>
                <w:bCs/>
                <w:color w:val="auto"/>
                <w:kern w:val="0"/>
                <w:szCs w:val="21"/>
                <w:highlight w:val="none"/>
              </w:rPr>
            </w:pPr>
          </w:p>
        </w:tc>
        <w:tc>
          <w:tcPr>
            <w:tcW w:w="4671" w:type="pct"/>
            <w:gridSpan w:val="6"/>
            <w:noWrap w:val="0"/>
            <w:vAlign w:val="center"/>
          </w:tcPr>
          <w:p w14:paraId="1C4F6EBD">
            <w:pPr>
              <w:keepNext w:val="0"/>
              <w:keepLines w:val="0"/>
              <w:widowControl/>
              <w:suppressLineNumbers w:val="0"/>
              <w:adjustRightInd w:val="0"/>
              <w:snapToGrid w:val="0"/>
              <w:spacing w:before="0" w:beforeAutospacing="0" w:after="0" w:afterAutospacing="0"/>
              <w:ind w:left="0" w:right="0"/>
              <w:jc w:val="left"/>
              <w:rPr>
                <w:rFonts w:hint="eastAsia" w:ascii="宋体" w:hAnsi="宋体" w:cs="宋体"/>
                <w:color w:val="auto"/>
                <w:kern w:val="0"/>
                <w:szCs w:val="21"/>
                <w:highlight w:val="none"/>
              </w:rPr>
            </w:pPr>
            <w:r>
              <w:rPr>
                <w:rFonts w:hint="eastAsia" w:ascii="宋体" w:hAnsi="宋体" w:cs="宋体"/>
                <w:b/>
                <w:bCs/>
                <w:color w:val="auto"/>
                <w:kern w:val="0"/>
                <w:szCs w:val="21"/>
                <w:highlight w:val="none"/>
              </w:rPr>
              <w:t>注：此表价格不含在投标总价内</w:t>
            </w:r>
          </w:p>
        </w:tc>
      </w:tr>
    </w:tbl>
    <w:p w14:paraId="7FDC0702">
      <w:pPr>
        <w:widowControl/>
        <w:spacing w:line="272" w:lineRule="atLeast"/>
        <w:ind w:right="-20"/>
        <w:rPr>
          <w:rFonts w:ascii="宋体" w:hAnsi="宋体" w:cs="宋体"/>
          <w:b/>
          <w:bCs w:val="0"/>
          <w:color w:val="auto"/>
          <w:kern w:val="0"/>
          <w:position w:val="-4"/>
          <w:szCs w:val="21"/>
          <w:highlight w:val="none"/>
        </w:rPr>
      </w:pPr>
    </w:p>
    <w:p w14:paraId="505CF69D">
      <w:pPr>
        <w:widowControl/>
        <w:spacing w:line="272" w:lineRule="atLeast"/>
        <w:ind w:right="-20"/>
        <w:rPr>
          <w:rFonts w:ascii="宋体" w:hAnsi="宋体" w:cs="宋体"/>
          <w:color w:val="auto"/>
          <w:kern w:val="0"/>
          <w:position w:val="-4"/>
          <w:szCs w:val="21"/>
          <w:highlight w:val="none"/>
        </w:rPr>
        <w:sectPr>
          <w:footnotePr>
            <w:numFmt w:val="decimalEnclosedCircleChinese"/>
            <w:numRestart w:val="eachPage"/>
          </w:footnotePr>
          <w:pgSz w:w="16838" w:h="11906" w:orient="landscape"/>
          <w:pgMar w:top="1134" w:right="1134" w:bottom="1134" w:left="1134" w:header="851" w:footer="851" w:gutter="0"/>
          <w:cols w:space="720" w:num="1"/>
          <w:docGrid w:linePitch="286" w:charSpace="0"/>
        </w:sectPr>
      </w:pPr>
    </w:p>
    <w:p w14:paraId="498750AE">
      <w:pPr>
        <w:pStyle w:val="3"/>
        <w:widowControl/>
        <w:wordWrap w:val="0"/>
        <w:spacing w:before="120" w:after="120" w:line="240" w:lineRule="auto"/>
        <w:jc w:val="center"/>
        <w:rPr>
          <w:rFonts w:hint="eastAsia" w:ascii="宋体" w:hAnsi="宋体" w:cs="宋体"/>
          <w:color w:val="auto"/>
          <w:kern w:val="0"/>
          <w:sz w:val="30"/>
          <w:szCs w:val="30"/>
          <w:highlight w:val="none"/>
        </w:rPr>
      </w:pPr>
      <w:bookmarkStart w:id="893" w:name="_Toc466024589"/>
      <w:r>
        <w:rPr>
          <w:rStyle w:val="107"/>
          <w:rFonts w:hint="eastAsia" w:ascii="宋体" w:hAnsi="宋体" w:eastAsia="宋体" w:cs="宋体"/>
          <w:b/>
          <w:bCs w:val="0"/>
          <w:color w:val="auto"/>
          <w:sz w:val="30"/>
          <w:szCs w:val="30"/>
          <w:highlight w:val="none"/>
        </w:rPr>
        <w:t>四、投标人综合情况简介</w:t>
      </w:r>
    </w:p>
    <w:tbl>
      <w:tblPr>
        <w:tblStyle w:val="4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06"/>
        <w:gridCol w:w="1536"/>
        <w:gridCol w:w="2579"/>
        <w:gridCol w:w="1674"/>
        <w:gridCol w:w="2659"/>
      </w:tblGrid>
      <w:tr w14:paraId="49C51A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854" w:type="dxa"/>
            <w:gridSpan w:val="5"/>
            <w:noWrap w:val="0"/>
            <w:vAlign w:val="center"/>
          </w:tcPr>
          <w:p w14:paraId="02DE8B65">
            <w:pPr>
              <w:keepNext w:val="0"/>
              <w:keepLines w:val="0"/>
              <w:widowControl/>
              <w:suppressLineNumbers w:val="0"/>
              <w:wordWrap w:val="0"/>
              <w:adjustRightInd w:val="0"/>
              <w:snapToGrid w:val="0"/>
              <w:spacing w:before="0" w:beforeAutospacing="0" w:after="0" w:afterAutospacing="0"/>
              <w:ind w:left="0" w:right="0"/>
              <w:rPr>
                <w:rFonts w:hint="eastAsia" w:ascii="宋体" w:hAnsi="宋体" w:eastAsia="宋体" w:cs="宋体"/>
                <w:color w:val="auto"/>
                <w:kern w:val="0"/>
                <w:szCs w:val="21"/>
                <w:highlight w:val="none"/>
                <w:lang w:eastAsia="zh-CN"/>
              </w:rPr>
            </w:pPr>
            <w:r>
              <w:rPr>
                <w:rFonts w:hint="eastAsia" w:ascii="宋体" w:hAnsi="宋体" w:cs="宋体"/>
                <w:color w:val="auto"/>
                <w:kern w:val="0"/>
                <w:szCs w:val="21"/>
                <w:highlight w:val="none"/>
              </w:rPr>
              <w:t>项目名称：</w:t>
            </w:r>
            <w:r>
              <w:rPr>
                <w:rFonts w:hint="eastAsia" w:ascii="宋体" w:hAnsi="宋体" w:cs="宋体"/>
                <w:color w:val="auto"/>
                <w:kern w:val="0"/>
                <w:szCs w:val="21"/>
                <w:highlight w:val="none"/>
                <w:lang w:eastAsia="zh-CN"/>
              </w:rPr>
              <w:t>安徽省紧密型县域医共体设备更新一期项目-超声诊断仪三</w:t>
            </w:r>
          </w:p>
        </w:tc>
      </w:tr>
      <w:tr w14:paraId="4BF2B0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854" w:type="dxa"/>
            <w:gridSpan w:val="5"/>
            <w:noWrap w:val="0"/>
            <w:vAlign w:val="center"/>
          </w:tcPr>
          <w:p w14:paraId="64009DFB">
            <w:pPr>
              <w:keepNext w:val="0"/>
              <w:keepLines w:val="0"/>
              <w:suppressLineNumbers w:val="0"/>
              <w:wordWrap w:val="0"/>
              <w:spacing w:before="0" w:beforeAutospacing="0" w:after="0" w:afterAutospacing="0"/>
              <w:ind w:left="0" w:right="0"/>
              <w:rPr>
                <w:rFonts w:hint="default" w:ascii="宋体" w:hAnsi="宋体" w:cs="宋体"/>
                <w:color w:val="auto"/>
                <w:szCs w:val="21"/>
                <w:highlight w:val="none"/>
              </w:rPr>
            </w:pPr>
            <w:r>
              <w:rPr>
                <w:rFonts w:hint="eastAsia" w:ascii="宋体" w:hAnsi="宋体" w:cs="宋体"/>
                <w:color w:val="auto"/>
                <w:szCs w:val="21"/>
                <w:highlight w:val="none"/>
              </w:rPr>
              <w:t>项目编号</w:t>
            </w:r>
            <w:r>
              <w:rPr>
                <w:rFonts w:hint="eastAsia" w:ascii="宋体" w:hAnsi="宋体" w:cs="宋体"/>
                <w:color w:val="auto"/>
                <w:kern w:val="0"/>
                <w:szCs w:val="21"/>
                <w:highlight w:val="none"/>
              </w:rPr>
              <w:t>：</w:t>
            </w:r>
            <w:r>
              <w:rPr>
                <w:rFonts w:hint="eastAsia" w:ascii="宋体" w:hAnsi="宋体" w:cs="宋体"/>
                <w:color w:val="auto"/>
                <w:kern w:val="0"/>
                <w:szCs w:val="21"/>
                <w:highlight w:val="none"/>
                <w:lang w:eastAsia="zh-CN"/>
              </w:rPr>
              <w:t>ZF2025-36-1978</w:t>
            </w:r>
            <w:bookmarkStart w:id="901" w:name="_GoBack"/>
            <w:bookmarkEnd w:id="901"/>
          </w:p>
        </w:tc>
      </w:tr>
      <w:tr w14:paraId="1D09E0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406" w:type="dxa"/>
            <w:vMerge w:val="restart"/>
            <w:noWrap w:val="0"/>
            <w:vAlign w:val="center"/>
          </w:tcPr>
          <w:p w14:paraId="581396C3">
            <w:pPr>
              <w:keepNext w:val="0"/>
              <w:keepLines w:val="0"/>
              <w:suppressLineNumbers w:val="0"/>
              <w:wordWrap w:val="0"/>
              <w:spacing w:before="31" w:beforeAutospacing="0" w:after="0" w:afterAutospacing="0" w:line="240" w:lineRule="exact"/>
              <w:ind w:left="0" w:right="0"/>
              <w:jc w:val="center"/>
              <w:rPr>
                <w:rFonts w:hint="eastAsia" w:ascii="宋体" w:hAnsi="宋体" w:cs="宋体"/>
                <w:color w:val="auto"/>
                <w:szCs w:val="21"/>
                <w:highlight w:val="none"/>
              </w:rPr>
            </w:pPr>
            <w:r>
              <w:rPr>
                <w:rFonts w:hint="eastAsia" w:ascii="宋体" w:hAnsi="宋体" w:cs="宋体"/>
                <w:color w:val="auto"/>
                <w:kern w:val="0"/>
                <w:szCs w:val="21"/>
                <w:highlight w:val="none"/>
              </w:rPr>
              <w:t>投标人</w:t>
            </w:r>
            <w:r>
              <w:rPr>
                <w:rFonts w:hint="eastAsia" w:ascii="宋体" w:hAnsi="宋体" w:cs="宋体"/>
                <w:color w:val="auto"/>
                <w:kern w:val="0"/>
                <w:szCs w:val="21"/>
                <w:highlight w:val="none"/>
                <w:lang w:eastAsia="en-US"/>
              </w:rPr>
              <w:t>基本信息</w:t>
            </w:r>
          </w:p>
        </w:tc>
        <w:tc>
          <w:tcPr>
            <w:tcW w:w="1536" w:type="dxa"/>
            <w:noWrap w:val="0"/>
            <w:vAlign w:val="center"/>
          </w:tcPr>
          <w:p w14:paraId="565C726E">
            <w:pPr>
              <w:keepNext w:val="0"/>
              <w:keepLines w:val="0"/>
              <w:widowControl/>
              <w:suppressLineNumbers w:val="0"/>
              <w:wordWrap w:val="0"/>
              <w:spacing w:before="0" w:beforeAutospacing="0" w:after="0" w:afterAutospacing="0" w:line="240" w:lineRule="exact"/>
              <w:ind w:left="0" w:right="0"/>
              <w:jc w:val="center"/>
              <w:rPr>
                <w:rFonts w:hint="eastAsia" w:ascii="宋体" w:hAnsi="宋体" w:cs="宋体"/>
                <w:color w:val="auto"/>
                <w:szCs w:val="21"/>
                <w:highlight w:val="none"/>
                <w:lang w:eastAsia="en-US"/>
              </w:rPr>
            </w:pPr>
            <w:r>
              <w:rPr>
                <w:rFonts w:hint="eastAsia" w:ascii="宋体" w:hAnsi="宋体" w:cs="宋体"/>
                <w:color w:val="auto"/>
                <w:kern w:val="0"/>
                <w:szCs w:val="21"/>
                <w:highlight w:val="none"/>
              </w:rPr>
              <w:t>投标人</w:t>
            </w:r>
            <w:r>
              <w:rPr>
                <w:rFonts w:hint="eastAsia" w:ascii="宋体" w:hAnsi="宋体" w:cs="宋体"/>
                <w:color w:val="auto"/>
                <w:kern w:val="0"/>
                <w:szCs w:val="21"/>
                <w:highlight w:val="none"/>
                <w:lang w:eastAsia="en-US"/>
              </w:rPr>
              <w:t>全称</w:t>
            </w:r>
          </w:p>
        </w:tc>
        <w:tc>
          <w:tcPr>
            <w:tcW w:w="6912" w:type="dxa"/>
            <w:gridSpan w:val="3"/>
            <w:noWrap w:val="0"/>
            <w:vAlign w:val="center"/>
          </w:tcPr>
          <w:p w14:paraId="4E895A27">
            <w:pPr>
              <w:keepNext/>
              <w:keepLines/>
              <w:widowControl/>
              <w:suppressLineNumbers w:val="0"/>
              <w:spacing w:before="120" w:beforeAutospacing="0" w:after="120" w:afterAutospacing="0"/>
              <w:ind w:left="0" w:right="630"/>
              <w:jc w:val="left"/>
              <w:outlineLvl w:val="1"/>
              <w:rPr>
                <w:rFonts w:hint="eastAsia" w:ascii="宋体" w:hAnsi="宋体" w:cs="宋体"/>
                <w:b/>
                <w:bCs/>
                <w:color w:val="auto"/>
                <w:highlight w:val="none"/>
              </w:rPr>
            </w:pPr>
          </w:p>
        </w:tc>
      </w:tr>
      <w:tr w14:paraId="3C914D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406" w:type="dxa"/>
            <w:vMerge w:val="continue"/>
            <w:noWrap w:val="0"/>
            <w:vAlign w:val="center"/>
          </w:tcPr>
          <w:p w14:paraId="05BC99AD">
            <w:pPr>
              <w:keepNext w:val="0"/>
              <w:keepLines w:val="0"/>
              <w:suppressLineNumbers w:val="0"/>
              <w:wordWrap w:val="0"/>
              <w:spacing w:before="31" w:beforeAutospacing="0" w:after="0" w:afterAutospacing="0" w:line="240" w:lineRule="exact"/>
              <w:ind w:left="0" w:right="0"/>
              <w:jc w:val="center"/>
              <w:rPr>
                <w:rFonts w:hint="eastAsia" w:ascii="宋体" w:hAnsi="宋体" w:cs="宋体"/>
                <w:color w:val="auto"/>
                <w:szCs w:val="21"/>
                <w:highlight w:val="none"/>
              </w:rPr>
            </w:pPr>
          </w:p>
        </w:tc>
        <w:tc>
          <w:tcPr>
            <w:tcW w:w="1536" w:type="dxa"/>
            <w:noWrap w:val="0"/>
            <w:vAlign w:val="center"/>
          </w:tcPr>
          <w:p w14:paraId="786E4299">
            <w:pPr>
              <w:keepNext w:val="0"/>
              <w:keepLines w:val="0"/>
              <w:widowControl/>
              <w:suppressLineNumbers w:val="0"/>
              <w:wordWrap w:val="0"/>
              <w:spacing w:before="0" w:beforeAutospacing="0" w:after="0" w:afterAutospacing="0" w:line="240" w:lineRule="exact"/>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注册</w:t>
            </w:r>
            <w:r>
              <w:rPr>
                <w:rFonts w:hint="eastAsia" w:ascii="宋体" w:hAnsi="宋体" w:cs="宋体"/>
                <w:color w:val="auto"/>
                <w:kern w:val="0"/>
                <w:szCs w:val="21"/>
                <w:highlight w:val="none"/>
                <w:lang w:eastAsia="en-US"/>
              </w:rPr>
              <w:t>地址</w:t>
            </w:r>
          </w:p>
        </w:tc>
        <w:tc>
          <w:tcPr>
            <w:tcW w:w="6912" w:type="dxa"/>
            <w:gridSpan w:val="3"/>
            <w:noWrap w:val="0"/>
            <w:vAlign w:val="center"/>
          </w:tcPr>
          <w:p w14:paraId="3CCD410C">
            <w:pPr>
              <w:keepNext w:val="0"/>
              <w:keepLines w:val="0"/>
              <w:widowControl/>
              <w:suppressLineNumbers w:val="0"/>
              <w:wordWrap w:val="0"/>
              <w:spacing w:before="0" w:beforeAutospacing="0" w:after="0" w:afterAutospacing="0" w:line="240" w:lineRule="exact"/>
              <w:ind w:left="0" w:right="0"/>
              <w:jc w:val="center"/>
              <w:rPr>
                <w:rFonts w:hint="eastAsia" w:ascii="宋体" w:hAnsi="宋体" w:cs="宋体"/>
                <w:color w:val="auto"/>
                <w:kern w:val="0"/>
                <w:szCs w:val="21"/>
                <w:highlight w:val="none"/>
              </w:rPr>
            </w:pPr>
          </w:p>
        </w:tc>
      </w:tr>
      <w:tr w14:paraId="3AD190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406" w:type="dxa"/>
            <w:vMerge w:val="continue"/>
            <w:noWrap w:val="0"/>
            <w:vAlign w:val="center"/>
          </w:tcPr>
          <w:p w14:paraId="73F557A2">
            <w:pPr>
              <w:keepNext w:val="0"/>
              <w:keepLines w:val="0"/>
              <w:suppressLineNumbers w:val="0"/>
              <w:wordWrap w:val="0"/>
              <w:spacing w:before="0" w:beforeAutospacing="0" w:after="0" w:afterAutospacing="0"/>
              <w:ind w:left="0" w:right="0"/>
              <w:rPr>
                <w:rFonts w:hint="eastAsia" w:ascii="宋体" w:hAnsi="宋体" w:cs="宋体"/>
                <w:color w:val="auto"/>
                <w:szCs w:val="21"/>
                <w:highlight w:val="none"/>
              </w:rPr>
            </w:pPr>
          </w:p>
        </w:tc>
        <w:tc>
          <w:tcPr>
            <w:tcW w:w="1536" w:type="dxa"/>
            <w:noWrap w:val="0"/>
            <w:vAlign w:val="center"/>
          </w:tcPr>
          <w:p w14:paraId="09224CE8">
            <w:pPr>
              <w:keepNext w:val="0"/>
              <w:keepLines w:val="0"/>
              <w:widowControl/>
              <w:suppressLineNumbers w:val="0"/>
              <w:wordWrap w:val="0"/>
              <w:spacing w:before="0" w:beforeAutospacing="0" w:after="0" w:afterAutospacing="0" w:line="240" w:lineRule="exact"/>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lang w:eastAsia="en-US"/>
              </w:rPr>
              <w:t>联系人</w:t>
            </w:r>
          </w:p>
        </w:tc>
        <w:tc>
          <w:tcPr>
            <w:tcW w:w="2579" w:type="dxa"/>
            <w:noWrap w:val="0"/>
            <w:vAlign w:val="center"/>
          </w:tcPr>
          <w:p w14:paraId="487F1076">
            <w:pPr>
              <w:keepNext w:val="0"/>
              <w:keepLines w:val="0"/>
              <w:widowControl/>
              <w:suppressLineNumbers w:val="0"/>
              <w:wordWrap w:val="0"/>
              <w:spacing w:before="0" w:beforeAutospacing="0" w:after="0" w:afterAutospacing="0" w:line="240" w:lineRule="exact"/>
              <w:ind w:left="0" w:right="0"/>
              <w:jc w:val="center"/>
              <w:rPr>
                <w:rFonts w:hint="eastAsia" w:ascii="宋体" w:hAnsi="宋体" w:cs="宋体"/>
                <w:color w:val="auto"/>
                <w:kern w:val="0"/>
                <w:szCs w:val="21"/>
                <w:highlight w:val="none"/>
              </w:rPr>
            </w:pPr>
          </w:p>
        </w:tc>
        <w:tc>
          <w:tcPr>
            <w:tcW w:w="1674" w:type="dxa"/>
            <w:noWrap w:val="0"/>
            <w:vAlign w:val="center"/>
          </w:tcPr>
          <w:p w14:paraId="08660C5A">
            <w:pPr>
              <w:keepNext w:val="0"/>
              <w:keepLines w:val="0"/>
              <w:widowControl/>
              <w:suppressLineNumbers w:val="0"/>
              <w:wordWrap w:val="0"/>
              <w:spacing w:before="0" w:beforeAutospacing="0" w:after="0" w:afterAutospacing="0" w:line="240" w:lineRule="exact"/>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lang w:eastAsia="en-US"/>
              </w:rPr>
              <w:t>联系电话</w:t>
            </w:r>
          </w:p>
        </w:tc>
        <w:tc>
          <w:tcPr>
            <w:tcW w:w="2659" w:type="dxa"/>
            <w:noWrap w:val="0"/>
            <w:vAlign w:val="center"/>
          </w:tcPr>
          <w:p w14:paraId="56ABF780">
            <w:pPr>
              <w:keepNext w:val="0"/>
              <w:keepLines w:val="0"/>
              <w:widowControl/>
              <w:suppressLineNumbers w:val="0"/>
              <w:wordWrap w:val="0"/>
              <w:spacing w:before="0" w:beforeAutospacing="0" w:after="0" w:afterAutospacing="0" w:line="240" w:lineRule="exact"/>
              <w:ind w:left="0" w:right="0"/>
              <w:jc w:val="center"/>
              <w:rPr>
                <w:rFonts w:hint="eastAsia" w:ascii="宋体" w:hAnsi="宋体" w:cs="宋体"/>
                <w:color w:val="auto"/>
                <w:kern w:val="0"/>
                <w:szCs w:val="21"/>
                <w:highlight w:val="none"/>
              </w:rPr>
            </w:pPr>
          </w:p>
        </w:tc>
      </w:tr>
      <w:tr w14:paraId="2CD857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trPr>
        <w:tc>
          <w:tcPr>
            <w:tcW w:w="1406" w:type="dxa"/>
            <w:vMerge w:val="restart"/>
            <w:noWrap w:val="0"/>
            <w:vAlign w:val="center"/>
          </w:tcPr>
          <w:p w14:paraId="22A9CEA5">
            <w:pPr>
              <w:keepNext w:val="0"/>
              <w:keepLines w:val="0"/>
              <w:suppressLineNumbers w:val="0"/>
              <w:wordWrap w:val="0"/>
              <w:spacing w:before="0" w:beforeAutospacing="0" w:after="0" w:afterAutospacing="0"/>
              <w:ind w:left="0" w:right="0"/>
              <w:rPr>
                <w:rFonts w:hint="eastAsia" w:ascii="宋体" w:hAnsi="宋体" w:cs="宋体"/>
                <w:color w:val="auto"/>
                <w:szCs w:val="21"/>
                <w:highlight w:val="none"/>
              </w:rPr>
            </w:pPr>
            <w:r>
              <w:rPr>
                <w:rFonts w:hint="eastAsia" w:ascii="宋体" w:hAnsi="宋体" w:cs="宋体"/>
                <w:color w:val="auto"/>
                <w:szCs w:val="21"/>
                <w:highlight w:val="none"/>
              </w:rPr>
              <w:t>投标产品基本信息</w:t>
            </w:r>
          </w:p>
        </w:tc>
        <w:tc>
          <w:tcPr>
            <w:tcW w:w="1536" w:type="dxa"/>
            <w:noWrap w:val="0"/>
            <w:vAlign w:val="center"/>
          </w:tcPr>
          <w:p w14:paraId="54D41822">
            <w:pPr>
              <w:keepNext w:val="0"/>
              <w:keepLines w:val="0"/>
              <w:widowControl/>
              <w:suppressLineNumbers w:val="0"/>
              <w:wordWrap w:val="0"/>
              <w:spacing w:before="0" w:beforeAutospacing="0" w:after="0" w:afterAutospacing="0" w:line="240" w:lineRule="exact"/>
              <w:ind w:left="0" w:right="0"/>
              <w:jc w:val="center"/>
              <w:rPr>
                <w:rFonts w:hint="eastAsia" w:ascii="宋体" w:hAnsi="宋体" w:cs="宋体"/>
                <w:color w:val="auto"/>
                <w:kern w:val="0"/>
                <w:szCs w:val="21"/>
                <w:highlight w:val="none"/>
                <w:lang w:eastAsia="en-US"/>
              </w:rPr>
            </w:pPr>
            <w:r>
              <w:rPr>
                <w:rFonts w:hint="eastAsia" w:ascii="宋体" w:hAnsi="宋体" w:cs="宋体"/>
                <w:color w:val="auto"/>
                <w:kern w:val="0"/>
                <w:szCs w:val="21"/>
                <w:highlight w:val="none"/>
              </w:rPr>
              <w:t>投标产品名称</w:t>
            </w:r>
          </w:p>
        </w:tc>
        <w:tc>
          <w:tcPr>
            <w:tcW w:w="2579" w:type="dxa"/>
            <w:noWrap w:val="0"/>
            <w:vAlign w:val="center"/>
          </w:tcPr>
          <w:p w14:paraId="17B8EA37">
            <w:pPr>
              <w:keepNext w:val="0"/>
              <w:keepLines w:val="0"/>
              <w:widowControl/>
              <w:suppressLineNumbers w:val="0"/>
              <w:wordWrap w:val="0"/>
              <w:spacing w:before="0" w:beforeAutospacing="0" w:after="0" w:afterAutospacing="0" w:line="240" w:lineRule="exact"/>
              <w:ind w:left="0" w:right="0"/>
              <w:jc w:val="center"/>
              <w:rPr>
                <w:rFonts w:hint="eastAsia" w:ascii="宋体" w:hAnsi="宋体" w:cs="宋体"/>
                <w:color w:val="auto"/>
                <w:kern w:val="0"/>
                <w:szCs w:val="21"/>
                <w:highlight w:val="none"/>
              </w:rPr>
            </w:pPr>
          </w:p>
        </w:tc>
        <w:tc>
          <w:tcPr>
            <w:tcW w:w="1674" w:type="dxa"/>
            <w:noWrap w:val="0"/>
            <w:vAlign w:val="center"/>
          </w:tcPr>
          <w:p w14:paraId="7054B3AA">
            <w:pPr>
              <w:keepNext w:val="0"/>
              <w:keepLines w:val="0"/>
              <w:widowControl/>
              <w:suppressLineNumbers w:val="0"/>
              <w:wordWrap w:val="0"/>
              <w:spacing w:before="0" w:beforeAutospacing="0" w:after="0" w:afterAutospacing="0" w:line="240" w:lineRule="exact"/>
              <w:ind w:left="0" w:right="0"/>
              <w:jc w:val="center"/>
              <w:rPr>
                <w:rFonts w:hint="eastAsia" w:ascii="宋体" w:hAnsi="宋体" w:cs="宋体"/>
                <w:color w:val="auto"/>
                <w:kern w:val="0"/>
                <w:szCs w:val="21"/>
                <w:highlight w:val="none"/>
                <w:lang w:eastAsia="en-US"/>
              </w:rPr>
            </w:pPr>
            <w:r>
              <w:rPr>
                <w:rFonts w:hint="eastAsia" w:ascii="宋体" w:hAnsi="宋体" w:cs="宋体"/>
                <w:color w:val="auto"/>
                <w:kern w:val="0"/>
                <w:szCs w:val="21"/>
                <w:highlight w:val="none"/>
              </w:rPr>
              <w:t>投标包号</w:t>
            </w:r>
          </w:p>
        </w:tc>
        <w:tc>
          <w:tcPr>
            <w:tcW w:w="2659" w:type="dxa"/>
            <w:noWrap w:val="0"/>
            <w:vAlign w:val="center"/>
          </w:tcPr>
          <w:p w14:paraId="25BE1447">
            <w:pPr>
              <w:keepNext w:val="0"/>
              <w:keepLines w:val="0"/>
              <w:widowControl/>
              <w:suppressLineNumbers w:val="0"/>
              <w:wordWrap w:val="0"/>
              <w:spacing w:before="0" w:beforeAutospacing="0" w:after="0" w:afterAutospacing="0" w:line="240" w:lineRule="exact"/>
              <w:ind w:left="0" w:right="0"/>
              <w:jc w:val="center"/>
              <w:rPr>
                <w:rFonts w:hint="eastAsia" w:ascii="宋体" w:hAnsi="宋体" w:cs="宋体"/>
                <w:color w:val="auto"/>
                <w:kern w:val="0"/>
                <w:szCs w:val="21"/>
                <w:highlight w:val="none"/>
              </w:rPr>
            </w:pPr>
          </w:p>
        </w:tc>
      </w:tr>
      <w:tr w14:paraId="41B38B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406" w:type="dxa"/>
            <w:vMerge w:val="continue"/>
            <w:noWrap w:val="0"/>
            <w:vAlign w:val="center"/>
          </w:tcPr>
          <w:p w14:paraId="32C53482">
            <w:pPr>
              <w:keepNext w:val="0"/>
              <w:keepLines w:val="0"/>
              <w:suppressLineNumbers w:val="0"/>
              <w:wordWrap w:val="0"/>
              <w:spacing w:before="0" w:beforeAutospacing="0" w:after="0" w:afterAutospacing="0"/>
              <w:ind w:left="0" w:right="0"/>
              <w:rPr>
                <w:rFonts w:hint="eastAsia" w:ascii="宋体" w:hAnsi="宋体" w:cs="宋体"/>
                <w:color w:val="auto"/>
                <w:szCs w:val="21"/>
                <w:highlight w:val="none"/>
              </w:rPr>
            </w:pPr>
          </w:p>
        </w:tc>
        <w:tc>
          <w:tcPr>
            <w:tcW w:w="1536" w:type="dxa"/>
            <w:noWrap w:val="0"/>
            <w:vAlign w:val="center"/>
          </w:tcPr>
          <w:p w14:paraId="4D2875F4">
            <w:pPr>
              <w:keepNext w:val="0"/>
              <w:keepLines w:val="0"/>
              <w:widowControl/>
              <w:suppressLineNumbers w:val="0"/>
              <w:wordWrap w:val="0"/>
              <w:spacing w:before="0" w:beforeAutospacing="0" w:after="0" w:afterAutospacing="0" w:line="240" w:lineRule="exact"/>
              <w:ind w:left="0" w:right="0"/>
              <w:jc w:val="center"/>
              <w:rPr>
                <w:rFonts w:hint="eastAsia" w:ascii="宋体" w:hAnsi="宋体" w:cs="宋体"/>
                <w:color w:val="auto"/>
                <w:kern w:val="0"/>
                <w:szCs w:val="21"/>
                <w:highlight w:val="none"/>
                <w:lang w:eastAsia="en-US"/>
              </w:rPr>
            </w:pPr>
            <w:r>
              <w:rPr>
                <w:rFonts w:hint="eastAsia" w:ascii="宋体" w:hAnsi="宋体" w:cs="宋体"/>
                <w:color w:val="auto"/>
                <w:kern w:val="0"/>
                <w:szCs w:val="21"/>
                <w:highlight w:val="none"/>
              </w:rPr>
              <w:t>投标产品规格型号</w:t>
            </w:r>
          </w:p>
        </w:tc>
        <w:tc>
          <w:tcPr>
            <w:tcW w:w="2579" w:type="dxa"/>
            <w:noWrap w:val="0"/>
            <w:vAlign w:val="center"/>
          </w:tcPr>
          <w:p w14:paraId="2C4F27AF">
            <w:pPr>
              <w:keepNext w:val="0"/>
              <w:keepLines w:val="0"/>
              <w:widowControl/>
              <w:suppressLineNumbers w:val="0"/>
              <w:wordWrap w:val="0"/>
              <w:spacing w:before="0" w:beforeAutospacing="0" w:after="0" w:afterAutospacing="0" w:line="240" w:lineRule="exact"/>
              <w:ind w:left="0" w:right="0"/>
              <w:jc w:val="center"/>
              <w:rPr>
                <w:rFonts w:hint="eastAsia" w:ascii="宋体" w:hAnsi="宋体" w:cs="宋体"/>
                <w:color w:val="auto"/>
                <w:kern w:val="0"/>
                <w:szCs w:val="21"/>
                <w:highlight w:val="none"/>
              </w:rPr>
            </w:pPr>
          </w:p>
        </w:tc>
        <w:tc>
          <w:tcPr>
            <w:tcW w:w="1674" w:type="dxa"/>
            <w:noWrap w:val="0"/>
            <w:vAlign w:val="center"/>
          </w:tcPr>
          <w:p w14:paraId="381A8793">
            <w:pPr>
              <w:keepNext w:val="0"/>
              <w:keepLines w:val="0"/>
              <w:widowControl/>
              <w:suppressLineNumbers w:val="0"/>
              <w:wordWrap w:val="0"/>
              <w:spacing w:before="0" w:beforeAutospacing="0" w:after="0" w:afterAutospacing="0" w:line="240" w:lineRule="exact"/>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医疗器械注册证/备案凭证号</w:t>
            </w:r>
          </w:p>
        </w:tc>
        <w:tc>
          <w:tcPr>
            <w:tcW w:w="2659" w:type="dxa"/>
            <w:noWrap w:val="0"/>
            <w:vAlign w:val="center"/>
          </w:tcPr>
          <w:p w14:paraId="32247C5B">
            <w:pPr>
              <w:keepNext w:val="0"/>
              <w:keepLines w:val="0"/>
              <w:widowControl/>
              <w:suppressLineNumbers w:val="0"/>
              <w:wordWrap w:val="0"/>
              <w:spacing w:before="0" w:beforeAutospacing="0" w:after="0" w:afterAutospacing="0" w:line="240" w:lineRule="exact"/>
              <w:ind w:left="0" w:right="0"/>
              <w:jc w:val="center"/>
              <w:rPr>
                <w:rFonts w:hint="eastAsia" w:ascii="宋体" w:hAnsi="宋体" w:cs="宋体"/>
                <w:color w:val="auto"/>
                <w:kern w:val="0"/>
                <w:szCs w:val="21"/>
                <w:highlight w:val="none"/>
              </w:rPr>
            </w:pPr>
          </w:p>
        </w:tc>
      </w:tr>
      <w:tr w14:paraId="0387A0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406" w:type="dxa"/>
            <w:vMerge w:val="continue"/>
            <w:noWrap w:val="0"/>
            <w:vAlign w:val="center"/>
          </w:tcPr>
          <w:p w14:paraId="25DAEF3C">
            <w:pPr>
              <w:keepNext w:val="0"/>
              <w:keepLines w:val="0"/>
              <w:suppressLineNumbers w:val="0"/>
              <w:wordWrap w:val="0"/>
              <w:spacing w:before="0" w:beforeAutospacing="0" w:after="0" w:afterAutospacing="0"/>
              <w:ind w:left="0" w:right="0"/>
              <w:rPr>
                <w:rFonts w:hint="eastAsia" w:ascii="宋体" w:hAnsi="宋体" w:cs="宋体"/>
                <w:color w:val="auto"/>
                <w:szCs w:val="21"/>
                <w:highlight w:val="none"/>
              </w:rPr>
            </w:pPr>
          </w:p>
        </w:tc>
        <w:tc>
          <w:tcPr>
            <w:tcW w:w="1536" w:type="dxa"/>
            <w:noWrap w:val="0"/>
            <w:vAlign w:val="center"/>
          </w:tcPr>
          <w:p w14:paraId="486DE2D0">
            <w:pPr>
              <w:keepNext w:val="0"/>
              <w:keepLines w:val="0"/>
              <w:widowControl/>
              <w:suppressLineNumbers w:val="0"/>
              <w:wordWrap w:val="0"/>
              <w:spacing w:before="0" w:beforeAutospacing="0" w:after="0" w:afterAutospacing="0" w:line="240" w:lineRule="exact"/>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主要配置清单（单台/套）</w:t>
            </w:r>
          </w:p>
        </w:tc>
        <w:tc>
          <w:tcPr>
            <w:tcW w:w="6912" w:type="dxa"/>
            <w:gridSpan w:val="3"/>
            <w:noWrap w:val="0"/>
            <w:vAlign w:val="center"/>
          </w:tcPr>
          <w:p w14:paraId="1C01B5A2">
            <w:pPr>
              <w:keepNext w:val="0"/>
              <w:keepLines w:val="0"/>
              <w:widowControl/>
              <w:suppressLineNumbers w:val="0"/>
              <w:wordWrap w:val="0"/>
              <w:spacing w:before="0" w:beforeAutospacing="0" w:after="0" w:afterAutospacing="0" w:line="240" w:lineRule="exact"/>
              <w:ind w:left="0" w:right="0"/>
              <w:jc w:val="center"/>
              <w:rPr>
                <w:rFonts w:hint="eastAsia" w:ascii="宋体" w:hAnsi="宋体" w:cs="宋体"/>
                <w:color w:val="auto"/>
                <w:kern w:val="0"/>
                <w:szCs w:val="21"/>
                <w:highlight w:val="none"/>
              </w:rPr>
            </w:pPr>
          </w:p>
        </w:tc>
      </w:tr>
      <w:tr w14:paraId="160CB8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49" w:hRule="atLeast"/>
        </w:trPr>
        <w:tc>
          <w:tcPr>
            <w:tcW w:w="9854" w:type="dxa"/>
            <w:gridSpan w:val="5"/>
            <w:noWrap w:val="0"/>
            <w:vAlign w:val="center"/>
          </w:tcPr>
          <w:p w14:paraId="070FBE29">
            <w:pPr>
              <w:keepNext w:val="0"/>
              <w:keepLines w:val="0"/>
              <w:suppressLineNumbers w:val="0"/>
              <w:wordWrap w:val="0"/>
              <w:spacing w:before="120" w:beforeLines="50" w:beforeAutospacing="0" w:after="0" w:afterAutospacing="0" w:line="480" w:lineRule="auto"/>
              <w:ind w:left="0" w:right="0"/>
              <w:rPr>
                <w:rFonts w:hint="eastAsia" w:ascii="宋体" w:hAnsi="宋体" w:cs="宋体"/>
                <w:color w:val="auto"/>
                <w:szCs w:val="21"/>
                <w:highlight w:val="none"/>
              </w:rPr>
            </w:pPr>
            <w:r>
              <w:rPr>
                <w:rFonts w:hint="eastAsia" w:ascii="宋体" w:hAnsi="宋体" w:cs="宋体"/>
                <w:color w:val="auto"/>
                <w:szCs w:val="21"/>
                <w:highlight w:val="none"/>
              </w:rPr>
              <w:t>投标人公章：</w:t>
            </w:r>
          </w:p>
          <w:p w14:paraId="7EC44583">
            <w:pPr>
              <w:keepNext w:val="0"/>
              <w:keepLines w:val="0"/>
              <w:suppressLineNumbers w:val="0"/>
              <w:wordWrap w:val="0"/>
              <w:spacing w:before="0" w:beforeAutospacing="0" w:after="0" w:afterAutospacing="0" w:line="480" w:lineRule="auto"/>
              <w:ind w:left="0" w:right="0"/>
              <w:rPr>
                <w:rFonts w:hint="eastAsia" w:ascii="宋体" w:hAnsi="宋体" w:cs="宋体"/>
                <w:color w:val="auto"/>
                <w:szCs w:val="21"/>
                <w:highlight w:val="none"/>
              </w:rPr>
            </w:pPr>
            <w:r>
              <w:rPr>
                <w:rFonts w:hint="eastAsia" w:ascii="宋体" w:hAnsi="宋体" w:cs="宋体"/>
                <w:color w:val="auto"/>
                <w:szCs w:val="21"/>
                <w:highlight w:val="none"/>
              </w:rPr>
              <w:t>填表日期：</w:t>
            </w:r>
          </w:p>
        </w:tc>
      </w:tr>
      <w:tr w14:paraId="292C65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9854" w:type="dxa"/>
            <w:gridSpan w:val="5"/>
            <w:noWrap w:val="0"/>
            <w:vAlign w:val="center"/>
          </w:tcPr>
          <w:p w14:paraId="2579FA19">
            <w:pPr>
              <w:keepNext w:val="0"/>
              <w:keepLines w:val="0"/>
              <w:suppressLineNumbers w:val="0"/>
              <w:wordWrap w:val="0"/>
              <w:spacing w:before="120" w:beforeLines="50" w:beforeAutospacing="0" w:after="0" w:afterAutospacing="0" w:line="360" w:lineRule="auto"/>
              <w:ind w:left="0" w:right="0"/>
              <w:rPr>
                <w:rFonts w:hint="eastAsia" w:ascii="宋体" w:hAnsi="宋体" w:cs="宋体"/>
                <w:color w:val="auto"/>
                <w:highlight w:val="none"/>
              </w:rPr>
            </w:pPr>
            <w:r>
              <w:rPr>
                <w:rFonts w:hint="eastAsia" w:ascii="宋体" w:hAnsi="宋体" w:cs="宋体"/>
                <w:color w:val="auto"/>
                <w:highlight w:val="none"/>
              </w:rPr>
              <w:t>填表说明：</w:t>
            </w:r>
          </w:p>
          <w:p w14:paraId="1EF63FAE">
            <w:pPr>
              <w:keepNext w:val="0"/>
              <w:keepLines w:val="0"/>
              <w:suppressLineNumbers w:val="0"/>
              <w:wordWrap w:val="0"/>
              <w:spacing w:before="0" w:beforeAutospacing="0" w:after="0" w:afterAutospacing="0" w:line="360" w:lineRule="auto"/>
              <w:ind w:left="0" w:right="0"/>
              <w:rPr>
                <w:rFonts w:hint="eastAsia" w:ascii="宋体" w:hAnsi="宋体" w:cs="宋体"/>
                <w:color w:val="auto"/>
                <w:kern w:val="0"/>
                <w:highlight w:val="none"/>
              </w:rPr>
            </w:pPr>
            <w:r>
              <w:rPr>
                <w:rFonts w:hint="eastAsia" w:ascii="宋体" w:hAnsi="宋体" w:cs="宋体"/>
                <w:color w:val="auto"/>
                <w:highlight w:val="none"/>
              </w:rPr>
              <w:t>请填表人认真、准确填写，并加盖单位公章，为便于成交后进行政府采购合同备案，请填写完整。</w:t>
            </w:r>
          </w:p>
        </w:tc>
      </w:tr>
    </w:tbl>
    <w:p w14:paraId="23CBD1EE">
      <w:pPr>
        <w:pStyle w:val="3"/>
        <w:widowControl/>
        <w:spacing w:before="120" w:after="120" w:line="240" w:lineRule="auto"/>
        <w:jc w:val="center"/>
        <w:rPr>
          <w:rStyle w:val="107"/>
          <w:rFonts w:hint="eastAsia" w:ascii="宋体" w:hAnsi="宋体" w:eastAsia="宋体" w:cs="宋体"/>
          <w:b/>
          <w:bCs/>
          <w:color w:val="auto"/>
          <w:sz w:val="30"/>
          <w:szCs w:val="30"/>
          <w:highlight w:val="none"/>
        </w:rPr>
      </w:pPr>
      <w:r>
        <w:rPr>
          <w:rFonts w:ascii="仿宋" w:hAnsi="仿宋" w:eastAsia="仿宋"/>
          <w:color w:val="auto"/>
          <w:kern w:val="0"/>
          <w:szCs w:val="21"/>
          <w:highlight w:val="none"/>
        </w:rPr>
        <w:br w:type="page"/>
      </w:r>
      <w:r>
        <w:rPr>
          <w:rStyle w:val="107"/>
          <w:rFonts w:hint="eastAsia" w:ascii="宋体" w:hAnsi="宋体" w:eastAsia="宋体" w:cs="宋体"/>
          <w:b/>
          <w:bCs/>
          <w:color w:val="auto"/>
          <w:sz w:val="30"/>
          <w:szCs w:val="30"/>
          <w:highlight w:val="none"/>
        </w:rPr>
        <w:t>五、</w:t>
      </w:r>
      <w:bookmarkEnd w:id="893"/>
      <w:bookmarkStart w:id="894" w:name="OLE_LINK3"/>
      <w:r>
        <w:rPr>
          <w:rStyle w:val="107"/>
          <w:rFonts w:hint="eastAsia" w:ascii="宋体" w:hAnsi="宋体" w:eastAsia="宋体" w:cs="宋体"/>
          <w:b/>
          <w:bCs/>
          <w:color w:val="auto"/>
          <w:sz w:val="30"/>
          <w:szCs w:val="30"/>
          <w:highlight w:val="none"/>
        </w:rPr>
        <w:t>中小企业</w:t>
      </w:r>
      <w:bookmarkEnd w:id="894"/>
      <w:r>
        <w:rPr>
          <w:rStyle w:val="107"/>
          <w:rFonts w:hint="eastAsia" w:ascii="宋体" w:hAnsi="宋体" w:eastAsia="宋体" w:cs="宋体"/>
          <w:b/>
          <w:bCs/>
          <w:color w:val="auto"/>
          <w:sz w:val="30"/>
          <w:szCs w:val="30"/>
          <w:highlight w:val="none"/>
        </w:rPr>
        <w:t>声明函（货物）</w:t>
      </w:r>
    </w:p>
    <w:p w14:paraId="71F862B8">
      <w:pPr>
        <w:pStyle w:val="27"/>
        <w:spacing w:line="360" w:lineRule="auto"/>
        <w:jc w:val="center"/>
        <w:rPr>
          <w:rFonts w:hint="eastAsia" w:hAnsi="宋体" w:cs="宋体"/>
          <w:color w:val="auto"/>
          <w:highlight w:val="none"/>
        </w:rPr>
      </w:pPr>
      <w:r>
        <w:rPr>
          <w:rFonts w:hint="eastAsia" w:hAnsi="宋体" w:cs="宋体"/>
          <w:color w:val="auto"/>
          <w:highlight w:val="none"/>
        </w:rPr>
        <w:t>（不符合中小企业扶持政策的，无需提供）</w:t>
      </w:r>
    </w:p>
    <w:p w14:paraId="5351F6DA">
      <w:pPr>
        <w:pStyle w:val="18"/>
        <w:snapToGrid w:val="0"/>
        <w:spacing w:line="360" w:lineRule="auto"/>
        <w:ind w:firstLine="420" w:firstLineChars="200"/>
        <w:rPr>
          <w:rFonts w:hint="eastAsia" w:ascii="宋体" w:hAnsi="宋体" w:eastAsia="宋体" w:cs="宋体"/>
          <w:color w:val="auto"/>
          <w:sz w:val="21"/>
          <w:szCs w:val="21"/>
          <w:highlight w:val="none"/>
        </w:rPr>
      </w:pPr>
    </w:p>
    <w:p w14:paraId="5233563E">
      <w:pPr>
        <w:pStyle w:val="42"/>
        <w:widowControl w:val="0"/>
        <w:autoSpaceDE w:val="0"/>
        <w:autoSpaceDN w:val="0"/>
        <w:snapToGrid w:val="0"/>
        <w:spacing w:before="0" w:beforeAutospacing="0" w:after="0" w:afterAutospacing="0" w:line="360" w:lineRule="auto"/>
        <w:ind w:left="220" w:right="405" w:firstLine="420" w:firstLineChars="200"/>
        <w:rPr>
          <w:rFonts w:hint="eastAsia" w:cs="宋体"/>
          <w:color w:val="auto"/>
          <w:kern w:val="2"/>
          <w:sz w:val="21"/>
          <w:szCs w:val="21"/>
          <w:highlight w:val="none"/>
        </w:rPr>
      </w:pPr>
      <w:r>
        <w:rPr>
          <w:rFonts w:hint="eastAsia" w:cs="宋体"/>
          <w:color w:val="auto"/>
          <w:kern w:val="2"/>
          <w:sz w:val="21"/>
          <w:szCs w:val="21"/>
          <w:highlight w:val="none"/>
        </w:rPr>
        <w:t>本公司（联合体）郑重声明，根据《政府采购促进中小企业发展管理办法》（财库﹝2020﹞46号）的规定，本公司（联合体）参加</w:t>
      </w:r>
      <w:r>
        <w:rPr>
          <w:rFonts w:hint="eastAsia" w:cs="宋体"/>
          <w:i/>
          <w:color w:val="auto"/>
          <w:sz w:val="21"/>
          <w:szCs w:val="21"/>
          <w:highlight w:val="none"/>
          <w:u w:val="single" w:color="000000"/>
          <w:lang w:bidi="ar"/>
        </w:rPr>
        <w:t>（单位名称）</w:t>
      </w:r>
      <w:r>
        <w:rPr>
          <w:rFonts w:hint="eastAsia" w:cs="宋体"/>
          <w:color w:val="auto"/>
          <w:kern w:val="2"/>
          <w:sz w:val="21"/>
          <w:szCs w:val="21"/>
          <w:highlight w:val="none"/>
        </w:rPr>
        <w:t>的</w:t>
      </w:r>
      <w:r>
        <w:rPr>
          <w:rFonts w:hint="eastAsia" w:cs="宋体"/>
          <w:i/>
          <w:color w:val="auto"/>
          <w:sz w:val="21"/>
          <w:szCs w:val="21"/>
          <w:highlight w:val="none"/>
          <w:u w:val="single" w:color="000000"/>
          <w:lang w:bidi="ar"/>
        </w:rPr>
        <w:t>（项目名称）</w:t>
      </w:r>
      <w:r>
        <w:rPr>
          <w:rFonts w:hint="eastAsia" w:cs="宋体"/>
          <w:color w:val="auto"/>
          <w:kern w:val="2"/>
          <w:sz w:val="21"/>
          <w:szCs w:val="21"/>
          <w:highlight w:val="none"/>
        </w:rPr>
        <w:t>采购活动，提供的货物全部由符合政策要求的中小企业制造。相关企业（含联合体中的中小企业、签订分包意向协议的中小企业）的具体情况如下：</w:t>
      </w:r>
    </w:p>
    <w:p w14:paraId="714B3A22">
      <w:pPr>
        <w:pStyle w:val="42"/>
        <w:widowControl w:val="0"/>
        <w:autoSpaceDE w:val="0"/>
        <w:autoSpaceDN w:val="0"/>
        <w:snapToGrid w:val="0"/>
        <w:spacing w:before="0" w:beforeAutospacing="0" w:after="0" w:afterAutospacing="0" w:line="360" w:lineRule="auto"/>
        <w:ind w:left="220" w:right="405" w:firstLine="420" w:firstLineChars="200"/>
        <w:rPr>
          <w:rFonts w:hint="eastAsia" w:cs="宋体"/>
          <w:color w:val="auto"/>
          <w:kern w:val="2"/>
          <w:sz w:val="21"/>
          <w:szCs w:val="21"/>
          <w:highlight w:val="none"/>
        </w:rPr>
      </w:pPr>
      <w:r>
        <w:rPr>
          <w:rFonts w:hint="eastAsia" w:cs="宋体"/>
          <w:color w:val="auto"/>
          <w:kern w:val="2"/>
          <w:sz w:val="21"/>
          <w:szCs w:val="21"/>
          <w:highlight w:val="none"/>
        </w:rPr>
        <w:t>1.</w:t>
      </w:r>
      <w:r>
        <w:rPr>
          <w:rFonts w:hint="eastAsia" w:cs="宋体"/>
          <w:i/>
          <w:iCs/>
          <w:color w:val="auto"/>
          <w:kern w:val="2"/>
          <w:sz w:val="21"/>
          <w:szCs w:val="21"/>
          <w:highlight w:val="none"/>
          <w:u w:val="single"/>
        </w:rPr>
        <w:t xml:space="preserve"> （标的名称） </w:t>
      </w:r>
      <w:r>
        <w:rPr>
          <w:rFonts w:hint="eastAsia" w:cs="宋体"/>
          <w:color w:val="auto"/>
          <w:kern w:val="2"/>
          <w:sz w:val="21"/>
          <w:szCs w:val="21"/>
          <w:highlight w:val="none"/>
        </w:rPr>
        <w:t>，属于</w:t>
      </w:r>
      <w:r>
        <w:rPr>
          <w:rFonts w:hint="eastAsia" w:cs="宋体"/>
          <w:i/>
          <w:iCs/>
          <w:color w:val="auto"/>
          <w:kern w:val="2"/>
          <w:sz w:val="21"/>
          <w:szCs w:val="21"/>
          <w:highlight w:val="none"/>
          <w:u w:val="single"/>
        </w:rPr>
        <w:t>（采购文件中明确的所属行业）行业</w:t>
      </w:r>
      <w:r>
        <w:rPr>
          <w:rFonts w:hint="eastAsia" w:cs="宋体"/>
          <w:color w:val="auto"/>
          <w:kern w:val="2"/>
          <w:sz w:val="21"/>
          <w:szCs w:val="21"/>
          <w:highlight w:val="none"/>
        </w:rPr>
        <w:t>；制造商为</w:t>
      </w:r>
      <w:r>
        <w:rPr>
          <w:rFonts w:hint="eastAsia" w:cs="宋体"/>
          <w:i/>
          <w:iCs/>
          <w:color w:val="auto"/>
          <w:kern w:val="2"/>
          <w:sz w:val="21"/>
          <w:szCs w:val="21"/>
          <w:highlight w:val="none"/>
          <w:u w:val="single"/>
        </w:rPr>
        <w:t>（企业名称）</w:t>
      </w:r>
      <w:r>
        <w:rPr>
          <w:rFonts w:hint="eastAsia" w:cs="宋体"/>
          <w:color w:val="auto"/>
          <w:kern w:val="2"/>
          <w:sz w:val="21"/>
          <w:szCs w:val="21"/>
          <w:highlight w:val="none"/>
        </w:rPr>
        <w:t>，从业人员</w:t>
      </w:r>
      <w:r>
        <w:rPr>
          <w:rFonts w:hint="eastAsia" w:cs="宋体"/>
          <w:color w:val="auto"/>
          <w:kern w:val="2"/>
          <w:sz w:val="21"/>
          <w:szCs w:val="21"/>
          <w:highlight w:val="none"/>
          <w:u w:val="single"/>
        </w:rPr>
        <w:t xml:space="preserve">     </w:t>
      </w:r>
      <w:r>
        <w:rPr>
          <w:rFonts w:hint="eastAsia" w:cs="宋体"/>
          <w:color w:val="auto"/>
          <w:kern w:val="2"/>
          <w:sz w:val="21"/>
          <w:szCs w:val="21"/>
          <w:highlight w:val="none"/>
        </w:rPr>
        <w:t>人，营业收入为</w:t>
      </w:r>
      <w:r>
        <w:rPr>
          <w:rFonts w:hint="eastAsia" w:cs="宋体"/>
          <w:color w:val="auto"/>
          <w:kern w:val="2"/>
          <w:sz w:val="21"/>
          <w:szCs w:val="21"/>
          <w:highlight w:val="none"/>
          <w:u w:val="single"/>
        </w:rPr>
        <w:t xml:space="preserve">     </w:t>
      </w:r>
      <w:r>
        <w:rPr>
          <w:rFonts w:hint="eastAsia" w:cs="宋体"/>
          <w:color w:val="auto"/>
          <w:kern w:val="2"/>
          <w:sz w:val="21"/>
          <w:szCs w:val="21"/>
          <w:highlight w:val="none"/>
        </w:rPr>
        <w:t>万元，资产总额为</w:t>
      </w:r>
      <w:r>
        <w:rPr>
          <w:rFonts w:hint="eastAsia" w:cs="宋体"/>
          <w:color w:val="auto"/>
          <w:kern w:val="2"/>
          <w:sz w:val="21"/>
          <w:szCs w:val="21"/>
          <w:highlight w:val="none"/>
          <w:u w:val="single"/>
        </w:rPr>
        <w:t xml:space="preserve">     </w:t>
      </w:r>
      <w:r>
        <w:rPr>
          <w:rFonts w:hint="eastAsia" w:cs="宋体"/>
          <w:color w:val="auto"/>
          <w:kern w:val="2"/>
          <w:sz w:val="21"/>
          <w:szCs w:val="21"/>
          <w:highlight w:val="none"/>
        </w:rPr>
        <w:t>万元</w:t>
      </w:r>
      <w:r>
        <w:rPr>
          <w:rFonts w:hint="eastAsia" w:cs="宋体"/>
          <w:color w:val="auto"/>
          <w:kern w:val="2"/>
          <w:sz w:val="21"/>
          <w:szCs w:val="21"/>
          <w:highlight w:val="none"/>
          <w:vertAlign w:val="superscript"/>
        </w:rPr>
        <w:footnoteReference w:id="0"/>
      </w:r>
      <w:r>
        <w:rPr>
          <w:rFonts w:hint="eastAsia" w:cs="宋体"/>
          <w:color w:val="auto"/>
          <w:kern w:val="2"/>
          <w:sz w:val="21"/>
          <w:szCs w:val="21"/>
          <w:highlight w:val="none"/>
        </w:rPr>
        <w:t>，属于</w:t>
      </w:r>
      <w:r>
        <w:rPr>
          <w:rFonts w:hint="eastAsia" w:cs="宋体"/>
          <w:i/>
          <w:iCs/>
          <w:color w:val="auto"/>
          <w:kern w:val="2"/>
          <w:sz w:val="21"/>
          <w:szCs w:val="21"/>
          <w:highlight w:val="none"/>
          <w:u w:val="single"/>
        </w:rPr>
        <w:t>（中型企业、小型企业、微型企业）</w:t>
      </w:r>
      <w:r>
        <w:rPr>
          <w:rFonts w:hint="eastAsia" w:cs="宋体"/>
          <w:color w:val="auto"/>
          <w:kern w:val="2"/>
          <w:sz w:val="21"/>
          <w:szCs w:val="21"/>
          <w:highlight w:val="none"/>
        </w:rPr>
        <w:t>；</w:t>
      </w:r>
    </w:p>
    <w:p w14:paraId="349C9085">
      <w:pPr>
        <w:pStyle w:val="42"/>
        <w:widowControl w:val="0"/>
        <w:autoSpaceDE w:val="0"/>
        <w:autoSpaceDN w:val="0"/>
        <w:snapToGrid w:val="0"/>
        <w:spacing w:before="0" w:beforeAutospacing="0" w:after="0" w:afterAutospacing="0" w:line="360" w:lineRule="auto"/>
        <w:ind w:left="220" w:right="405" w:firstLine="420" w:firstLineChars="200"/>
        <w:rPr>
          <w:rFonts w:hint="eastAsia" w:cs="宋体"/>
          <w:color w:val="auto"/>
          <w:kern w:val="2"/>
          <w:sz w:val="21"/>
          <w:szCs w:val="21"/>
          <w:highlight w:val="none"/>
        </w:rPr>
      </w:pPr>
      <w:r>
        <w:rPr>
          <w:rFonts w:hint="eastAsia" w:cs="宋体"/>
          <w:color w:val="auto"/>
          <w:kern w:val="2"/>
          <w:sz w:val="21"/>
          <w:szCs w:val="21"/>
          <w:highlight w:val="none"/>
        </w:rPr>
        <w:t>2.</w:t>
      </w:r>
      <w:r>
        <w:rPr>
          <w:rFonts w:hint="eastAsia" w:cs="宋体"/>
          <w:i/>
          <w:iCs/>
          <w:color w:val="auto"/>
          <w:kern w:val="2"/>
          <w:sz w:val="21"/>
          <w:szCs w:val="21"/>
          <w:highlight w:val="none"/>
          <w:u w:val="single"/>
        </w:rPr>
        <w:t xml:space="preserve"> （标的名称） </w:t>
      </w:r>
      <w:r>
        <w:rPr>
          <w:rFonts w:hint="eastAsia" w:cs="宋体"/>
          <w:color w:val="auto"/>
          <w:kern w:val="2"/>
          <w:sz w:val="21"/>
          <w:szCs w:val="21"/>
          <w:highlight w:val="none"/>
        </w:rPr>
        <w:t>，属于</w:t>
      </w:r>
      <w:r>
        <w:rPr>
          <w:rFonts w:hint="eastAsia" w:cs="宋体"/>
          <w:i/>
          <w:iCs/>
          <w:color w:val="auto"/>
          <w:kern w:val="2"/>
          <w:sz w:val="21"/>
          <w:szCs w:val="21"/>
          <w:highlight w:val="none"/>
          <w:u w:val="single"/>
        </w:rPr>
        <w:t>（采购文件中明确的所属行业）行业</w:t>
      </w:r>
      <w:r>
        <w:rPr>
          <w:rFonts w:hint="eastAsia" w:cs="宋体"/>
          <w:color w:val="auto"/>
          <w:kern w:val="2"/>
          <w:sz w:val="21"/>
          <w:szCs w:val="21"/>
          <w:highlight w:val="none"/>
        </w:rPr>
        <w:t>；制造商为</w:t>
      </w:r>
      <w:r>
        <w:rPr>
          <w:rFonts w:hint="eastAsia" w:cs="宋体"/>
          <w:i/>
          <w:iCs/>
          <w:color w:val="auto"/>
          <w:kern w:val="2"/>
          <w:sz w:val="21"/>
          <w:szCs w:val="21"/>
          <w:highlight w:val="none"/>
          <w:u w:val="single"/>
        </w:rPr>
        <w:t>（企业名称）</w:t>
      </w:r>
      <w:r>
        <w:rPr>
          <w:rFonts w:hint="eastAsia" w:cs="宋体"/>
          <w:color w:val="auto"/>
          <w:kern w:val="2"/>
          <w:sz w:val="21"/>
          <w:szCs w:val="21"/>
          <w:highlight w:val="none"/>
        </w:rPr>
        <w:t>，从业人员</w:t>
      </w:r>
      <w:r>
        <w:rPr>
          <w:rFonts w:hint="eastAsia" w:cs="宋体"/>
          <w:color w:val="auto"/>
          <w:kern w:val="2"/>
          <w:sz w:val="21"/>
          <w:szCs w:val="21"/>
          <w:highlight w:val="none"/>
          <w:u w:val="single"/>
        </w:rPr>
        <w:t xml:space="preserve">     </w:t>
      </w:r>
      <w:r>
        <w:rPr>
          <w:rFonts w:hint="eastAsia" w:cs="宋体"/>
          <w:color w:val="auto"/>
          <w:kern w:val="2"/>
          <w:sz w:val="21"/>
          <w:szCs w:val="21"/>
          <w:highlight w:val="none"/>
        </w:rPr>
        <w:t>人，营业收入为</w:t>
      </w:r>
      <w:r>
        <w:rPr>
          <w:rFonts w:hint="eastAsia" w:cs="宋体"/>
          <w:color w:val="auto"/>
          <w:kern w:val="2"/>
          <w:sz w:val="21"/>
          <w:szCs w:val="21"/>
          <w:highlight w:val="none"/>
          <w:u w:val="single"/>
        </w:rPr>
        <w:t xml:space="preserve">     </w:t>
      </w:r>
      <w:r>
        <w:rPr>
          <w:rFonts w:hint="eastAsia" w:cs="宋体"/>
          <w:color w:val="auto"/>
          <w:kern w:val="2"/>
          <w:sz w:val="21"/>
          <w:szCs w:val="21"/>
          <w:highlight w:val="none"/>
        </w:rPr>
        <w:t>万元，资产总额为</w:t>
      </w:r>
      <w:r>
        <w:rPr>
          <w:rFonts w:hint="eastAsia" w:cs="宋体"/>
          <w:color w:val="auto"/>
          <w:kern w:val="2"/>
          <w:sz w:val="21"/>
          <w:szCs w:val="21"/>
          <w:highlight w:val="none"/>
          <w:u w:val="single"/>
        </w:rPr>
        <w:t xml:space="preserve">     </w:t>
      </w:r>
      <w:r>
        <w:rPr>
          <w:rFonts w:hint="eastAsia" w:cs="宋体"/>
          <w:color w:val="auto"/>
          <w:kern w:val="2"/>
          <w:sz w:val="21"/>
          <w:szCs w:val="21"/>
          <w:highlight w:val="none"/>
        </w:rPr>
        <w:t>万元，属于</w:t>
      </w:r>
      <w:r>
        <w:rPr>
          <w:rFonts w:hint="eastAsia" w:cs="宋体"/>
          <w:i/>
          <w:iCs/>
          <w:color w:val="auto"/>
          <w:kern w:val="2"/>
          <w:sz w:val="21"/>
          <w:szCs w:val="21"/>
          <w:highlight w:val="none"/>
          <w:u w:val="single"/>
        </w:rPr>
        <w:t>（中型企业、小型企业、微型企业）</w:t>
      </w:r>
      <w:r>
        <w:rPr>
          <w:rFonts w:hint="eastAsia" w:cs="宋体"/>
          <w:color w:val="auto"/>
          <w:kern w:val="2"/>
          <w:sz w:val="21"/>
          <w:szCs w:val="21"/>
          <w:highlight w:val="none"/>
        </w:rPr>
        <w:t>；</w:t>
      </w:r>
    </w:p>
    <w:p w14:paraId="1E499DF5">
      <w:pPr>
        <w:pStyle w:val="42"/>
        <w:widowControl w:val="0"/>
        <w:autoSpaceDE w:val="0"/>
        <w:autoSpaceDN w:val="0"/>
        <w:snapToGrid w:val="0"/>
        <w:spacing w:before="0" w:beforeAutospacing="0" w:after="0" w:afterAutospacing="0" w:line="360" w:lineRule="auto"/>
        <w:ind w:left="220" w:right="405" w:firstLine="420" w:firstLineChars="200"/>
        <w:rPr>
          <w:rFonts w:hint="eastAsia" w:cs="宋体"/>
          <w:color w:val="auto"/>
          <w:kern w:val="2"/>
          <w:sz w:val="21"/>
          <w:szCs w:val="21"/>
          <w:highlight w:val="none"/>
        </w:rPr>
      </w:pPr>
      <w:r>
        <w:rPr>
          <w:rFonts w:hint="eastAsia" w:cs="宋体"/>
          <w:color w:val="auto"/>
          <w:kern w:val="2"/>
          <w:sz w:val="21"/>
          <w:szCs w:val="21"/>
          <w:highlight w:val="none"/>
        </w:rPr>
        <w:t>……</w:t>
      </w:r>
    </w:p>
    <w:p w14:paraId="2C6D4D35">
      <w:pPr>
        <w:pStyle w:val="42"/>
        <w:widowControl w:val="0"/>
        <w:autoSpaceDE w:val="0"/>
        <w:autoSpaceDN w:val="0"/>
        <w:snapToGrid w:val="0"/>
        <w:spacing w:before="0" w:beforeAutospacing="0" w:after="0" w:afterAutospacing="0" w:line="360" w:lineRule="auto"/>
        <w:ind w:right="397" w:rightChars="189" w:firstLine="420" w:firstLineChars="200"/>
        <w:rPr>
          <w:rFonts w:hint="eastAsia" w:cs="宋体"/>
          <w:snapToGrid w:val="0"/>
          <w:color w:val="auto"/>
          <w:sz w:val="21"/>
          <w:szCs w:val="21"/>
          <w:highlight w:val="none"/>
          <w:lang w:bidi="ar"/>
        </w:rPr>
      </w:pPr>
      <w:r>
        <w:rPr>
          <w:rFonts w:hint="eastAsia" w:cs="宋体"/>
          <w:snapToGrid w:val="0"/>
          <w:color w:val="auto"/>
          <w:sz w:val="21"/>
          <w:szCs w:val="21"/>
          <w:highlight w:val="none"/>
          <w:lang w:bidi="ar"/>
        </w:rPr>
        <w:t>以上企业，不属于大企业的分支机构，不存在控股股东为大企业的情形，也不存在与大企业的负责人为同一人的情形。</w:t>
      </w:r>
    </w:p>
    <w:p w14:paraId="5700E977">
      <w:pPr>
        <w:pStyle w:val="42"/>
        <w:widowControl w:val="0"/>
        <w:autoSpaceDE w:val="0"/>
        <w:autoSpaceDN w:val="0"/>
        <w:snapToGrid w:val="0"/>
        <w:spacing w:before="0" w:beforeAutospacing="0" w:after="0" w:afterAutospacing="0" w:line="360" w:lineRule="auto"/>
        <w:ind w:firstLine="420" w:firstLineChars="200"/>
        <w:rPr>
          <w:rFonts w:hint="eastAsia" w:cs="宋体"/>
          <w:snapToGrid w:val="0"/>
          <w:color w:val="auto"/>
          <w:sz w:val="21"/>
          <w:szCs w:val="21"/>
          <w:highlight w:val="none"/>
        </w:rPr>
      </w:pPr>
      <w:r>
        <w:rPr>
          <w:rFonts w:hint="eastAsia" w:cs="宋体"/>
          <w:snapToGrid w:val="0"/>
          <w:color w:val="auto"/>
          <w:sz w:val="21"/>
          <w:szCs w:val="21"/>
          <w:highlight w:val="none"/>
          <w:lang w:bidi="ar"/>
        </w:rPr>
        <w:t>本企业对上述声明内容的真实性负责。如有虚假，将依法承担相应责任。</w:t>
      </w:r>
    </w:p>
    <w:p w14:paraId="6938F220">
      <w:pPr>
        <w:pStyle w:val="42"/>
        <w:widowControl w:val="0"/>
        <w:autoSpaceDE w:val="0"/>
        <w:autoSpaceDN w:val="0"/>
        <w:snapToGrid w:val="0"/>
        <w:spacing w:before="35" w:beforeAutospacing="0" w:after="0" w:afterAutospacing="0" w:line="360" w:lineRule="auto"/>
        <w:ind w:left="4060" w:right="2166" w:firstLine="420" w:firstLineChars="200"/>
        <w:rPr>
          <w:rFonts w:hint="eastAsia" w:cs="宋体"/>
          <w:snapToGrid w:val="0"/>
          <w:color w:val="auto"/>
          <w:sz w:val="21"/>
          <w:szCs w:val="21"/>
          <w:highlight w:val="none"/>
          <w:lang w:bidi="ar"/>
        </w:rPr>
      </w:pPr>
      <w:r>
        <w:rPr>
          <w:rFonts w:hint="eastAsia" w:cs="宋体"/>
          <w:snapToGrid w:val="0"/>
          <w:color w:val="auto"/>
          <w:sz w:val="21"/>
          <w:szCs w:val="21"/>
          <w:highlight w:val="none"/>
          <w:lang w:bidi="ar"/>
        </w:rPr>
        <w:t>企业名称（盖章）：</w:t>
      </w:r>
    </w:p>
    <w:p w14:paraId="6F7FA4DF">
      <w:pPr>
        <w:pStyle w:val="42"/>
        <w:widowControl w:val="0"/>
        <w:autoSpaceDE w:val="0"/>
        <w:autoSpaceDN w:val="0"/>
        <w:snapToGrid w:val="0"/>
        <w:spacing w:before="35" w:beforeAutospacing="0" w:after="0" w:afterAutospacing="0" w:line="360" w:lineRule="auto"/>
        <w:ind w:left="4060" w:right="2166" w:firstLine="420" w:firstLineChars="200"/>
        <w:rPr>
          <w:rFonts w:hint="eastAsia" w:cs="宋体"/>
          <w:snapToGrid w:val="0"/>
          <w:color w:val="auto"/>
          <w:sz w:val="21"/>
          <w:szCs w:val="21"/>
          <w:highlight w:val="none"/>
          <w:lang w:bidi="ar"/>
        </w:rPr>
      </w:pPr>
      <w:r>
        <w:rPr>
          <w:rFonts w:hint="eastAsia" w:cs="宋体"/>
          <w:snapToGrid w:val="0"/>
          <w:color w:val="auto"/>
          <w:sz w:val="21"/>
          <w:szCs w:val="21"/>
          <w:highlight w:val="none"/>
          <w:lang w:bidi="ar"/>
        </w:rPr>
        <w:t>日期：</w:t>
      </w:r>
    </w:p>
    <w:p w14:paraId="21318EE5">
      <w:pPr>
        <w:pStyle w:val="42"/>
        <w:widowControl w:val="0"/>
        <w:autoSpaceDE w:val="0"/>
        <w:autoSpaceDN w:val="0"/>
        <w:snapToGrid w:val="0"/>
        <w:spacing w:before="0" w:beforeAutospacing="0" w:after="0" w:afterAutospacing="0" w:line="360" w:lineRule="auto"/>
        <w:ind w:firstLine="420" w:firstLineChars="200"/>
        <w:rPr>
          <w:rFonts w:hint="eastAsia" w:cs="宋体"/>
          <w:snapToGrid w:val="0"/>
          <w:color w:val="auto"/>
          <w:sz w:val="21"/>
          <w:szCs w:val="21"/>
          <w:highlight w:val="none"/>
          <w:lang w:bidi="ar"/>
        </w:rPr>
      </w:pPr>
      <w:r>
        <w:rPr>
          <w:rFonts w:hint="eastAsia" w:cs="宋体"/>
          <w:snapToGrid w:val="0"/>
          <w:color w:val="auto"/>
          <w:sz w:val="21"/>
          <w:szCs w:val="21"/>
          <w:highlight w:val="none"/>
          <w:lang w:bidi="ar"/>
        </w:rPr>
        <w:t>注一：不符合中小企业扶持政策的，或所有标的信息不能填写全面的，无需提供；请投标人务必全面、准确了解相关政策、产品及制造商等相关信息后，谨慎提交。</w:t>
      </w:r>
    </w:p>
    <w:p w14:paraId="10E5BFED">
      <w:pPr>
        <w:tabs>
          <w:tab w:val="left" w:pos="1183"/>
          <w:tab w:val="left" w:pos="1484"/>
          <w:tab w:val="left" w:pos="4662"/>
          <w:tab w:val="left" w:pos="6903"/>
        </w:tabs>
        <w:snapToGrid w:val="0"/>
        <w:spacing w:line="360" w:lineRule="auto"/>
        <w:ind w:firstLine="442" w:firstLineChars="200"/>
        <w:rPr>
          <w:rFonts w:ascii="宋体" w:hAnsi="宋体"/>
          <w:b/>
          <w:color w:val="auto"/>
          <w:sz w:val="22"/>
          <w:szCs w:val="21"/>
          <w:highlight w:val="none"/>
        </w:rPr>
      </w:pPr>
      <w:r>
        <w:rPr>
          <w:rFonts w:hint="eastAsia" w:ascii="宋体" w:hAnsi="宋体"/>
          <w:b/>
          <w:color w:val="auto"/>
          <w:sz w:val="22"/>
          <w:szCs w:val="21"/>
          <w:highlight w:val="none"/>
        </w:rPr>
        <w:t>投标人须</w:t>
      </w:r>
      <w:r>
        <w:rPr>
          <w:rFonts w:ascii="宋体" w:hAnsi="宋体"/>
          <w:b/>
          <w:color w:val="auto"/>
          <w:sz w:val="22"/>
          <w:szCs w:val="21"/>
          <w:highlight w:val="none"/>
        </w:rPr>
        <w:t>对</w:t>
      </w:r>
      <w:r>
        <w:rPr>
          <w:rFonts w:hint="eastAsia" w:ascii="宋体" w:hAnsi="宋体"/>
          <w:b/>
          <w:color w:val="auto"/>
          <w:sz w:val="22"/>
          <w:szCs w:val="21"/>
          <w:highlight w:val="none"/>
        </w:rPr>
        <w:t>《中小企业声明函》</w:t>
      </w:r>
      <w:r>
        <w:rPr>
          <w:rFonts w:ascii="宋体" w:hAnsi="宋体"/>
          <w:b/>
          <w:color w:val="auto"/>
          <w:sz w:val="22"/>
          <w:szCs w:val="21"/>
          <w:highlight w:val="none"/>
        </w:rPr>
        <w:t>的真实性负责。如有虚假，</w:t>
      </w:r>
      <w:r>
        <w:rPr>
          <w:rFonts w:ascii="宋体" w:hAnsi="宋体"/>
          <w:b/>
          <w:color w:val="auto"/>
          <w:sz w:val="22"/>
          <w:szCs w:val="21"/>
          <w:highlight w:val="none"/>
          <w:lang w:bidi="ar"/>
        </w:rPr>
        <w:t>属于提供虚假材料谋取中标，</w:t>
      </w:r>
      <w:r>
        <w:rPr>
          <w:rFonts w:ascii="宋体" w:hAnsi="宋体"/>
          <w:b/>
          <w:color w:val="auto"/>
          <w:sz w:val="22"/>
          <w:szCs w:val="21"/>
          <w:highlight w:val="none"/>
        </w:rPr>
        <w:t>将依法</w:t>
      </w:r>
      <w:r>
        <w:rPr>
          <w:rFonts w:hint="eastAsia" w:ascii="宋体" w:hAnsi="宋体"/>
          <w:b/>
          <w:color w:val="auto"/>
          <w:sz w:val="22"/>
          <w:szCs w:val="21"/>
          <w:highlight w:val="none"/>
        </w:rPr>
        <w:t>追究</w:t>
      </w:r>
      <w:r>
        <w:rPr>
          <w:rFonts w:ascii="宋体" w:hAnsi="宋体"/>
          <w:b/>
          <w:color w:val="auto"/>
          <w:sz w:val="22"/>
          <w:szCs w:val="21"/>
          <w:highlight w:val="none"/>
        </w:rPr>
        <w:t>相应责任。</w:t>
      </w:r>
      <w:r>
        <w:rPr>
          <w:rFonts w:hint="eastAsia" w:ascii="宋体" w:hAnsi="宋体"/>
          <w:b/>
          <w:color w:val="auto"/>
          <w:sz w:val="22"/>
          <w:szCs w:val="21"/>
          <w:highlight w:val="none"/>
        </w:rPr>
        <w:t>投标人可自行登录工业和信息化部官网进行中小企业规模类型自测（查询网址https://www.miit.gov.cn/）。</w:t>
      </w:r>
    </w:p>
    <w:p w14:paraId="089996DB">
      <w:pPr>
        <w:autoSpaceDE w:val="0"/>
        <w:autoSpaceDN w:val="0"/>
        <w:snapToGrid w:val="0"/>
        <w:spacing w:line="360" w:lineRule="auto"/>
        <w:ind w:left="80" w:leftChars="38" w:right="40" w:firstLine="420" w:firstLineChars="200"/>
        <w:rPr>
          <w:rFonts w:hint="eastAsia" w:ascii="宋体" w:hAnsi="宋体" w:cs="宋体"/>
          <w:color w:val="auto"/>
          <w:szCs w:val="21"/>
          <w:highlight w:val="none"/>
        </w:rPr>
      </w:pPr>
      <w:r>
        <w:rPr>
          <w:rFonts w:hint="eastAsia" w:ascii="宋体" w:hAnsi="宋体" w:cs="宋体"/>
          <w:color w:val="auto"/>
          <w:szCs w:val="21"/>
          <w:highlight w:val="none"/>
        </w:rPr>
        <w:t>注二：1.监狱企业无需</w:t>
      </w:r>
      <w:r>
        <w:rPr>
          <w:rFonts w:hint="eastAsia" w:ascii="宋体" w:hAnsi="宋体" w:cs="宋体"/>
          <w:color w:val="auto"/>
          <w:spacing w:val="6"/>
          <w:sz w:val="22"/>
          <w:highlight w:val="none"/>
        </w:rPr>
        <w:t>提供</w:t>
      </w:r>
      <w:r>
        <w:rPr>
          <w:rFonts w:hint="eastAsia" w:ascii="宋体" w:hAnsi="宋体" w:cs="宋体"/>
          <w:color w:val="auto"/>
          <w:szCs w:val="21"/>
          <w:highlight w:val="none"/>
        </w:rPr>
        <w:t>《中小企业声明函》，需要提供由省级以上监狱管理局、戒毒管理局(含新疆生产建设兵团)出具的属于监狱企业的证明文件。</w:t>
      </w:r>
    </w:p>
    <w:p w14:paraId="51E4E2E1">
      <w:pPr>
        <w:autoSpaceDE w:val="0"/>
        <w:autoSpaceDN w:val="0"/>
        <w:snapToGrid w:val="0"/>
        <w:spacing w:line="360" w:lineRule="auto"/>
        <w:ind w:left="80" w:leftChars="38" w:right="40" w:firstLine="420" w:firstLineChars="200"/>
        <w:rPr>
          <w:rFonts w:hint="eastAsia" w:ascii="宋体" w:hAnsi="宋体" w:cs="宋体"/>
          <w:color w:val="auto"/>
          <w:szCs w:val="21"/>
          <w:highlight w:val="none"/>
        </w:rPr>
      </w:pPr>
      <w:r>
        <w:rPr>
          <w:rFonts w:hint="eastAsia" w:ascii="宋体" w:hAnsi="宋体" w:cs="宋体"/>
          <w:color w:val="auto"/>
          <w:szCs w:val="21"/>
          <w:highlight w:val="none"/>
        </w:rPr>
        <w:t>2.残疾人福利性单位无需提供《中小企业声明函》，提供以下格式的《残疾人福利性单位声明函》。</w:t>
      </w:r>
    </w:p>
    <w:p w14:paraId="73DAA621">
      <w:pPr>
        <w:spacing w:line="360" w:lineRule="auto"/>
        <w:rPr>
          <w:rFonts w:hint="eastAsia" w:ascii="宋体" w:hAnsi="宋体" w:cs="宋体"/>
          <w:color w:val="auto"/>
          <w:highlight w:val="none"/>
        </w:rPr>
      </w:pPr>
      <w:bookmarkStart w:id="895" w:name="OLE_LINK14"/>
      <w:bookmarkStart w:id="896" w:name="OLE_LINK13"/>
    </w:p>
    <w:p w14:paraId="0AD8E70C">
      <w:pPr>
        <w:spacing w:line="360" w:lineRule="auto"/>
        <w:rPr>
          <w:rFonts w:hint="eastAsia" w:ascii="宋体" w:hAnsi="宋体" w:cs="宋体"/>
          <w:color w:val="auto"/>
          <w:highlight w:val="none"/>
        </w:rPr>
      </w:pPr>
    </w:p>
    <w:p w14:paraId="783A62A5">
      <w:pPr>
        <w:rPr>
          <w:rFonts w:hint="eastAsia" w:ascii="宋体" w:hAnsi="宋体" w:cs="宋体"/>
          <w:color w:val="auto"/>
          <w:highlight w:val="none"/>
        </w:rPr>
      </w:pPr>
    </w:p>
    <w:p w14:paraId="69293EF8">
      <w:pPr>
        <w:pStyle w:val="27"/>
        <w:spacing w:line="360" w:lineRule="auto"/>
        <w:jc w:val="center"/>
        <w:rPr>
          <w:rFonts w:hint="eastAsia" w:hAnsi="宋体" w:cs="宋体"/>
          <w:b/>
          <w:color w:val="auto"/>
          <w:spacing w:val="6"/>
          <w:szCs w:val="24"/>
          <w:highlight w:val="none"/>
        </w:rPr>
      </w:pPr>
      <w:r>
        <w:rPr>
          <w:rFonts w:hint="eastAsia" w:hAnsi="宋体" w:cs="宋体"/>
          <w:b/>
          <w:color w:val="auto"/>
          <w:spacing w:val="6"/>
          <w:szCs w:val="24"/>
          <w:highlight w:val="none"/>
        </w:rPr>
        <w:t>残疾人福利性单位声明函</w:t>
      </w:r>
    </w:p>
    <w:bookmarkEnd w:id="895"/>
    <w:bookmarkEnd w:id="896"/>
    <w:p w14:paraId="6F1D7D02">
      <w:pPr>
        <w:autoSpaceDE w:val="0"/>
        <w:autoSpaceDN w:val="0"/>
        <w:snapToGrid w:val="0"/>
        <w:spacing w:line="360" w:lineRule="auto"/>
        <w:ind w:left="80" w:leftChars="38" w:right="40" w:firstLine="464" w:firstLineChars="200"/>
        <w:rPr>
          <w:rFonts w:hint="eastAsia" w:ascii="宋体" w:hAnsi="宋体" w:cs="宋体"/>
          <w:color w:val="auto"/>
          <w:spacing w:val="6"/>
          <w:sz w:val="22"/>
          <w:highlight w:val="none"/>
        </w:rPr>
      </w:pPr>
      <w:r>
        <w:rPr>
          <w:rFonts w:hint="eastAsia" w:ascii="宋体" w:hAnsi="宋体" w:cs="宋体"/>
          <w:color w:val="auto"/>
          <w:spacing w:val="6"/>
          <w:sz w:val="22"/>
          <w:highlight w:val="none"/>
        </w:rPr>
        <w:t>本单位郑重声明，根据</w:t>
      </w:r>
      <w:r>
        <w:rPr>
          <w:rFonts w:hint="eastAsia" w:ascii="宋体" w:hAnsi="宋体" w:cs="宋体"/>
          <w:color w:val="auto"/>
          <w:sz w:val="22"/>
          <w:highlight w:val="none"/>
          <w:lang w:val="zh-CN"/>
        </w:rPr>
        <w:t>《财政部 民政部 中国残疾人联合会关于促进残疾人就业政府采购政策的通知》</w:t>
      </w:r>
      <w:r>
        <w:rPr>
          <w:rFonts w:hint="eastAsia" w:ascii="宋体" w:hAnsi="宋体" w:cs="宋体"/>
          <w:color w:val="auto"/>
          <w:spacing w:val="6"/>
          <w:sz w:val="22"/>
          <w:highlight w:val="none"/>
        </w:rPr>
        <w:t>（财库</w:t>
      </w:r>
      <w:r>
        <w:rPr>
          <w:rFonts w:hint="eastAsia" w:ascii="宋体" w:hAnsi="宋体" w:cs="宋体"/>
          <w:color w:val="auto"/>
          <w:sz w:val="22"/>
          <w:highlight w:val="none"/>
        </w:rPr>
        <w:t>〔2017〕141</w:t>
      </w:r>
      <w:r>
        <w:rPr>
          <w:rFonts w:hint="eastAsia" w:ascii="宋体" w:hAnsi="宋体" w:cs="宋体"/>
          <w:color w:val="auto"/>
          <w:spacing w:val="6"/>
          <w:sz w:val="22"/>
          <w:highlight w:val="none"/>
        </w:rPr>
        <w:t>号）的规定，本单位为符合条件的残疾人福利性单位，且本单位参加</w:t>
      </w:r>
      <w:r>
        <w:rPr>
          <w:rFonts w:hint="eastAsia" w:ascii="宋体" w:hAnsi="宋体" w:cs="宋体"/>
          <w:color w:val="auto"/>
          <w:spacing w:val="6"/>
          <w:sz w:val="22"/>
          <w:highlight w:val="none"/>
          <w:u w:val="single"/>
        </w:rPr>
        <w:t>______</w:t>
      </w:r>
      <w:r>
        <w:rPr>
          <w:rFonts w:hint="eastAsia" w:ascii="宋体" w:hAnsi="宋体" w:cs="宋体"/>
          <w:color w:val="auto"/>
          <w:spacing w:val="6"/>
          <w:sz w:val="22"/>
          <w:highlight w:val="none"/>
        </w:rPr>
        <w:t>单位的</w:t>
      </w:r>
      <w:r>
        <w:rPr>
          <w:rFonts w:hint="eastAsia" w:ascii="宋体" w:hAnsi="宋体" w:cs="宋体"/>
          <w:color w:val="auto"/>
          <w:spacing w:val="6"/>
          <w:sz w:val="22"/>
          <w:highlight w:val="none"/>
          <w:u w:val="single"/>
        </w:rPr>
        <w:t>______</w:t>
      </w:r>
      <w:r>
        <w:rPr>
          <w:rFonts w:hint="eastAsia" w:ascii="宋体" w:hAnsi="宋体" w:cs="宋体"/>
          <w:color w:val="auto"/>
          <w:spacing w:val="6"/>
          <w:sz w:val="22"/>
          <w:highlight w:val="none"/>
        </w:rPr>
        <w:t>项目采购活动提供本单位制造的货物（由本单位承担工程/提供服务），或者提供其他残疾人福利性单位制造的货物（不包括使用非残疾人福利性单位注册商标的货物）。</w:t>
      </w:r>
    </w:p>
    <w:p w14:paraId="50C48A29">
      <w:pPr>
        <w:autoSpaceDE w:val="0"/>
        <w:autoSpaceDN w:val="0"/>
        <w:snapToGrid w:val="0"/>
        <w:spacing w:line="360" w:lineRule="auto"/>
        <w:ind w:left="80" w:leftChars="38" w:right="40" w:firstLine="464" w:firstLineChars="200"/>
        <w:rPr>
          <w:rFonts w:hint="eastAsia" w:ascii="宋体" w:hAnsi="宋体" w:cs="宋体"/>
          <w:color w:val="auto"/>
          <w:spacing w:val="6"/>
          <w:sz w:val="22"/>
          <w:highlight w:val="none"/>
        </w:rPr>
      </w:pPr>
      <w:r>
        <w:rPr>
          <w:rFonts w:hint="eastAsia" w:ascii="宋体" w:hAnsi="宋体" w:cs="宋体"/>
          <w:color w:val="auto"/>
          <w:spacing w:val="6"/>
          <w:sz w:val="22"/>
          <w:highlight w:val="none"/>
        </w:rPr>
        <w:t>本单位对上述声明的真实性负责。如有虚假，将依法承担相应责任。</w:t>
      </w:r>
    </w:p>
    <w:p w14:paraId="63950CD5">
      <w:pPr>
        <w:autoSpaceDE w:val="0"/>
        <w:autoSpaceDN w:val="0"/>
        <w:snapToGrid w:val="0"/>
        <w:spacing w:line="360" w:lineRule="auto"/>
        <w:ind w:left="80" w:leftChars="38" w:right="40" w:firstLine="464" w:firstLineChars="200"/>
        <w:rPr>
          <w:rFonts w:hint="eastAsia" w:ascii="宋体" w:hAnsi="宋体" w:cs="宋体"/>
          <w:color w:val="auto"/>
          <w:spacing w:val="6"/>
          <w:sz w:val="22"/>
          <w:highlight w:val="none"/>
        </w:rPr>
      </w:pPr>
      <w:r>
        <w:rPr>
          <w:rFonts w:hint="eastAsia" w:ascii="宋体" w:hAnsi="宋体" w:cs="宋体"/>
          <w:color w:val="auto"/>
          <w:spacing w:val="6"/>
          <w:sz w:val="22"/>
          <w:highlight w:val="none"/>
        </w:rPr>
        <w:t xml:space="preserve">               单位名称：</w:t>
      </w:r>
      <w:r>
        <w:rPr>
          <w:rFonts w:hint="eastAsia" w:ascii="宋体" w:hAnsi="宋体" w:cs="宋体"/>
          <w:color w:val="auto"/>
          <w:spacing w:val="6"/>
          <w:sz w:val="22"/>
          <w:highlight w:val="none"/>
          <w:u w:val="single"/>
        </w:rPr>
        <w:t xml:space="preserve">          </w:t>
      </w:r>
      <w:r>
        <w:rPr>
          <w:rFonts w:hint="eastAsia" w:ascii="宋体" w:hAnsi="宋体" w:cs="宋体"/>
          <w:color w:val="auto"/>
          <w:spacing w:val="6"/>
          <w:sz w:val="22"/>
          <w:highlight w:val="none"/>
        </w:rPr>
        <w:t>（盖单位章）</w:t>
      </w:r>
    </w:p>
    <w:p w14:paraId="2D9607DE">
      <w:pPr>
        <w:autoSpaceDE w:val="0"/>
        <w:autoSpaceDN w:val="0"/>
        <w:snapToGrid w:val="0"/>
        <w:spacing w:line="360" w:lineRule="auto"/>
        <w:ind w:left="80" w:leftChars="38" w:right="40" w:firstLine="464" w:firstLineChars="200"/>
        <w:rPr>
          <w:rFonts w:hint="eastAsia" w:ascii="宋体" w:hAnsi="宋体" w:cs="宋体"/>
          <w:color w:val="auto"/>
          <w:sz w:val="24"/>
          <w:highlight w:val="none"/>
        </w:rPr>
      </w:pPr>
      <w:r>
        <w:rPr>
          <w:rFonts w:hint="eastAsia" w:ascii="宋体" w:hAnsi="宋体" w:cs="宋体"/>
          <w:color w:val="auto"/>
          <w:spacing w:val="6"/>
          <w:sz w:val="22"/>
          <w:highlight w:val="none"/>
        </w:rPr>
        <w:t xml:space="preserve">               日  期：</w:t>
      </w:r>
      <w:r>
        <w:rPr>
          <w:rFonts w:hint="eastAsia" w:ascii="宋体" w:hAnsi="宋体" w:cs="宋体"/>
          <w:color w:val="auto"/>
          <w:spacing w:val="6"/>
          <w:sz w:val="22"/>
          <w:highlight w:val="none"/>
          <w:u w:val="single"/>
        </w:rPr>
        <w:t xml:space="preserve">                   </w:t>
      </w:r>
      <w:r>
        <w:rPr>
          <w:rFonts w:hint="eastAsia" w:ascii="宋体" w:hAnsi="宋体" w:cs="宋体"/>
          <w:color w:val="auto"/>
          <w:spacing w:val="6"/>
          <w:sz w:val="22"/>
          <w:highlight w:val="none"/>
          <w:u w:val="single"/>
        </w:rPr>
        <w:br w:type="page"/>
      </w:r>
      <w:r>
        <w:rPr>
          <w:rFonts w:hint="eastAsia" w:ascii="宋体" w:hAnsi="宋体" w:cs="宋体"/>
          <w:color w:val="auto"/>
          <w:sz w:val="24"/>
          <w:highlight w:val="none"/>
        </w:rPr>
        <w:t>附：</w:t>
      </w:r>
    </w:p>
    <w:p w14:paraId="549591DF">
      <w:pPr>
        <w:widowControl/>
        <w:jc w:val="center"/>
        <w:rPr>
          <w:rFonts w:hint="eastAsia" w:ascii="宋体" w:hAnsi="宋体" w:cs="宋体"/>
          <w:b/>
          <w:color w:val="auto"/>
          <w:sz w:val="24"/>
          <w:szCs w:val="21"/>
          <w:highlight w:val="none"/>
        </w:rPr>
      </w:pPr>
      <w:r>
        <w:rPr>
          <w:rFonts w:hint="eastAsia" w:ascii="宋体" w:hAnsi="宋体" w:cs="宋体"/>
          <w:b/>
          <w:color w:val="auto"/>
          <w:sz w:val="24"/>
          <w:szCs w:val="21"/>
          <w:highlight w:val="none"/>
        </w:rPr>
        <w:t>工业和信息化部、国家统计局、国家发展和改革委员会、财政部关于印发中小企业划型标准规定的通知</w:t>
      </w:r>
    </w:p>
    <w:p w14:paraId="563146C5">
      <w:pPr>
        <w:widowControl/>
        <w:jc w:val="center"/>
        <w:rPr>
          <w:rFonts w:hint="eastAsia" w:ascii="宋体" w:hAnsi="宋体" w:cs="宋体"/>
          <w:b/>
          <w:color w:val="auto"/>
          <w:sz w:val="24"/>
          <w:szCs w:val="21"/>
          <w:highlight w:val="none"/>
        </w:rPr>
      </w:pPr>
      <w:r>
        <w:rPr>
          <w:rFonts w:hint="eastAsia" w:ascii="宋体" w:hAnsi="宋体" w:cs="宋体"/>
          <w:b/>
          <w:color w:val="auto"/>
          <w:sz w:val="24"/>
          <w:szCs w:val="21"/>
          <w:highlight w:val="none"/>
        </w:rPr>
        <w:t>（工信部联企业〔2011〕300号）</w:t>
      </w:r>
    </w:p>
    <w:p w14:paraId="2FC0B7D6">
      <w:pPr>
        <w:widowControl/>
        <w:adjustRightInd w:val="0"/>
        <w:snapToGrid w:val="0"/>
        <w:spacing w:line="360" w:lineRule="auto"/>
        <w:rPr>
          <w:rFonts w:hint="eastAsia" w:ascii="宋体" w:hAnsi="宋体" w:cs="宋体"/>
          <w:color w:val="auto"/>
          <w:szCs w:val="21"/>
          <w:highlight w:val="none"/>
        </w:rPr>
      </w:pPr>
      <w:r>
        <w:rPr>
          <w:rFonts w:hint="eastAsia" w:ascii="宋体" w:hAnsi="宋体" w:cs="宋体"/>
          <w:color w:val="auto"/>
          <w:szCs w:val="21"/>
          <w:highlight w:val="none"/>
        </w:rPr>
        <w:t>各省、自治区、直辖市人民政府，国务院各部委、各直属机构及有关单位：</w:t>
      </w:r>
    </w:p>
    <w:p w14:paraId="59BF15E3">
      <w:pPr>
        <w:widowControl/>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为贯彻落实《中华人民共和国中小企业促进法》和《国务院关于进一步促进中小企业发展的若干意见》（国发〔2009〕36号），工业和信息化部、国家统计局、发展改革委、财政部研究制定了《中小企业划型标准规定》。经国务院同意，现印发给你们，请遵照执行。</w:t>
      </w:r>
    </w:p>
    <w:p w14:paraId="52E5BA97">
      <w:pPr>
        <w:widowControl/>
        <w:jc w:val="right"/>
        <w:rPr>
          <w:rFonts w:hint="eastAsia" w:ascii="宋体" w:hAnsi="宋体" w:cs="宋体"/>
          <w:color w:val="auto"/>
          <w:szCs w:val="21"/>
          <w:highlight w:val="none"/>
        </w:rPr>
      </w:pPr>
      <w:r>
        <w:rPr>
          <w:rFonts w:hint="eastAsia" w:ascii="宋体" w:hAnsi="宋体" w:cs="宋体"/>
          <w:color w:val="auto"/>
          <w:szCs w:val="21"/>
          <w:highlight w:val="none"/>
        </w:rPr>
        <w:t>工业和信息化部</w:t>
      </w:r>
    </w:p>
    <w:p w14:paraId="0FF7D76C">
      <w:pPr>
        <w:widowControl/>
        <w:jc w:val="right"/>
        <w:rPr>
          <w:rFonts w:hint="eastAsia" w:ascii="宋体" w:hAnsi="宋体" w:cs="宋体"/>
          <w:color w:val="auto"/>
          <w:szCs w:val="21"/>
          <w:highlight w:val="none"/>
        </w:rPr>
      </w:pPr>
      <w:r>
        <w:rPr>
          <w:rFonts w:hint="eastAsia" w:ascii="宋体" w:hAnsi="宋体" w:cs="宋体"/>
          <w:color w:val="auto"/>
          <w:szCs w:val="21"/>
          <w:highlight w:val="none"/>
        </w:rPr>
        <w:t>国家统计局</w:t>
      </w:r>
    </w:p>
    <w:p w14:paraId="1F3432F9">
      <w:pPr>
        <w:widowControl/>
        <w:jc w:val="right"/>
        <w:rPr>
          <w:rFonts w:hint="eastAsia" w:ascii="宋体" w:hAnsi="宋体" w:cs="宋体"/>
          <w:color w:val="auto"/>
          <w:szCs w:val="21"/>
          <w:highlight w:val="none"/>
        </w:rPr>
      </w:pPr>
      <w:r>
        <w:rPr>
          <w:rFonts w:hint="eastAsia" w:ascii="宋体" w:hAnsi="宋体" w:cs="宋体"/>
          <w:color w:val="auto"/>
          <w:szCs w:val="21"/>
          <w:highlight w:val="none"/>
        </w:rPr>
        <w:t>国家发展和改革委员会</w:t>
      </w:r>
    </w:p>
    <w:p w14:paraId="5FF7B87D">
      <w:pPr>
        <w:widowControl/>
        <w:jc w:val="right"/>
        <w:rPr>
          <w:rFonts w:hint="eastAsia" w:ascii="宋体" w:hAnsi="宋体" w:cs="宋体"/>
          <w:color w:val="auto"/>
          <w:szCs w:val="21"/>
          <w:highlight w:val="none"/>
        </w:rPr>
      </w:pPr>
      <w:r>
        <w:rPr>
          <w:rFonts w:hint="eastAsia" w:ascii="宋体" w:hAnsi="宋体" w:cs="宋体"/>
          <w:color w:val="auto"/>
          <w:szCs w:val="21"/>
          <w:highlight w:val="none"/>
        </w:rPr>
        <w:t>财政部</w:t>
      </w:r>
    </w:p>
    <w:p w14:paraId="323B08F3">
      <w:pPr>
        <w:widowControl/>
        <w:jc w:val="right"/>
        <w:rPr>
          <w:rFonts w:hint="eastAsia" w:ascii="宋体" w:hAnsi="宋体" w:cs="宋体"/>
          <w:color w:val="auto"/>
          <w:szCs w:val="21"/>
          <w:highlight w:val="none"/>
        </w:rPr>
      </w:pPr>
      <w:r>
        <w:rPr>
          <w:rFonts w:hint="eastAsia" w:ascii="宋体" w:hAnsi="宋体" w:cs="宋体"/>
          <w:color w:val="auto"/>
          <w:szCs w:val="21"/>
          <w:highlight w:val="none"/>
        </w:rPr>
        <w:t>二○一一年六月十八日</w:t>
      </w:r>
    </w:p>
    <w:p w14:paraId="3544CFAF">
      <w:pPr>
        <w:widowControl/>
        <w:spacing w:line="360" w:lineRule="auto"/>
        <w:jc w:val="center"/>
        <w:rPr>
          <w:rFonts w:hint="eastAsia" w:ascii="宋体" w:hAnsi="宋体" w:cs="宋体"/>
          <w:b/>
          <w:color w:val="auto"/>
          <w:szCs w:val="21"/>
          <w:highlight w:val="none"/>
        </w:rPr>
      </w:pPr>
      <w:r>
        <w:rPr>
          <w:rFonts w:hint="eastAsia" w:ascii="宋体" w:hAnsi="宋体" w:cs="宋体"/>
          <w:b/>
          <w:color w:val="auto"/>
          <w:szCs w:val="21"/>
          <w:highlight w:val="none"/>
        </w:rPr>
        <w:t>中小企业划型标准规定</w:t>
      </w:r>
    </w:p>
    <w:p w14:paraId="381BFDF4">
      <w:pPr>
        <w:widowControl/>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一、根据《中华人民共和国中小企业促进法》和《国务院关于进一步促进中小企业发展的若干意见》（国发〔2009〕36号），制定本规定。</w:t>
      </w:r>
    </w:p>
    <w:p w14:paraId="07519F08">
      <w:pPr>
        <w:widowControl/>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二、中小企业划分为中型、小型、微型三种类型，具体标准根据企业从业人员、营业收入、资产总额等指标，结合行业特点制定。</w:t>
      </w:r>
    </w:p>
    <w:p w14:paraId="66F790F9">
      <w:pPr>
        <w:widowControl/>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三、本规定适用的行业包括：农、林、牧、渔业，工业（包括采矿业，制造业，电力、热力、燃气及水生产和供应业），建筑业，批发业，零售业，交通运输业（不含铁路运输业），仓储业，邮政业，住宿业，餐饮业，信息传输业（包括电信、互联网和相关服务），软件和信息技术服务业，房地产开发经营，物业管理，租赁和商务服务业，其他未列明行业（包括科学研究和技术服务业，水利、环境和公共设施管理业，居民服务、修理和其他服务业，社会工作，文化、体育和娱乐业等）。</w:t>
      </w:r>
    </w:p>
    <w:p w14:paraId="4454F5B6">
      <w:pPr>
        <w:widowControl/>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四、各行业划型标准为：</w:t>
      </w:r>
    </w:p>
    <w:p w14:paraId="281456AA">
      <w:pPr>
        <w:widowControl/>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（一）农、林、牧、渔业。营业收入20000万元以下的为中小微型企业。其中，营业收入500万元及以上的为中型企业，营业收入50万元及以上的为小型企业，营业收入50万元以下的为微型企业。</w:t>
      </w:r>
    </w:p>
    <w:p w14:paraId="493CC33D">
      <w:pPr>
        <w:widowControl/>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二）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14:paraId="1333B566">
      <w:pPr>
        <w:widowControl/>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三）建筑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p>
    <w:p w14:paraId="2E5DABC6">
      <w:pPr>
        <w:widowControl/>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四）批发业。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w:t>
      </w:r>
    </w:p>
    <w:p w14:paraId="72045032">
      <w:pPr>
        <w:widowControl/>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五）零售业。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w:t>
      </w:r>
    </w:p>
    <w:p w14:paraId="4E6781BD">
      <w:pPr>
        <w:widowControl/>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六）交通运输业。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w:t>
      </w:r>
    </w:p>
    <w:p w14:paraId="1C459E8E">
      <w:pPr>
        <w:widowControl/>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七）仓储业。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w:t>
      </w:r>
    </w:p>
    <w:p w14:paraId="68CCA26C">
      <w:pPr>
        <w:widowControl/>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八）邮政业。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w:t>
      </w:r>
    </w:p>
    <w:p w14:paraId="6E2CA4F4">
      <w:pPr>
        <w:widowControl/>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九）住宿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5BA92A9C">
      <w:pPr>
        <w:widowControl/>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十）餐饮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64E68381">
      <w:pPr>
        <w:widowControl/>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十一）信息传输业。从业人员2000人以下或营业收入100000万元以下的为中小微型企业。其中，从业人员100人及以上，且营业收入1000万元及以上的为中型企业；从业人员10人及以上，且营业收入100万元及以上的为小型企业；从业人员10人以下或营业收入100万元以下的为微型企业。</w:t>
      </w:r>
    </w:p>
    <w:p w14:paraId="05A731D8">
      <w:pPr>
        <w:widowControl/>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十二）软件和信息技术服务业。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w:t>
      </w:r>
    </w:p>
    <w:p w14:paraId="727A056A">
      <w:pPr>
        <w:widowControl/>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十三）房地产开发经营。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w:t>
      </w:r>
    </w:p>
    <w:p w14:paraId="60348E6A">
      <w:pPr>
        <w:widowControl/>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十四）物业管理。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w:t>
      </w:r>
    </w:p>
    <w:p w14:paraId="3189265C">
      <w:pPr>
        <w:widowControl/>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十五）租赁和商务服务业。从业人员300人以下或资产总额120000万元以下的为中小微型企业。其中，从业人员100人及以上，且资产总额8000万元及以上的为中型企业；从业人员10人及以上，且资产总额100万元及以上的为小型企业；从业人员10人以下或资产总额100万元以下的为微型企业。</w:t>
      </w:r>
    </w:p>
    <w:p w14:paraId="55F3BD1B">
      <w:pPr>
        <w:widowControl/>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（十六）其他未列明行业。从业人员300人以下的为中小微型企业。其中，从业人员100人及以上的为中型企业；从业人员10人及以上的为小型企业；从业人员10人以下的为微型企业。</w:t>
      </w:r>
    </w:p>
    <w:p w14:paraId="4527DDF3">
      <w:pPr>
        <w:widowControl/>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五、企业类型的划分以统计部门的统计数据为依据。</w:t>
      </w:r>
    </w:p>
    <w:p w14:paraId="1A26E8BC">
      <w:pPr>
        <w:widowControl/>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六、本规定适用于在中华人民共和国境内依法设立的各类所有制和各种组织形式的企业。个体工商户和本规定以外的行业，参照本规定进行划型。</w:t>
      </w:r>
    </w:p>
    <w:p w14:paraId="4199C13F">
      <w:pPr>
        <w:widowControl/>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七、本规定的中型企业标准上限即为大型企业标准的下限，国家统计部门据此制定大中小微型企业的统计分类。国务院有关部门据此进行相关数据分析，不得制定与本规定不一致的企业划型标准。</w:t>
      </w:r>
    </w:p>
    <w:p w14:paraId="58DB9433">
      <w:pPr>
        <w:widowControl/>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八、本规定由工业和信息化部、国家统计局会同有关部门根据《国民经济行业分类》修订情况和企业发展变化情况适时修订。</w:t>
      </w:r>
    </w:p>
    <w:p w14:paraId="373E1D92">
      <w:pPr>
        <w:widowControl/>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九、本规定由工业和信息化部、国家统计局会同有关部门负责解释。</w:t>
      </w:r>
    </w:p>
    <w:p w14:paraId="7043D1AC">
      <w:pPr>
        <w:widowControl/>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十、本规定自发布之日起执行，原国家经贸委、原国家计委、财政部和国家统计局2003年颁布的《中小企业标准暂行规定》同时废止。</w:t>
      </w:r>
    </w:p>
    <w:p w14:paraId="763CF0E2">
      <w:pPr>
        <w:widowControl/>
        <w:spacing w:line="200" w:lineRule="atLeast"/>
        <w:rPr>
          <w:rFonts w:hint="eastAsia" w:ascii="宋体" w:hAnsi="宋体" w:cs="宋体"/>
          <w:color w:val="auto"/>
          <w:kern w:val="0"/>
          <w:sz w:val="20"/>
          <w:szCs w:val="20"/>
          <w:highlight w:val="none"/>
        </w:rPr>
        <w:sectPr>
          <w:footnotePr>
            <w:numRestart w:val="eachPage"/>
          </w:footnotePr>
          <w:pgSz w:w="11906" w:h="16838"/>
          <w:pgMar w:top="1134" w:right="1134" w:bottom="1134" w:left="1134" w:header="851" w:footer="851" w:gutter="0"/>
          <w:cols w:space="720" w:num="1"/>
          <w:docGrid w:linePitch="312" w:charSpace="0"/>
        </w:sectPr>
      </w:pPr>
    </w:p>
    <w:p w14:paraId="349518A8">
      <w:pPr>
        <w:pStyle w:val="3"/>
        <w:widowControl/>
        <w:spacing w:before="120" w:after="120" w:line="240" w:lineRule="auto"/>
        <w:jc w:val="center"/>
        <w:rPr>
          <w:rFonts w:hint="eastAsia" w:ascii="宋体" w:hAnsi="宋体" w:cs="宋体"/>
          <w:color w:val="auto"/>
          <w:kern w:val="0"/>
          <w:sz w:val="28"/>
          <w:szCs w:val="28"/>
          <w:highlight w:val="none"/>
        </w:rPr>
      </w:pPr>
      <w:r>
        <w:rPr>
          <w:rFonts w:hint="eastAsia" w:ascii="宋体" w:hAnsi="宋体" w:cs="宋体"/>
          <w:bCs w:val="0"/>
          <w:color w:val="auto"/>
          <w:kern w:val="0"/>
          <w:sz w:val="28"/>
          <w:szCs w:val="28"/>
          <w:highlight w:val="none"/>
        </w:rPr>
        <w:t>六、</w:t>
      </w:r>
      <w:r>
        <w:rPr>
          <w:rFonts w:hint="eastAsia" w:ascii="宋体" w:hAnsi="宋体" w:cs="宋体"/>
          <w:color w:val="auto"/>
          <w:kern w:val="0"/>
          <w:sz w:val="28"/>
          <w:szCs w:val="28"/>
          <w:highlight w:val="none"/>
        </w:rPr>
        <w:t>法定代表人（单位负责人）身份证明或授权委托书</w:t>
      </w:r>
    </w:p>
    <w:p w14:paraId="3D06208B">
      <w:pPr>
        <w:jc w:val="center"/>
        <w:rPr>
          <w:rFonts w:hint="eastAsia" w:ascii="宋体" w:hAnsi="宋体" w:cs="宋体"/>
          <w:b/>
          <w:color w:val="auto"/>
          <w:highlight w:val="none"/>
        </w:rPr>
      </w:pPr>
      <w:r>
        <w:rPr>
          <w:rFonts w:hint="eastAsia" w:ascii="宋体" w:hAnsi="宋体" w:cs="宋体"/>
          <w:b/>
          <w:color w:val="auto"/>
          <w:kern w:val="0"/>
          <w:sz w:val="28"/>
          <w:szCs w:val="28"/>
          <w:highlight w:val="none"/>
        </w:rPr>
        <w:t>法定代表人（单位负责人）身份证明</w:t>
      </w:r>
    </w:p>
    <w:p w14:paraId="46CDD8D4">
      <w:pPr>
        <w:widowControl/>
        <w:spacing w:line="360" w:lineRule="auto"/>
        <w:rPr>
          <w:rFonts w:hint="eastAsia" w:ascii="宋体" w:hAnsi="宋体" w:cs="宋体"/>
          <w:color w:val="auto"/>
          <w:spacing w:val="3"/>
          <w:kern w:val="0"/>
          <w:highlight w:val="none"/>
        </w:rPr>
      </w:pPr>
      <w:r>
        <w:rPr>
          <w:rFonts w:hint="eastAsia" w:ascii="宋体" w:hAnsi="宋体" w:cs="宋体"/>
          <w:color w:val="auto"/>
          <w:kern w:val="0"/>
          <w:highlight w:val="none"/>
        </w:rPr>
        <w:t>投标人名称：</w:t>
      </w:r>
      <w:r>
        <w:rPr>
          <w:rFonts w:hint="eastAsia" w:ascii="宋体" w:hAnsi="宋体" w:cs="宋体"/>
          <w:color w:val="auto"/>
          <w:kern w:val="0"/>
          <w:highlight w:val="none"/>
          <w:u w:val="single"/>
        </w:rPr>
        <w:t xml:space="preserve">                                                      </w:t>
      </w:r>
      <w:r>
        <w:rPr>
          <w:rFonts w:hint="eastAsia" w:ascii="宋体" w:hAnsi="宋体" w:cs="宋体"/>
          <w:color w:val="auto"/>
          <w:spacing w:val="3"/>
          <w:kern w:val="0"/>
          <w:highlight w:val="none"/>
          <w:u w:val="single"/>
        </w:rPr>
        <w:t xml:space="preserve"> </w:t>
      </w:r>
      <w:r>
        <w:rPr>
          <w:rFonts w:hint="eastAsia" w:ascii="宋体" w:hAnsi="宋体" w:cs="宋体"/>
          <w:color w:val="auto"/>
          <w:spacing w:val="3"/>
          <w:kern w:val="0"/>
          <w:highlight w:val="none"/>
        </w:rPr>
        <w:t xml:space="preserve"> </w:t>
      </w:r>
    </w:p>
    <w:p w14:paraId="22B2E216">
      <w:pPr>
        <w:widowControl/>
        <w:spacing w:line="360" w:lineRule="auto"/>
        <w:rPr>
          <w:rFonts w:hint="eastAsia" w:ascii="宋体" w:hAnsi="宋体" w:cs="宋体"/>
          <w:color w:val="auto"/>
          <w:spacing w:val="26"/>
          <w:kern w:val="0"/>
          <w:highlight w:val="none"/>
        </w:rPr>
      </w:pPr>
      <w:r>
        <w:rPr>
          <w:rFonts w:hint="eastAsia" w:ascii="宋体" w:hAnsi="宋体" w:cs="宋体"/>
          <w:color w:val="auto"/>
          <w:kern w:val="0"/>
          <w:highlight w:val="none"/>
        </w:rPr>
        <w:t>单位</w:t>
      </w:r>
      <w:r>
        <w:rPr>
          <w:rFonts w:hint="eastAsia" w:ascii="宋体" w:hAnsi="宋体" w:cs="宋体"/>
          <w:color w:val="auto"/>
          <w:spacing w:val="-1"/>
          <w:kern w:val="0"/>
          <w:highlight w:val="none"/>
        </w:rPr>
        <w:t>性</w:t>
      </w:r>
      <w:r>
        <w:rPr>
          <w:rFonts w:hint="eastAsia" w:ascii="宋体" w:hAnsi="宋体" w:cs="宋体"/>
          <w:color w:val="auto"/>
          <w:kern w:val="0"/>
          <w:highlight w:val="none"/>
        </w:rPr>
        <w:t>质：</w:t>
      </w:r>
      <w:r>
        <w:rPr>
          <w:rFonts w:hint="eastAsia" w:ascii="宋体" w:hAnsi="宋体" w:cs="宋体"/>
          <w:color w:val="auto"/>
          <w:kern w:val="0"/>
          <w:highlight w:val="none"/>
          <w:u w:val="single"/>
        </w:rPr>
        <w:t xml:space="preserve">                                                       </w:t>
      </w:r>
      <w:r>
        <w:rPr>
          <w:rFonts w:hint="eastAsia" w:ascii="宋体" w:hAnsi="宋体" w:cs="宋体"/>
          <w:color w:val="auto"/>
          <w:spacing w:val="26"/>
          <w:kern w:val="0"/>
          <w:highlight w:val="none"/>
          <w:u w:val="single"/>
        </w:rPr>
        <w:t xml:space="preserve"> </w:t>
      </w:r>
      <w:r>
        <w:rPr>
          <w:rFonts w:hint="eastAsia" w:ascii="宋体" w:hAnsi="宋体" w:cs="宋体"/>
          <w:color w:val="auto"/>
          <w:spacing w:val="26"/>
          <w:kern w:val="0"/>
          <w:highlight w:val="none"/>
        </w:rPr>
        <w:t xml:space="preserve"> </w:t>
      </w:r>
    </w:p>
    <w:p w14:paraId="04898422">
      <w:pPr>
        <w:widowControl/>
        <w:spacing w:line="360" w:lineRule="auto"/>
        <w:rPr>
          <w:rFonts w:hint="eastAsia" w:ascii="宋体" w:hAnsi="宋体" w:cs="宋体"/>
          <w:color w:val="auto"/>
          <w:spacing w:val="10"/>
          <w:kern w:val="0"/>
          <w:highlight w:val="none"/>
        </w:rPr>
      </w:pPr>
      <w:r>
        <w:rPr>
          <w:rFonts w:hint="eastAsia" w:ascii="宋体" w:hAnsi="宋体" w:cs="宋体"/>
          <w:color w:val="auto"/>
          <w:kern w:val="0"/>
          <w:highlight w:val="none"/>
        </w:rPr>
        <w:t>地    址</w:t>
      </w:r>
      <w:r>
        <w:rPr>
          <w:rFonts w:hint="eastAsia" w:ascii="宋体" w:hAnsi="宋体" w:cs="宋体"/>
          <w:color w:val="auto"/>
          <w:spacing w:val="-1"/>
          <w:kern w:val="0"/>
          <w:highlight w:val="none"/>
        </w:rPr>
        <w:t>：</w:t>
      </w:r>
      <w:r>
        <w:rPr>
          <w:rFonts w:hint="eastAsia" w:ascii="宋体" w:hAnsi="宋体" w:cs="宋体"/>
          <w:color w:val="auto"/>
          <w:kern w:val="0"/>
          <w:highlight w:val="none"/>
          <w:u w:val="single"/>
        </w:rPr>
        <w:t xml:space="preserve">                                                       </w:t>
      </w:r>
      <w:r>
        <w:rPr>
          <w:rFonts w:hint="eastAsia" w:ascii="宋体" w:hAnsi="宋体" w:cs="宋体"/>
          <w:color w:val="auto"/>
          <w:spacing w:val="10"/>
          <w:kern w:val="0"/>
          <w:highlight w:val="none"/>
          <w:u w:val="single"/>
        </w:rPr>
        <w:t xml:space="preserve"> </w:t>
      </w:r>
      <w:r>
        <w:rPr>
          <w:rFonts w:hint="eastAsia" w:ascii="宋体" w:hAnsi="宋体" w:cs="宋体"/>
          <w:color w:val="auto"/>
          <w:spacing w:val="10"/>
          <w:kern w:val="0"/>
          <w:highlight w:val="none"/>
        </w:rPr>
        <w:t xml:space="preserve"> </w:t>
      </w:r>
    </w:p>
    <w:p w14:paraId="0A449FD5">
      <w:pPr>
        <w:widowControl/>
        <w:spacing w:line="360" w:lineRule="auto"/>
        <w:rPr>
          <w:rFonts w:hint="eastAsia" w:ascii="宋体" w:hAnsi="宋体" w:cs="宋体"/>
          <w:color w:val="auto"/>
          <w:kern w:val="0"/>
          <w:highlight w:val="none"/>
        </w:rPr>
      </w:pPr>
      <w:r>
        <w:rPr>
          <w:rFonts w:hint="eastAsia" w:ascii="宋体" w:hAnsi="宋体" w:cs="宋体"/>
          <w:color w:val="auto"/>
          <w:kern w:val="0"/>
          <w:highlight w:val="none"/>
        </w:rPr>
        <w:t>成立</w:t>
      </w:r>
      <w:r>
        <w:rPr>
          <w:rFonts w:hint="eastAsia" w:ascii="宋体" w:hAnsi="宋体" w:cs="宋体"/>
          <w:color w:val="auto"/>
          <w:spacing w:val="-1"/>
          <w:kern w:val="0"/>
          <w:highlight w:val="none"/>
        </w:rPr>
        <w:t>时</w:t>
      </w:r>
      <w:r>
        <w:rPr>
          <w:rFonts w:hint="eastAsia" w:ascii="宋体" w:hAnsi="宋体" w:cs="宋体"/>
          <w:color w:val="auto"/>
          <w:kern w:val="0"/>
          <w:highlight w:val="none"/>
        </w:rPr>
        <w:t>间：</w:t>
      </w:r>
      <w:r>
        <w:rPr>
          <w:rFonts w:hint="eastAsia" w:ascii="宋体" w:hAnsi="宋体" w:cs="宋体"/>
          <w:color w:val="auto"/>
          <w:kern w:val="0"/>
          <w:highlight w:val="none"/>
          <w:u w:val="single"/>
        </w:rPr>
        <w:t xml:space="preserve">      </w:t>
      </w:r>
      <w:r>
        <w:rPr>
          <w:rFonts w:hint="eastAsia" w:ascii="宋体" w:hAnsi="宋体" w:cs="宋体"/>
          <w:color w:val="auto"/>
          <w:spacing w:val="-6"/>
          <w:kern w:val="0"/>
          <w:highlight w:val="none"/>
          <w:u w:val="single"/>
        </w:rPr>
        <w:t xml:space="preserve"> </w:t>
      </w:r>
      <w:r>
        <w:rPr>
          <w:rFonts w:hint="eastAsia" w:ascii="宋体" w:hAnsi="宋体" w:cs="宋体"/>
          <w:color w:val="auto"/>
          <w:spacing w:val="-1"/>
          <w:kern w:val="0"/>
          <w:highlight w:val="none"/>
        </w:rPr>
        <w:t>年</w:t>
      </w:r>
      <w:r>
        <w:rPr>
          <w:rFonts w:hint="eastAsia" w:ascii="宋体" w:hAnsi="宋体" w:cs="宋体"/>
          <w:color w:val="auto"/>
          <w:kern w:val="0"/>
          <w:highlight w:val="none"/>
          <w:u w:val="single"/>
        </w:rPr>
        <w:t xml:space="preserve">  </w:t>
      </w:r>
      <w:r>
        <w:rPr>
          <w:rFonts w:hint="eastAsia" w:ascii="宋体" w:hAnsi="宋体" w:cs="宋体"/>
          <w:color w:val="auto"/>
          <w:spacing w:val="42"/>
          <w:kern w:val="0"/>
          <w:highlight w:val="none"/>
          <w:u w:val="single"/>
        </w:rPr>
        <w:t xml:space="preserve"> </w:t>
      </w:r>
      <w:r>
        <w:rPr>
          <w:rFonts w:hint="eastAsia" w:ascii="宋体" w:hAnsi="宋体" w:cs="宋体"/>
          <w:color w:val="auto"/>
          <w:kern w:val="0"/>
          <w:highlight w:val="none"/>
        </w:rPr>
        <w:t>月</w:t>
      </w:r>
      <w:r>
        <w:rPr>
          <w:rFonts w:hint="eastAsia" w:ascii="宋体" w:hAnsi="宋体" w:cs="宋体"/>
          <w:color w:val="auto"/>
          <w:kern w:val="0"/>
          <w:highlight w:val="none"/>
          <w:u w:val="single"/>
        </w:rPr>
        <w:t xml:space="preserve">   </w:t>
      </w:r>
      <w:r>
        <w:rPr>
          <w:rFonts w:hint="eastAsia" w:ascii="宋体" w:hAnsi="宋体" w:cs="宋体"/>
          <w:color w:val="auto"/>
          <w:spacing w:val="-49"/>
          <w:kern w:val="0"/>
          <w:highlight w:val="none"/>
        </w:rPr>
        <w:t xml:space="preserve"> </w:t>
      </w:r>
      <w:r>
        <w:rPr>
          <w:rFonts w:hint="eastAsia" w:ascii="宋体" w:hAnsi="宋体" w:cs="宋体"/>
          <w:color w:val="auto"/>
          <w:kern w:val="0"/>
          <w:highlight w:val="none"/>
        </w:rPr>
        <w:t xml:space="preserve">日 </w:t>
      </w:r>
    </w:p>
    <w:p w14:paraId="44043AE8">
      <w:pPr>
        <w:widowControl/>
        <w:spacing w:line="360" w:lineRule="auto"/>
        <w:rPr>
          <w:rFonts w:hint="eastAsia" w:ascii="宋体" w:hAnsi="宋体" w:cs="宋体"/>
          <w:color w:val="auto"/>
          <w:kern w:val="0"/>
          <w:highlight w:val="none"/>
        </w:rPr>
      </w:pPr>
      <w:r>
        <w:rPr>
          <w:rFonts w:hint="eastAsia" w:ascii="宋体" w:hAnsi="宋体" w:cs="宋体"/>
          <w:color w:val="auto"/>
          <w:kern w:val="0"/>
          <w:highlight w:val="none"/>
        </w:rPr>
        <w:t>经营</w:t>
      </w:r>
      <w:r>
        <w:rPr>
          <w:rFonts w:hint="eastAsia" w:ascii="宋体" w:hAnsi="宋体" w:cs="宋体"/>
          <w:color w:val="auto"/>
          <w:spacing w:val="-1"/>
          <w:kern w:val="0"/>
          <w:highlight w:val="none"/>
        </w:rPr>
        <w:t>期</w:t>
      </w:r>
      <w:r>
        <w:rPr>
          <w:rFonts w:hint="eastAsia" w:ascii="宋体" w:hAnsi="宋体" w:cs="宋体"/>
          <w:color w:val="auto"/>
          <w:kern w:val="0"/>
          <w:highlight w:val="none"/>
        </w:rPr>
        <w:t>限：</w:t>
      </w:r>
      <w:r>
        <w:rPr>
          <w:rFonts w:hint="eastAsia" w:ascii="宋体" w:hAnsi="宋体" w:cs="宋体"/>
          <w:color w:val="auto"/>
          <w:kern w:val="0"/>
          <w:highlight w:val="none"/>
          <w:u w:val="single"/>
        </w:rPr>
        <w:t xml:space="preserve">                                                         </w:t>
      </w:r>
      <w:r>
        <w:rPr>
          <w:rFonts w:hint="eastAsia" w:ascii="宋体" w:hAnsi="宋体" w:cs="宋体"/>
          <w:color w:val="auto"/>
          <w:spacing w:val="26"/>
          <w:kern w:val="0"/>
          <w:highlight w:val="none"/>
          <w:u w:val="single"/>
        </w:rPr>
        <w:t xml:space="preserve"> </w:t>
      </w:r>
    </w:p>
    <w:p w14:paraId="62B3392C">
      <w:pPr>
        <w:widowControl/>
        <w:spacing w:line="360" w:lineRule="auto"/>
        <w:rPr>
          <w:rFonts w:hint="eastAsia" w:ascii="宋体" w:hAnsi="宋体" w:cs="宋体"/>
          <w:color w:val="auto"/>
          <w:kern w:val="0"/>
          <w:highlight w:val="none"/>
        </w:rPr>
      </w:pPr>
      <w:r>
        <w:rPr>
          <w:rFonts w:hint="eastAsia" w:ascii="宋体" w:hAnsi="宋体" w:cs="宋体"/>
          <w:color w:val="auto"/>
          <w:kern w:val="0"/>
          <w:highlight w:val="none"/>
        </w:rPr>
        <w:t>姓名：</w:t>
      </w:r>
      <w:r>
        <w:rPr>
          <w:rFonts w:hint="eastAsia" w:ascii="宋体" w:hAnsi="宋体" w:cs="宋体"/>
          <w:color w:val="auto"/>
          <w:spacing w:val="42"/>
          <w:kern w:val="0"/>
          <w:highlight w:val="none"/>
          <w:u w:val="single"/>
        </w:rPr>
        <w:t xml:space="preserve"> </w:t>
      </w:r>
      <w:r>
        <w:rPr>
          <w:rFonts w:hint="eastAsia" w:ascii="宋体" w:hAnsi="宋体" w:cs="宋体"/>
          <w:color w:val="auto"/>
          <w:kern w:val="0"/>
          <w:highlight w:val="none"/>
          <w:u w:val="single"/>
        </w:rPr>
        <w:t xml:space="preserve">       </w:t>
      </w:r>
      <w:r>
        <w:rPr>
          <w:rFonts w:hint="eastAsia" w:ascii="宋体" w:hAnsi="宋体" w:cs="宋体"/>
          <w:color w:val="auto"/>
          <w:kern w:val="0"/>
          <w:highlight w:val="none"/>
        </w:rPr>
        <w:t>性别：</w:t>
      </w:r>
      <w:r>
        <w:rPr>
          <w:rFonts w:hint="eastAsia" w:ascii="宋体" w:hAnsi="宋体" w:cs="宋体"/>
          <w:color w:val="auto"/>
          <w:spacing w:val="42"/>
          <w:kern w:val="0"/>
          <w:highlight w:val="none"/>
          <w:u w:val="single"/>
        </w:rPr>
        <w:t xml:space="preserve">    </w:t>
      </w:r>
      <w:r>
        <w:rPr>
          <w:rFonts w:hint="eastAsia" w:ascii="宋体" w:hAnsi="宋体" w:cs="宋体"/>
          <w:color w:val="auto"/>
          <w:kern w:val="0"/>
          <w:highlight w:val="none"/>
        </w:rPr>
        <w:t>年</w:t>
      </w:r>
      <w:r>
        <w:rPr>
          <w:rFonts w:hint="eastAsia" w:ascii="宋体" w:hAnsi="宋体" w:cs="宋体"/>
          <w:color w:val="auto"/>
          <w:spacing w:val="-1"/>
          <w:kern w:val="0"/>
          <w:highlight w:val="none"/>
        </w:rPr>
        <w:t>龄</w:t>
      </w:r>
      <w:r>
        <w:rPr>
          <w:rFonts w:hint="eastAsia" w:ascii="宋体" w:hAnsi="宋体" w:cs="宋体"/>
          <w:color w:val="auto"/>
          <w:kern w:val="0"/>
          <w:highlight w:val="none"/>
        </w:rPr>
        <w:t>：</w:t>
      </w:r>
      <w:r>
        <w:rPr>
          <w:rFonts w:hint="eastAsia" w:ascii="宋体" w:hAnsi="宋体" w:cs="宋体"/>
          <w:color w:val="auto"/>
          <w:spacing w:val="42"/>
          <w:kern w:val="0"/>
          <w:highlight w:val="none"/>
          <w:u w:val="single"/>
        </w:rPr>
        <w:t xml:space="preserve">   </w:t>
      </w:r>
      <w:r>
        <w:rPr>
          <w:rFonts w:hint="eastAsia" w:ascii="宋体" w:hAnsi="宋体" w:cs="宋体"/>
          <w:color w:val="auto"/>
          <w:kern w:val="0"/>
          <w:highlight w:val="none"/>
        </w:rPr>
        <w:t>职务</w:t>
      </w:r>
      <w:r>
        <w:rPr>
          <w:rFonts w:hint="eastAsia" w:ascii="宋体" w:hAnsi="宋体" w:cs="宋体"/>
          <w:color w:val="auto"/>
          <w:spacing w:val="-1"/>
          <w:kern w:val="0"/>
          <w:highlight w:val="none"/>
        </w:rPr>
        <w:t>：</w:t>
      </w:r>
      <w:r>
        <w:rPr>
          <w:rFonts w:hint="eastAsia" w:ascii="宋体" w:hAnsi="宋体" w:cs="宋体"/>
          <w:color w:val="auto"/>
          <w:kern w:val="0"/>
          <w:highlight w:val="none"/>
          <w:u w:val="single"/>
        </w:rPr>
        <w:t xml:space="preserve">       </w:t>
      </w:r>
      <w:r>
        <w:rPr>
          <w:rFonts w:hint="eastAsia" w:ascii="宋体" w:hAnsi="宋体" w:cs="宋体"/>
          <w:color w:val="auto"/>
          <w:kern w:val="0"/>
          <w:highlight w:val="none"/>
        </w:rPr>
        <w:t xml:space="preserve"> </w:t>
      </w:r>
    </w:p>
    <w:p w14:paraId="340E037D">
      <w:pPr>
        <w:widowControl/>
        <w:spacing w:line="360" w:lineRule="auto"/>
        <w:rPr>
          <w:rFonts w:hint="eastAsia" w:ascii="宋体" w:hAnsi="宋体" w:cs="宋体"/>
          <w:color w:val="auto"/>
          <w:kern w:val="0"/>
          <w:highlight w:val="none"/>
        </w:rPr>
      </w:pPr>
      <w:r>
        <w:rPr>
          <w:rFonts w:hint="eastAsia" w:ascii="宋体" w:hAnsi="宋体" w:cs="宋体"/>
          <w:color w:val="auto"/>
          <w:kern w:val="0"/>
          <w:highlight w:val="none"/>
        </w:rPr>
        <w:t>系</w:t>
      </w:r>
      <w:r>
        <w:rPr>
          <w:rFonts w:hint="eastAsia" w:ascii="宋体" w:hAnsi="宋体" w:cs="宋体"/>
          <w:color w:val="auto"/>
          <w:kern w:val="0"/>
          <w:highlight w:val="none"/>
          <w:u w:val="single"/>
        </w:rPr>
        <w:t xml:space="preserve">                                      </w:t>
      </w:r>
      <w:r>
        <w:rPr>
          <w:rFonts w:hint="eastAsia" w:ascii="宋体" w:hAnsi="宋体" w:cs="宋体"/>
          <w:color w:val="auto"/>
          <w:spacing w:val="-1"/>
          <w:kern w:val="0"/>
          <w:highlight w:val="none"/>
        </w:rPr>
        <w:t>（</w:t>
      </w:r>
      <w:r>
        <w:rPr>
          <w:rFonts w:hint="eastAsia" w:ascii="宋体" w:hAnsi="宋体" w:cs="宋体"/>
          <w:color w:val="auto"/>
          <w:kern w:val="0"/>
          <w:highlight w:val="none"/>
        </w:rPr>
        <w:t>投标人名称）的法定代表人（单位负责人）。</w:t>
      </w:r>
    </w:p>
    <w:p w14:paraId="2F087FB6">
      <w:pPr>
        <w:widowControl/>
        <w:spacing w:line="360" w:lineRule="auto"/>
        <w:ind w:right="6463"/>
        <w:rPr>
          <w:rFonts w:hint="eastAsia" w:ascii="宋体" w:hAnsi="宋体" w:cs="宋体"/>
          <w:color w:val="auto"/>
          <w:kern w:val="0"/>
          <w:highlight w:val="none"/>
        </w:rPr>
      </w:pPr>
      <w:r>
        <w:rPr>
          <w:rFonts w:hint="eastAsia" w:ascii="宋体" w:hAnsi="宋体" w:cs="宋体"/>
          <w:color w:val="auto"/>
          <w:kern w:val="0"/>
          <w:highlight w:val="none"/>
        </w:rPr>
        <w:t>特此证明。</w:t>
      </w:r>
    </w:p>
    <w:p w14:paraId="70AD6709">
      <w:pPr>
        <w:widowControl/>
        <w:spacing w:before="12" w:line="360" w:lineRule="auto"/>
        <w:rPr>
          <w:rFonts w:hint="eastAsia" w:ascii="宋体" w:hAnsi="宋体" w:cs="宋体"/>
          <w:color w:val="auto"/>
          <w:kern w:val="0"/>
          <w:highlight w:val="none"/>
        </w:rPr>
      </w:pPr>
      <w:r>
        <w:rPr>
          <w:rFonts w:hint="eastAsia" w:ascii="宋体" w:hAnsi="宋体" w:cs="宋体"/>
          <w:color w:val="auto"/>
          <w:kern w:val="0"/>
          <w:highlight w:val="none"/>
        </w:rPr>
        <w:t>附：法定代表人（单位负责人）身份证扫描件。</w:t>
      </w:r>
    </w:p>
    <w:tbl>
      <w:tblPr>
        <w:tblStyle w:val="48"/>
        <w:tblW w:w="7797" w:type="dxa"/>
        <w:tblInd w:w="67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898"/>
        <w:gridCol w:w="3899"/>
      </w:tblGrid>
      <w:tr w14:paraId="4475C6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1" w:hRule="atLeast"/>
        </w:trPr>
        <w:tc>
          <w:tcPr>
            <w:tcW w:w="3898" w:type="dxa"/>
            <w:noWrap w:val="0"/>
            <w:vAlign w:val="center"/>
          </w:tcPr>
          <w:p w14:paraId="7F17D1D2">
            <w:pPr>
              <w:keepNext w:val="0"/>
              <w:keepLines w:val="0"/>
              <w:suppressLineNumbers w:val="0"/>
              <w:adjustRightInd w:val="0"/>
              <w:snapToGrid w:val="0"/>
              <w:spacing w:before="0" w:beforeAutospacing="0" w:after="0" w:afterAutospacing="0" w:line="360" w:lineRule="auto"/>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法定代表人</w:t>
            </w:r>
            <w:r>
              <w:rPr>
                <w:rFonts w:hint="eastAsia" w:ascii="宋体" w:hAnsi="宋体" w:cs="宋体"/>
                <w:color w:val="auto"/>
                <w:kern w:val="0"/>
                <w:highlight w:val="none"/>
              </w:rPr>
              <w:t>（单位负责人）</w:t>
            </w:r>
            <w:r>
              <w:rPr>
                <w:rFonts w:hint="eastAsia" w:ascii="宋体" w:hAnsi="宋体" w:cs="Times New Roman"/>
                <w:color w:val="auto"/>
                <w:szCs w:val="21"/>
                <w:highlight w:val="none"/>
              </w:rPr>
              <w:t>身份证（正面）</w:t>
            </w:r>
          </w:p>
        </w:tc>
        <w:tc>
          <w:tcPr>
            <w:tcW w:w="3899" w:type="dxa"/>
            <w:noWrap w:val="0"/>
            <w:vAlign w:val="center"/>
          </w:tcPr>
          <w:p w14:paraId="34D970F1">
            <w:pPr>
              <w:keepNext w:val="0"/>
              <w:keepLines w:val="0"/>
              <w:suppressLineNumbers w:val="0"/>
              <w:adjustRightInd w:val="0"/>
              <w:snapToGrid w:val="0"/>
              <w:spacing w:before="0" w:beforeAutospacing="0" w:after="0" w:afterAutospacing="0" w:line="360" w:lineRule="auto"/>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法定代表人</w:t>
            </w:r>
            <w:r>
              <w:rPr>
                <w:rFonts w:hint="eastAsia" w:ascii="宋体" w:hAnsi="宋体" w:cs="宋体"/>
                <w:color w:val="auto"/>
                <w:kern w:val="0"/>
                <w:highlight w:val="none"/>
              </w:rPr>
              <w:t>（单位负责人）</w:t>
            </w:r>
            <w:r>
              <w:rPr>
                <w:rFonts w:hint="eastAsia" w:ascii="宋体" w:hAnsi="宋体" w:cs="Times New Roman"/>
                <w:color w:val="auto"/>
                <w:szCs w:val="21"/>
                <w:highlight w:val="none"/>
              </w:rPr>
              <w:t>身份证（反面）</w:t>
            </w:r>
          </w:p>
        </w:tc>
      </w:tr>
    </w:tbl>
    <w:p w14:paraId="69E30B47">
      <w:pPr>
        <w:widowControl/>
        <w:spacing w:before="12" w:line="360" w:lineRule="auto"/>
        <w:rPr>
          <w:rFonts w:hint="eastAsia" w:ascii="宋体" w:hAnsi="宋体" w:cs="宋体"/>
          <w:color w:val="auto"/>
          <w:kern w:val="0"/>
          <w:highlight w:val="none"/>
        </w:rPr>
      </w:pPr>
    </w:p>
    <w:p w14:paraId="762E1EF6">
      <w:pPr>
        <w:widowControl/>
        <w:spacing w:before="12" w:line="360" w:lineRule="auto"/>
        <w:rPr>
          <w:rFonts w:hint="eastAsia" w:ascii="宋体" w:hAnsi="宋体" w:cs="宋体"/>
          <w:color w:val="auto"/>
          <w:kern w:val="0"/>
          <w:highlight w:val="none"/>
        </w:rPr>
      </w:pPr>
    </w:p>
    <w:p w14:paraId="05D94EBE">
      <w:pPr>
        <w:widowControl/>
        <w:spacing w:line="360" w:lineRule="auto"/>
        <w:ind w:left="5068" w:right="-20"/>
        <w:rPr>
          <w:rFonts w:hint="eastAsia" w:ascii="宋体" w:hAnsi="宋体" w:cs="宋体"/>
          <w:color w:val="auto"/>
          <w:kern w:val="0"/>
          <w:highlight w:val="none"/>
        </w:rPr>
      </w:pPr>
      <w:r>
        <w:rPr>
          <w:rFonts w:hint="eastAsia" w:ascii="宋体" w:hAnsi="宋体" w:cs="宋体"/>
          <w:color w:val="auto"/>
          <w:kern w:val="0"/>
          <w:position w:val="-4"/>
          <w:highlight w:val="none"/>
        </w:rPr>
        <w:t>投标人：</w:t>
      </w:r>
      <w:r>
        <w:rPr>
          <w:rFonts w:hint="eastAsia" w:ascii="宋体" w:hAnsi="宋体" w:cs="宋体"/>
          <w:color w:val="auto"/>
          <w:spacing w:val="42"/>
          <w:kern w:val="0"/>
          <w:position w:val="-4"/>
          <w:highlight w:val="none"/>
          <w:u w:val="single"/>
        </w:rPr>
        <w:t xml:space="preserve"> </w:t>
      </w:r>
      <w:r>
        <w:rPr>
          <w:rFonts w:hint="eastAsia" w:ascii="宋体" w:hAnsi="宋体" w:cs="宋体"/>
          <w:color w:val="auto"/>
          <w:kern w:val="0"/>
          <w:position w:val="-4"/>
          <w:highlight w:val="none"/>
          <w:u w:val="single"/>
        </w:rPr>
        <w:t xml:space="preserve">          </w:t>
      </w:r>
      <w:r>
        <w:rPr>
          <w:rFonts w:hint="eastAsia" w:ascii="宋体" w:hAnsi="宋体" w:cs="宋体"/>
          <w:color w:val="auto"/>
          <w:spacing w:val="-1"/>
          <w:kern w:val="0"/>
          <w:position w:val="-4"/>
          <w:highlight w:val="none"/>
        </w:rPr>
        <w:t>（</w:t>
      </w:r>
      <w:r>
        <w:rPr>
          <w:rFonts w:hint="eastAsia" w:ascii="宋体" w:hAnsi="宋体" w:cs="宋体"/>
          <w:color w:val="auto"/>
          <w:kern w:val="0"/>
          <w:position w:val="-4"/>
          <w:highlight w:val="none"/>
        </w:rPr>
        <w:t>盖单位章）</w:t>
      </w:r>
    </w:p>
    <w:p w14:paraId="35BC4F91">
      <w:pPr>
        <w:widowControl/>
        <w:spacing w:line="360" w:lineRule="auto"/>
        <w:ind w:right="98"/>
        <w:jc w:val="right"/>
        <w:rPr>
          <w:rFonts w:hint="eastAsia" w:ascii="宋体" w:hAnsi="宋体" w:cs="宋体"/>
          <w:color w:val="auto"/>
          <w:kern w:val="0"/>
          <w:highlight w:val="none"/>
        </w:rPr>
      </w:pPr>
      <w:r>
        <w:rPr>
          <w:rFonts w:hint="eastAsia" w:ascii="宋体" w:hAnsi="宋体" w:cs="宋体"/>
          <w:color w:val="auto"/>
          <w:kern w:val="0"/>
          <w:position w:val="-2"/>
          <w:highlight w:val="none"/>
          <w:u w:val="single"/>
        </w:rPr>
        <w:t xml:space="preserve">       </w:t>
      </w:r>
      <w:r>
        <w:rPr>
          <w:rFonts w:hint="eastAsia" w:ascii="宋体" w:hAnsi="宋体" w:cs="宋体"/>
          <w:color w:val="auto"/>
          <w:spacing w:val="-1"/>
          <w:kern w:val="0"/>
          <w:position w:val="-2"/>
          <w:highlight w:val="none"/>
        </w:rPr>
        <w:t>年</w:t>
      </w:r>
      <w:r>
        <w:rPr>
          <w:rFonts w:hint="eastAsia" w:ascii="宋体" w:hAnsi="宋体" w:cs="宋体"/>
          <w:color w:val="auto"/>
          <w:spacing w:val="42"/>
          <w:kern w:val="0"/>
          <w:position w:val="-2"/>
          <w:highlight w:val="none"/>
          <w:u w:val="single"/>
        </w:rPr>
        <w:t xml:space="preserve"> </w:t>
      </w:r>
      <w:r>
        <w:rPr>
          <w:rFonts w:hint="eastAsia" w:ascii="宋体" w:hAnsi="宋体" w:cs="宋体"/>
          <w:color w:val="auto"/>
          <w:kern w:val="0"/>
          <w:position w:val="-2"/>
          <w:highlight w:val="none"/>
          <w:u w:val="single"/>
        </w:rPr>
        <w:t xml:space="preserve">  </w:t>
      </w:r>
      <w:r>
        <w:rPr>
          <w:rFonts w:hint="eastAsia" w:ascii="宋体" w:hAnsi="宋体" w:cs="宋体"/>
          <w:color w:val="auto"/>
          <w:kern w:val="0"/>
          <w:position w:val="-2"/>
          <w:highlight w:val="none"/>
        </w:rPr>
        <w:t>月</w:t>
      </w:r>
      <w:r>
        <w:rPr>
          <w:rFonts w:hint="eastAsia" w:ascii="宋体" w:hAnsi="宋体" w:cs="宋体"/>
          <w:color w:val="auto"/>
          <w:spacing w:val="42"/>
          <w:kern w:val="0"/>
          <w:position w:val="-2"/>
          <w:highlight w:val="none"/>
          <w:u w:val="single"/>
        </w:rPr>
        <w:t xml:space="preserve"> </w:t>
      </w:r>
      <w:r>
        <w:rPr>
          <w:rFonts w:hint="eastAsia" w:ascii="宋体" w:hAnsi="宋体" w:cs="宋体"/>
          <w:color w:val="auto"/>
          <w:kern w:val="0"/>
          <w:position w:val="-2"/>
          <w:highlight w:val="none"/>
          <w:u w:val="single"/>
        </w:rPr>
        <w:t xml:space="preserve">   </w:t>
      </w:r>
      <w:r>
        <w:rPr>
          <w:rFonts w:hint="eastAsia" w:ascii="宋体" w:hAnsi="宋体" w:cs="宋体"/>
          <w:color w:val="auto"/>
          <w:kern w:val="0"/>
          <w:position w:val="-2"/>
          <w:highlight w:val="none"/>
        </w:rPr>
        <w:t>日</w:t>
      </w:r>
    </w:p>
    <w:p w14:paraId="56811576">
      <w:pPr>
        <w:widowControl/>
        <w:ind w:left="2874" w:right="-20"/>
        <w:rPr>
          <w:rFonts w:hint="eastAsia" w:ascii="宋体" w:hAnsi="宋体" w:cs="宋体"/>
          <w:color w:val="auto"/>
          <w:kern w:val="0"/>
          <w:sz w:val="28"/>
          <w:szCs w:val="28"/>
          <w:highlight w:val="none"/>
        </w:rPr>
      </w:pPr>
    </w:p>
    <w:p w14:paraId="334E870F">
      <w:pPr>
        <w:widowControl/>
        <w:ind w:left="2874" w:right="-20"/>
        <w:rPr>
          <w:rFonts w:hint="eastAsia" w:ascii="宋体" w:hAnsi="宋体" w:cs="宋体"/>
          <w:b/>
          <w:color w:val="auto"/>
          <w:kern w:val="0"/>
          <w:sz w:val="28"/>
          <w:szCs w:val="28"/>
          <w:highlight w:val="none"/>
        </w:rPr>
      </w:pPr>
      <w:r>
        <w:rPr>
          <w:rFonts w:hint="eastAsia" w:ascii="宋体" w:hAnsi="宋体" w:cs="宋体"/>
          <w:b/>
          <w:color w:val="auto"/>
          <w:kern w:val="0"/>
          <w:sz w:val="28"/>
          <w:szCs w:val="28"/>
          <w:highlight w:val="none"/>
        </w:rPr>
        <w:t>法定代表人（单位负责人）授权委托书</w:t>
      </w:r>
    </w:p>
    <w:p w14:paraId="462B8137">
      <w:pPr>
        <w:widowControl/>
        <w:spacing w:before="3" w:line="260" w:lineRule="atLeast"/>
        <w:rPr>
          <w:rFonts w:hint="eastAsia" w:ascii="宋体" w:hAnsi="宋体" w:cs="宋体"/>
          <w:color w:val="auto"/>
          <w:kern w:val="0"/>
          <w:sz w:val="26"/>
          <w:szCs w:val="26"/>
          <w:highlight w:val="none"/>
        </w:rPr>
      </w:pPr>
    </w:p>
    <w:p w14:paraId="208D33BE">
      <w:pPr>
        <w:widowControl/>
        <w:spacing w:line="360" w:lineRule="auto"/>
        <w:ind w:left="120" w:right="31" w:firstLine="421"/>
        <w:rPr>
          <w:rFonts w:hint="eastAsia" w:ascii="宋体" w:hAnsi="宋体" w:cs="宋体"/>
          <w:color w:val="auto"/>
          <w:kern w:val="0"/>
          <w:highlight w:val="none"/>
        </w:rPr>
      </w:pPr>
      <w:r>
        <w:rPr>
          <w:rFonts w:hint="eastAsia" w:ascii="宋体" w:hAnsi="宋体" w:cs="宋体"/>
          <w:color w:val="auto"/>
          <w:kern w:val="0"/>
          <w:highlight w:val="none"/>
        </w:rPr>
        <w:t>本人</w:t>
      </w:r>
      <w:r>
        <w:rPr>
          <w:rFonts w:hint="eastAsia" w:ascii="宋体" w:hAnsi="宋体" w:cs="宋体"/>
          <w:color w:val="auto"/>
          <w:spacing w:val="42"/>
          <w:kern w:val="0"/>
          <w:highlight w:val="none"/>
          <w:u w:val="single"/>
        </w:rPr>
        <w:t xml:space="preserve"> </w:t>
      </w:r>
      <w:r>
        <w:rPr>
          <w:rFonts w:hint="eastAsia" w:ascii="宋体" w:hAnsi="宋体" w:cs="宋体"/>
          <w:color w:val="auto"/>
          <w:kern w:val="0"/>
          <w:highlight w:val="none"/>
          <w:u w:val="single"/>
        </w:rPr>
        <w:t xml:space="preserve">  </w:t>
      </w:r>
      <w:r>
        <w:rPr>
          <w:rFonts w:hint="eastAsia" w:ascii="宋体" w:hAnsi="宋体" w:cs="宋体"/>
          <w:color w:val="auto"/>
          <w:kern w:val="0"/>
          <w:highlight w:val="none"/>
        </w:rPr>
        <w:t>（</w:t>
      </w:r>
      <w:r>
        <w:rPr>
          <w:rFonts w:hint="eastAsia" w:ascii="宋体" w:hAnsi="宋体" w:cs="宋体"/>
          <w:color w:val="auto"/>
          <w:spacing w:val="-1"/>
          <w:kern w:val="0"/>
          <w:highlight w:val="none"/>
        </w:rPr>
        <w:t>姓</w:t>
      </w:r>
      <w:r>
        <w:rPr>
          <w:rFonts w:hint="eastAsia" w:ascii="宋体" w:hAnsi="宋体" w:cs="宋体"/>
          <w:color w:val="auto"/>
          <w:kern w:val="0"/>
          <w:highlight w:val="none"/>
        </w:rPr>
        <w:t>名）系</w:t>
      </w:r>
      <w:r>
        <w:rPr>
          <w:rFonts w:hint="eastAsia" w:ascii="宋体" w:hAnsi="宋体" w:cs="宋体"/>
          <w:color w:val="auto"/>
          <w:spacing w:val="42"/>
          <w:kern w:val="0"/>
          <w:highlight w:val="none"/>
          <w:u w:val="single"/>
        </w:rPr>
        <w:t xml:space="preserve">   </w:t>
      </w:r>
      <w:r>
        <w:rPr>
          <w:rFonts w:hint="eastAsia" w:ascii="宋体" w:hAnsi="宋体" w:cs="宋体"/>
          <w:color w:val="auto"/>
          <w:kern w:val="0"/>
          <w:highlight w:val="none"/>
        </w:rPr>
        <w:t>（投标人名称）</w:t>
      </w:r>
      <w:r>
        <w:rPr>
          <w:rFonts w:hint="eastAsia" w:ascii="宋体" w:hAnsi="宋体" w:cs="宋体"/>
          <w:color w:val="auto"/>
          <w:spacing w:val="1"/>
          <w:kern w:val="0"/>
          <w:highlight w:val="none"/>
        </w:rPr>
        <w:t>的</w:t>
      </w:r>
      <w:r>
        <w:rPr>
          <w:rFonts w:hint="eastAsia" w:ascii="宋体" w:hAnsi="宋体" w:cs="宋体"/>
          <w:color w:val="auto"/>
          <w:kern w:val="0"/>
          <w:highlight w:val="none"/>
        </w:rPr>
        <w:t>法定代表</w:t>
      </w:r>
      <w:r>
        <w:rPr>
          <w:rFonts w:hint="eastAsia" w:ascii="宋体" w:hAnsi="宋体" w:cs="宋体"/>
          <w:color w:val="auto"/>
          <w:spacing w:val="1"/>
          <w:kern w:val="0"/>
          <w:highlight w:val="none"/>
        </w:rPr>
        <w:t>人（单位负责人）</w:t>
      </w:r>
      <w:r>
        <w:rPr>
          <w:rFonts w:hint="eastAsia" w:ascii="宋体" w:hAnsi="宋体" w:cs="宋体"/>
          <w:color w:val="auto"/>
          <w:kern w:val="0"/>
          <w:highlight w:val="none"/>
        </w:rPr>
        <w:t>，</w:t>
      </w:r>
      <w:r>
        <w:rPr>
          <w:rFonts w:hint="eastAsia" w:ascii="宋体" w:hAnsi="宋体" w:cs="宋体"/>
          <w:color w:val="auto"/>
          <w:spacing w:val="1"/>
          <w:kern w:val="0"/>
          <w:highlight w:val="none"/>
        </w:rPr>
        <w:t>现</w:t>
      </w:r>
      <w:r>
        <w:rPr>
          <w:rFonts w:hint="eastAsia" w:ascii="宋体" w:hAnsi="宋体" w:cs="宋体"/>
          <w:color w:val="auto"/>
          <w:kern w:val="0"/>
          <w:highlight w:val="none"/>
        </w:rPr>
        <w:t>委托</w:t>
      </w:r>
      <w:r>
        <w:rPr>
          <w:rFonts w:hint="eastAsia" w:ascii="宋体" w:hAnsi="宋体" w:cs="宋体"/>
          <w:color w:val="auto"/>
          <w:spacing w:val="42"/>
          <w:kern w:val="0"/>
          <w:highlight w:val="none"/>
          <w:u w:val="single"/>
        </w:rPr>
        <w:t xml:space="preserve">     </w:t>
      </w:r>
      <w:r>
        <w:rPr>
          <w:rFonts w:hint="eastAsia" w:ascii="宋体" w:hAnsi="宋体" w:cs="宋体"/>
          <w:color w:val="auto"/>
          <w:spacing w:val="-1"/>
          <w:kern w:val="0"/>
          <w:highlight w:val="none"/>
        </w:rPr>
        <w:t>（</w:t>
      </w:r>
      <w:r>
        <w:rPr>
          <w:rFonts w:hint="eastAsia" w:ascii="宋体" w:hAnsi="宋体" w:cs="宋体"/>
          <w:color w:val="auto"/>
          <w:kern w:val="0"/>
          <w:highlight w:val="none"/>
        </w:rPr>
        <w:t>姓名）为我方代理人。代理人根据授权，以我方名义签署、澄清、说明、补正、递交</w:t>
      </w:r>
      <w:r>
        <w:rPr>
          <w:rFonts w:hint="eastAsia" w:ascii="宋体" w:hAnsi="宋体" w:cs="宋体"/>
          <w:color w:val="auto"/>
          <w:spacing w:val="-13"/>
          <w:kern w:val="0"/>
          <w:highlight w:val="none"/>
        </w:rPr>
        <w:t>、</w:t>
      </w:r>
      <w:r>
        <w:rPr>
          <w:rFonts w:hint="eastAsia" w:ascii="宋体" w:hAnsi="宋体" w:cs="宋体"/>
          <w:color w:val="auto"/>
          <w:kern w:val="0"/>
          <w:highlight w:val="none"/>
        </w:rPr>
        <w:t>撤回</w:t>
      </w:r>
      <w:r>
        <w:rPr>
          <w:rFonts w:hint="eastAsia" w:ascii="宋体" w:hAnsi="宋体" w:cs="宋体"/>
          <w:color w:val="auto"/>
          <w:spacing w:val="-13"/>
          <w:kern w:val="0"/>
          <w:highlight w:val="none"/>
        </w:rPr>
        <w:t>、</w:t>
      </w:r>
      <w:r>
        <w:rPr>
          <w:rFonts w:hint="eastAsia" w:ascii="宋体" w:hAnsi="宋体" w:cs="宋体"/>
          <w:color w:val="auto"/>
          <w:kern w:val="0"/>
          <w:highlight w:val="none"/>
        </w:rPr>
        <w:t>修改</w:t>
      </w:r>
      <w:r>
        <w:rPr>
          <w:rFonts w:hint="eastAsia" w:ascii="宋体" w:hAnsi="宋体" w:cs="宋体"/>
          <w:color w:val="auto"/>
          <w:spacing w:val="42"/>
          <w:kern w:val="0"/>
          <w:highlight w:val="none"/>
          <w:u w:val="single"/>
        </w:rPr>
        <w:t xml:space="preserve"> </w:t>
      </w:r>
      <w:r>
        <w:rPr>
          <w:rFonts w:hint="eastAsia" w:ascii="宋体" w:hAnsi="宋体" w:cs="宋体"/>
          <w:color w:val="auto"/>
          <w:kern w:val="0"/>
          <w:highlight w:val="none"/>
          <w:u w:val="single"/>
        </w:rPr>
        <w:t xml:space="preserve">  </w:t>
      </w:r>
      <w:r>
        <w:rPr>
          <w:rFonts w:hint="eastAsia" w:ascii="宋体" w:hAnsi="宋体" w:cs="宋体"/>
          <w:color w:val="auto"/>
          <w:kern w:val="0"/>
          <w:highlight w:val="none"/>
        </w:rPr>
        <w:t>（项目名</w:t>
      </w:r>
      <w:r>
        <w:rPr>
          <w:rFonts w:hint="eastAsia" w:ascii="宋体" w:hAnsi="宋体" w:cs="宋体"/>
          <w:color w:val="auto"/>
          <w:spacing w:val="-1"/>
          <w:kern w:val="0"/>
          <w:highlight w:val="none"/>
        </w:rPr>
        <w:t>称</w:t>
      </w:r>
      <w:r>
        <w:rPr>
          <w:rFonts w:hint="eastAsia" w:ascii="宋体" w:hAnsi="宋体" w:cs="宋体"/>
          <w:color w:val="auto"/>
          <w:spacing w:val="-13"/>
          <w:kern w:val="0"/>
          <w:highlight w:val="none"/>
        </w:rPr>
        <w:t>）</w:t>
      </w:r>
      <w:r>
        <w:rPr>
          <w:rFonts w:hint="eastAsia" w:ascii="宋体" w:hAnsi="宋体" w:cs="宋体"/>
          <w:color w:val="auto"/>
          <w:spacing w:val="42"/>
          <w:kern w:val="0"/>
          <w:highlight w:val="none"/>
          <w:u w:val="single"/>
        </w:rPr>
        <w:t xml:space="preserve"> </w:t>
      </w:r>
      <w:r>
        <w:rPr>
          <w:rFonts w:hint="eastAsia" w:ascii="宋体" w:hAnsi="宋体" w:cs="宋体"/>
          <w:color w:val="auto"/>
          <w:kern w:val="0"/>
          <w:highlight w:val="none"/>
          <w:u w:val="single"/>
        </w:rPr>
        <w:t xml:space="preserve">   </w:t>
      </w:r>
      <w:r>
        <w:rPr>
          <w:rFonts w:hint="eastAsia" w:ascii="宋体" w:hAnsi="宋体" w:cs="宋体"/>
          <w:color w:val="auto"/>
          <w:spacing w:val="-1"/>
          <w:kern w:val="0"/>
          <w:highlight w:val="none"/>
        </w:rPr>
        <w:t>（</w:t>
      </w:r>
      <w:r>
        <w:rPr>
          <w:rFonts w:hint="eastAsia" w:ascii="宋体" w:hAnsi="宋体" w:cs="宋体"/>
          <w:color w:val="auto"/>
          <w:kern w:val="0"/>
          <w:highlight w:val="none"/>
        </w:rPr>
        <w:t>标包号。未分包的，此处不填写</w:t>
      </w:r>
      <w:r>
        <w:rPr>
          <w:rFonts w:hint="eastAsia" w:ascii="宋体" w:hAnsi="宋体" w:cs="宋体"/>
          <w:color w:val="auto"/>
          <w:spacing w:val="-13"/>
          <w:kern w:val="0"/>
          <w:highlight w:val="none"/>
        </w:rPr>
        <w:t>）</w:t>
      </w:r>
      <w:r>
        <w:rPr>
          <w:rFonts w:hint="eastAsia" w:ascii="宋体" w:hAnsi="宋体" w:cs="宋体"/>
          <w:color w:val="auto"/>
          <w:kern w:val="0"/>
          <w:highlight w:val="none"/>
        </w:rPr>
        <w:t>投标文件</w:t>
      </w:r>
      <w:r>
        <w:rPr>
          <w:rFonts w:hint="eastAsia" w:ascii="宋体" w:hAnsi="宋体" w:cs="宋体"/>
          <w:color w:val="auto"/>
          <w:spacing w:val="-13"/>
          <w:kern w:val="0"/>
          <w:highlight w:val="none"/>
        </w:rPr>
        <w:t>、</w:t>
      </w:r>
      <w:r>
        <w:rPr>
          <w:rFonts w:hint="eastAsia" w:ascii="宋体" w:hAnsi="宋体" w:cs="宋体"/>
          <w:color w:val="auto"/>
          <w:kern w:val="0"/>
          <w:highlight w:val="none"/>
        </w:rPr>
        <w:t>签订合同和处理有关事宜，其法律后果由我方承担。</w:t>
      </w:r>
    </w:p>
    <w:p w14:paraId="144ED67C">
      <w:pPr>
        <w:widowControl/>
        <w:spacing w:before="12" w:line="360" w:lineRule="auto"/>
        <w:ind w:left="556" w:right="5491" w:hanging="14"/>
        <w:rPr>
          <w:rFonts w:hint="eastAsia" w:ascii="宋体" w:hAnsi="宋体" w:cs="宋体"/>
          <w:color w:val="auto"/>
          <w:kern w:val="0"/>
          <w:highlight w:val="none"/>
        </w:rPr>
      </w:pPr>
      <w:r>
        <w:rPr>
          <w:rFonts w:hint="eastAsia" w:ascii="宋体" w:hAnsi="宋体" w:cs="宋体"/>
          <w:color w:val="auto"/>
          <w:kern w:val="0"/>
          <w:highlight w:val="none"/>
        </w:rPr>
        <w:t>代理人无转委托权。</w:t>
      </w:r>
    </w:p>
    <w:tbl>
      <w:tblPr>
        <w:tblStyle w:val="48"/>
        <w:tblW w:w="7797" w:type="dxa"/>
        <w:tblInd w:w="67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898"/>
        <w:gridCol w:w="3899"/>
      </w:tblGrid>
      <w:tr w14:paraId="1D2B86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7" w:hRule="atLeast"/>
        </w:trPr>
        <w:tc>
          <w:tcPr>
            <w:tcW w:w="3898" w:type="dxa"/>
            <w:noWrap w:val="0"/>
            <w:vAlign w:val="center"/>
          </w:tcPr>
          <w:p w14:paraId="7E713868">
            <w:pPr>
              <w:keepNext w:val="0"/>
              <w:keepLines w:val="0"/>
              <w:suppressLineNumbers w:val="0"/>
              <w:adjustRightInd w:val="0"/>
              <w:snapToGrid w:val="0"/>
              <w:spacing w:before="0" w:beforeAutospacing="0" w:after="0" w:afterAutospacing="0" w:line="360" w:lineRule="auto"/>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代理人身份证（正面）</w:t>
            </w:r>
          </w:p>
        </w:tc>
        <w:tc>
          <w:tcPr>
            <w:tcW w:w="3899" w:type="dxa"/>
            <w:noWrap w:val="0"/>
            <w:vAlign w:val="center"/>
          </w:tcPr>
          <w:p w14:paraId="2A0E6C43">
            <w:pPr>
              <w:keepNext w:val="0"/>
              <w:keepLines w:val="0"/>
              <w:suppressLineNumbers w:val="0"/>
              <w:adjustRightInd w:val="0"/>
              <w:snapToGrid w:val="0"/>
              <w:spacing w:before="0" w:beforeAutospacing="0" w:after="0" w:afterAutospacing="0" w:line="360" w:lineRule="auto"/>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代理人身份证（反面）</w:t>
            </w:r>
          </w:p>
        </w:tc>
      </w:tr>
      <w:tr w14:paraId="4FDF8C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trPr>
        <w:tc>
          <w:tcPr>
            <w:tcW w:w="3898" w:type="dxa"/>
            <w:noWrap w:val="0"/>
            <w:vAlign w:val="center"/>
          </w:tcPr>
          <w:p w14:paraId="6502F04D">
            <w:pPr>
              <w:keepNext w:val="0"/>
              <w:keepLines w:val="0"/>
              <w:suppressLineNumbers w:val="0"/>
              <w:adjustRightInd w:val="0"/>
              <w:snapToGrid w:val="0"/>
              <w:spacing w:before="0" w:beforeAutospacing="0" w:after="0" w:afterAutospacing="0" w:line="360" w:lineRule="auto"/>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法定代表人</w:t>
            </w:r>
            <w:r>
              <w:rPr>
                <w:rFonts w:hint="eastAsia" w:ascii="宋体" w:hAnsi="宋体" w:cs="宋体"/>
                <w:color w:val="auto"/>
                <w:kern w:val="0"/>
                <w:highlight w:val="none"/>
              </w:rPr>
              <w:t>（单位负责人）</w:t>
            </w:r>
            <w:r>
              <w:rPr>
                <w:rFonts w:hint="eastAsia" w:ascii="宋体" w:hAnsi="宋体" w:cs="Times New Roman"/>
                <w:color w:val="auto"/>
                <w:szCs w:val="21"/>
                <w:highlight w:val="none"/>
              </w:rPr>
              <w:t>身份证（正面）</w:t>
            </w:r>
          </w:p>
        </w:tc>
        <w:tc>
          <w:tcPr>
            <w:tcW w:w="3899" w:type="dxa"/>
            <w:noWrap w:val="0"/>
            <w:vAlign w:val="center"/>
          </w:tcPr>
          <w:p w14:paraId="23ABD7B9">
            <w:pPr>
              <w:keepNext w:val="0"/>
              <w:keepLines w:val="0"/>
              <w:suppressLineNumbers w:val="0"/>
              <w:adjustRightInd w:val="0"/>
              <w:snapToGrid w:val="0"/>
              <w:spacing w:before="0" w:beforeAutospacing="0" w:after="0" w:afterAutospacing="0" w:line="360" w:lineRule="auto"/>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法定代表人</w:t>
            </w:r>
            <w:r>
              <w:rPr>
                <w:rFonts w:hint="eastAsia" w:ascii="宋体" w:hAnsi="宋体" w:cs="宋体"/>
                <w:color w:val="auto"/>
                <w:kern w:val="0"/>
                <w:highlight w:val="none"/>
              </w:rPr>
              <w:t>（单位负责人）</w:t>
            </w:r>
            <w:r>
              <w:rPr>
                <w:rFonts w:hint="eastAsia" w:ascii="宋体" w:hAnsi="宋体" w:cs="Times New Roman"/>
                <w:color w:val="auto"/>
                <w:szCs w:val="21"/>
                <w:highlight w:val="none"/>
              </w:rPr>
              <w:t>身份证（反面）</w:t>
            </w:r>
          </w:p>
        </w:tc>
      </w:tr>
    </w:tbl>
    <w:p w14:paraId="0A14E280">
      <w:pPr>
        <w:widowControl/>
        <w:spacing w:line="360" w:lineRule="auto"/>
        <w:rPr>
          <w:rFonts w:hint="eastAsia" w:ascii="宋体" w:hAnsi="宋体" w:cs="宋体"/>
          <w:color w:val="auto"/>
          <w:kern w:val="0"/>
          <w:highlight w:val="none"/>
        </w:rPr>
      </w:pPr>
    </w:p>
    <w:p w14:paraId="4BBD2756">
      <w:pPr>
        <w:pStyle w:val="156"/>
        <w:spacing w:line="360" w:lineRule="auto"/>
        <w:ind w:firstLine="2604" w:firstLineChars="1240"/>
        <w:rPr>
          <w:rFonts w:hint="eastAsia" w:ascii="宋体" w:hAnsi="宋体" w:cs="宋体"/>
          <w:color w:val="auto"/>
          <w:szCs w:val="24"/>
          <w:highlight w:val="none"/>
          <w:u w:val="single"/>
        </w:rPr>
      </w:pPr>
      <w:r>
        <w:rPr>
          <w:rFonts w:hint="eastAsia" w:ascii="宋体" w:hAnsi="宋体" w:cs="宋体"/>
          <w:color w:val="auto"/>
          <w:szCs w:val="24"/>
          <w:highlight w:val="none"/>
        </w:rPr>
        <w:t>代理人：</w:t>
      </w:r>
      <w:r>
        <w:rPr>
          <w:rFonts w:hint="eastAsia" w:ascii="宋体" w:hAnsi="宋体" w:cs="宋体"/>
          <w:color w:val="auto"/>
          <w:szCs w:val="24"/>
          <w:highlight w:val="none"/>
          <w:u w:val="single"/>
        </w:rPr>
        <w:t xml:space="preserve">              </w:t>
      </w:r>
      <w:r>
        <w:rPr>
          <w:rFonts w:hint="eastAsia" w:ascii="宋体" w:hAnsi="宋体" w:cs="宋体"/>
          <w:color w:val="auto"/>
          <w:szCs w:val="24"/>
          <w:highlight w:val="none"/>
        </w:rPr>
        <w:t>性别：</w:t>
      </w:r>
      <w:r>
        <w:rPr>
          <w:rFonts w:hint="eastAsia" w:ascii="宋体" w:hAnsi="宋体" w:cs="宋体"/>
          <w:color w:val="auto"/>
          <w:szCs w:val="24"/>
          <w:highlight w:val="none"/>
          <w:u w:val="single"/>
        </w:rPr>
        <w:t xml:space="preserve">     </w:t>
      </w:r>
      <w:r>
        <w:rPr>
          <w:rFonts w:hint="eastAsia" w:ascii="宋体" w:hAnsi="宋体" w:cs="宋体"/>
          <w:color w:val="auto"/>
          <w:szCs w:val="24"/>
          <w:highlight w:val="none"/>
        </w:rPr>
        <w:t>年龄：</w:t>
      </w:r>
      <w:r>
        <w:rPr>
          <w:rFonts w:hint="eastAsia" w:ascii="宋体" w:hAnsi="宋体" w:cs="宋体"/>
          <w:color w:val="auto"/>
          <w:szCs w:val="24"/>
          <w:highlight w:val="none"/>
          <w:u w:val="single"/>
        </w:rPr>
        <w:t xml:space="preserve">     </w:t>
      </w:r>
    </w:p>
    <w:p w14:paraId="342AC8C0">
      <w:pPr>
        <w:pStyle w:val="156"/>
        <w:spacing w:line="360" w:lineRule="auto"/>
        <w:ind w:firstLine="2604" w:firstLineChars="1240"/>
        <w:rPr>
          <w:rFonts w:hint="eastAsia" w:ascii="宋体" w:hAnsi="宋体" w:cs="宋体"/>
          <w:color w:val="auto"/>
          <w:szCs w:val="24"/>
          <w:highlight w:val="none"/>
          <w:u w:val="single"/>
        </w:rPr>
      </w:pPr>
      <w:r>
        <w:rPr>
          <w:rFonts w:hint="eastAsia" w:ascii="宋体" w:hAnsi="宋体" w:cs="宋体"/>
          <w:color w:val="auto"/>
          <w:szCs w:val="24"/>
          <w:highlight w:val="none"/>
        </w:rPr>
        <w:t>身份证号码：</w:t>
      </w:r>
      <w:r>
        <w:rPr>
          <w:rFonts w:hint="eastAsia" w:ascii="宋体" w:hAnsi="宋体" w:cs="宋体"/>
          <w:color w:val="auto"/>
          <w:szCs w:val="24"/>
          <w:highlight w:val="none"/>
          <w:u w:val="single"/>
        </w:rPr>
        <w:t xml:space="preserve">                   </w:t>
      </w:r>
      <w:r>
        <w:rPr>
          <w:rFonts w:hint="eastAsia" w:ascii="宋体" w:hAnsi="宋体" w:cs="宋体"/>
          <w:color w:val="auto"/>
          <w:szCs w:val="24"/>
          <w:highlight w:val="none"/>
        </w:rPr>
        <w:t xml:space="preserve"> 职务：</w:t>
      </w:r>
      <w:r>
        <w:rPr>
          <w:rFonts w:hint="eastAsia" w:ascii="宋体" w:hAnsi="宋体" w:cs="宋体"/>
          <w:color w:val="auto"/>
          <w:szCs w:val="24"/>
          <w:highlight w:val="none"/>
          <w:u w:val="single"/>
        </w:rPr>
        <w:t xml:space="preserve">      </w:t>
      </w:r>
    </w:p>
    <w:p w14:paraId="77628A05">
      <w:pPr>
        <w:pStyle w:val="156"/>
        <w:spacing w:line="360" w:lineRule="auto"/>
        <w:ind w:firstLine="2604" w:firstLineChars="1240"/>
        <w:rPr>
          <w:rFonts w:hint="eastAsia" w:ascii="宋体" w:hAnsi="宋体" w:cs="宋体"/>
          <w:color w:val="auto"/>
          <w:szCs w:val="24"/>
          <w:highlight w:val="none"/>
          <w:u w:val="single"/>
        </w:rPr>
      </w:pPr>
      <w:r>
        <w:rPr>
          <w:rFonts w:hint="eastAsia" w:ascii="宋体" w:hAnsi="宋体" w:cs="宋体"/>
          <w:color w:val="auto"/>
          <w:szCs w:val="24"/>
          <w:highlight w:val="none"/>
        </w:rPr>
        <w:t>投标人：</w:t>
      </w:r>
      <w:r>
        <w:rPr>
          <w:rFonts w:hint="eastAsia" w:ascii="宋体" w:hAnsi="宋体" w:cs="宋体"/>
          <w:color w:val="auto"/>
          <w:szCs w:val="24"/>
          <w:highlight w:val="none"/>
          <w:u w:val="single"/>
        </w:rPr>
        <w:t xml:space="preserve">                            （盖单位章）</w:t>
      </w:r>
    </w:p>
    <w:p w14:paraId="6166D92E">
      <w:pPr>
        <w:pStyle w:val="156"/>
        <w:spacing w:line="360" w:lineRule="auto"/>
        <w:ind w:firstLine="2604" w:firstLineChars="1240"/>
        <w:rPr>
          <w:rFonts w:hint="eastAsia" w:ascii="宋体" w:hAnsi="宋体" w:cs="宋体"/>
          <w:color w:val="auto"/>
          <w:szCs w:val="24"/>
          <w:highlight w:val="none"/>
          <w:u w:val="single"/>
        </w:rPr>
      </w:pPr>
      <w:r>
        <w:rPr>
          <w:rFonts w:hint="eastAsia" w:ascii="宋体" w:hAnsi="宋体" w:cs="宋体"/>
          <w:color w:val="auto"/>
          <w:szCs w:val="24"/>
          <w:highlight w:val="none"/>
        </w:rPr>
        <w:t>法定代表人（单位负责人）：</w:t>
      </w:r>
      <w:r>
        <w:rPr>
          <w:rFonts w:hint="eastAsia" w:ascii="宋体" w:hAnsi="宋体" w:cs="宋体"/>
          <w:color w:val="auto"/>
          <w:szCs w:val="24"/>
          <w:highlight w:val="none"/>
          <w:u w:val="single"/>
        </w:rPr>
        <w:t xml:space="preserve">                   （签字或盖章）</w:t>
      </w:r>
    </w:p>
    <w:p w14:paraId="14B1DBF7">
      <w:pPr>
        <w:pStyle w:val="156"/>
        <w:spacing w:line="360" w:lineRule="auto"/>
        <w:ind w:firstLine="2604" w:firstLineChars="1240"/>
        <w:rPr>
          <w:rFonts w:hint="eastAsia" w:ascii="宋体" w:hAnsi="宋体" w:cs="宋体"/>
          <w:color w:val="auto"/>
          <w:szCs w:val="24"/>
          <w:highlight w:val="none"/>
        </w:rPr>
      </w:pPr>
      <w:r>
        <w:rPr>
          <w:rFonts w:hint="eastAsia" w:ascii="宋体" w:hAnsi="宋体" w:cs="宋体"/>
          <w:color w:val="auto"/>
          <w:szCs w:val="24"/>
          <w:highlight w:val="none"/>
        </w:rPr>
        <w:t>授权委托日期：</w:t>
      </w:r>
      <w:r>
        <w:rPr>
          <w:rFonts w:hint="eastAsia" w:ascii="宋体" w:hAnsi="宋体" w:cs="宋体"/>
          <w:color w:val="auto"/>
          <w:szCs w:val="24"/>
          <w:highlight w:val="none"/>
          <w:u w:val="single"/>
        </w:rPr>
        <w:t xml:space="preserve">            </w:t>
      </w:r>
      <w:r>
        <w:rPr>
          <w:rFonts w:hint="eastAsia" w:ascii="宋体" w:hAnsi="宋体" w:cs="宋体"/>
          <w:color w:val="auto"/>
          <w:szCs w:val="24"/>
          <w:highlight w:val="none"/>
        </w:rPr>
        <w:t>年</w:t>
      </w:r>
      <w:r>
        <w:rPr>
          <w:rFonts w:hint="eastAsia" w:ascii="宋体" w:hAnsi="宋体" w:cs="宋体"/>
          <w:color w:val="auto"/>
          <w:szCs w:val="24"/>
          <w:highlight w:val="none"/>
          <w:u w:val="single"/>
        </w:rPr>
        <w:t xml:space="preserve">        </w:t>
      </w:r>
      <w:r>
        <w:rPr>
          <w:rFonts w:hint="eastAsia" w:ascii="宋体" w:hAnsi="宋体" w:cs="宋体"/>
          <w:color w:val="auto"/>
          <w:szCs w:val="24"/>
          <w:highlight w:val="none"/>
        </w:rPr>
        <w:t>月</w:t>
      </w:r>
      <w:r>
        <w:rPr>
          <w:rFonts w:hint="eastAsia" w:ascii="宋体" w:hAnsi="宋体" w:cs="宋体"/>
          <w:color w:val="auto"/>
          <w:szCs w:val="24"/>
          <w:highlight w:val="none"/>
          <w:u w:val="single"/>
        </w:rPr>
        <w:t xml:space="preserve">       </w:t>
      </w:r>
      <w:r>
        <w:rPr>
          <w:rFonts w:hint="eastAsia" w:ascii="宋体" w:hAnsi="宋体" w:cs="宋体"/>
          <w:color w:val="auto"/>
          <w:szCs w:val="24"/>
          <w:highlight w:val="none"/>
        </w:rPr>
        <w:t>日</w:t>
      </w:r>
    </w:p>
    <w:p w14:paraId="18943CE5">
      <w:pPr>
        <w:widowControl/>
        <w:spacing w:line="295" w:lineRule="atLeast"/>
        <w:ind w:left="556" w:right="-20"/>
        <w:rPr>
          <w:rFonts w:hint="eastAsia" w:ascii="宋体" w:hAnsi="宋体" w:cs="宋体"/>
          <w:color w:val="auto"/>
          <w:kern w:val="0"/>
          <w:szCs w:val="21"/>
          <w:highlight w:val="none"/>
        </w:rPr>
      </w:pPr>
    </w:p>
    <w:p w14:paraId="580E2F14">
      <w:pPr>
        <w:widowControl/>
        <w:jc w:val="left"/>
        <w:rPr>
          <w:rFonts w:hint="eastAsia" w:ascii="宋体" w:hAnsi="宋体" w:cs="宋体"/>
          <w:color w:val="auto"/>
          <w:spacing w:val="12"/>
          <w:kern w:val="0"/>
          <w:position w:val="-3"/>
          <w:sz w:val="24"/>
          <w:highlight w:val="none"/>
        </w:rPr>
        <w:sectPr>
          <w:footnotePr>
            <w:numFmt w:val="decimalEnclosedCircleChinese"/>
            <w:numRestart w:val="eachPage"/>
          </w:footnotePr>
          <w:pgSz w:w="11906" w:h="16838"/>
          <w:pgMar w:top="1134" w:right="1134" w:bottom="1134" w:left="1134" w:header="851" w:footer="851" w:gutter="0"/>
          <w:cols w:space="720" w:num="1"/>
          <w:docGrid w:linePitch="286" w:charSpace="0"/>
        </w:sectPr>
      </w:pPr>
    </w:p>
    <w:p w14:paraId="6D1C19BF">
      <w:pPr>
        <w:pStyle w:val="3"/>
        <w:widowControl/>
        <w:spacing w:before="120" w:after="120" w:line="240" w:lineRule="auto"/>
        <w:jc w:val="center"/>
        <w:rPr>
          <w:rStyle w:val="107"/>
          <w:rFonts w:hint="eastAsia" w:ascii="宋体" w:hAnsi="宋体" w:eastAsia="宋体" w:cs="宋体"/>
          <w:b/>
          <w:bCs w:val="0"/>
          <w:color w:val="auto"/>
          <w:sz w:val="30"/>
          <w:szCs w:val="30"/>
          <w:highlight w:val="none"/>
        </w:rPr>
      </w:pPr>
      <w:r>
        <w:rPr>
          <w:rStyle w:val="107"/>
          <w:rFonts w:hint="eastAsia" w:ascii="宋体" w:hAnsi="宋体" w:eastAsia="宋体" w:cs="宋体"/>
          <w:b/>
          <w:bCs w:val="0"/>
          <w:color w:val="auto"/>
          <w:sz w:val="30"/>
          <w:szCs w:val="30"/>
          <w:highlight w:val="none"/>
          <w:lang w:val="en-US"/>
        </w:rPr>
        <w:t>七</w:t>
      </w:r>
      <w:r>
        <w:rPr>
          <w:rStyle w:val="107"/>
          <w:rFonts w:hint="eastAsia" w:ascii="宋体" w:hAnsi="宋体" w:eastAsia="宋体" w:cs="宋体"/>
          <w:b/>
          <w:bCs w:val="0"/>
          <w:color w:val="auto"/>
          <w:sz w:val="30"/>
          <w:szCs w:val="30"/>
          <w:highlight w:val="none"/>
        </w:rPr>
        <w:t>、资格审查材料</w:t>
      </w:r>
    </w:p>
    <w:p w14:paraId="63AB4112">
      <w:pPr>
        <w:widowControl/>
        <w:tabs>
          <w:tab w:val="left" w:pos="5580"/>
        </w:tabs>
        <w:wordWrap w:val="0"/>
        <w:adjustRightInd w:val="0"/>
        <w:snapToGrid w:val="0"/>
        <w:spacing w:line="400" w:lineRule="exact"/>
        <w:rPr>
          <w:rFonts w:hint="eastAsia" w:ascii="宋体" w:hAnsi="宋体" w:cs="宋体"/>
          <w:b/>
          <w:color w:val="auto"/>
          <w:szCs w:val="21"/>
          <w:highlight w:val="none"/>
        </w:rPr>
      </w:pPr>
      <w:r>
        <w:rPr>
          <w:rFonts w:hint="eastAsia" w:ascii="宋体" w:hAnsi="宋体" w:cs="宋体"/>
          <w:b/>
          <w:color w:val="auto"/>
          <w:szCs w:val="21"/>
          <w:highlight w:val="none"/>
        </w:rPr>
        <w:t>特别提醒：</w:t>
      </w:r>
    </w:p>
    <w:p w14:paraId="2A79FE6C">
      <w:pPr>
        <w:widowControl/>
        <w:tabs>
          <w:tab w:val="left" w:pos="5580"/>
        </w:tabs>
        <w:wordWrap w:val="0"/>
        <w:adjustRightInd w:val="0"/>
        <w:snapToGrid w:val="0"/>
        <w:spacing w:line="400" w:lineRule="exact"/>
        <w:rPr>
          <w:rFonts w:hint="eastAsia" w:ascii="宋体" w:hAnsi="宋体" w:cs="宋体"/>
          <w:color w:val="auto"/>
          <w:szCs w:val="21"/>
          <w:highlight w:val="none"/>
        </w:rPr>
      </w:pPr>
      <w:r>
        <w:rPr>
          <w:rFonts w:hint="eastAsia" w:ascii="宋体" w:hAnsi="宋体" w:cs="宋体"/>
          <w:color w:val="auto"/>
          <w:szCs w:val="21"/>
          <w:highlight w:val="none"/>
        </w:rPr>
        <w:t>1．提供证明材料</w:t>
      </w:r>
      <w:r>
        <w:rPr>
          <w:rFonts w:hint="eastAsia" w:ascii="宋体" w:hAnsi="宋体" w:cs="宋体"/>
          <w:b/>
          <w:color w:val="auto"/>
          <w:szCs w:val="21"/>
          <w:highlight w:val="none"/>
        </w:rPr>
        <w:t>扫描件或电子证照</w:t>
      </w:r>
      <w:r>
        <w:rPr>
          <w:rFonts w:hint="eastAsia" w:ascii="宋体" w:hAnsi="宋体" w:cs="宋体"/>
          <w:color w:val="auto"/>
          <w:szCs w:val="21"/>
          <w:highlight w:val="none"/>
        </w:rPr>
        <w:t>；</w:t>
      </w:r>
    </w:p>
    <w:p w14:paraId="2DD1620C">
      <w:pPr>
        <w:widowControl/>
        <w:tabs>
          <w:tab w:val="left" w:pos="5580"/>
        </w:tabs>
        <w:wordWrap w:val="0"/>
        <w:adjustRightInd w:val="0"/>
        <w:snapToGrid w:val="0"/>
        <w:spacing w:line="400" w:lineRule="exact"/>
        <w:rPr>
          <w:rFonts w:hint="eastAsia" w:ascii="宋体" w:hAnsi="宋体" w:cs="宋体"/>
          <w:color w:val="auto"/>
          <w:szCs w:val="21"/>
          <w:highlight w:val="none"/>
        </w:rPr>
      </w:pPr>
      <w:r>
        <w:rPr>
          <w:rFonts w:hint="eastAsia" w:ascii="宋体" w:hAnsi="宋体" w:cs="宋体"/>
          <w:color w:val="auto"/>
          <w:szCs w:val="21"/>
          <w:highlight w:val="none"/>
        </w:rPr>
        <w:t>2．建议设置审查索引，以便资格审查小组顺利开展审查工作；</w:t>
      </w:r>
    </w:p>
    <w:p w14:paraId="21225CBE">
      <w:pPr>
        <w:widowControl/>
        <w:tabs>
          <w:tab w:val="left" w:pos="5580"/>
        </w:tabs>
        <w:wordWrap w:val="0"/>
        <w:adjustRightInd w:val="0"/>
        <w:snapToGrid w:val="0"/>
        <w:spacing w:line="400" w:lineRule="exact"/>
        <w:rPr>
          <w:rFonts w:hint="eastAsia" w:ascii="宋体" w:hAnsi="宋体" w:cs="宋体"/>
          <w:color w:val="auto"/>
          <w:szCs w:val="21"/>
          <w:highlight w:val="none"/>
        </w:rPr>
      </w:pPr>
      <w:r>
        <w:rPr>
          <w:rFonts w:hint="eastAsia" w:ascii="宋体" w:hAnsi="宋体" w:cs="宋体"/>
          <w:color w:val="auto"/>
          <w:szCs w:val="21"/>
          <w:highlight w:val="none"/>
        </w:rPr>
        <w:t>3．内容须清晰、明确，若提供相关资料内容模糊不清或无法辨认，资格审查小组有权不予认可。</w:t>
      </w:r>
    </w:p>
    <w:p w14:paraId="01007ADA">
      <w:pPr>
        <w:tabs>
          <w:tab w:val="left" w:pos="1260"/>
        </w:tabs>
        <w:jc w:val="center"/>
        <w:rPr>
          <w:rFonts w:hint="eastAsia" w:cs="宋体"/>
          <w:bCs/>
          <w:color w:val="auto"/>
          <w:sz w:val="24"/>
          <w:highlight w:val="none"/>
        </w:rPr>
      </w:pPr>
    </w:p>
    <w:p w14:paraId="4E469D62">
      <w:pPr>
        <w:pStyle w:val="4"/>
        <w:keepNext w:val="0"/>
        <w:tabs>
          <w:tab w:val="left" w:pos="1260"/>
        </w:tabs>
        <w:jc w:val="center"/>
        <w:rPr>
          <w:rFonts w:hint="eastAsia" w:cs="宋体"/>
          <w:color w:val="auto"/>
          <w:sz w:val="24"/>
          <w:highlight w:val="none"/>
          <w:lang w:eastAsia="zh-CN"/>
        </w:rPr>
      </w:pPr>
      <w:r>
        <w:rPr>
          <w:rFonts w:hint="eastAsia" w:cs="宋体"/>
          <w:bCs w:val="0"/>
          <w:color w:val="auto"/>
          <w:sz w:val="24"/>
          <w:highlight w:val="none"/>
          <w:lang w:eastAsia="zh-CN"/>
        </w:rPr>
        <w:t>（一）招标文件要求的相关资格证明</w:t>
      </w:r>
    </w:p>
    <w:p w14:paraId="0553144F">
      <w:pPr>
        <w:rPr>
          <w:rFonts w:hint="eastAsia" w:ascii="宋体" w:hAnsi="宋体" w:cs="宋体"/>
          <w:b/>
          <w:color w:val="auto"/>
          <w:highlight w:val="none"/>
        </w:rPr>
      </w:pPr>
      <w:r>
        <w:rPr>
          <w:rFonts w:hint="eastAsia" w:ascii="宋体" w:hAnsi="宋体" w:cs="宋体"/>
          <w:b/>
          <w:color w:val="auto"/>
          <w:highlight w:val="none"/>
        </w:rPr>
        <w:t>1-1营业执照等证明材料扫描件或电子证照</w:t>
      </w:r>
    </w:p>
    <w:p w14:paraId="52A98414">
      <w:pPr>
        <w:rPr>
          <w:rFonts w:hint="eastAsia" w:ascii="宋体" w:hAnsi="宋体" w:cs="宋体"/>
          <w:color w:val="auto"/>
          <w:sz w:val="18"/>
          <w:szCs w:val="18"/>
          <w:highlight w:val="none"/>
        </w:rPr>
      </w:pPr>
      <w:r>
        <w:rPr>
          <w:rFonts w:hint="eastAsia" w:ascii="宋体" w:hAnsi="宋体" w:cs="宋体"/>
          <w:color w:val="auto"/>
          <w:sz w:val="18"/>
          <w:szCs w:val="18"/>
          <w:highlight w:val="none"/>
        </w:rPr>
        <w:t>投标人为企业（包括公司、合伙企业、个人独资企业）的，提供有效的营业执照；</w:t>
      </w:r>
    </w:p>
    <w:p w14:paraId="7D549678">
      <w:pPr>
        <w:rPr>
          <w:rFonts w:hint="eastAsia" w:ascii="宋体" w:hAnsi="宋体" w:cs="宋体"/>
          <w:color w:val="auto"/>
          <w:sz w:val="18"/>
          <w:szCs w:val="18"/>
          <w:highlight w:val="none"/>
        </w:rPr>
      </w:pPr>
      <w:r>
        <w:rPr>
          <w:rFonts w:hint="eastAsia" w:ascii="宋体" w:hAnsi="宋体" w:cs="宋体"/>
          <w:color w:val="auto"/>
          <w:sz w:val="18"/>
          <w:szCs w:val="18"/>
          <w:highlight w:val="none"/>
        </w:rPr>
        <w:t>投标人为事业单位的，提供有效的事业单位法人证书；</w:t>
      </w:r>
    </w:p>
    <w:p w14:paraId="3C717DF8">
      <w:pPr>
        <w:rPr>
          <w:rFonts w:hint="eastAsia" w:ascii="宋体" w:hAnsi="宋体" w:cs="宋体"/>
          <w:color w:val="auto"/>
          <w:sz w:val="18"/>
          <w:szCs w:val="18"/>
          <w:highlight w:val="none"/>
        </w:rPr>
      </w:pPr>
      <w:r>
        <w:rPr>
          <w:rFonts w:hint="eastAsia" w:ascii="宋体" w:hAnsi="宋体" w:cs="宋体"/>
          <w:color w:val="auto"/>
          <w:sz w:val="18"/>
          <w:szCs w:val="18"/>
          <w:highlight w:val="none"/>
        </w:rPr>
        <w:t>投标人为社会团体的，提供有效的社会团体法人登记证书；</w:t>
      </w:r>
    </w:p>
    <w:p w14:paraId="4813DF9B">
      <w:pPr>
        <w:rPr>
          <w:rFonts w:hint="eastAsia" w:ascii="宋体" w:hAnsi="宋体" w:cs="宋体"/>
          <w:color w:val="auto"/>
          <w:sz w:val="18"/>
          <w:szCs w:val="18"/>
          <w:highlight w:val="none"/>
        </w:rPr>
      </w:pPr>
      <w:r>
        <w:rPr>
          <w:rFonts w:hint="eastAsia" w:ascii="宋体" w:hAnsi="宋体" w:cs="宋体"/>
          <w:color w:val="auto"/>
          <w:sz w:val="18"/>
          <w:szCs w:val="18"/>
          <w:highlight w:val="none"/>
        </w:rPr>
        <w:t>投标人为个体工商户的，提供有效的营业执照；</w:t>
      </w:r>
    </w:p>
    <w:p w14:paraId="23D0AE54">
      <w:pPr>
        <w:rPr>
          <w:rFonts w:hint="eastAsia" w:ascii="宋体" w:hAnsi="宋体" w:cs="宋体"/>
          <w:color w:val="auto"/>
          <w:sz w:val="18"/>
          <w:szCs w:val="18"/>
          <w:highlight w:val="none"/>
        </w:rPr>
      </w:pPr>
      <w:r>
        <w:rPr>
          <w:rFonts w:hint="eastAsia" w:ascii="宋体" w:hAnsi="宋体" w:cs="宋体"/>
          <w:color w:val="auto"/>
          <w:sz w:val="18"/>
          <w:szCs w:val="18"/>
          <w:highlight w:val="none"/>
        </w:rPr>
        <w:t>投标人为不具法人资格的专业服务机构的，提供有效的执业许可证等证明材料；</w:t>
      </w:r>
    </w:p>
    <w:p w14:paraId="2A509176">
      <w:pPr>
        <w:rPr>
          <w:rFonts w:hint="eastAsia" w:ascii="宋体" w:hAnsi="宋体" w:cs="宋体"/>
          <w:color w:val="auto"/>
          <w:sz w:val="18"/>
          <w:szCs w:val="18"/>
          <w:highlight w:val="none"/>
        </w:rPr>
      </w:pPr>
      <w:r>
        <w:rPr>
          <w:rFonts w:hint="eastAsia" w:ascii="宋体" w:hAnsi="宋体" w:cs="宋体"/>
          <w:color w:val="auto"/>
          <w:sz w:val="18"/>
          <w:szCs w:val="18"/>
          <w:highlight w:val="none"/>
        </w:rPr>
        <w:t>投标人为自然人的，提供有效的自然人身份证明；</w:t>
      </w:r>
    </w:p>
    <w:p w14:paraId="6CE98AC4">
      <w:pPr>
        <w:rPr>
          <w:rFonts w:hint="eastAsia" w:ascii="宋体" w:hAnsi="宋体" w:cs="宋体"/>
          <w:color w:val="auto"/>
          <w:sz w:val="18"/>
          <w:szCs w:val="18"/>
          <w:highlight w:val="none"/>
        </w:rPr>
      </w:pPr>
      <w:r>
        <w:rPr>
          <w:rFonts w:hint="eastAsia" w:ascii="宋体" w:hAnsi="宋体" w:cs="宋体"/>
          <w:color w:val="auto"/>
          <w:sz w:val="18"/>
          <w:szCs w:val="18"/>
          <w:highlight w:val="none"/>
        </w:rPr>
        <w:t>其他投标人应按照有关法律、法规和规章规定，提供有效的相应证明材料。</w:t>
      </w:r>
    </w:p>
    <w:p w14:paraId="1A6CB420">
      <w:pPr>
        <w:rPr>
          <w:rFonts w:hint="eastAsia" w:ascii="宋体" w:hAnsi="宋体" w:cs="宋体"/>
          <w:color w:val="auto"/>
          <w:sz w:val="18"/>
          <w:szCs w:val="18"/>
          <w:highlight w:val="none"/>
        </w:rPr>
      </w:pPr>
      <w:r>
        <w:rPr>
          <w:rFonts w:hint="eastAsia" w:ascii="宋体" w:hAnsi="宋体" w:cs="宋体"/>
          <w:color w:val="auto"/>
          <w:sz w:val="18"/>
          <w:szCs w:val="18"/>
          <w:highlight w:val="none"/>
        </w:rPr>
        <w:t>注：</w:t>
      </w:r>
    </w:p>
    <w:p w14:paraId="67A1900C">
      <w:pPr>
        <w:rPr>
          <w:rFonts w:hint="eastAsia" w:ascii="宋体" w:hAnsi="宋体" w:cs="宋体"/>
          <w:color w:val="auto"/>
          <w:sz w:val="18"/>
          <w:szCs w:val="18"/>
          <w:highlight w:val="none"/>
        </w:rPr>
      </w:pPr>
      <w:r>
        <w:rPr>
          <w:rFonts w:hint="eastAsia" w:ascii="宋体" w:hAnsi="宋体" w:cs="宋体"/>
          <w:color w:val="auto"/>
          <w:sz w:val="18"/>
          <w:szCs w:val="18"/>
          <w:highlight w:val="none"/>
        </w:rPr>
        <w:t>1.联合体投标的联合体各方均须提供。</w:t>
      </w:r>
    </w:p>
    <w:p w14:paraId="382803FE">
      <w:pPr>
        <w:rPr>
          <w:rFonts w:hint="eastAsia" w:ascii="宋体" w:hAnsi="宋体" w:cs="宋体"/>
          <w:color w:val="auto"/>
          <w:sz w:val="18"/>
          <w:szCs w:val="18"/>
          <w:highlight w:val="none"/>
        </w:rPr>
      </w:pPr>
      <w:r>
        <w:rPr>
          <w:rFonts w:hint="eastAsia" w:ascii="宋体" w:hAnsi="宋体" w:cs="宋体"/>
          <w:color w:val="auto"/>
          <w:sz w:val="18"/>
          <w:szCs w:val="18"/>
          <w:highlight w:val="none"/>
        </w:rPr>
        <w:t>2.分支机构以分支机构名义参加投标的，应提供该分支机构的上述证明文件；同时还应提供其所属法人/其他组织出具的授权书（格式自拟，须加盖其所属法人/其他组织的公章）；</w:t>
      </w:r>
    </w:p>
    <w:p w14:paraId="0223E7DD">
      <w:pPr>
        <w:rPr>
          <w:rFonts w:hint="eastAsia" w:ascii="宋体" w:hAnsi="宋体" w:cs="宋体"/>
          <w:color w:val="auto"/>
          <w:sz w:val="18"/>
          <w:szCs w:val="18"/>
          <w:highlight w:val="none"/>
        </w:rPr>
      </w:pPr>
      <w:r>
        <w:rPr>
          <w:rFonts w:hint="eastAsia" w:ascii="宋体" w:hAnsi="宋体" w:cs="宋体"/>
          <w:color w:val="auto"/>
          <w:sz w:val="18"/>
          <w:szCs w:val="18"/>
          <w:highlight w:val="none"/>
        </w:rPr>
        <w:t>3.分支机构以其所属法人/其他组织名义参加投标的，应提供其所属法人/其他组织的上述证明文件；同时还应提供其所属法人/其他组织出具的授权书（格式自拟，须加盖其所属法人/其他组织的公章）；</w:t>
      </w:r>
    </w:p>
    <w:p w14:paraId="055C7E11">
      <w:pPr>
        <w:rPr>
          <w:rFonts w:hint="eastAsia" w:ascii="宋体" w:hAnsi="宋体" w:cs="宋体"/>
          <w:color w:val="auto"/>
          <w:szCs w:val="21"/>
          <w:highlight w:val="none"/>
        </w:rPr>
      </w:pPr>
      <w:r>
        <w:rPr>
          <w:rFonts w:hint="eastAsia" w:ascii="宋体" w:hAnsi="宋体" w:cs="宋体"/>
          <w:color w:val="auto"/>
          <w:sz w:val="18"/>
          <w:szCs w:val="18"/>
          <w:highlight w:val="none"/>
        </w:rPr>
        <w:t>4.对于银行、保险、石油石化、电力、电信、邮政、铁路等行业的分支机构，可以提供其所属法人/其他组织出具的授权书，也可以提供其所属法人/其他组织的有关文件或制度等能够证明授权其独立开展业务的证明材料。</w:t>
      </w:r>
    </w:p>
    <w:p w14:paraId="466B665C">
      <w:pPr>
        <w:pStyle w:val="93"/>
        <w:rPr>
          <w:rFonts w:hint="eastAsia"/>
          <w:color w:val="auto"/>
          <w:highlight w:val="none"/>
        </w:rPr>
      </w:pPr>
    </w:p>
    <w:p w14:paraId="22B85889">
      <w:pPr>
        <w:rPr>
          <w:rFonts w:hint="eastAsia" w:ascii="宋体" w:hAnsi="宋体" w:cs="宋体"/>
          <w:b/>
          <w:color w:val="auto"/>
          <w:highlight w:val="none"/>
        </w:rPr>
      </w:pPr>
      <w:r>
        <w:rPr>
          <w:rFonts w:hint="eastAsia" w:ascii="宋体" w:hAnsi="宋体" w:cs="宋体"/>
          <w:b/>
          <w:color w:val="auto"/>
          <w:highlight w:val="none"/>
        </w:rPr>
        <w:t>1-2资质证书（如有）</w:t>
      </w:r>
    </w:p>
    <w:p w14:paraId="6FAE8F92">
      <w:pPr>
        <w:rPr>
          <w:rFonts w:hint="eastAsia" w:ascii="宋体" w:hAnsi="宋体" w:cs="宋体"/>
          <w:snapToGrid w:val="0"/>
          <w:color w:val="auto"/>
          <w:sz w:val="18"/>
          <w:szCs w:val="18"/>
          <w:highlight w:val="none"/>
        </w:rPr>
      </w:pPr>
      <w:r>
        <w:rPr>
          <w:rFonts w:hint="eastAsia" w:ascii="宋体" w:hAnsi="宋体" w:cs="宋体"/>
          <w:color w:val="auto"/>
          <w:sz w:val="18"/>
          <w:szCs w:val="18"/>
          <w:highlight w:val="none"/>
        </w:rPr>
        <w:t>注：</w:t>
      </w:r>
      <w:r>
        <w:rPr>
          <w:rFonts w:hint="eastAsia" w:ascii="宋体" w:hAnsi="宋体" w:cs="宋体"/>
          <w:snapToGrid w:val="0"/>
          <w:color w:val="auto"/>
          <w:sz w:val="18"/>
          <w:szCs w:val="18"/>
          <w:highlight w:val="none"/>
        </w:rPr>
        <w:t>资质证书包括但不限于投标货物生产（制造）、销售、服务（安装、改造、维修、保养）许可证及有关投标货物（产品）有效鉴定证明等材料。</w:t>
      </w:r>
    </w:p>
    <w:p w14:paraId="0D4846D1">
      <w:pPr>
        <w:rPr>
          <w:rFonts w:hint="eastAsia" w:ascii="宋体" w:hAnsi="宋体" w:eastAsia="宋体" w:cs="宋体"/>
          <w:snapToGrid w:val="0"/>
          <w:color w:val="auto"/>
          <w:sz w:val="18"/>
          <w:szCs w:val="18"/>
          <w:highlight w:val="none"/>
          <w:lang w:val="en-US" w:eastAsia="zh-CN"/>
        </w:rPr>
      </w:pPr>
    </w:p>
    <w:p w14:paraId="233EBB29">
      <w:pPr>
        <w:rPr>
          <w:rFonts w:hint="eastAsia" w:ascii="宋体" w:hAnsi="宋体" w:cs="宋体"/>
          <w:b/>
          <w:color w:val="auto"/>
          <w:highlight w:val="none"/>
        </w:rPr>
      </w:pPr>
      <w:r>
        <w:rPr>
          <w:rFonts w:hint="eastAsia" w:ascii="宋体" w:hAnsi="宋体" w:cs="宋体"/>
          <w:b/>
          <w:color w:val="auto"/>
          <w:highlight w:val="none"/>
        </w:rPr>
        <w:t>1-3制造商的相关资质证明（如有）</w:t>
      </w:r>
    </w:p>
    <w:p w14:paraId="078AC4AF">
      <w:pPr>
        <w:numPr>
          <w:ilvl w:val="0"/>
          <w:numId w:val="0"/>
        </w:numPr>
        <w:rPr>
          <w:rFonts w:hint="eastAsia" w:ascii="宋体" w:hAnsi="宋体" w:eastAsia="宋体" w:cs="宋体"/>
          <w:b w:val="0"/>
          <w:color w:val="auto"/>
          <w:sz w:val="18"/>
          <w:szCs w:val="18"/>
          <w:highlight w:val="none"/>
          <w:lang w:val="en-US" w:eastAsia="zh-CN"/>
        </w:rPr>
      </w:pPr>
    </w:p>
    <w:p w14:paraId="191E9DBD">
      <w:pPr>
        <w:rPr>
          <w:rFonts w:hint="eastAsia" w:ascii="宋体" w:hAnsi="宋体" w:cs="宋体"/>
          <w:b/>
          <w:color w:val="auto"/>
          <w:highlight w:val="none"/>
        </w:rPr>
      </w:pPr>
      <w:r>
        <w:rPr>
          <w:rFonts w:hint="eastAsia" w:ascii="宋体" w:hAnsi="宋体" w:cs="宋体"/>
          <w:b/>
          <w:color w:val="auto"/>
          <w:highlight w:val="none"/>
        </w:rPr>
        <w:t>1-4产品的相关资质证明文件（如有）</w:t>
      </w:r>
    </w:p>
    <w:p w14:paraId="6F8086C9">
      <w:pPr>
        <w:rPr>
          <w:rFonts w:hint="eastAsia" w:ascii="宋体" w:hAnsi="宋体" w:cs="宋体"/>
          <w:b/>
          <w:color w:val="auto"/>
          <w:highlight w:val="none"/>
        </w:rPr>
      </w:pPr>
    </w:p>
    <w:p w14:paraId="7A2C49B7">
      <w:pPr>
        <w:rPr>
          <w:rFonts w:hint="eastAsia" w:ascii="宋体" w:hAnsi="宋体" w:cs="宋体"/>
          <w:b/>
          <w:color w:val="auto"/>
          <w:highlight w:val="none"/>
        </w:rPr>
      </w:pPr>
      <w:r>
        <w:rPr>
          <w:rFonts w:hint="eastAsia" w:ascii="宋体" w:hAnsi="宋体" w:cs="宋体"/>
          <w:b/>
          <w:color w:val="auto"/>
          <w:highlight w:val="none"/>
        </w:rPr>
        <w:t>1-5其他要求的相关</w:t>
      </w:r>
      <w:r>
        <w:rPr>
          <w:rFonts w:hint="eastAsia" w:ascii="宋体" w:hAnsi="宋体" w:cs="宋体"/>
          <w:b/>
          <w:color w:val="auto"/>
          <w:szCs w:val="21"/>
          <w:highlight w:val="none"/>
        </w:rPr>
        <w:t>资格证明材料</w:t>
      </w:r>
      <w:r>
        <w:rPr>
          <w:rFonts w:hint="eastAsia" w:ascii="宋体" w:hAnsi="宋体" w:cs="宋体"/>
          <w:b/>
          <w:color w:val="auto"/>
          <w:highlight w:val="none"/>
        </w:rPr>
        <w:t>（如有）</w:t>
      </w:r>
    </w:p>
    <w:p w14:paraId="687BF1C6">
      <w:pPr>
        <w:widowControl/>
        <w:tabs>
          <w:tab w:val="left" w:pos="5580"/>
        </w:tabs>
        <w:spacing w:line="360" w:lineRule="auto"/>
        <w:rPr>
          <w:rFonts w:hint="eastAsia" w:ascii="宋体" w:hAnsi="宋体" w:cs="宋体"/>
          <w:color w:val="auto"/>
          <w:szCs w:val="21"/>
          <w:highlight w:val="none"/>
        </w:rPr>
      </w:pPr>
    </w:p>
    <w:p w14:paraId="44DD4FC5">
      <w:pPr>
        <w:widowControl/>
        <w:tabs>
          <w:tab w:val="left" w:pos="5580"/>
        </w:tabs>
        <w:spacing w:line="360" w:lineRule="auto"/>
        <w:rPr>
          <w:rFonts w:hint="eastAsia" w:ascii="宋体" w:hAnsi="宋体" w:cs="宋体"/>
          <w:b/>
          <w:color w:val="auto"/>
          <w:szCs w:val="21"/>
          <w:highlight w:val="none"/>
        </w:rPr>
      </w:pPr>
      <w:r>
        <w:rPr>
          <w:rFonts w:hint="eastAsia" w:ascii="宋体" w:hAnsi="宋体" w:cs="宋体"/>
          <w:b/>
          <w:color w:val="auto"/>
          <w:szCs w:val="21"/>
          <w:highlight w:val="none"/>
        </w:rPr>
        <w:t>注意对照招标公告及第四章规定，提供各类资格证明材料</w:t>
      </w:r>
    </w:p>
    <w:p w14:paraId="5D439DAA">
      <w:pPr>
        <w:widowControl/>
        <w:tabs>
          <w:tab w:val="left" w:pos="5580"/>
        </w:tabs>
        <w:spacing w:line="360" w:lineRule="auto"/>
        <w:jc w:val="center"/>
        <w:outlineLvl w:val="2"/>
        <w:rPr>
          <w:rFonts w:hint="eastAsia" w:ascii="宋体" w:hAnsi="宋体" w:cs="宋体"/>
          <w:b/>
          <w:color w:val="auto"/>
          <w:sz w:val="24"/>
          <w:highlight w:val="none"/>
        </w:rPr>
      </w:pPr>
      <w:r>
        <w:rPr>
          <w:rFonts w:hint="eastAsia" w:ascii="宋体" w:hAnsi="宋体" w:cs="宋体"/>
          <w:b/>
          <w:color w:val="auto"/>
          <w:szCs w:val="21"/>
          <w:highlight w:val="none"/>
        </w:rPr>
        <w:br w:type="page"/>
      </w:r>
      <w:r>
        <w:rPr>
          <w:rFonts w:hint="eastAsia" w:ascii="宋体" w:hAnsi="宋体" w:cs="宋体"/>
          <w:b/>
          <w:bCs/>
          <w:color w:val="auto"/>
          <w:kern w:val="0"/>
          <w:sz w:val="24"/>
          <w:highlight w:val="none"/>
          <w:lang w:bidi="en-US"/>
        </w:rPr>
        <w:t>（二）政府采购供应商资格承诺函</w:t>
      </w:r>
    </w:p>
    <w:p w14:paraId="4A0EF99A">
      <w:pPr>
        <w:snapToGrid w:val="0"/>
        <w:spacing w:line="360" w:lineRule="auto"/>
        <w:rPr>
          <w:rFonts w:hint="eastAsia" w:ascii="宋体" w:hAnsi="宋体" w:cs="宋体"/>
          <w:color w:val="auto"/>
          <w:highlight w:val="none"/>
          <w:u w:val="single"/>
          <w:lang w:bidi="en-US"/>
        </w:rPr>
      </w:pPr>
      <w:r>
        <w:rPr>
          <w:rFonts w:hint="eastAsia" w:ascii="宋体" w:hAnsi="宋体" w:cs="宋体"/>
          <w:color w:val="auto"/>
          <w:highlight w:val="none"/>
          <w:lang w:bidi="en-US"/>
        </w:rPr>
        <w:t>致：安徽省卫生健康委员会</w:t>
      </w:r>
    </w:p>
    <w:p w14:paraId="141E302E">
      <w:pPr>
        <w:snapToGrid w:val="0"/>
        <w:spacing w:line="360" w:lineRule="auto"/>
        <w:rPr>
          <w:rFonts w:hint="eastAsia" w:ascii="宋体" w:hAnsi="宋体" w:cs="宋体"/>
          <w:color w:val="auto"/>
          <w:highlight w:val="none"/>
          <w:lang w:bidi="en-US"/>
        </w:rPr>
      </w:pPr>
      <w:r>
        <w:rPr>
          <w:rFonts w:hint="eastAsia" w:ascii="宋体" w:hAnsi="宋体" w:cs="宋体"/>
          <w:color w:val="auto"/>
          <w:highlight w:val="none"/>
          <w:lang w:bidi="en-US"/>
        </w:rPr>
        <w:t xml:space="preserve">    安徽省招标集团股份有限公司</w:t>
      </w:r>
    </w:p>
    <w:p w14:paraId="53457F97">
      <w:pPr>
        <w:widowControl/>
        <w:tabs>
          <w:tab w:val="left" w:pos="5580"/>
        </w:tabs>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我方</w:t>
      </w:r>
      <w:r>
        <w:rPr>
          <w:rFonts w:hint="eastAsia" w:ascii="宋体" w:hAnsi="宋体" w:cs="宋体"/>
          <w:color w:val="auto"/>
          <w:highlight w:val="none"/>
          <w:lang w:bidi="en-US"/>
        </w:rPr>
        <w:t>郑重承诺，根据《中华人民共和国政府采购法》及《中华人民共和国政府采购法实施条例》的规定，</w:t>
      </w:r>
      <w:r>
        <w:rPr>
          <w:rFonts w:hint="eastAsia" w:ascii="宋体" w:hAnsi="宋体" w:cs="宋体"/>
          <w:color w:val="auto"/>
          <w:szCs w:val="21"/>
          <w:highlight w:val="none"/>
        </w:rPr>
        <w:t>我方具有独立承担民事责任的能力、具有良好的商业信誉和健全的财务会计制度、依法缴纳税收和社会保障资金,在前三年的经营活动中无重大违法记录,未列入严重失信行为名单,符合政府采购供应商的基本资格要求。</w:t>
      </w:r>
    </w:p>
    <w:p w14:paraId="79C1CD93">
      <w:pPr>
        <w:widowControl/>
        <w:tabs>
          <w:tab w:val="left" w:pos="5580"/>
        </w:tabs>
        <w:spacing w:line="360" w:lineRule="auto"/>
        <w:ind w:firstLine="420" w:firstLineChars="200"/>
        <w:jc w:val="left"/>
        <w:rPr>
          <w:rFonts w:hint="eastAsia" w:ascii="宋体" w:hAnsi="宋体" w:cs="宋体"/>
          <w:bCs/>
          <w:color w:val="auto"/>
          <w:szCs w:val="21"/>
          <w:highlight w:val="none"/>
        </w:rPr>
      </w:pPr>
      <w:r>
        <w:rPr>
          <w:rFonts w:hint="eastAsia" w:ascii="宋体" w:hAnsi="宋体" w:cs="宋体"/>
          <w:bCs/>
          <w:color w:val="auto"/>
          <w:szCs w:val="21"/>
          <w:highlight w:val="none"/>
        </w:rPr>
        <w:t>（一）具有独立承担民事责任的能力。</w:t>
      </w:r>
    </w:p>
    <w:p w14:paraId="25E647A9">
      <w:pPr>
        <w:widowControl/>
        <w:tabs>
          <w:tab w:val="left" w:pos="5580"/>
        </w:tabs>
        <w:spacing w:line="360" w:lineRule="auto"/>
        <w:ind w:firstLine="420" w:firstLineChars="200"/>
        <w:jc w:val="left"/>
        <w:rPr>
          <w:rFonts w:hint="eastAsia" w:ascii="宋体" w:hAnsi="宋体" w:cs="宋体"/>
          <w:bCs/>
          <w:color w:val="auto"/>
          <w:szCs w:val="21"/>
          <w:highlight w:val="none"/>
        </w:rPr>
      </w:pPr>
      <w:r>
        <w:rPr>
          <w:rFonts w:hint="eastAsia" w:ascii="宋体" w:hAnsi="宋体" w:cs="宋体"/>
          <w:bCs/>
          <w:color w:val="auto"/>
          <w:szCs w:val="21"/>
          <w:highlight w:val="none"/>
        </w:rPr>
        <w:t>（二）具有良好的商业信誉和健全的财务会计制度。</w:t>
      </w:r>
    </w:p>
    <w:p w14:paraId="75118EA7">
      <w:pPr>
        <w:widowControl/>
        <w:tabs>
          <w:tab w:val="left" w:pos="5580"/>
        </w:tabs>
        <w:spacing w:line="360" w:lineRule="auto"/>
        <w:ind w:firstLine="420" w:firstLineChars="200"/>
        <w:jc w:val="left"/>
        <w:rPr>
          <w:rFonts w:hint="eastAsia" w:ascii="宋体" w:hAnsi="宋体" w:cs="宋体"/>
          <w:bCs/>
          <w:color w:val="auto"/>
          <w:szCs w:val="21"/>
          <w:highlight w:val="none"/>
        </w:rPr>
      </w:pPr>
      <w:r>
        <w:rPr>
          <w:rFonts w:hint="eastAsia" w:ascii="宋体" w:hAnsi="宋体" w:cs="宋体"/>
          <w:bCs/>
          <w:color w:val="auto"/>
          <w:szCs w:val="21"/>
          <w:highlight w:val="none"/>
        </w:rPr>
        <w:t>（三）具有履行合同所必需的设备和专业技术能力。</w:t>
      </w:r>
    </w:p>
    <w:p w14:paraId="2F48F2C7">
      <w:pPr>
        <w:widowControl/>
        <w:tabs>
          <w:tab w:val="left" w:pos="5580"/>
        </w:tabs>
        <w:spacing w:line="360" w:lineRule="auto"/>
        <w:ind w:firstLine="420" w:firstLineChars="200"/>
        <w:jc w:val="left"/>
        <w:rPr>
          <w:rFonts w:hint="eastAsia" w:ascii="宋体" w:hAnsi="宋体" w:cs="宋体"/>
          <w:bCs/>
          <w:color w:val="auto"/>
          <w:szCs w:val="21"/>
          <w:highlight w:val="none"/>
        </w:rPr>
      </w:pPr>
      <w:r>
        <w:rPr>
          <w:rFonts w:hint="eastAsia" w:ascii="宋体" w:hAnsi="宋体" w:cs="宋体"/>
          <w:bCs/>
          <w:color w:val="auto"/>
          <w:szCs w:val="21"/>
          <w:highlight w:val="none"/>
        </w:rPr>
        <w:t>（四）有依法缴纳税收和社会保障资金的良好记录。</w:t>
      </w:r>
    </w:p>
    <w:p w14:paraId="5F2DE5CE">
      <w:pPr>
        <w:widowControl/>
        <w:tabs>
          <w:tab w:val="left" w:pos="5580"/>
        </w:tabs>
        <w:spacing w:line="360" w:lineRule="auto"/>
        <w:ind w:firstLine="420" w:firstLineChars="200"/>
        <w:jc w:val="left"/>
        <w:rPr>
          <w:rFonts w:hint="eastAsia" w:ascii="宋体" w:hAnsi="宋体" w:cs="宋体"/>
          <w:bCs/>
          <w:color w:val="auto"/>
          <w:szCs w:val="21"/>
          <w:highlight w:val="none"/>
        </w:rPr>
      </w:pPr>
      <w:r>
        <w:rPr>
          <w:rFonts w:hint="eastAsia" w:ascii="宋体" w:hAnsi="宋体" w:cs="宋体"/>
          <w:bCs/>
          <w:color w:val="auto"/>
          <w:szCs w:val="21"/>
          <w:highlight w:val="none"/>
        </w:rPr>
        <w:t>（五）参加本次政府采购活动前三年内，我方在经营活动中没有重大违法记录，没有因违法经营受到刑事处罚或者责令停产停业、吊销许可证或者执照、较大数额罚款等行政处罚，且未在被禁止参加政府采购活动的处罚期限内。</w:t>
      </w:r>
    </w:p>
    <w:p w14:paraId="1BB4F11E">
      <w:pPr>
        <w:widowControl/>
        <w:tabs>
          <w:tab w:val="left" w:pos="5580"/>
        </w:tabs>
        <w:spacing w:line="360" w:lineRule="auto"/>
        <w:ind w:firstLine="420" w:firstLineChars="200"/>
        <w:jc w:val="left"/>
        <w:rPr>
          <w:rFonts w:hint="eastAsia" w:ascii="宋体" w:hAnsi="宋体" w:cs="宋体"/>
          <w:bCs/>
          <w:color w:val="auto"/>
          <w:szCs w:val="21"/>
          <w:highlight w:val="none"/>
        </w:rPr>
      </w:pPr>
      <w:r>
        <w:rPr>
          <w:rFonts w:hint="eastAsia" w:ascii="宋体" w:hAnsi="宋体" w:cs="宋体"/>
          <w:bCs/>
          <w:color w:val="auto"/>
          <w:szCs w:val="21"/>
          <w:highlight w:val="none"/>
        </w:rPr>
        <w:t>（六）我方不存在违反《中华人民共和国政府采购法实施条例》第十八条“单位负责人为同一人或者存在直接控股、管理关系的不同供应商，不得参加同一合同项下的政府采购活动。除单一来源采购项目外，为采购项目提供整体设计、规范编制或者项目管理、监理、检测等服务的供应商，不得再参加该采购项目的其他采购活动”规定的情形。</w:t>
      </w:r>
    </w:p>
    <w:p w14:paraId="326CB84C">
      <w:pPr>
        <w:widowControl/>
        <w:tabs>
          <w:tab w:val="left" w:pos="5580"/>
        </w:tabs>
        <w:spacing w:line="360" w:lineRule="auto"/>
        <w:ind w:firstLine="420" w:firstLineChars="200"/>
        <w:jc w:val="left"/>
        <w:rPr>
          <w:rFonts w:hint="eastAsia" w:ascii="宋体" w:hAnsi="宋体" w:cs="宋体"/>
          <w:bCs/>
          <w:color w:val="auto"/>
          <w:szCs w:val="21"/>
          <w:highlight w:val="none"/>
        </w:rPr>
      </w:pPr>
      <w:r>
        <w:rPr>
          <w:rFonts w:hint="eastAsia" w:ascii="宋体" w:hAnsi="宋体" w:cs="宋体"/>
          <w:bCs/>
          <w:color w:val="auto"/>
          <w:szCs w:val="21"/>
          <w:highlight w:val="none"/>
        </w:rPr>
        <w:t>（七）符合其他法律法规规定的政府采购供应商条件。</w:t>
      </w:r>
    </w:p>
    <w:p w14:paraId="21BB470B">
      <w:pPr>
        <w:widowControl/>
        <w:tabs>
          <w:tab w:val="left" w:pos="5580"/>
        </w:tabs>
        <w:spacing w:line="360" w:lineRule="auto"/>
        <w:ind w:firstLine="420" w:firstLineChars="200"/>
        <w:jc w:val="left"/>
        <w:rPr>
          <w:rFonts w:hint="eastAsia" w:ascii="宋体" w:hAnsi="宋体" w:cs="宋体"/>
          <w:bCs/>
          <w:color w:val="auto"/>
          <w:szCs w:val="21"/>
          <w:highlight w:val="none"/>
        </w:rPr>
      </w:pPr>
    </w:p>
    <w:p w14:paraId="68B82155">
      <w:pPr>
        <w:widowControl/>
        <w:tabs>
          <w:tab w:val="left" w:pos="5580"/>
        </w:tabs>
        <w:spacing w:line="360" w:lineRule="auto"/>
        <w:ind w:firstLine="420" w:firstLineChars="200"/>
        <w:jc w:val="left"/>
        <w:rPr>
          <w:rFonts w:hint="eastAsia" w:ascii="宋体" w:hAnsi="宋体" w:cs="宋体"/>
          <w:bCs/>
          <w:color w:val="auto"/>
          <w:szCs w:val="21"/>
          <w:highlight w:val="none"/>
        </w:rPr>
      </w:pPr>
      <w:r>
        <w:rPr>
          <w:rFonts w:hint="eastAsia" w:ascii="宋体" w:hAnsi="宋体" w:cs="宋体"/>
          <w:bCs/>
          <w:color w:val="auto"/>
          <w:szCs w:val="21"/>
          <w:highlight w:val="none"/>
        </w:rPr>
        <w:t>我方对上述承诺事项的真实性负责，授权并配合采购人所在同级财政部门及其委托机构，对上述承诺事项进行查证。</w:t>
      </w:r>
    </w:p>
    <w:p w14:paraId="73B333A4">
      <w:pPr>
        <w:widowControl/>
        <w:tabs>
          <w:tab w:val="left" w:pos="5580"/>
        </w:tabs>
        <w:spacing w:line="360" w:lineRule="auto"/>
        <w:ind w:firstLine="420" w:firstLineChars="200"/>
        <w:jc w:val="left"/>
        <w:rPr>
          <w:rFonts w:hint="eastAsia" w:ascii="宋体" w:hAnsi="宋体" w:cs="宋体"/>
          <w:b/>
          <w:color w:val="auto"/>
          <w:szCs w:val="21"/>
          <w:highlight w:val="none"/>
        </w:rPr>
      </w:pPr>
      <w:r>
        <w:rPr>
          <w:rFonts w:hint="eastAsia" w:ascii="宋体" w:hAnsi="宋体" w:cs="宋体"/>
          <w:bCs/>
          <w:color w:val="auto"/>
          <w:szCs w:val="21"/>
          <w:highlight w:val="none"/>
        </w:rPr>
        <w:t>如不属实，属于供应商提供虚假材料谋取中标、成交的情形，按照《中华人民共和国政府采购法》第七十七条第一款的规定，接受采购金额千分之五以上千分之十以下的罚款，列入不良行为记录名单，在一至三年内禁止参加政府采购活动等行政处罚。有违法所得的，并处没收违法所得，情节严重的，由市场监督管理部门吊销营业执照；构成犯罪的，依法追究刑事责任。</w:t>
      </w:r>
    </w:p>
    <w:p w14:paraId="33AE6CAB">
      <w:pPr>
        <w:jc w:val="right"/>
        <w:rPr>
          <w:rFonts w:hint="eastAsia" w:ascii="宋体" w:hAnsi="宋体" w:cs="宋体"/>
          <w:color w:val="auto"/>
          <w:highlight w:val="none"/>
          <w:u w:val="single"/>
          <w:lang w:bidi="en-US"/>
        </w:rPr>
      </w:pPr>
      <w:r>
        <w:rPr>
          <w:rFonts w:hint="eastAsia" w:ascii="宋体" w:hAnsi="宋体" w:cs="宋体"/>
          <w:color w:val="auto"/>
          <w:highlight w:val="none"/>
          <w:lang w:bidi="en-US"/>
        </w:rPr>
        <w:t>投标人：</w:t>
      </w:r>
      <w:r>
        <w:rPr>
          <w:rFonts w:hint="eastAsia" w:ascii="宋体" w:hAnsi="宋体" w:cs="宋体"/>
          <w:color w:val="auto"/>
          <w:highlight w:val="none"/>
          <w:u w:val="single"/>
          <w:lang w:bidi="en-US"/>
        </w:rPr>
        <w:t xml:space="preserve">       （盖单位章）</w:t>
      </w:r>
    </w:p>
    <w:p w14:paraId="5DCB997C">
      <w:pPr>
        <w:bidi/>
        <w:ind w:left="0" w:right="0"/>
        <w:jc w:val="left"/>
        <w:rPr>
          <w:rFonts w:hint="eastAsia" w:ascii="仿宋" w:hAnsi="仿宋" w:eastAsia="仿宋" w:cs="仿宋"/>
          <w:color w:val="auto"/>
          <w:highlight w:val="none"/>
          <w:lang w:bidi="en-US"/>
        </w:rPr>
      </w:pPr>
      <w:r>
        <w:rPr>
          <w:rFonts w:hint="eastAsia" w:ascii="宋体" w:hAnsi="宋体" w:cs="宋体"/>
          <w:color w:val="auto"/>
          <w:highlight w:val="none"/>
          <w:lang w:bidi="en-US"/>
        </w:rPr>
        <w:t>日  期：</w:t>
      </w:r>
      <w:r>
        <w:rPr>
          <w:rFonts w:hint="eastAsia" w:ascii="宋体" w:hAnsi="宋体" w:cs="宋体"/>
          <w:color w:val="auto"/>
          <w:highlight w:val="none"/>
          <w:u w:val="single"/>
          <w:lang w:bidi="en-US"/>
        </w:rPr>
        <w:t xml:space="preserve">                   </w:t>
      </w:r>
    </w:p>
    <w:p w14:paraId="304F977D">
      <w:pPr>
        <w:widowControl/>
        <w:spacing w:line="261" w:lineRule="auto"/>
        <w:ind w:left="120" w:right="40"/>
        <w:rPr>
          <w:rFonts w:hint="eastAsia" w:ascii="宋体" w:hAnsi="宋体" w:cs="宋体"/>
          <w:color w:val="auto"/>
          <w:kern w:val="0"/>
          <w:szCs w:val="21"/>
          <w:highlight w:val="none"/>
        </w:rPr>
      </w:pPr>
      <w:r>
        <w:rPr>
          <w:rFonts w:hint="eastAsia" w:ascii="宋体" w:hAnsi="宋体" w:cs="宋体"/>
          <w:color w:val="auto"/>
          <w:kern w:val="0"/>
          <w:szCs w:val="21"/>
          <w:highlight w:val="none"/>
        </w:rPr>
        <w:br w:type="page"/>
      </w:r>
    </w:p>
    <w:p w14:paraId="71044795">
      <w:pPr>
        <w:pStyle w:val="3"/>
        <w:widowControl/>
        <w:numPr>
          <w:ilvl w:val="0"/>
          <w:numId w:val="15"/>
        </w:numPr>
        <w:spacing w:before="120" w:after="120" w:line="240" w:lineRule="auto"/>
        <w:jc w:val="center"/>
        <w:rPr>
          <w:rFonts w:hint="eastAsia" w:ascii="宋体" w:hAnsi="宋体" w:cs="宋体"/>
          <w:b/>
          <w:bCs/>
          <w:color w:val="auto"/>
          <w:kern w:val="0"/>
          <w:sz w:val="24"/>
          <w:highlight w:val="none"/>
          <w:lang w:val="en-US" w:eastAsia="zh-CN" w:bidi="en-US"/>
        </w:rPr>
      </w:pPr>
      <w:r>
        <w:rPr>
          <w:rFonts w:hint="eastAsia" w:ascii="宋体" w:hAnsi="宋体" w:cs="宋体"/>
          <w:b/>
          <w:bCs/>
          <w:color w:val="auto"/>
          <w:kern w:val="0"/>
          <w:sz w:val="24"/>
          <w:highlight w:val="none"/>
          <w:lang w:val="en-US" w:eastAsia="zh-CN" w:bidi="en-US"/>
        </w:rPr>
        <w:t>投标主体资格承诺函（如有）</w:t>
      </w:r>
    </w:p>
    <w:p w14:paraId="1D34F019">
      <w:pPr>
        <w:pStyle w:val="3"/>
        <w:widowControl/>
        <w:numPr>
          <w:ilvl w:val="0"/>
          <w:numId w:val="0"/>
        </w:numPr>
        <w:spacing w:before="120" w:after="120" w:line="240" w:lineRule="auto"/>
        <w:jc w:val="both"/>
        <w:rPr>
          <w:rStyle w:val="107"/>
          <w:rFonts w:hint="eastAsia" w:ascii="宋体" w:hAnsi="宋体" w:eastAsia="宋体" w:cs="宋体"/>
          <w:b/>
          <w:bCs w:val="0"/>
          <w:color w:val="auto"/>
          <w:sz w:val="20"/>
          <w:szCs w:val="20"/>
          <w:highlight w:val="none"/>
          <w:lang w:val="en-US"/>
        </w:rPr>
      </w:pPr>
    </w:p>
    <w:p w14:paraId="53169321">
      <w:pPr>
        <w:pStyle w:val="3"/>
        <w:widowControl/>
        <w:numPr>
          <w:ilvl w:val="0"/>
          <w:numId w:val="0"/>
        </w:numPr>
        <w:spacing w:before="120" w:after="120" w:line="240" w:lineRule="auto"/>
        <w:jc w:val="both"/>
        <w:rPr>
          <w:rStyle w:val="107"/>
          <w:rFonts w:hint="eastAsia" w:ascii="宋体" w:hAnsi="宋体" w:eastAsia="宋体" w:cs="宋体"/>
          <w:b/>
          <w:bCs w:val="0"/>
          <w:color w:val="auto"/>
          <w:sz w:val="20"/>
          <w:szCs w:val="20"/>
          <w:highlight w:val="none"/>
          <w:lang w:val="en-US"/>
        </w:rPr>
      </w:pPr>
      <w:r>
        <w:rPr>
          <w:rStyle w:val="107"/>
          <w:rFonts w:hint="eastAsia" w:ascii="宋体" w:hAnsi="宋体" w:eastAsia="宋体" w:cs="宋体"/>
          <w:b/>
          <w:bCs w:val="0"/>
          <w:color w:val="auto"/>
          <w:sz w:val="20"/>
          <w:szCs w:val="20"/>
          <w:highlight w:val="none"/>
          <w:lang w:val="en-US"/>
        </w:rPr>
        <w:t>注：</w:t>
      </w:r>
      <w:r>
        <w:rPr>
          <w:rStyle w:val="107"/>
          <w:rFonts w:ascii="宋体" w:hAnsi="宋体" w:eastAsia="宋体" w:cs="宋体"/>
          <w:b/>
          <w:bCs w:val="0"/>
          <w:color w:val="auto"/>
          <w:sz w:val="20"/>
          <w:szCs w:val="20"/>
          <w:highlight w:val="none"/>
        </w:rPr>
        <w:t>制造商（或制造商所在的集团公司）在中国关境内设立的仅销售本制造商（或制造商所在的集团公司）产品的贸易公司参加投标</w:t>
      </w:r>
      <w:r>
        <w:rPr>
          <w:rStyle w:val="107"/>
          <w:rFonts w:hint="eastAsia" w:ascii="宋体" w:hAnsi="宋体" w:eastAsia="宋体" w:cs="宋体"/>
          <w:b/>
          <w:bCs w:val="0"/>
          <w:color w:val="auto"/>
          <w:sz w:val="20"/>
          <w:szCs w:val="20"/>
          <w:highlight w:val="none"/>
          <w:lang w:val="en-US"/>
        </w:rPr>
        <w:t>时须提供，格式供参考。</w:t>
      </w:r>
    </w:p>
    <w:p w14:paraId="2B97E375">
      <w:pPr>
        <w:snapToGrid w:val="0"/>
        <w:spacing w:line="360" w:lineRule="auto"/>
        <w:rPr>
          <w:rFonts w:hint="eastAsia" w:ascii="宋体" w:hAnsi="宋体" w:cs="宋体"/>
          <w:color w:val="auto"/>
          <w:highlight w:val="none"/>
          <w:lang w:bidi="en-US"/>
        </w:rPr>
      </w:pPr>
    </w:p>
    <w:p w14:paraId="18CC5256">
      <w:pPr>
        <w:snapToGrid w:val="0"/>
        <w:spacing w:line="360" w:lineRule="auto"/>
        <w:rPr>
          <w:rFonts w:hint="eastAsia" w:ascii="宋体" w:hAnsi="宋体" w:cs="宋体"/>
          <w:color w:val="auto"/>
          <w:highlight w:val="none"/>
          <w:lang w:bidi="en-US"/>
        </w:rPr>
      </w:pPr>
      <w:r>
        <w:rPr>
          <w:rFonts w:hint="eastAsia" w:ascii="宋体" w:hAnsi="宋体" w:cs="宋体"/>
          <w:color w:val="auto"/>
          <w:highlight w:val="none"/>
          <w:lang w:bidi="en-US"/>
        </w:rPr>
        <w:t>致：安徽省卫生健康委员会</w:t>
      </w:r>
    </w:p>
    <w:p w14:paraId="1BA4A060">
      <w:pPr>
        <w:snapToGrid w:val="0"/>
        <w:spacing w:line="360" w:lineRule="auto"/>
        <w:rPr>
          <w:rFonts w:hint="eastAsia" w:ascii="宋体" w:hAnsi="宋体" w:cs="宋体"/>
          <w:color w:val="auto"/>
          <w:highlight w:val="none"/>
          <w:lang w:bidi="en-US"/>
        </w:rPr>
      </w:pPr>
      <w:r>
        <w:rPr>
          <w:rFonts w:hint="eastAsia" w:ascii="宋体" w:hAnsi="宋体" w:cs="宋体"/>
          <w:color w:val="auto"/>
          <w:highlight w:val="none"/>
          <w:lang w:bidi="en-US"/>
        </w:rPr>
        <w:t xml:space="preserve">    安徽省招标集团股份有限公司</w:t>
      </w:r>
    </w:p>
    <w:p w14:paraId="3613DDD4">
      <w:pPr>
        <w:widowControl/>
        <w:tabs>
          <w:tab w:val="left" w:pos="5580"/>
        </w:tabs>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我方</w:t>
      </w:r>
      <w:r>
        <w:rPr>
          <w:rFonts w:hint="eastAsia" w:ascii="宋体" w:hAnsi="宋体" w:cs="宋体"/>
          <w:color w:val="auto"/>
          <w:highlight w:val="none"/>
          <w:lang w:bidi="en-US"/>
        </w:rPr>
        <w:t>郑重承诺，</w:t>
      </w:r>
      <w:r>
        <w:rPr>
          <w:rFonts w:hint="eastAsia" w:ascii="宋体" w:hAnsi="宋体" w:cs="宋体"/>
          <w:color w:val="auto"/>
          <w:highlight w:val="none"/>
          <w:lang w:val="en-US" w:eastAsia="zh-CN" w:bidi="en-US"/>
        </w:rPr>
        <w:t>我公司为所投产品制造商XXX公司（或制造商XXX公司所在的集团公司XXX公司）</w:t>
      </w:r>
      <w:r>
        <w:rPr>
          <w:rFonts w:hint="eastAsia" w:ascii="宋体" w:hAnsi="宋体" w:cs="宋体"/>
          <w:color w:val="auto"/>
          <w:highlight w:val="none"/>
          <w:lang w:bidi="en-US"/>
        </w:rPr>
        <w:t>在中国关境内</w:t>
      </w:r>
      <w:r>
        <w:rPr>
          <w:rFonts w:hint="eastAsia" w:ascii="宋体" w:hAnsi="宋体" w:cs="宋体"/>
          <w:color w:val="auto"/>
          <w:highlight w:val="none"/>
          <w:lang w:val="en-US" w:eastAsia="zh-CN" w:bidi="en-US"/>
        </w:rPr>
        <w:t>设立的贸易公司，我公司仅销售</w:t>
      </w:r>
      <w:r>
        <w:rPr>
          <w:rFonts w:hint="eastAsia" w:ascii="宋体" w:hAnsi="宋体" w:cs="宋体"/>
          <w:color w:val="auto"/>
          <w:highlight w:val="none"/>
          <w:lang w:bidi="en-US"/>
        </w:rPr>
        <w:t>本制造商</w:t>
      </w:r>
      <w:r>
        <w:rPr>
          <w:rFonts w:hint="eastAsia" w:ascii="宋体" w:hAnsi="宋体" w:cs="宋体"/>
          <w:color w:val="auto"/>
          <w:highlight w:val="none"/>
          <w:lang w:val="en-US" w:eastAsia="zh-CN" w:bidi="en-US"/>
        </w:rPr>
        <w:t>XXX公司</w:t>
      </w:r>
      <w:r>
        <w:rPr>
          <w:rFonts w:hint="eastAsia" w:ascii="宋体" w:hAnsi="宋体" w:cs="宋体"/>
          <w:color w:val="auto"/>
          <w:highlight w:val="none"/>
          <w:lang w:bidi="en-US"/>
        </w:rPr>
        <w:t>（或</w:t>
      </w:r>
      <w:r>
        <w:rPr>
          <w:rFonts w:hint="eastAsia" w:ascii="宋体" w:hAnsi="宋体" w:cs="宋体"/>
          <w:color w:val="auto"/>
          <w:highlight w:val="none"/>
          <w:lang w:val="en-US" w:eastAsia="zh-CN" w:bidi="en-US"/>
        </w:rPr>
        <w:t>制造商XXX公司</w:t>
      </w:r>
      <w:r>
        <w:rPr>
          <w:rFonts w:hint="eastAsia" w:ascii="宋体" w:hAnsi="宋体" w:cs="宋体"/>
          <w:color w:val="auto"/>
          <w:highlight w:val="none"/>
          <w:lang w:bidi="en-US"/>
        </w:rPr>
        <w:t>所在的集团公司</w:t>
      </w:r>
      <w:r>
        <w:rPr>
          <w:rFonts w:hint="eastAsia" w:ascii="宋体" w:hAnsi="宋体" w:cs="宋体"/>
          <w:color w:val="auto"/>
          <w:highlight w:val="none"/>
          <w:lang w:val="en-US" w:eastAsia="zh-CN" w:bidi="en-US"/>
        </w:rPr>
        <w:t>XXX公司</w:t>
      </w:r>
      <w:r>
        <w:rPr>
          <w:rFonts w:hint="eastAsia" w:ascii="宋体" w:hAnsi="宋体" w:cs="宋体"/>
          <w:color w:val="auto"/>
          <w:highlight w:val="none"/>
          <w:lang w:bidi="en-US"/>
        </w:rPr>
        <w:t>）</w:t>
      </w:r>
      <w:r>
        <w:rPr>
          <w:rFonts w:hint="eastAsia" w:ascii="宋体" w:hAnsi="宋体" w:cs="宋体"/>
          <w:color w:val="auto"/>
          <w:highlight w:val="none"/>
          <w:lang w:val="en-US" w:eastAsia="zh-CN" w:bidi="en-US"/>
        </w:rPr>
        <w:t>产品</w:t>
      </w:r>
      <w:r>
        <w:rPr>
          <w:rFonts w:hint="eastAsia" w:ascii="宋体" w:hAnsi="宋体" w:cs="宋体"/>
          <w:color w:val="auto"/>
          <w:szCs w:val="21"/>
          <w:highlight w:val="none"/>
        </w:rPr>
        <w:t>。</w:t>
      </w:r>
    </w:p>
    <w:p w14:paraId="66957475">
      <w:pPr>
        <w:widowControl/>
        <w:tabs>
          <w:tab w:val="left" w:pos="5580"/>
        </w:tabs>
        <w:spacing w:line="360" w:lineRule="auto"/>
        <w:ind w:firstLine="420" w:firstLineChars="200"/>
        <w:jc w:val="left"/>
        <w:rPr>
          <w:rFonts w:hint="eastAsia" w:ascii="宋体" w:hAnsi="宋体" w:cs="宋体"/>
          <w:bCs/>
          <w:color w:val="auto"/>
          <w:szCs w:val="21"/>
          <w:highlight w:val="none"/>
        </w:rPr>
      </w:pPr>
      <w:r>
        <w:rPr>
          <w:rFonts w:hint="eastAsia" w:ascii="宋体" w:hAnsi="宋体" w:cs="宋体"/>
          <w:bCs/>
          <w:color w:val="auto"/>
          <w:szCs w:val="21"/>
          <w:highlight w:val="none"/>
        </w:rPr>
        <w:t>我方对上述承诺事项的真实性负责，授权并配合采购人所在同级财政部门及其委托机构，对上述承诺事项进行查证。</w:t>
      </w:r>
    </w:p>
    <w:p w14:paraId="7EFFC7F3">
      <w:pPr>
        <w:widowControl/>
        <w:tabs>
          <w:tab w:val="left" w:pos="5580"/>
        </w:tabs>
        <w:spacing w:line="360" w:lineRule="auto"/>
        <w:ind w:firstLine="420" w:firstLineChars="200"/>
        <w:jc w:val="left"/>
        <w:rPr>
          <w:rFonts w:hint="eastAsia" w:ascii="宋体" w:hAnsi="宋体" w:cs="宋体"/>
          <w:b/>
          <w:color w:val="auto"/>
          <w:szCs w:val="21"/>
          <w:highlight w:val="none"/>
        </w:rPr>
      </w:pPr>
      <w:r>
        <w:rPr>
          <w:rFonts w:hint="eastAsia" w:ascii="宋体" w:hAnsi="宋体" w:cs="宋体"/>
          <w:bCs/>
          <w:color w:val="auto"/>
          <w:szCs w:val="21"/>
          <w:highlight w:val="none"/>
        </w:rPr>
        <w:t>如不属实，属于供应商提供虚假材料谋取中标、成交的情形，按照《中华人民共和国政府采购法》第七十七条第一款的规定，接受采购金额千分之五以上千分之十以下的罚款，列入不良行为记录名单，在一至三年内禁止参加政府采购活动等行政处罚。有违法所得的，并处没收违法所得，情节严重的，由市场监督管理部门吊销营业执照；构成犯罪的，依法追究刑事责任。</w:t>
      </w:r>
    </w:p>
    <w:p w14:paraId="3B0ECFA6">
      <w:pPr>
        <w:jc w:val="right"/>
        <w:rPr>
          <w:rFonts w:hint="eastAsia" w:ascii="宋体" w:hAnsi="宋体" w:cs="宋体"/>
          <w:color w:val="auto"/>
          <w:highlight w:val="none"/>
          <w:lang w:bidi="en-US"/>
        </w:rPr>
      </w:pPr>
    </w:p>
    <w:p w14:paraId="03A16F96">
      <w:pPr>
        <w:jc w:val="right"/>
        <w:rPr>
          <w:rFonts w:hint="eastAsia" w:ascii="宋体" w:hAnsi="宋体" w:cs="宋体"/>
          <w:color w:val="auto"/>
          <w:highlight w:val="none"/>
          <w:lang w:bidi="en-US"/>
        </w:rPr>
      </w:pPr>
    </w:p>
    <w:p w14:paraId="1F34E452">
      <w:pPr>
        <w:jc w:val="right"/>
        <w:rPr>
          <w:rFonts w:hint="eastAsia" w:ascii="宋体" w:hAnsi="宋体" w:cs="宋体"/>
          <w:color w:val="auto"/>
          <w:highlight w:val="none"/>
          <w:lang w:bidi="en-US"/>
        </w:rPr>
      </w:pPr>
    </w:p>
    <w:p w14:paraId="20BB2DB1">
      <w:pPr>
        <w:jc w:val="right"/>
        <w:rPr>
          <w:rFonts w:hint="eastAsia" w:ascii="宋体" w:hAnsi="宋体" w:cs="宋体"/>
          <w:color w:val="auto"/>
          <w:highlight w:val="none"/>
          <w:lang w:bidi="en-US"/>
        </w:rPr>
      </w:pPr>
    </w:p>
    <w:p w14:paraId="2643EED4">
      <w:pPr>
        <w:jc w:val="right"/>
        <w:rPr>
          <w:rFonts w:hint="eastAsia" w:ascii="宋体" w:hAnsi="宋体" w:cs="宋体"/>
          <w:color w:val="auto"/>
          <w:highlight w:val="none"/>
          <w:lang w:bidi="en-US"/>
        </w:rPr>
      </w:pPr>
    </w:p>
    <w:p w14:paraId="237B3E97">
      <w:pPr>
        <w:jc w:val="right"/>
        <w:rPr>
          <w:rFonts w:hint="eastAsia" w:ascii="宋体" w:hAnsi="宋体" w:cs="宋体"/>
          <w:color w:val="auto"/>
          <w:highlight w:val="none"/>
          <w:lang w:bidi="en-US"/>
        </w:rPr>
      </w:pPr>
    </w:p>
    <w:p w14:paraId="62D97033">
      <w:pPr>
        <w:jc w:val="right"/>
        <w:rPr>
          <w:rFonts w:hint="eastAsia" w:ascii="宋体" w:hAnsi="宋体" w:cs="宋体"/>
          <w:color w:val="auto"/>
          <w:highlight w:val="none"/>
          <w:lang w:bidi="en-US"/>
        </w:rPr>
      </w:pPr>
    </w:p>
    <w:p w14:paraId="45CA5711">
      <w:pPr>
        <w:jc w:val="right"/>
        <w:rPr>
          <w:rFonts w:hint="eastAsia" w:ascii="宋体" w:hAnsi="宋体" w:cs="宋体"/>
          <w:color w:val="auto"/>
          <w:highlight w:val="none"/>
          <w:u w:val="single"/>
          <w:lang w:bidi="en-US"/>
        </w:rPr>
      </w:pPr>
      <w:r>
        <w:rPr>
          <w:rFonts w:hint="eastAsia" w:ascii="宋体" w:hAnsi="宋体" w:cs="宋体"/>
          <w:color w:val="auto"/>
          <w:highlight w:val="none"/>
          <w:lang w:bidi="en-US"/>
        </w:rPr>
        <w:t>投标人：</w:t>
      </w:r>
      <w:r>
        <w:rPr>
          <w:rFonts w:hint="eastAsia" w:ascii="宋体" w:hAnsi="宋体" w:cs="宋体"/>
          <w:color w:val="auto"/>
          <w:highlight w:val="none"/>
          <w:u w:val="single"/>
          <w:lang w:bidi="en-US"/>
        </w:rPr>
        <w:t xml:space="preserve">     </w:t>
      </w:r>
      <w:r>
        <w:rPr>
          <w:rFonts w:hint="eastAsia" w:ascii="宋体" w:hAnsi="宋体" w:cs="宋体"/>
          <w:color w:val="auto"/>
          <w:highlight w:val="none"/>
          <w:u w:val="single"/>
          <w:lang w:val="en-US" w:eastAsia="zh-CN" w:bidi="en-US"/>
        </w:rPr>
        <w:t xml:space="preserve">    </w:t>
      </w:r>
      <w:r>
        <w:rPr>
          <w:rFonts w:hint="eastAsia" w:ascii="宋体" w:hAnsi="宋体" w:cs="宋体"/>
          <w:color w:val="auto"/>
          <w:highlight w:val="none"/>
          <w:u w:val="single"/>
          <w:lang w:bidi="en-US"/>
        </w:rPr>
        <w:t xml:space="preserve">  （盖单位章）</w:t>
      </w:r>
    </w:p>
    <w:p w14:paraId="1A975ED9">
      <w:pPr>
        <w:jc w:val="right"/>
        <w:rPr>
          <w:rFonts w:hint="eastAsia" w:ascii="宋体" w:hAnsi="宋体" w:cs="宋体"/>
          <w:color w:val="auto"/>
          <w:highlight w:val="none"/>
          <w:u w:val="single"/>
          <w:lang w:bidi="en-US"/>
        </w:rPr>
      </w:pPr>
    </w:p>
    <w:p w14:paraId="43A12EB6">
      <w:pPr>
        <w:wordWrap w:val="0"/>
        <w:jc w:val="right"/>
        <w:rPr>
          <w:rFonts w:hint="eastAsia" w:ascii="宋体" w:hAnsi="宋体" w:cs="宋体"/>
          <w:color w:val="auto"/>
          <w:highlight w:val="none"/>
          <w:u w:val="single"/>
          <w:lang w:val="en-US" w:eastAsia="zh-CN" w:bidi="en-US"/>
        </w:rPr>
      </w:pPr>
    </w:p>
    <w:p w14:paraId="5713CE50">
      <w:pPr>
        <w:wordWrap w:val="0"/>
        <w:jc w:val="right"/>
        <w:rPr>
          <w:rFonts w:hint="eastAsia" w:ascii="宋体" w:hAnsi="宋体" w:cs="宋体"/>
          <w:color w:val="auto"/>
          <w:highlight w:val="none"/>
          <w:u w:val="single"/>
          <w:lang w:val="en-US" w:eastAsia="zh-CN" w:bidi="en-US"/>
        </w:rPr>
      </w:pPr>
    </w:p>
    <w:p w14:paraId="4358F104">
      <w:pPr>
        <w:wordWrap w:val="0"/>
        <w:jc w:val="right"/>
        <w:rPr>
          <w:rFonts w:hint="eastAsia" w:ascii="宋体" w:hAnsi="宋体" w:cs="宋体"/>
          <w:color w:val="auto"/>
          <w:highlight w:val="none"/>
          <w:u w:val="single"/>
          <w:lang w:val="en-US" w:eastAsia="zh-CN" w:bidi="en-US"/>
        </w:rPr>
      </w:pPr>
    </w:p>
    <w:p w14:paraId="3B9B851F">
      <w:pPr>
        <w:wordWrap/>
        <w:jc w:val="right"/>
        <w:rPr>
          <w:rFonts w:hint="eastAsia" w:ascii="宋体" w:hAnsi="宋体" w:cs="宋体"/>
          <w:color w:val="auto"/>
          <w:highlight w:val="none"/>
          <w:u w:val="single"/>
          <w:lang w:val="en-US" w:eastAsia="zh-CN" w:bidi="en-US"/>
        </w:rPr>
      </w:pPr>
    </w:p>
    <w:p w14:paraId="78E05105">
      <w:pPr>
        <w:wordWrap/>
        <w:jc w:val="right"/>
        <w:rPr>
          <w:rFonts w:hint="eastAsia" w:ascii="宋体" w:hAnsi="宋体" w:cs="宋体"/>
          <w:color w:val="auto"/>
          <w:highlight w:val="none"/>
          <w:u w:val="single"/>
          <w:lang w:val="en-US" w:eastAsia="zh-CN" w:bidi="en-US"/>
        </w:rPr>
      </w:pPr>
    </w:p>
    <w:p w14:paraId="75570B2E">
      <w:pPr>
        <w:wordWrap/>
        <w:jc w:val="right"/>
        <w:rPr>
          <w:rFonts w:hint="default" w:ascii="宋体" w:hAnsi="宋体" w:cs="宋体"/>
          <w:color w:val="auto"/>
          <w:highlight w:val="none"/>
          <w:u w:val="single"/>
          <w:lang w:val="en-US" w:eastAsia="zh-CN" w:bidi="en-US"/>
        </w:rPr>
      </w:pPr>
    </w:p>
    <w:p w14:paraId="7D46D568">
      <w:pPr>
        <w:pStyle w:val="3"/>
        <w:widowControl/>
        <w:numPr>
          <w:ilvl w:val="0"/>
          <w:numId w:val="0"/>
        </w:numPr>
        <w:spacing w:before="120" w:after="120" w:line="240" w:lineRule="auto"/>
        <w:jc w:val="both"/>
        <w:rPr>
          <w:rStyle w:val="107"/>
          <w:rFonts w:hint="eastAsia" w:ascii="宋体" w:hAnsi="宋体" w:eastAsia="宋体" w:cs="宋体"/>
          <w:b w:val="0"/>
          <w:bCs/>
          <w:color w:val="auto"/>
          <w:sz w:val="21"/>
          <w:szCs w:val="21"/>
          <w:highlight w:val="none"/>
          <w:lang w:val="en-US"/>
        </w:rPr>
      </w:pPr>
      <w:r>
        <w:rPr>
          <w:rFonts w:hint="eastAsia" w:ascii="宋体" w:hAnsi="宋体" w:cs="宋体"/>
          <w:color w:val="auto"/>
          <w:highlight w:val="none"/>
          <w:lang w:bidi="en-US"/>
        </w:rPr>
        <w:t>日  期：</w:t>
      </w:r>
      <w:r>
        <w:rPr>
          <w:rFonts w:hint="eastAsia" w:ascii="宋体" w:hAnsi="宋体" w:cs="宋体"/>
          <w:color w:val="auto"/>
          <w:highlight w:val="none"/>
          <w:u w:val="single"/>
          <w:lang w:bidi="en-US"/>
        </w:rPr>
        <w:t xml:space="preserve">                   </w:t>
      </w:r>
    </w:p>
    <w:p w14:paraId="169E5914">
      <w:pPr>
        <w:pStyle w:val="3"/>
        <w:widowControl/>
        <w:numPr>
          <w:ilvl w:val="0"/>
          <w:numId w:val="15"/>
        </w:numPr>
        <w:spacing w:before="120" w:after="120" w:line="240" w:lineRule="auto"/>
        <w:jc w:val="center"/>
        <w:rPr>
          <w:rFonts w:hint="eastAsia" w:ascii="宋体" w:hAnsi="宋体" w:cs="宋体"/>
          <w:b/>
          <w:bCs/>
          <w:color w:val="auto"/>
          <w:kern w:val="0"/>
          <w:sz w:val="24"/>
          <w:highlight w:val="none"/>
          <w:lang w:val="en-US" w:eastAsia="zh-CN" w:bidi="en-US"/>
        </w:rPr>
      </w:pPr>
      <w:r>
        <w:rPr>
          <w:rStyle w:val="107"/>
          <w:rFonts w:hint="eastAsia" w:ascii="宋体" w:hAnsi="宋体" w:eastAsia="宋体" w:cs="宋体"/>
          <w:b/>
          <w:bCs w:val="0"/>
          <w:color w:val="auto"/>
          <w:sz w:val="30"/>
          <w:szCs w:val="30"/>
          <w:highlight w:val="none"/>
          <w:lang w:val="en-US"/>
        </w:rPr>
        <w:br w:type="page"/>
      </w:r>
      <w:r>
        <w:rPr>
          <w:rFonts w:hint="eastAsia" w:ascii="宋体" w:hAnsi="宋体" w:cs="宋体"/>
          <w:b/>
          <w:bCs/>
          <w:color w:val="auto"/>
          <w:kern w:val="0"/>
          <w:sz w:val="24"/>
          <w:highlight w:val="none"/>
          <w:lang w:val="en-US" w:eastAsia="zh-CN" w:bidi="en-US"/>
        </w:rPr>
        <w:t>投标主体资格证明材料（如有）</w:t>
      </w:r>
    </w:p>
    <w:p w14:paraId="5A3967DD">
      <w:pPr>
        <w:pStyle w:val="3"/>
        <w:widowControl/>
        <w:numPr>
          <w:ilvl w:val="0"/>
          <w:numId w:val="0"/>
        </w:numPr>
        <w:spacing w:before="120" w:after="120" w:line="240" w:lineRule="auto"/>
        <w:jc w:val="left"/>
        <w:rPr>
          <w:rStyle w:val="107"/>
          <w:rFonts w:hint="eastAsia" w:ascii="宋体" w:hAnsi="宋体" w:eastAsia="宋体" w:cs="宋体"/>
          <w:b/>
          <w:bCs w:val="0"/>
          <w:color w:val="auto"/>
          <w:sz w:val="20"/>
          <w:szCs w:val="20"/>
          <w:highlight w:val="none"/>
          <w:lang w:val="en-US"/>
        </w:rPr>
      </w:pPr>
    </w:p>
    <w:p w14:paraId="77DF5961">
      <w:pPr>
        <w:pStyle w:val="3"/>
        <w:widowControl/>
        <w:numPr>
          <w:ilvl w:val="0"/>
          <w:numId w:val="0"/>
        </w:numPr>
        <w:spacing w:before="120" w:after="120" w:line="240" w:lineRule="auto"/>
        <w:jc w:val="left"/>
        <w:rPr>
          <w:rStyle w:val="107"/>
          <w:rFonts w:hint="eastAsia" w:ascii="宋体" w:hAnsi="宋体" w:eastAsia="宋体" w:cs="宋体"/>
          <w:b/>
          <w:bCs w:val="0"/>
          <w:color w:val="auto"/>
          <w:sz w:val="20"/>
          <w:szCs w:val="20"/>
          <w:highlight w:val="none"/>
          <w:lang w:val="en-US"/>
        </w:rPr>
      </w:pPr>
      <w:r>
        <w:rPr>
          <w:rStyle w:val="107"/>
          <w:rFonts w:hint="eastAsia" w:ascii="宋体" w:hAnsi="宋体" w:eastAsia="宋体" w:cs="宋体"/>
          <w:b/>
          <w:bCs w:val="0"/>
          <w:color w:val="auto"/>
          <w:sz w:val="20"/>
          <w:szCs w:val="20"/>
          <w:highlight w:val="none"/>
          <w:lang w:val="en-US"/>
        </w:rPr>
        <w:t>注：</w:t>
      </w:r>
    </w:p>
    <w:p w14:paraId="7CB31E75">
      <w:pPr>
        <w:pStyle w:val="3"/>
        <w:widowControl/>
        <w:numPr>
          <w:ilvl w:val="0"/>
          <w:numId w:val="0"/>
        </w:numPr>
        <w:spacing w:before="120" w:after="120" w:line="240" w:lineRule="auto"/>
        <w:jc w:val="left"/>
        <w:rPr>
          <w:rStyle w:val="107"/>
          <w:rFonts w:hint="eastAsia" w:ascii="宋体" w:hAnsi="宋体" w:eastAsia="宋体" w:cs="宋体"/>
          <w:b/>
          <w:bCs w:val="0"/>
          <w:color w:val="auto"/>
          <w:sz w:val="20"/>
          <w:szCs w:val="20"/>
          <w:highlight w:val="none"/>
          <w:lang w:val="en-US"/>
        </w:rPr>
      </w:pPr>
      <w:r>
        <w:rPr>
          <w:rStyle w:val="107"/>
          <w:rFonts w:hint="eastAsia" w:ascii="宋体" w:hAnsi="宋体" w:eastAsia="宋体" w:cs="宋体"/>
          <w:b/>
          <w:bCs w:val="0"/>
          <w:color w:val="auto"/>
          <w:sz w:val="20"/>
          <w:szCs w:val="20"/>
          <w:highlight w:val="none"/>
          <w:lang w:val="en-US"/>
        </w:rPr>
        <w:t>1、</w:t>
      </w:r>
      <w:r>
        <w:rPr>
          <w:rStyle w:val="107"/>
          <w:rFonts w:hint="eastAsia" w:ascii="宋体" w:hAnsi="宋体" w:eastAsia="宋体" w:cs="宋体"/>
          <w:b/>
          <w:bCs w:val="0"/>
          <w:color w:val="auto"/>
          <w:sz w:val="20"/>
          <w:szCs w:val="20"/>
          <w:highlight w:val="none"/>
        </w:rPr>
        <w:t>制造商（或制造商所在的集团公司）在中国关境内设立的仅销售本制造商（或制造商所在的集团公司）产品的贸易公司参加投标</w:t>
      </w:r>
      <w:r>
        <w:rPr>
          <w:rStyle w:val="107"/>
          <w:rFonts w:hint="eastAsia" w:ascii="宋体" w:hAnsi="宋体" w:eastAsia="宋体" w:cs="宋体"/>
          <w:b/>
          <w:bCs w:val="0"/>
          <w:color w:val="auto"/>
          <w:sz w:val="20"/>
          <w:szCs w:val="20"/>
          <w:highlight w:val="none"/>
          <w:lang w:val="en-US"/>
        </w:rPr>
        <w:t>时须提供。</w:t>
      </w:r>
    </w:p>
    <w:p w14:paraId="76EEAD9F">
      <w:pPr>
        <w:pStyle w:val="3"/>
        <w:widowControl/>
        <w:numPr>
          <w:ilvl w:val="0"/>
          <w:numId w:val="0"/>
        </w:numPr>
        <w:spacing w:before="120" w:after="120" w:line="240" w:lineRule="auto"/>
        <w:ind w:firstLine="0" w:firstLineChars="0"/>
        <w:jc w:val="left"/>
        <w:rPr>
          <w:rStyle w:val="107"/>
          <w:rFonts w:ascii="宋体" w:hAnsi="宋体" w:eastAsia="宋体" w:cs="宋体"/>
          <w:b/>
          <w:bCs w:val="0"/>
          <w:color w:val="auto"/>
          <w:sz w:val="20"/>
          <w:szCs w:val="20"/>
          <w:highlight w:val="none"/>
        </w:rPr>
      </w:pPr>
      <w:r>
        <w:rPr>
          <w:rStyle w:val="107"/>
          <w:rFonts w:hint="eastAsia" w:ascii="宋体" w:hAnsi="宋体" w:eastAsia="宋体" w:cs="宋体"/>
          <w:b/>
          <w:bCs w:val="0"/>
          <w:color w:val="auto"/>
          <w:sz w:val="20"/>
          <w:szCs w:val="20"/>
          <w:highlight w:val="none"/>
          <w:lang w:val="en-US"/>
        </w:rPr>
        <w:t>2、提供</w:t>
      </w:r>
      <w:r>
        <w:rPr>
          <w:rStyle w:val="107"/>
          <w:rFonts w:ascii="宋体" w:hAnsi="宋体" w:eastAsia="宋体" w:cs="宋体"/>
          <w:b/>
          <w:bCs w:val="0"/>
          <w:color w:val="auto"/>
          <w:sz w:val="20"/>
          <w:szCs w:val="20"/>
          <w:highlight w:val="none"/>
        </w:rPr>
        <w:t>制造商及贸易公司之间的关系证明（或：集团公司、制造商及贸易公司之间的关系证明），主要体现制造商及贸易公司之间股权关系（或：集团公司、制造商及贸易公司之间的股权关系），涉及的各方主体均须在证明上盖章）。</w:t>
      </w:r>
    </w:p>
    <w:p w14:paraId="0D0B2792">
      <w:pPr>
        <w:pStyle w:val="3"/>
        <w:widowControl/>
        <w:numPr>
          <w:ilvl w:val="0"/>
          <w:numId w:val="0"/>
        </w:numPr>
        <w:spacing w:before="120" w:after="120" w:line="240" w:lineRule="auto"/>
        <w:ind w:firstLine="0" w:firstLineChars="0"/>
        <w:jc w:val="center"/>
        <w:rPr>
          <w:rStyle w:val="107"/>
          <w:rFonts w:hint="eastAsia" w:ascii="宋体" w:hAnsi="宋体" w:eastAsia="宋体" w:cs="宋体"/>
          <w:b/>
          <w:bCs/>
          <w:color w:val="auto"/>
          <w:sz w:val="30"/>
          <w:szCs w:val="30"/>
          <w:highlight w:val="none"/>
        </w:rPr>
      </w:pPr>
      <w:r>
        <w:rPr>
          <w:rStyle w:val="107"/>
          <w:rFonts w:hint="eastAsia" w:ascii="宋体" w:hAnsi="宋体" w:eastAsia="宋体" w:cs="宋体"/>
          <w:b/>
          <w:bCs w:val="0"/>
          <w:color w:val="auto"/>
          <w:sz w:val="30"/>
          <w:szCs w:val="30"/>
          <w:highlight w:val="none"/>
          <w:lang w:val="en-US"/>
        </w:rPr>
        <w:br w:type="page"/>
      </w:r>
      <w:r>
        <w:rPr>
          <w:rStyle w:val="107"/>
          <w:rFonts w:hint="eastAsia" w:ascii="宋体" w:hAnsi="宋体" w:eastAsia="宋体" w:cs="宋体"/>
          <w:b/>
          <w:bCs w:val="0"/>
          <w:color w:val="auto"/>
          <w:sz w:val="30"/>
          <w:szCs w:val="30"/>
          <w:highlight w:val="none"/>
          <w:lang w:val="en-US"/>
        </w:rPr>
        <w:t>八</w:t>
      </w:r>
      <w:r>
        <w:rPr>
          <w:rStyle w:val="107"/>
          <w:rFonts w:hint="eastAsia" w:ascii="宋体" w:hAnsi="宋体" w:eastAsia="宋体" w:cs="宋体"/>
          <w:b/>
          <w:bCs/>
          <w:color w:val="auto"/>
          <w:sz w:val="30"/>
          <w:szCs w:val="30"/>
          <w:highlight w:val="none"/>
        </w:rPr>
        <w:t>、符合性审查与详细评审材料</w:t>
      </w:r>
    </w:p>
    <w:p w14:paraId="3C409630">
      <w:pPr>
        <w:widowControl/>
        <w:tabs>
          <w:tab w:val="left" w:pos="5580"/>
        </w:tabs>
        <w:wordWrap w:val="0"/>
        <w:adjustRightInd w:val="0"/>
        <w:snapToGrid w:val="0"/>
        <w:spacing w:line="400" w:lineRule="exact"/>
        <w:rPr>
          <w:rFonts w:hint="eastAsia" w:ascii="宋体" w:hAnsi="宋体" w:cs="宋体"/>
          <w:b/>
          <w:color w:val="auto"/>
          <w:szCs w:val="21"/>
          <w:highlight w:val="none"/>
        </w:rPr>
      </w:pPr>
      <w:r>
        <w:rPr>
          <w:rFonts w:hint="eastAsia" w:ascii="宋体" w:hAnsi="宋体" w:cs="宋体"/>
          <w:b/>
          <w:color w:val="auto"/>
          <w:szCs w:val="21"/>
          <w:highlight w:val="none"/>
        </w:rPr>
        <w:t>特别提醒：</w:t>
      </w:r>
    </w:p>
    <w:p w14:paraId="60CC9B77">
      <w:pPr>
        <w:widowControl/>
        <w:tabs>
          <w:tab w:val="left" w:pos="5580"/>
        </w:tabs>
        <w:wordWrap w:val="0"/>
        <w:adjustRightInd w:val="0"/>
        <w:snapToGrid w:val="0"/>
        <w:spacing w:line="400" w:lineRule="exact"/>
        <w:rPr>
          <w:rFonts w:hint="eastAsia" w:ascii="宋体" w:hAnsi="宋体" w:cs="宋体"/>
          <w:color w:val="auto"/>
          <w:szCs w:val="21"/>
          <w:highlight w:val="none"/>
        </w:rPr>
      </w:pPr>
      <w:r>
        <w:rPr>
          <w:rFonts w:hint="eastAsia" w:ascii="宋体" w:hAnsi="宋体" w:cs="宋体"/>
          <w:color w:val="auto"/>
          <w:szCs w:val="21"/>
          <w:highlight w:val="none"/>
        </w:rPr>
        <w:t>1．提供证明材料</w:t>
      </w:r>
      <w:r>
        <w:rPr>
          <w:rFonts w:hint="eastAsia" w:ascii="宋体" w:hAnsi="宋体" w:cs="宋体"/>
          <w:b/>
          <w:color w:val="auto"/>
          <w:szCs w:val="21"/>
          <w:highlight w:val="none"/>
        </w:rPr>
        <w:t>扫描件或电子证照</w:t>
      </w:r>
      <w:r>
        <w:rPr>
          <w:rFonts w:hint="eastAsia" w:ascii="宋体" w:hAnsi="宋体" w:cs="宋体"/>
          <w:color w:val="auto"/>
          <w:szCs w:val="21"/>
          <w:highlight w:val="none"/>
        </w:rPr>
        <w:t>；</w:t>
      </w:r>
    </w:p>
    <w:p w14:paraId="6C049793">
      <w:pPr>
        <w:widowControl/>
        <w:tabs>
          <w:tab w:val="left" w:pos="5580"/>
        </w:tabs>
        <w:wordWrap w:val="0"/>
        <w:adjustRightInd w:val="0"/>
        <w:snapToGrid w:val="0"/>
        <w:spacing w:line="400" w:lineRule="exact"/>
        <w:rPr>
          <w:rFonts w:hint="eastAsia" w:ascii="宋体" w:hAnsi="宋体" w:cs="宋体"/>
          <w:color w:val="auto"/>
          <w:szCs w:val="21"/>
          <w:highlight w:val="none"/>
        </w:rPr>
      </w:pPr>
      <w:r>
        <w:rPr>
          <w:rFonts w:hint="eastAsia" w:ascii="宋体" w:hAnsi="宋体" w:cs="宋体"/>
          <w:color w:val="auto"/>
          <w:szCs w:val="21"/>
          <w:highlight w:val="none"/>
        </w:rPr>
        <w:t>2．建议设置评审索引，以便评标委员会顺利开展评审工作；</w:t>
      </w:r>
    </w:p>
    <w:p w14:paraId="18EB03E2">
      <w:pPr>
        <w:widowControl/>
        <w:tabs>
          <w:tab w:val="left" w:pos="5580"/>
        </w:tabs>
        <w:wordWrap w:val="0"/>
        <w:adjustRightInd w:val="0"/>
        <w:snapToGrid w:val="0"/>
        <w:spacing w:line="400" w:lineRule="exact"/>
        <w:rPr>
          <w:rFonts w:hint="eastAsia" w:ascii="宋体" w:hAnsi="宋体" w:cs="宋体"/>
          <w:color w:val="auto"/>
          <w:szCs w:val="21"/>
          <w:highlight w:val="none"/>
        </w:rPr>
      </w:pPr>
      <w:r>
        <w:rPr>
          <w:rFonts w:hint="eastAsia" w:ascii="宋体" w:hAnsi="宋体" w:cs="宋体"/>
          <w:color w:val="auto"/>
          <w:szCs w:val="21"/>
          <w:highlight w:val="none"/>
        </w:rPr>
        <w:t>3．内容须清晰、明确，若提供相关资料内容模糊不清或无法辨认，评标委员会有权不予认可。</w:t>
      </w:r>
    </w:p>
    <w:p w14:paraId="7D73016D">
      <w:pPr>
        <w:pStyle w:val="4"/>
        <w:spacing w:before="120" w:after="120" w:line="240" w:lineRule="auto"/>
        <w:jc w:val="center"/>
        <w:rPr>
          <w:rStyle w:val="107"/>
          <w:rFonts w:hint="eastAsia" w:ascii="宋体" w:hAnsi="宋体" w:eastAsia="宋体" w:cs="宋体"/>
          <w:b/>
          <w:bCs/>
          <w:color w:val="auto"/>
          <w:sz w:val="24"/>
          <w:szCs w:val="24"/>
          <w:highlight w:val="none"/>
        </w:rPr>
      </w:pPr>
      <w:r>
        <w:rPr>
          <w:rFonts w:hint="eastAsia" w:cs="宋体"/>
          <w:color w:val="auto"/>
          <w:sz w:val="24"/>
          <w:highlight w:val="none"/>
          <w:lang w:eastAsia="zh-CN"/>
        </w:rPr>
        <w:t>（一）商务要求偏离表</w:t>
      </w:r>
    </w:p>
    <w:tbl>
      <w:tblPr>
        <w:tblStyle w:val="48"/>
        <w:tblW w:w="9978" w:type="dxa"/>
        <w:tblInd w:w="0" w:type="dxa"/>
        <w:tblLayout w:type="fixed"/>
        <w:tblCellMar>
          <w:top w:w="0" w:type="dxa"/>
          <w:left w:w="108" w:type="dxa"/>
          <w:bottom w:w="0" w:type="dxa"/>
          <w:right w:w="108" w:type="dxa"/>
        </w:tblCellMar>
      </w:tblPr>
      <w:tblGrid>
        <w:gridCol w:w="738"/>
        <w:gridCol w:w="1638"/>
        <w:gridCol w:w="2114"/>
        <w:gridCol w:w="2553"/>
        <w:gridCol w:w="1570"/>
        <w:gridCol w:w="1365"/>
      </w:tblGrid>
      <w:tr w14:paraId="13C98DDB">
        <w:tblPrEx>
          <w:tblCellMar>
            <w:top w:w="0" w:type="dxa"/>
            <w:left w:w="108" w:type="dxa"/>
            <w:bottom w:w="0" w:type="dxa"/>
            <w:right w:w="108" w:type="dxa"/>
          </w:tblCellMar>
        </w:tblPrEx>
        <w:trPr>
          <w:trHeight w:val="454" w:hRule="atLeast"/>
        </w:trPr>
        <w:tc>
          <w:tcPr>
            <w:tcW w:w="738" w:type="dxa"/>
            <w:tcBorders>
              <w:top w:val="single" w:color="000000" w:sz="4" w:space="0"/>
              <w:left w:val="single" w:color="000000" w:sz="4" w:space="0"/>
              <w:bottom w:val="single" w:color="000000" w:sz="4" w:space="0"/>
              <w:right w:val="single" w:color="000000" w:sz="4" w:space="0"/>
            </w:tcBorders>
            <w:noWrap w:val="0"/>
            <w:vAlign w:val="center"/>
          </w:tcPr>
          <w:p w14:paraId="11BAA54A">
            <w:pPr>
              <w:keepNext w:val="0"/>
              <w:keepLines w:val="0"/>
              <w:widowControl/>
              <w:suppressLineNumbers w:val="0"/>
              <w:spacing w:before="0" w:beforeAutospacing="0" w:after="0" w:afterAutospacing="0"/>
              <w:ind w:left="0" w:right="0"/>
              <w:jc w:val="center"/>
              <w:rPr>
                <w:rFonts w:hint="eastAsia" w:ascii="宋体" w:hAnsi="宋体" w:cs="宋体"/>
                <w:b/>
                <w:color w:val="auto"/>
                <w:kern w:val="0"/>
                <w:szCs w:val="21"/>
                <w:highlight w:val="none"/>
              </w:rPr>
            </w:pPr>
            <w:r>
              <w:rPr>
                <w:rFonts w:hint="eastAsia" w:ascii="宋体" w:hAnsi="宋体" w:cs="宋体"/>
                <w:b/>
                <w:color w:val="auto"/>
                <w:kern w:val="0"/>
                <w:szCs w:val="21"/>
                <w:highlight w:val="none"/>
              </w:rPr>
              <w:t>序号</w:t>
            </w:r>
          </w:p>
        </w:tc>
        <w:tc>
          <w:tcPr>
            <w:tcW w:w="1638" w:type="dxa"/>
            <w:tcBorders>
              <w:top w:val="single" w:color="000000" w:sz="4" w:space="0"/>
              <w:left w:val="nil"/>
              <w:bottom w:val="single" w:color="000000" w:sz="4" w:space="0"/>
              <w:right w:val="single" w:color="000000" w:sz="4" w:space="0"/>
            </w:tcBorders>
            <w:noWrap w:val="0"/>
            <w:vAlign w:val="center"/>
          </w:tcPr>
          <w:p w14:paraId="022F973D">
            <w:pPr>
              <w:keepNext w:val="0"/>
              <w:keepLines w:val="0"/>
              <w:widowControl/>
              <w:suppressLineNumbers w:val="0"/>
              <w:spacing w:before="0" w:beforeAutospacing="0" w:after="0" w:afterAutospacing="0"/>
              <w:ind w:left="0" w:right="0"/>
              <w:jc w:val="center"/>
              <w:rPr>
                <w:rFonts w:hint="eastAsia" w:ascii="宋体" w:hAnsi="宋体" w:cs="宋体"/>
                <w:b/>
                <w:color w:val="auto"/>
                <w:kern w:val="0"/>
                <w:szCs w:val="21"/>
                <w:highlight w:val="none"/>
              </w:rPr>
            </w:pPr>
            <w:r>
              <w:rPr>
                <w:rFonts w:hint="eastAsia" w:ascii="宋体" w:hAnsi="宋体" w:cs="宋体"/>
                <w:b/>
                <w:color w:val="auto"/>
                <w:kern w:val="0"/>
                <w:szCs w:val="21"/>
                <w:highlight w:val="none"/>
              </w:rPr>
              <w:t>商务要求项</w:t>
            </w:r>
          </w:p>
        </w:tc>
        <w:tc>
          <w:tcPr>
            <w:tcW w:w="2114" w:type="dxa"/>
            <w:tcBorders>
              <w:top w:val="single" w:color="000000" w:sz="4" w:space="0"/>
              <w:left w:val="nil"/>
              <w:bottom w:val="single" w:color="000000" w:sz="4" w:space="0"/>
              <w:right w:val="single" w:color="000000" w:sz="4" w:space="0"/>
            </w:tcBorders>
            <w:noWrap w:val="0"/>
            <w:vAlign w:val="center"/>
          </w:tcPr>
          <w:p w14:paraId="18C9B164">
            <w:pPr>
              <w:keepNext w:val="0"/>
              <w:keepLines w:val="0"/>
              <w:widowControl/>
              <w:suppressLineNumbers w:val="0"/>
              <w:spacing w:before="0" w:beforeAutospacing="0" w:after="0" w:afterAutospacing="0"/>
              <w:ind w:left="0" w:right="0"/>
              <w:jc w:val="center"/>
              <w:rPr>
                <w:rFonts w:hint="eastAsia" w:ascii="宋体" w:hAnsi="宋体" w:cs="宋体"/>
                <w:b/>
                <w:color w:val="auto"/>
                <w:kern w:val="0"/>
                <w:szCs w:val="21"/>
                <w:highlight w:val="none"/>
              </w:rPr>
            </w:pPr>
            <w:r>
              <w:rPr>
                <w:rFonts w:hint="eastAsia" w:ascii="宋体" w:hAnsi="宋体" w:cs="宋体"/>
                <w:b/>
                <w:color w:val="auto"/>
                <w:kern w:val="0"/>
                <w:szCs w:val="21"/>
                <w:highlight w:val="none"/>
              </w:rPr>
              <w:t>招标文件的条款</w:t>
            </w:r>
          </w:p>
        </w:tc>
        <w:tc>
          <w:tcPr>
            <w:tcW w:w="2553" w:type="dxa"/>
            <w:tcBorders>
              <w:top w:val="single" w:color="000000" w:sz="4" w:space="0"/>
              <w:left w:val="nil"/>
              <w:bottom w:val="single" w:color="000000" w:sz="4" w:space="0"/>
              <w:right w:val="single" w:color="000000" w:sz="4" w:space="0"/>
            </w:tcBorders>
            <w:noWrap w:val="0"/>
            <w:vAlign w:val="center"/>
          </w:tcPr>
          <w:p w14:paraId="527C1F02">
            <w:pPr>
              <w:keepNext w:val="0"/>
              <w:keepLines w:val="0"/>
              <w:widowControl/>
              <w:suppressLineNumbers w:val="0"/>
              <w:spacing w:before="0" w:beforeAutospacing="0" w:after="0" w:afterAutospacing="0"/>
              <w:ind w:left="0" w:right="0"/>
              <w:jc w:val="center"/>
              <w:rPr>
                <w:rFonts w:hint="eastAsia" w:ascii="宋体" w:hAnsi="宋体" w:cs="宋体"/>
                <w:b/>
                <w:color w:val="auto"/>
                <w:kern w:val="0"/>
                <w:szCs w:val="21"/>
                <w:highlight w:val="none"/>
              </w:rPr>
            </w:pPr>
            <w:r>
              <w:rPr>
                <w:rFonts w:hint="eastAsia" w:ascii="宋体" w:hAnsi="宋体" w:cs="宋体"/>
                <w:b/>
                <w:color w:val="auto"/>
                <w:kern w:val="0"/>
                <w:szCs w:val="21"/>
                <w:highlight w:val="none"/>
              </w:rPr>
              <w:t>投标文件的条款</w:t>
            </w:r>
          </w:p>
        </w:tc>
        <w:tc>
          <w:tcPr>
            <w:tcW w:w="1570" w:type="dxa"/>
            <w:tcBorders>
              <w:top w:val="single" w:color="000000" w:sz="4" w:space="0"/>
              <w:left w:val="nil"/>
              <w:bottom w:val="single" w:color="000000" w:sz="4" w:space="0"/>
              <w:right w:val="single" w:color="000000" w:sz="4" w:space="0"/>
            </w:tcBorders>
            <w:noWrap w:val="0"/>
            <w:vAlign w:val="center"/>
          </w:tcPr>
          <w:p w14:paraId="738423DE">
            <w:pPr>
              <w:keepNext w:val="0"/>
              <w:keepLines w:val="0"/>
              <w:widowControl/>
              <w:suppressLineNumbers w:val="0"/>
              <w:spacing w:before="0" w:beforeAutospacing="0" w:after="0" w:afterAutospacing="0"/>
              <w:ind w:left="0" w:right="0"/>
              <w:jc w:val="center"/>
              <w:rPr>
                <w:rFonts w:hint="eastAsia" w:ascii="宋体" w:hAnsi="宋体" w:cs="宋体"/>
                <w:b/>
                <w:color w:val="auto"/>
                <w:kern w:val="0"/>
                <w:szCs w:val="21"/>
                <w:highlight w:val="none"/>
              </w:rPr>
            </w:pPr>
            <w:r>
              <w:rPr>
                <w:rFonts w:hint="eastAsia" w:ascii="宋体" w:hAnsi="宋体" w:cs="宋体"/>
                <w:b/>
                <w:color w:val="auto"/>
                <w:kern w:val="0"/>
                <w:szCs w:val="21"/>
                <w:highlight w:val="none"/>
              </w:rPr>
              <w:t>偏离说明</w:t>
            </w:r>
          </w:p>
        </w:tc>
        <w:tc>
          <w:tcPr>
            <w:tcW w:w="1365" w:type="dxa"/>
            <w:tcBorders>
              <w:top w:val="single" w:color="000000" w:sz="4" w:space="0"/>
              <w:left w:val="nil"/>
              <w:bottom w:val="single" w:color="000000" w:sz="4" w:space="0"/>
              <w:right w:val="single" w:color="000000" w:sz="4" w:space="0"/>
            </w:tcBorders>
            <w:noWrap w:val="0"/>
            <w:vAlign w:val="center"/>
          </w:tcPr>
          <w:p w14:paraId="1CEFC744">
            <w:pPr>
              <w:keepNext w:val="0"/>
              <w:keepLines w:val="0"/>
              <w:widowControl/>
              <w:suppressLineNumbers w:val="0"/>
              <w:spacing w:before="0" w:beforeAutospacing="0" w:after="0" w:afterAutospacing="0"/>
              <w:ind w:left="0" w:right="0"/>
              <w:jc w:val="center"/>
              <w:rPr>
                <w:rFonts w:hint="eastAsia" w:ascii="宋体" w:hAnsi="宋体" w:cs="宋体"/>
                <w:b/>
                <w:color w:val="auto"/>
                <w:kern w:val="0"/>
                <w:szCs w:val="21"/>
                <w:highlight w:val="none"/>
              </w:rPr>
            </w:pPr>
            <w:r>
              <w:rPr>
                <w:rFonts w:hint="eastAsia" w:ascii="宋体" w:hAnsi="宋体" w:cs="宋体"/>
                <w:b/>
                <w:color w:val="auto"/>
                <w:kern w:val="0"/>
                <w:szCs w:val="21"/>
                <w:highlight w:val="none"/>
              </w:rPr>
              <w:t>备注</w:t>
            </w:r>
          </w:p>
        </w:tc>
      </w:tr>
      <w:tr w14:paraId="3706540B">
        <w:tblPrEx>
          <w:tblCellMar>
            <w:top w:w="0" w:type="dxa"/>
            <w:left w:w="108" w:type="dxa"/>
            <w:bottom w:w="0" w:type="dxa"/>
            <w:right w:w="108" w:type="dxa"/>
          </w:tblCellMar>
        </w:tblPrEx>
        <w:trPr>
          <w:trHeight w:val="454" w:hRule="atLeast"/>
        </w:trPr>
        <w:tc>
          <w:tcPr>
            <w:tcW w:w="738" w:type="dxa"/>
            <w:tcBorders>
              <w:top w:val="single" w:color="000000" w:sz="4" w:space="0"/>
              <w:left w:val="single" w:color="000000" w:sz="4" w:space="0"/>
              <w:bottom w:val="single" w:color="000000" w:sz="4" w:space="0"/>
              <w:right w:val="single" w:color="000000" w:sz="4" w:space="0"/>
            </w:tcBorders>
            <w:noWrap w:val="0"/>
            <w:vAlign w:val="center"/>
          </w:tcPr>
          <w:p w14:paraId="1752F59D">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1</w:t>
            </w:r>
          </w:p>
        </w:tc>
        <w:tc>
          <w:tcPr>
            <w:tcW w:w="1638" w:type="dxa"/>
            <w:tcBorders>
              <w:top w:val="single" w:color="000000" w:sz="4" w:space="0"/>
              <w:left w:val="nil"/>
              <w:bottom w:val="single" w:color="000000" w:sz="4" w:space="0"/>
              <w:right w:val="single" w:color="000000" w:sz="4" w:space="0"/>
            </w:tcBorders>
            <w:noWrap w:val="0"/>
            <w:vAlign w:val="center"/>
          </w:tcPr>
          <w:p w14:paraId="01915675">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交付（实施）的时间（期限）</w:t>
            </w:r>
          </w:p>
        </w:tc>
        <w:tc>
          <w:tcPr>
            <w:tcW w:w="2114" w:type="dxa"/>
            <w:tcBorders>
              <w:top w:val="single" w:color="000000" w:sz="4" w:space="0"/>
              <w:left w:val="nil"/>
              <w:bottom w:val="single" w:color="000000" w:sz="4" w:space="0"/>
              <w:right w:val="single" w:color="000000" w:sz="4" w:space="0"/>
            </w:tcBorders>
            <w:noWrap w:val="0"/>
            <w:vAlign w:val="center"/>
          </w:tcPr>
          <w:p w14:paraId="3837C0F8">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c>
          <w:tcPr>
            <w:tcW w:w="2553" w:type="dxa"/>
            <w:tcBorders>
              <w:top w:val="single" w:color="000000" w:sz="4" w:space="0"/>
              <w:left w:val="nil"/>
              <w:bottom w:val="single" w:color="000000" w:sz="4" w:space="0"/>
              <w:right w:val="single" w:color="000000" w:sz="4" w:space="0"/>
            </w:tcBorders>
            <w:noWrap w:val="0"/>
            <w:vAlign w:val="center"/>
          </w:tcPr>
          <w:p w14:paraId="0022A023">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c>
          <w:tcPr>
            <w:tcW w:w="1570" w:type="dxa"/>
            <w:tcBorders>
              <w:top w:val="single" w:color="000000" w:sz="4" w:space="0"/>
              <w:left w:val="nil"/>
              <w:bottom w:val="single" w:color="000000" w:sz="4" w:space="0"/>
              <w:right w:val="single" w:color="000000" w:sz="4" w:space="0"/>
            </w:tcBorders>
            <w:noWrap w:val="0"/>
            <w:vAlign w:val="center"/>
          </w:tcPr>
          <w:p w14:paraId="6DF1D1F7">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c>
          <w:tcPr>
            <w:tcW w:w="1365" w:type="dxa"/>
            <w:tcBorders>
              <w:top w:val="single" w:color="000000" w:sz="4" w:space="0"/>
              <w:left w:val="nil"/>
              <w:bottom w:val="single" w:color="000000" w:sz="4" w:space="0"/>
              <w:right w:val="single" w:color="000000" w:sz="4" w:space="0"/>
            </w:tcBorders>
            <w:noWrap w:val="0"/>
            <w:vAlign w:val="center"/>
          </w:tcPr>
          <w:p w14:paraId="34953869">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r>
      <w:tr w14:paraId="13BA5411">
        <w:trPr>
          <w:trHeight w:val="454" w:hRule="atLeast"/>
        </w:trPr>
        <w:tc>
          <w:tcPr>
            <w:tcW w:w="738" w:type="dxa"/>
            <w:tcBorders>
              <w:top w:val="single" w:color="000000" w:sz="4" w:space="0"/>
              <w:left w:val="single" w:color="000000" w:sz="4" w:space="0"/>
              <w:bottom w:val="single" w:color="000000" w:sz="4" w:space="0"/>
              <w:right w:val="single" w:color="000000" w:sz="4" w:space="0"/>
            </w:tcBorders>
            <w:noWrap w:val="0"/>
            <w:vAlign w:val="center"/>
          </w:tcPr>
          <w:p w14:paraId="5E955E50">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2</w:t>
            </w:r>
          </w:p>
        </w:tc>
        <w:tc>
          <w:tcPr>
            <w:tcW w:w="1638" w:type="dxa"/>
            <w:tcBorders>
              <w:top w:val="single" w:color="000000" w:sz="4" w:space="0"/>
              <w:left w:val="nil"/>
              <w:bottom w:val="single" w:color="000000" w:sz="4" w:space="0"/>
              <w:right w:val="single" w:color="000000" w:sz="4" w:space="0"/>
            </w:tcBorders>
            <w:noWrap w:val="0"/>
            <w:vAlign w:val="center"/>
          </w:tcPr>
          <w:p w14:paraId="1FD4F151">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交付（实施）的地点（范围）</w:t>
            </w:r>
          </w:p>
        </w:tc>
        <w:tc>
          <w:tcPr>
            <w:tcW w:w="2114" w:type="dxa"/>
            <w:tcBorders>
              <w:top w:val="single" w:color="000000" w:sz="4" w:space="0"/>
              <w:left w:val="nil"/>
              <w:bottom w:val="single" w:color="000000" w:sz="4" w:space="0"/>
              <w:right w:val="single" w:color="000000" w:sz="4" w:space="0"/>
            </w:tcBorders>
            <w:noWrap w:val="0"/>
            <w:vAlign w:val="center"/>
          </w:tcPr>
          <w:p w14:paraId="6C9C7D14">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c>
          <w:tcPr>
            <w:tcW w:w="2553" w:type="dxa"/>
            <w:tcBorders>
              <w:top w:val="single" w:color="000000" w:sz="4" w:space="0"/>
              <w:left w:val="nil"/>
              <w:bottom w:val="single" w:color="000000" w:sz="4" w:space="0"/>
              <w:right w:val="single" w:color="000000" w:sz="4" w:space="0"/>
            </w:tcBorders>
            <w:noWrap w:val="0"/>
            <w:vAlign w:val="center"/>
          </w:tcPr>
          <w:p w14:paraId="546BC62A">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c>
          <w:tcPr>
            <w:tcW w:w="1570" w:type="dxa"/>
            <w:tcBorders>
              <w:top w:val="single" w:color="000000" w:sz="4" w:space="0"/>
              <w:left w:val="nil"/>
              <w:bottom w:val="single" w:color="000000" w:sz="4" w:space="0"/>
              <w:right w:val="single" w:color="000000" w:sz="4" w:space="0"/>
            </w:tcBorders>
            <w:noWrap w:val="0"/>
            <w:vAlign w:val="center"/>
          </w:tcPr>
          <w:p w14:paraId="26C47E7E">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c>
          <w:tcPr>
            <w:tcW w:w="1365" w:type="dxa"/>
            <w:tcBorders>
              <w:top w:val="single" w:color="000000" w:sz="4" w:space="0"/>
              <w:left w:val="nil"/>
              <w:bottom w:val="single" w:color="000000" w:sz="4" w:space="0"/>
              <w:right w:val="single" w:color="000000" w:sz="4" w:space="0"/>
            </w:tcBorders>
            <w:noWrap w:val="0"/>
            <w:vAlign w:val="center"/>
          </w:tcPr>
          <w:p w14:paraId="393671C0">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r>
      <w:tr w14:paraId="46BE1605">
        <w:tblPrEx>
          <w:tblCellMar>
            <w:top w:w="0" w:type="dxa"/>
            <w:left w:w="108" w:type="dxa"/>
            <w:bottom w:w="0" w:type="dxa"/>
            <w:right w:w="108" w:type="dxa"/>
          </w:tblCellMar>
        </w:tblPrEx>
        <w:trPr>
          <w:trHeight w:val="406" w:hRule="atLeast"/>
        </w:trPr>
        <w:tc>
          <w:tcPr>
            <w:tcW w:w="738" w:type="dxa"/>
            <w:tcBorders>
              <w:top w:val="single" w:color="000000" w:sz="4" w:space="0"/>
              <w:left w:val="single" w:color="000000" w:sz="4" w:space="0"/>
              <w:bottom w:val="single" w:color="000000" w:sz="4" w:space="0"/>
              <w:right w:val="single" w:color="000000" w:sz="4" w:space="0"/>
            </w:tcBorders>
            <w:noWrap w:val="0"/>
            <w:vAlign w:val="center"/>
          </w:tcPr>
          <w:p w14:paraId="584F4E35">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3</w:t>
            </w:r>
          </w:p>
        </w:tc>
        <w:tc>
          <w:tcPr>
            <w:tcW w:w="1638" w:type="dxa"/>
            <w:tcBorders>
              <w:top w:val="single" w:color="000000" w:sz="4" w:space="0"/>
              <w:left w:val="nil"/>
              <w:bottom w:val="single" w:color="000000" w:sz="4" w:space="0"/>
              <w:right w:val="single" w:color="000000" w:sz="4" w:space="0"/>
            </w:tcBorders>
            <w:noWrap w:val="0"/>
            <w:vAlign w:val="center"/>
          </w:tcPr>
          <w:p w14:paraId="02F8EABA">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付款方式</w:t>
            </w:r>
          </w:p>
        </w:tc>
        <w:tc>
          <w:tcPr>
            <w:tcW w:w="2114" w:type="dxa"/>
            <w:tcBorders>
              <w:top w:val="single" w:color="000000" w:sz="4" w:space="0"/>
              <w:left w:val="nil"/>
              <w:bottom w:val="single" w:color="000000" w:sz="4" w:space="0"/>
              <w:right w:val="single" w:color="000000" w:sz="4" w:space="0"/>
            </w:tcBorders>
            <w:noWrap w:val="0"/>
            <w:vAlign w:val="center"/>
          </w:tcPr>
          <w:p w14:paraId="32E0D499">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c>
          <w:tcPr>
            <w:tcW w:w="2553" w:type="dxa"/>
            <w:tcBorders>
              <w:top w:val="single" w:color="000000" w:sz="4" w:space="0"/>
              <w:left w:val="nil"/>
              <w:bottom w:val="single" w:color="000000" w:sz="4" w:space="0"/>
              <w:right w:val="single" w:color="000000" w:sz="4" w:space="0"/>
            </w:tcBorders>
            <w:noWrap w:val="0"/>
            <w:vAlign w:val="center"/>
          </w:tcPr>
          <w:p w14:paraId="7AA7E773">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c>
          <w:tcPr>
            <w:tcW w:w="1570" w:type="dxa"/>
            <w:tcBorders>
              <w:top w:val="single" w:color="000000" w:sz="4" w:space="0"/>
              <w:left w:val="nil"/>
              <w:bottom w:val="single" w:color="000000" w:sz="4" w:space="0"/>
              <w:right w:val="single" w:color="000000" w:sz="4" w:space="0"/>
            </w:tcBorders>
            <w:noWrap w:val="0"/>
            <w:vAlign w:val="center"/>
          </w:tcPr>
          <w:p w14:paraId="062FF39F">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c>
          <w:tcPr>
            <w:tcW w:w="1365" w:type="dxa"/>
            <w:tcBorders>
              <w:top w:val="single" w:color="000000" w:sz="4" w:space="0"/>
              <w:left w:val="nil"/>
              <w:bottom w:val="single" w:color="000000" w:sz="4" w:space="0"/>
              <w:right w:val="single" w:color="000000" w:sz="4" w:space="0"/>
            </w:tcBorders>
            <w:noWrap w:val="0"/>
            <w:vAlign w:val="center"/>
          </w:tcPr>
          <w:p w14:paraId="1F5E929D">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r>
      <w:tr w14:paraId="269C33E6">
        <w:tblPrEx>
          <w:tblCellMar>
            <w:top w:w="0" w:type="dxa"/>
            <w:left w:w="108" w:type="dxa"/>
            <w:bottom w:w="0" w:type="dxa"/>
            <w:right w:w="108" w:type="dxa"/>
          </w:tblCellMar>
        </w:tblPrEx>
        <w:trPr>
          <w:trHeight w:val="662" w:hRule="atLeast"/>
        </w:trPr>
        <w:tc>
          <w:tcPr>
            <w:tcW w:w="738" w:type="dxa"/>
            <w:tcBorders>
              <w:top w:val="single" w:color="000000" w:sz="4" w:space="0"/>
              <w:left w:val="single" w:color="000000" w:sz="4" w:space="0"/>
              <w:bottom w:val="single" w:color="000000" w:sz="4" w:space="0"/>
              <w:right w:val="single" w:color="000000" w:sz="4" w:space="0"/>
            </w:tcBorders>
            <w:noWrap w:val="0"/>
            <w:vAlign w:val="center"/>
          </w:tcPr>
          <w:p w14:paraId="112C668C">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4</w:t>
            </w:r>
          </w:p>
        </w:tc>
        <w:tc>
          <w:tcPr>
            <w:tcW w:w="1638" w:type="dxa"/>
            <w:tcBorders>
              <w:top w:val="single" w:color="000000" w:sz="4" w:space="0"/>
              <w:left w:val="nil"/>
              <w:bottom w:val="single" w:color="000000" w:sz="4" w:space="0"/>
              <w:right w:val="single" w:color="000000" w:sz="4" w:space="0"/>
            </w:tcBorders>
            <w:noWrap w:val="0"/>
            <w:vAlign w:val="center"/>
          </w:tcPr>
          <w:p w14:paraId="425E348B">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质量保证期</w:t>
            </w:r>
          </w:p>
        </w:tc>
        <w:tc>
          <w:tcPr>
            <w:tcW w:w="2114" w:type="dxa"/>
            <w:tcBorders>
              <w:top w:val="single" w:color="000000" w:sz="4" w:space="0"/>
              <w:left w:val="nil"/>
              <w:bottom w:val="single" w:color="000000" w:sz="4" w:space="0"/>
              <w:right w:val="single" w:color="000000" w:sz="4" w:space="0"/>
            </w:tcBorders>
            <w:noWrap w:val="0"/>
            <w:vAlign w:val="center"/>
          </w:tcPr>
          <w:p w14:paraId="097A7524">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c>
          <w:tcPr>
            <w:tcW w:w="2553" w:type="dxa"/>
            <w:tcBorders>
              <w:top w:val="single" w:color="000000" w:sz="4" w:space="0"/>
              <w:left w:val="nil"/>
              <w:bottom w:val="single" w:color="000000" w:sz="4" w:space="0"/>
              <w:right w:val="single" w:color="000000" w:sz="4" w:space="0"/>
            </w:tcBorders>
            <w:noWrap w:val="0"/>
            <w:vAlign w:val="center"/>
          </w:tcPr>
          <w:p w14:paraId="6C23DAF9">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c>
          <w:tcPr>
            <w:tcW w:w="1570" w:type="dxa"/>
            <w:tcBorders>
              <w:top w:val="single" w:color="000000" w:sz="4" w:space="0"/>
              <w:left w:val="nil"/>
              <w:bottom w:val="single" w:color="000000" w:sz="4" w:space="0"/>
              <w:right w:val="single" w:color="000000" w:sz="4" w:space="0"/>
            </w:tcBorders>
            <w:noWrap w:val="0"/>
            <w:vAlign w:val="center"/>
          </w:tcPr>
          <w:p w14:paraId="0E1950D2">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c>
          <w:tcPr>
            <w:tcW w:w="1365" w:type="dxa"/>
            <w:tcBorders>
              <w:top w:val="single" w:color="000000" w:sz="4" w:space="0"/>
              <w:left w:val="nil"/>
              <w:bottom w:val="single" w:color="000000" w:sz="4" w:space="0"/>
              <w:right w:val="single" w:color="000000" w:sz="4" w:space="0"/>
            </w:tcBorders>
            <w:noWrap w:val="0"/>
            <w:vAlign w:val="center"/>
          </w:tcPr>
          <w:p w14:paraId="0FBA3520">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r>
    </w:tbl>
    <w:p w14:paraId="33D9A9D6">
      <w:pPr>
        <w:rPr>
          <w:rFonts w:hint="eastAsia" w:ascii="宋体" w:hAnsi="宋体" w:cs="宋体"/>
          <w:color w:val="auto"/>
          <w:szCs w:val="21"/>
          <w:highlight w:val="none"/>
        </w:rPr>
      </w:pPr>
      <w:r>
        <w:rPr>
          <w:rFonts w:hint="eastAsia" w:ascii="宋体" w:hAnsi="宋体" w:cs="宋体"/>
          <w:color w:val="auto"/>
          <w:szCs w:val="21"/>
          <w:highlight w:val="none"/>
        </w:rPr>
        <w:t>投标人保证：投标人须逐条响应招标文件第三章采购需求3.商务要求的全部要求。</w:t>
      </w:r>
    </w:p>
    <w:p w14:paraId="260BC292">
      <w:pPr>
        <w:widowControl/>
        <w:spacing w:line="360" w:lineRule="exact"/>
        <w:ind w:firstLine="411" w:firstLineChars="196"/>
        <w:rPr>
          <w:rFonts w:hint="eastAsia" w:ascii="宋体" w:hAnsi="宋体" w:cs="宋体"/>
          <w:color w:val="auto"/>
          <w:highlight w:val="none"/>
        </w:rPr>
      </w:pPr>
    </w:p>
    <w:p w14:paraId="3F013460">
      <w:pPr>
        <w:pStyle w:val="4"/>
        <w:spacing w:before="120" w:after="120" w:line="240" w:lineRule="auto"/>
        <w:jc w:val="center"/>
        <w:rPr>
          <w:rFonts w:hint="eastAsia" w:cs="宋体"/>
          <w:color w:val="auto"/>
          <w:sz w:val="24"/>
          <w:highlight w:val="none"/>
          <w:lang w:eastAsia="zh-CN"/>
        </w:rPr>
      </w:pPr>
      <w:r>
        <w:rPr>
          <w:rFonts w:hint="eastAsia" w:cs="宋体"/>
          <w:color w:val="auto"/>
          <w:sz w:val="24"/>
          <w:highlight w:val="none"/>
          <w:lang w:eastAsia="zh-CN"/>
        </w:rPr>
        <w:t>（二）技术要求偏离表</w:t>
      </w:r>
    </w:p>
    <w:tbl>
      <w:tblPr>
        <w:tblStyle w:val="48"/>
        <w:tblW w:w="9938" w:type="dxa"/>
        <w:tblInd w:w="93" w:type="dxa"/>
        <w:tblLayout w:type="fixed"/>
        <w:tblCellMar>
          <w:top w:w="0" w:type="dxa"/>
          <w:left w:w="108" w:type="dxa"/>
          <w:bottom w:w="0" w:type="dxa"/>
          <w:right w:w="108" w:type="dxa"/>
        </w:tblCellMar>
      </w:tblPr>
      <w:tblGrid>
        <w:gridCol w:w="1023"/>
        <w:gridCol w:w="1372"/>
        <w:gridCol w:w="2173"/>
        <w:gridCol w:w="2107"/>
        <w:gridCol w:w="1845"/>
        <w:gridCol w:w="1418"/>
      </w:tblGrid>
      <w:tr w14:paraId="2E837BE3">
        <w:tblPrEx>
          <w:tblCellMar>
            <w:top w:w="0" w:type="dxa"/>
            <w:left w:w="108" w:type="dxa"/>
            <w:bottom w:w="0" w:type="dxa"/>
            <w:right w:w="108" w:type="dxa"/>
          </w:tblCellMar>
        </w:tblPrEx>
        <w:trPr>
          <w:trHeight w:val="340" w:hRule="atLeast"/>
        </w:trPr>
        <w:tc>
          <w:tcPr>
            <w:tcW w:w="1023" w:type="dxa"/>
            <w:tcBorders>
              <w:top w:val="single" w:color="000000" w:sz="4" w:space="0"/>
              <w:left w:val="single" w:color="000000" w:sz="4" w:space="0"/>
              <w:bottom w:val="single" w:color="auto" w:sz="4" w:space="0"/>
              <w:right w:val="single" w:color="000000" w:sz="4" w:space="0"/>
            </w:tcBorders>
            <w:noWrap w:val="0"/>
            <w:vAlign w:val="center"/>
          </w:tcPr>
          <w:p w14:paraId="35D5B073">
            <w:pPr>
              <w:keepNext w:val="0"/>
              <w:keepLines w:val="0"/>
              <w:widowControl/>
              <w:suppressLineNumbers w:val="0"/>
              <w:spacing w:before="0" w:beforeAutospacing="0" w:after="0" w:afterAutospacing="0"/>
              <w:ind w:left="0" w:right="0"/>
              <w:jc w:val="center"/>
              <w:rPr>
                <w:rFonts w:hint="eastAsia" w:ascii="宋体" w:hAnsi="宋体" w:cs="宋体"/>
                <w:b/>
                <w:color w:val="auto"/>
                <w:kern w:val="0"/>
                <w:szCs w:val="21"/>
                <w:highlight w:val="none"/>
              </w:rPr>
            </w:pPr>
            <w:r>
              <w:rPr>
                <w:rFonts w:hint="eastAsia" w:ascii="宋体" w:hAnsi="宋体" w:cs="宋体"/>
                <w:b/>
                <w:color w:val="auto"/>
                <w:kern w:val="0"/>
                <w:szCs w:val="21"/>
                <w:highlight w:val="none"/>
              </w:rPr>
              <w:t>序号</w:t>
            </w:r>
          </w:p>
        </w:tc>
        <w:tc>
          <w:tcPr>
            <w:tcW w:w="1372" w:type="dxa"/>
            <w:tcBorders>
              <w:top w:val="single" w:color="000000" w:sz="4" w:space="0"/>
              <w:left w:val="nil"/>
              <w:bottom w:val="single" w:color="auto" w:sz="4" w:space="0"/>
              <w:right w:val="single" w:color="000000" w:sz="4" w:space="0"/>
            </w:tcBorders>
            <w:noWrap w:val="0"/>
            <w:vAlign w:val="center"/>
          </w:tcPr>
          <w:p w14:paraId="478078A6">
            <w:pPr>
              <w:keepNext w:val="0"/>
              <w:keepLines w:val="0"/>
              <w:widowControl/>
              <w:suppressLineNumbers w:val="0"/>
              <w:spacing w:before="0" w:beforeAutospacing="0" w:after="0" w:afterAutospacing="0"/>
              <w:ind w:left="0" w:right="0"/>
              <w:jc w:val="center"/>
              <w:rPr>
                <w:rFonts w:hint="default" w:ascii="宋体" w:hAnsi="宋体" w:cs="宋体"/>
                <w:b/>
                <w:color w:val="auto"/>
                <w:kern w:val="0"/>
                <w:szCs w:val="21"/>
                <w:highlight w:val="none"/>
              </w:rPr>
            </w:pPr>
            <w:r>
              <w:rPr>
                <w:rFonts w:hint="eastAsia" w:ascii="宋体" w:hAnsi="宋体" w:cs="宋体"/>
                <w:b/>
                <w:color w:val="auto"/>
                <w:kern w:val="0"/>
                <w:szCs w:val="21"/>
                <w:highlight w:val="none"/>
              </w:rPr>
              <w:t>技术要求项</w:t>
            </w:r>
          </w:p>
          <w:p w14:paraId="5007EED0">
            <w:pPr>
              <w:keepNext w:val="0"/>
              <w:keepLines w:val="0"/>
              <w:widowControl/>
              <w:suppressLineNumbers w:val="0"/>
              <w:spacing w:before="0" w:beforeAutospacing="0" w:after="0" w:afterAutospacing="0"/>
              <w:ind w:left="0" w:right="0"/>
              <w:jc w:val="center"/>
              <w:rPr>
                <w:rFonts w:hint="default" w:ascii="宋体" w:hAnsi="宋体" w:cs="宋体"/>
                <w:b/>
                <w:color w:val="auto"/>
                <w:kern w:val="0"/>
                <w:szCs w:val="21"/>
                <w:highlight w:val="none"/>
              </w:rPr>
            </w:pPr>
            <w:r>
              <w:rPr>
                <w:rFonts w:hint="eastAsia" w:ascii="宋体" w:hAnsi="宋体" w:cs="宋体"/>
                <w:b/>
                <w:color w:val="auto"/>
                <w:kern w:val="0"/>
                <w:szCs w:val="21"/>
                <w:highlight w:val="none"/>
              </w:rPr>
              <w:t>条款号</w:t>
            </w:r>
          </w:p>
        </w:tc>
        <w:tc>
          <w:tcPr>
            <w:tcW w:w="2173" w:type="dxa"/>
            <w:tcBorders>
              <w:top w:val="single" w:color="000000" w:sz="4" w:space="0"/>
              <w:left w:val="nil"/>
              <w:bottom w:val="single" w:color="000000" w:sz="4" w:space="0"/>
              <w:right w:val="single" w:color="000000" w:sz="4" w:space="0"/>
            </w:tcBorders>
            <w:noWrap w:val="0"/>
            <w:vAlign w:val="center"/>
          </w:tcPr>
          <w:p w14:paraId="3BDC9AF9">
            <w:pPr>
              <w:keepNext w:val="0"/>
              <w:keepLines w:val="0"/>
              <w:widowControl/>
              <w:suppressLineNumbers w:val="0"/>
              <w:spacing w:before="0" w:beforeAutospacing="0" w:after="0" w:afterAutospacing="0"/>
              <w:ind w:left="0" w:right="0"/>
              <w:jc w:val="center"/>
              <w:rPr>
                <w:rFonts w:hint="default" w:ascii="宋体" w:hAnsi="宋体" w:cs="宋体"/>
                <w:b/>
                <w:color w:val="auto"/>
                <w:kern w:val="0"/>
                <w:szCs w:val="21"/>
                <w:highlight w:val="none"/>
              </w:rPr>
            </w:pPr>
            <w:r>
              <w:rPr>
                <w:rFonts w:hint="eastAsia" w:ascii="宋体" w:hAnsi="宋体" w:cs="宋体"/>
                <w:b/>
                <w:color w:val="auto"/>
                <w:kern w:val="0"/>
                <w:szCs w:val="21"/>
                <w:highlight w:val="none"/>
              </w:rPr>
              <w:t>招标文件的条款</w:t>
            </w:r>
          </w:p>
        </w:tc>
        <w:tc>
          <w:tcPr>
            <w:tcW w:w="2107" w:type="dxa"/>
            <w:tcBorders>
              <w:top w:val="single" w:color="000000" w:sz="4" w:space="0"/>
              <w:left w:val="nil"/>
              <w:bottom w:val="single" w:color="000000" w:sz="4" w:space="0"/>
              <w:right w:val="single" w:color="000000" w:sz="4" w:space="0"/>
            </w:tcBorders>
            <w:noWrap w:val="0"/>
            <w:vAlign w:val="center"/>
          </w:tcPr>
          <w:p w14:paraId="4C45B285">
            <w:pPr>
              <w:keepNext w:val="0"/>
              <w:keepLines w:val="0"/>
              <w:widowControl/>
              <w:suppressLineNumbers w:val="0"/>
              <w:spacing w:before="0" w:beforeAutospacing="0" w:after="0" w:afterAutospacing="0"/>
              <w:ind w:left="0" w:right="0"/>
              <w:jc w:val="center"/>
              <w:rPr>
                <w:rFonts w:hint="default" w:ascii="宋体" w:hAnsi="宋体" w:cs="宋体"/>
                <w:b/>
                <w:color w:val="auto"/>
                <w:kern w:val="0"/>
                <w:szCs w:val="21"/>
                <w:highlight w:val="none"/>
              </w:rPr>
            </w:pPr>
            <w:r>
              <w:rPr>
                <w:rFonts w:hint="eastAsia" w:ascii="宋体" w:hAnsi="宋体" w:cs="宋体"/>
                <w:b/>
                <w:color w:val="auto"/>
                <w:kern w:val="0"/>
                <w:szCs w:val="21"/>
                <w:highlight w:val="none"/>
              </w:rPr>
              <w:t>投标文件的条款</w:t>
            </w:r>
          </w:p>
        </w:tc>
        <w:tc>
          <w:tcPr>
            <w:tcW w:w="1845" w:type="dxa"/>
            <w:tcBorders>
              <w:top w:val="single" w:color="000000" w:sz="4" w:space="0"/>
              <w:left w:val="nil"/>
              <w:bottom w:val="single" w:color="000000" w:sz="4" w:space="0"/>
              <w:right w:val="single" w:color="000000" w:sz="4" w:space="0"/>
            </w:tcBorders>
            <w:noWrap w:val="0"/>
            <w:vAlign w:val="center"/>
          </w:tcPr>
          <w:p w14:paraId="7A81F45E">
            <w:pPr>
              <w:keepNext w:val="0"/>
              <w:keepLines w:val="0"/>
              <w:widowControl/>
              <w:suppressLineNumbers w:val="0"/>
              <w:spacing w:before="0" w:beforeAutospacing="0" w:after="0" w:afterAutospacing="0"/>
              <w:ind w:left="0" w:right="0"/>
              <w:jc w:val="center"/>
              <w:rPr>
                <w:rFonts w:hint="eastAsia" w:ascii="宋体" w:hAnsi="宋体" w:cs="宋体"/>
                <w:b/>
                <w:color w:val="auto"/>
                <w:kern w:val="0"/>
                <w:szCs w:val="21"/>
                <w:highlight w:val="none"/>
              </w:rPr>
            </w:pPr>
            <w:r>
              <w:rPr>
                <w:rFonts w:hint="eastAsia" w:ascii="宋体" w:hAnsi="宋体" w:cs="宋体"/>
                <w:b/>
                <w:color w:val="auto"/>
                <w:kern w:val="0"/>
                <w:szCs w:val="21"/>
                <w:highlight w:val="none"/>
              </w:rPr>
              <w:t>偏离说明</w:t>
            </w:r>
          </w:p>
        </w:tc>
        <w:tc>
          <w:tcPr>
            <w:tcW w:w="1418" w:type="dxa"/>
            <w:tcBorders>
              <w:top w:val="single" w:color="000000" w:sz="4" w:space="0"/>
              <w:left w:val="nil"/>
              <w:bottom w:val="single" w:color="000000" w:sz="4" w:space="0"/>
              <w:right w:val="single" w:color="000000" w:sz="4" w:space="0"/>
            </w:tcBorders>
            <w:noWrap w:val="0"/>
            <w:vAlign w:val="center"/>
          </w:tcPr>
          <w:p w14:paraId="2C0D6EAD">
            <w:pPr>
              <w:keepNext w:val="0"/>
              <w:keepLines w:val="0"/>
              <w:widowControl/>
              <w:suppressLineNumbers w:val="0"/>
              <w:spacing w:before="0" w:beforeAutospacing="0" w:after="0" w:afterAutospacing="0"/>
              <w:ind w:left="0" w:right="0"/>
              <w:jc w:val="center"/>
              <w:rPr>
                <w:rFonts w:hint="eastAsia" w:ascii="宋体" w:hAnsi="宋体" w:cs="宋体"/>
                <w:b/>
                <w:color w:val="auto"/>
                <w:kern w:val="0"/>
                <w:szCs w:val="21"/>
                <w:highlight w:val="none"/>
              </w:rPr>
            </w:pPr>
            <w:r>
              <w:rPr>
                <w:rFonts w:hint="eastAsia" w:ascii="宋体" w:hAnsi="宋体" w:cs="宋体"/>
                <w:b/>
                <w:color w:val="auto"/>
                <w:kern w:val="0"/>
                <w:szCs w:val="21"/>
                <w:highlight w:val="none"/>
              </w:rPr>
              <w:t>备注</w:t>
            </w:r>
          </w:p>
        </w:tc>
      </w:tr>
      <w:tr w14:paraId="7934B15C">
        <w:tblPrEx>
          <w:tblCellMar>
            <w:top w:w="0" w:type="dxa"/>
            <w:left w:w="108" w:type="dxa"/>
            <w:bottom w:w="0" w:type="dxa"/>
            <w:right w:w="108" w:type="dxa"/>
          </w:tblCellMar>
        </w:tblPrEx>
        <w:trPr>
          <w:trHeight w:val="340" w:hRule="atLeast"/>
        </w:trPr>
        <w:tc>
          <w:tcPr>
            <w:tcW w:w="1023" w:type="dxa"/>
            <w:vMerge w:val="restart"/>
            <w:tcBorders>
              <w:top w:val="single" w:color="auto" w:sz="4" w:space="0"/>
              <w:left w:val="single" w:color="000000" w:sz="4" w:space="0"/>
              <w:bottom w:val="single" w:color="000000" w:sz="4" w:space="0"/>
              <w:right w:val="single" w:color="000000" w:sz="4" w:space="0"/>
            </w:tcBorders>
            <w:noWrap w:val="0"/>
            <w:vAlign w:val="center"/>
          </w:tcPr>
          <w:p w14:paraId="39E07371">
            <w:pPr>
              <w:keepNext w:val="0"/>
              <w:keepLines w:val="0"/>
              <w:widowControl/>
              <w:suppressLineNumbers w:val="0"/>
              <w:spacing w:before="0" w:beforeAutospacing="0" w:after="0" w:afterAutospacing="0"/>
              <w:ind w:left="0" w:right="0"/>
              <w:rPr>
                <w:rFonts w:hint="eastAsia" w:ascii="宋体" w:hAnsi="宋体" w:cs="宋体"/>
                <w:bCs/>
                <w:color w:val="auto"/>
                <w:kern w:val="0"/>
                <w:szCs w:val="21"/>
                <w:highlight w:val="none"/>
              </w:rPr>
            </w:pPr>
          </w:p>
        </w:tc>
        <w:tc>
          <w:tcPr>
            <w:tcW w:w="1372" w:type="dxa"/>
            <w:vMerge w:val="restart"/>
            <w:tcBorders>
              <w:top w:val="single" w:color="auto" w:sz="4" w:space="0"/>
              <w:left w:val="nil"/>
              <w:bottom w:val="single" w:color="000000" w:sz="4" w:space="0"/>
              <w:right w:val="single" w:color="000000" w:sz="4" w:space="0"/>
            </w:tcBorders>
            <w:noWrap w:val="0"/>
            <w:vAlign w:val="center"/>
          </w:tcPr>
          <w:p w14:paraId="333CD06F">
            <w:pPr>
              <w:keepNext w:val="0"/>
              <w:keepLines w:val="0"/>
              <w:widowControl/>
              <w:suppressLineNumbers w:val="0"/>
              <w:spacing w:before="0" w:beforeAutospacing="0" w:after="0" w:afterAutospacing="0"/>
              <w:ind w:left="0" w:right="0"/>
              <w:rPr>
                <w:rFonts w:hint="eastAsia" w:ascii="宋体" w:hAnsi="宋体" w:cs="宋体"/>
                <w:color w:val="auto"/>
                <w:kern w:val="0"/>
                <w:szCs w:val="21"/>
                <w:highlight w:val="none"/>
              </w:rPr>
            </w:pPr>
          </w:p>
        </w:tc>
        <w:tc>
          <w:tcPr>
            <w:tcW w:w="2173" w:type="dxa"/>
            <w:tcBorders>
              <w:top w:val="single" w:color="000000" w:sz="4" w:space="0"/>
              <w:left w:val="nil"/>
              <w:bottom w:val="single" w:color="000000" w:sz="4" w:space="0"/>
              <w:right w:val="single" w:color="000000" w:sz="4" w:space="0"/>
            </w:tcBorders>
            <w:noWrap w:val="0"/>
            <w:vAlign w:val="center"/>
          </w:tcPr>
          <w:p w14:paraId="5B7E305F">
            <w:pPr>
              <w:keepNext w:val="0"/>
              <w:keepLines w:val="0"/>
              <w:widowControl/>
              <w:suppressLineNumbers w:val="0"/>
              <w:spacing w:before="0" w:beforeAutospacing="0" w:after="0" w:afterAutospacing="0"/>
              <w:ind w:left="0" w:right="0"/>
              <w:rPr>
                <w:rFonts w:hint="eastAsia" w:ascii="宋体" w:hAnsi="宋体" w:cs="宋体"/>
                <w:color w:val="auto"/>
                <w:kern w:val="0"/>
                <w:szCs w:val="21"/>
                <w:highlight w:val="none"/>
              </w:rPr>
            </w:pPr>
          </w:p>
        </w:tc>
        <w:tc>
          <w:tcPr>
            <w:tcW w:w="2107" w:type="dxa"/>
            <w:tcBorders>
              <w:top w:val="single" w:color="000000" w:sz="4" w:space="0"/>
              <w:left w:val="nil"/>
              <w:bottom w:val="single" w:color="000000" w:sz="4" w:space="0"/>
              <w:right w:val="single" w:color="000000" w:sz="4" w:space="0"/>
            </w:tcBorders>
            <w:noWrap w:val="0"/>
            <w:vAlign w:val="center"/>
          </w:tcPr>
          <w:p w14:paraId="653F3926">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c>
          <w:tcPr>
            <w:tcW w:w="1845" w:type="dxa"/>
            <w:tcBorders>
              <w:top w:val="single" w:color="000000" w:sz="4" w:space="0"/>
              <w:left w:val="nil"/>
              <w:bottom w:val="single" w:color="000000" w:sz="4" w:space="0"/>
              <w:right w:val="single" w:color="000000" w:sz="4" w:space="0"/>
            </w:tcBorders>
            <w:noWrap w:val="0"/>
            <w:vAlign w:val="top"/>
          </w:tcPr>
          <w:p w14:paraId="57EF3A00">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c>
          <w:tcPr>
            <w:tcW w:w="1418" w:type="dxa"/>
            <w:tcBorders>
              <w:top w:val="single" w:color="000000" w:sz="4" w:space="0"/>
              <w:left w:val="nil"/>
              <w:bottom w:val="single" w:color="000000" w:sz="4" w:space="0"/>
              <w:right w:val="single" w:color="000000" w:sz="4" w:space="0"/>
            </w:tcBorders>
            <w:noWrap w:val="0"/>
            <w:vAlign w:val="top"/>
          </w:tcPr>
          <w:p w14:paraId="22B1728C">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r>
      <w:tr w14:paraId="4456D184">
        <w:trPr>
          <w:trHeight w:val="340" w:hRule="atLeast"/>
        </w:trPr>
        <w:tc>
          <w:tcPr>
            <w:tcW w:w="1023" w:type="dxa"/>
            <w:vMerge w:val="continue"/>
            <w:tcBorders>
              <w:top w:val="nil"/>
              <w:left w:val="single" w:color="000000" w:sz="4" w:space="0"/>
              <w:bottom w:val="single" w:color="000000" w:sz="4" w:space="0"/>
              <w:right w:val="single" w:color="000000" w:sz="4" w:space="0"/>
            </w:tcBorders>
            <w:noWrap w:val="0"/>
            <w:vAlign w:val="center"/>
          </w:tcPr>
          <w:p w14:paraId="7AB2D5BF">
            <w:pPr>
              <w:keepNext w:val="0"/>
              <w:keepLines w:val="0"/>
              <w:widowControl/>
              <w:suppressLineNumbers w:val="0"/>
              <w:spacing w:before="0" w:beforeAutospacing="0" w:after="0" w:afterAutospacing="0"/>
              <w:ind w:left="0" w:right="0"/>
              <w:jc w:val="left"/>
              <w:rPr>
                <w:rFonts w:hint="eastAsia" w:ascii="宋体" w:hAnsi="宋体" w:cs="宋体"/>
                <w:bCs/>
                <w:color w:val="auto"/>
                <w:kern w:val="0"/>
                <w:szCs w:val="21"/>
                <w:highlight w:val="none"/>
              </w:rPr>
            </w:pPr>
          </w:p>
        </w:tc>
        <w:tc>
          <w:tcPr>
            <w:tcW w:w="1372" w:type="dxa"/>
            <w:vMerge w:val="continue"/>
            <w:tcBorders>
              <w:top w:val="nil"/>
              <w:left w:val="nil"/>
              <w:bottom w:val="single" w:color="000000" w:sz="4" w:space="0"/>
              <w:right w:val="single" w:color="000000" w:sz="4" w:space="0"/>
            </w:tcBorders>
            <w:noWrap w:val="0"/>
            <w:vAlign w:val="center"/>
          </w:tcPr>
          <w:p w14:paraId="7732975F">
            <w:pPr>
              <w:keepNext w:val="0"/>
              <w:keepLines w:val="0"/>
              <w:widowControl/>
              <w:suppressLineNumbers w:val="0"/>
              <w:spacing w:before="0" w:beforeAutospacing="0" w:after="0" w:afterAutospacing="0"/>
              <w:ind w:left="0" w:right="0"/>
              <w:jc w:val="left"/>
              <w:rPr>
                <w:rFonts w:hint="eastAsia" w:ascii="宋体" w:hAnsi="宋体" w:cs="宋体"/>
                <w:color w:val="auto"/>
                <w:kern w:val="0"/>
                <w:szCs w:val="21"/>
                <w:highlight w:val="none"/>
              </w:rPr>
            </w:pPr>
          </w:p>
        </w:tc>
        <w:tc>
          <w:tcPr>
            <w:tcW w:w="2173" w:type="dxa"/>
            <w:tcBorders>
              <w:top w:val="single" w:color="000000" w:sz="4" w:space="0"/>
              <w:left w:val="nil"/>
              <w:bottom w:val="single" w:color="000000" w:sz="4" w:space="0"/>
              <w:right w:val="single" w:color="000000" w:sz="4" w:space="0"/>
            </w:tcBorders>
            <w:noWrap w:val="0"/>
            <w:vAlign w:val="center"/>
          </w:tcPr>
          <w:p w14:paraId="0F551A71">
            <w:pPr>
              <w:keepNext w:val="0"/>
              <w:keepLines w:val="0"/>
              <w:widowControl/>
              <w:suppressLineNumbers w:val="0"/>
              <w:spacing w:before="0" w:beforeAutospacing="0" w:after="0" w:afterAutospacing="0"/>
              <w:ind w:left="0" w:right="0"/>
              <w:jc w:val="left"/>
              <w:rPr>
                <w:rFonts w:hint="eastAsia" w:ascii="宋体" w:hAnsi="宋体" w:cs="宋体"/>
                <w:color w:val="auto"/>
                <w:kern w:val="0"/>
                <w:szCs w:val="21"/>
                <w:highlight w:val="none"/>
              </w:rPr>
            </w:pPr>
          </w:p>
        </w:tc>
        <w:tc>
          <w:tcPr>
            <w:tcW w:w="2107" w:type="dxa"/>
            <w:tcBorders>
              <w:top w:val="single" w:color="000000" w:sz="4" w:space="0"/>
              <w:left w:val="nil"/>
              <w:bottom w:val="single" w:color="000000" w:sz="4" w:space="0"/>
              <w:right w:val="single" w:color="000000" w:sz="4" w:space="0"/>
            </w:tcBorders>
            <w:noWrap w:val="0"/>
            <w:vAlign w:val="top"/>
          </w:tcPr>
          <w:p w14:paraId="31D15BC0">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c>
          <w:tcPr>
            <w:tcW w:w="1845" w:type="dxa"/>
            <w:tcBorders>
              <w:top w:val="single" w:color="000000" w:sz="4" w:space="0"/>
              <w:left w:val="nil"/>
              <w:bottom w:val="single" w:color="000000" w:sz="4" w:space="0"/>
              <w:right w:val="single" w:color="000000" w:sz="4" w:space="0"/>
            </w:tcBorders>
            <w:noWrap w:val="0"/>
            <w:vAlign w:val="top"/>
          </w:tcPr>
          <w:p w14:paraId="7E0C166B">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c>
          <w:tcPr>
            <w:tcW w:w="1418" w:type="dxa"/>
            <w:tcBorders>
              <w:top w:val="single" w:color="000000" w:sz="4" w:space="0"/>
              <w:left w:val="nil"/>
              <w:bottom w:val="single" w:color="000000" w:sz="4" w:space="0"/>
              <w:right w:val="single" w:color="000000" w:sz="4" w:space="0"/>
            </w:tcBorders>
            <w:noWrap w:val="0"/>
            <w:vAlign w:val="top"/>
          </w:tcPr>
          <w:p w14:paraId="5033AE55">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r>
      <w:tr w14:paraId="4F0AEDA1">
        <w:trPr>
          <w:trHeight w:val="340" w:hRule="atLeast"/>
        </w:trPr>
        <w:tc>
          <w:tcPr>
            <w:tcW w:w="1023" w:type="dxa"/>
            <w:vMerge w:val="continue"/>
            <w:tcBorders>
              <w:top w:val="nil"/>
              <w:left w:val="single" w:color="000000" w:sz="4" w:space="0"/>
              <w:bottom w:val="single" w:color="auto" w:sz="4" w:space="0"/>
              <w:right w:val="single" w:color="000000" w:sz="4" w:space="0"/>
            </w:tcBorders>
            <w:noWrap w:val="0"/>
            <w:vAlign w:val="center"/>
          </w:tcPr>
          <w:p w14:paraId="7AAB83DF">
            <w:pPr>
              <w:keepNext w:val="0"/>
              <w:keepLines w:val="0"/>
              <w:widowControl/>
              <w:suppressLineNumbers w:val="0"/>
              <w:spacing w:before="0" w:beforeAutospacing="0" w:after="0" w:afterAutospacing="0"/>
              <w:ind w:left="0" w:right="0"/>
              <w:jc w:val="left"/>
              <w:rPr>
                <w:rFonts w:hint="eastAsia" w:ascii="宋体" w:hAnsi="宋体" w:cs="宋体"/>
                <w:bCs/>
                <w:color w:val="auto"/>
                <w:kern w:val="0"/>
                <w:szCs w:val="21"/>
                <w:highlight w:val="none"/>
              </w:rPr>
            </w:pPr>
          </w:p>
        </w:tc>
        <w:tc>
          <w:tcPr>
            <w:tcW w:w="1372" w:type="dxa"/>
            <w:vMerge w:val="continue"/>
            <w:tcBorders>
              <w:top w:val="nil"/>
              <w:left w:val="nil"/>
              <w:bottom w:val="single" w:color="auto" w:sz="4" w:space="0"/>
              <w:right w:val="single" w:color="000000" w:sz="4" w:space="0"/>
            </w:tcBorders>
            <w:noWrap w:val="0"/>
            <w:vAlign w:val="center"/>
          </w:tcPr>
          <w:p w14:paraId="72C4F3F0">
            <w:pPr>
              <w:keepNext w:val="0"/>
              <w:keepLines w:val="0"/>
              <w:widowControl/>
              <w:suppressLineNumbers w:val="0"/>
              <w:spacing w:before="0" w:beforeAutospacing="0" w:after="0" w:afterAutospacing="0"/>
              <w:ind w:left="0" w:right="0"/>
              <w:jc w:val="left"/>
              <w:rPr>
                <w:rFonts w:hint="eastAsia" w:ascii="宋体" w:hAnsi="宋体" w:cs="宋体"/>
                <w:color w:val="auto"/>
                <w:kern w:val="0"/>
                <w:szCs w:val="21"/>
                <w:highlight w:val="none"/>
              </w:rPr>
            </w:pPr>
          </w:p>
        </w:tc>
        <w:tc>
          <w:tcPr>
            <w:tcW w:w="2173" w:type="dxa"/>
            <w:tcBorders>
              <w:top w:val="single" w:color="000000" w:sz="4" w:space="0"/>
              <w:left w:val="nil"/>
              <w:bottom w:val="single" w:color="000000" w:sz="4" w:space="0"/>
              <w:right w:val="single" w:color="000000" w:sz="4" w:space="0"/>
            </w:tcBorders>
            <w:noWrap w:val="0"/>
            <w:vAlign w:val="center"/>
          </w:tcPr>
          <w:p w14:paraId="715CC389">
            <w:pPr>
              <w:keepNext w:val="0"/>
              <w:keepLines w:val="0"/>
              <w:widowControl/>
              <w:suppressLineNumbers w:val="0"/>
              <w:spacing w:before="0" w:beforeAutospacing="0" w:after="0" w:afterAutospacing="0"/>
              <w:ind w:left="0" w:right="0"/>
              <w:jc w:val="left"/>
              <w:rPr>
                <w:rFonts w:hint="eastAsia" w:ascii="宋体" w:hAnsi="宋体" w:cs="宋体"/>
                <w:color w:val="auto"/>
                <w:kern w:val="0"/>
                <w:szCs w:val="21"/>
                <w:highlight w:val="none"/>
              </w:rPr>
            </w:pPr>
          </w:p>
        </w:tc>
        <w:tc>
          <w:tcPr>
            <w:tcW w:w="2107" w:type="dxa"/>
            <w:tcBorders>
              <w:top w:val="single" w:color="000000" w:sz="4" w:space="0"/>
              <w:left w:val="nil"/>
              <w:bottom w:val="single" w:color="000000" w:sz="4" w:space="0"/>
              <w:right w:val="single" w:color="000000" w:sz="4" w:space="0"/>
            </w:tcBorders>
            <w:noWrap w:val="0"/>
            <w:vAlign w:val="top"/>
          </w:tcPr>
          <w:p w14:paraId="332D5432">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c>
          <w:tcPr>
            <w:tcW w:w="1845" w:type="dxa"/>
            <w:tcBorders>
              <w:top w:val="single" w:color="000000" w:sz="4" w:space="0"/>
              <w:left w:val="nil"/>
              <w:bottom w:val="single" w:color="000000" w:sz="4" w:space="0"/>
              <w:right w:val="single" w:color="000000" w:sz="4" w:space="0"/>
            </w:tcBorders>
            <w:noWrap w:val="0"/>
            <w:vAlign w:val="top"/>
          </w:tcPr>
          <w:p w14:paraId="20A81B9E">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c>
          <w:tcPr>
            <w:tcW w:w="1418" w:type="dxa"/>
            <w:tcBorders>
              <w:top w:val="single" w:color="000000" w:sz="4" w:space="0"/>
              <w:left w:val="nil"/>
              <w:bottom w:val="single" w:color="000000" w:sz="4" w:space="0"/>
              <w:right w:val="single" w:color="000000" w:sz="4" w:space="0"/>
            </w:tcBorders>
            <w:noWrap w:val="0"/>
            <w:vAlign w:val="top"/>
          </w:tcPr>
          <w:p w14:paraId="4FB07190">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r>
      <w:tr w14:paraId="4741C7EC">
        <w:trPr>
          <w:trHeight w:val="340" w:hRule="atLeast"/>
        </w:trPr>
        <w:tc>
          <w:tcPr>
            <w:tcW w:w="1023" w:type="dxa"/>
            <w:vMerge w:val="restart"/>
            <w:tcBorders>
              <w:top w:val="single" w:color="auto" w:sz="4" w:space="0"/>
              <w:left w:val="single" w:color="000000" w:sz="4" w:space="0"/>
              <w:bottom w:val="single" w:color="000000" w:sz="4" w:space="0"/>
              <w:right w:val="single" w:color="000000" w:sz="4" w:space="0"/>
            </w:tcBorders>
            <w:noWrap w:val="0"/>
            <w:vAlign w:val="center"/>
          </w:tcPr>
          <w:p w14:paraId="7807586D">
            <w:pPr>
              <w:keepNext w:val="0"/>
              <w:keepLines w:val="0"/>
              <w:widowControl/>
              <w:suppressLineNumbers w:val="0"/>
              <w:spacing w:before="0" w:beforeAutospacing="0" w:after="0" w:afterAutospacing="0"/>
              <w:ind w:left="0" w:right="0"/>
              <w:jc w:val="left"/>
              <w:rPr>
                <w:rFonts w:hint="eastAsia" w:ascii="宋体" w:hAnsi="宋体" w:cs="宋体"/>
                <w:bCs/>
                <w:color w:val="auto"/>
                <w:kern w:val="0"/>
                <w:szCs w:val="21"/>
                <w:highlight w:val="none"/>
              </w:rPr>
            </w:pPr>
          </w:p>
        </w:tc>
        <w:tc>
          <w:tcPr>
            <w:tcW w:w="1372" w:type="dxa"/>
            <w:vMerge w:val="restart"/>
            <w:tcBorders>
              <w:top w:val="single" w:color="auto" w:sz="4" w:space="0"/>
              <w:left w:val="nil"/>
              <w:bottom w:val="single" w:color="000000" w:sz="4" w:space="0"/>
              <w:right w:val="single" w:color="000000" w:sz="4" w:space="0"/>
            </w:tcBorders>
            <w:noWrap w:val="0"/>
            <w:vAlign w:val="center"/>
          </w:tcPr>
          <w:p w14:paraId="6E0EA660">
            <w:pPr>
              <w:keepNext w:val="0"/>
              <w:keepLines w:val="0"/>
              <w:widowControl/>
              <w:suppressLineNumbers w:val="0"/>
              <w:spacing w:before="0" w:beforeAutospacing="0" w:after="0" w:afterAutospacing="0"/>
              <w:ind w:left="0" w:right="0"/>
              <w:jc w:val="left"/>
              <w:rPr>
                <w:rFonts w:hint="eastAsia" w:ascii="宋体" w:hAnsi="宋体" w:cs="宋体"/>
                <w:color w:val="auto"/>
                <w:kern w:val="0"/>
                <w:szCs w:val="21"/>
                <w:highlight w:val="none"/>
              </w:rPr>
            </w:pPr>
          </w:p>
        </w:tc>
        <w:tc>
          <w:tcPr>
            <w:tcW w:w="2173" w:type="dxa"/>
            <w:tcBorders>
              <w:top w:val="single" w:color="000000" w:sz="4" w:space="0"/>
              <w:left w:val="nil"/>
              <w:bottom w:val="single" w:color="000000" w:sz="4" w:space="0"/>
              <w:right w:val="single" w:color="000000" w:sz="4" w:space="0"/>
            </w:tcBorders>
            <w:noWrap w:val="0"/>
            <w:vAlign w:val="center"/>
          </w:tcPr>
          <w:p w14:paraId="6A4B90C5">
            <w:pPr>
              <w:keepNext w:val="0"/>
              <w:keepLines w:val="0"/>
              <w:widowControl/>
              <w:suppressLineNumbers w:val="0"/>
              <w:spacing w:before="0" w:beforeAutospacing="0" w:after="0" w:afterAutospacing="0"/>
              <w:ind w:left="0" w:right="0"/>
              <w:jc w:val="left"/>
              <w:rPr>
                <w:rFonts w:hint="eastAsia" w:ascii="宋体" w:hAnsi="宋体" w:cs="宋体"/>
                <w:color w:val="auto"/>
                <w:kern w:val="0"/>
                <w:szCs w:val="21"/>
                <w:highlight w:val="none"/>
              </w:rPr>
            </w:pPr>
          </w:p>
        </w:tc>
        <w:tc>
          <w:tcPr>
            <w:tcW w:w="2107" w:type="dxa"/>
            <w:tcBorders>
              <w:top w:val="single" w:color="000000" w:sz="4" w:space="0"/>
              <w:left w:val="nil"/>
              <w:bottom w:val="single" w:color="000000" w:sz="4" w:space="0"/>
              <w:right w:val="single" w:color="000000" w:sz="4" w:space="0"/>
            </w:tcBorders>
            <w:noWrap w:val="0"/>
            <w:vAlign w:val="top"/>
          </w:tcPr>
          <w:p w14:paraId="4809FFF3">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c>
          <w:tcPr>
            <w:tcW w:w="1845" w:type="dxa"/>
            <w:tcBorders>
              <w:top w:val="single" w:color="000000" w:sz="4" w:space="0"/>
              <w:left w:val="nil"/>
              <w:bottom w:val="single" w:color="000000" w:sz="4" w:space="0"/>
              <w:right w:val="single" w:color="000000" w:sz="4" w:space="0"/>
            </w:tcBorders>
            <w:noWrap w:val="0"/>
            <w:vAlign w:val="top"/>
          </w:tcPr>
          <w:p w14:paraId="629F4836">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c>
          <w:tcPr>
            <w:tcW w:w="1418" w:type="dxa"/>
            <w:tcBorders>
              <w:top w:val="single" w:color="000000" w:sz="4" w:space="0"/>
              <w:left w:val="nil"/>
              <w:bottom w:val="single" w:color="000000" w:sz="4" w:space="0"/>
              <w:right w:val="single" w:color="000000" w:sz="4" w:space="0"/>
            </w:tcBorders>
            <w:noWrap w:val="0"/>
            <w:vAlign w:val="top"/>
          </w:tcPr>
          <w:p w14:paraId="0AE32748">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r>
      <w:tr w14:paraId="50489274">
        <w:tblPrEx>
          <w:tblCellMar>
            <w:top w:w="0" w:type="dxa"/>
            <w:left w:w="108" w:type="dxa"/>
            <w:bottom w:w="0" w:type="dxa"/>
            <w:right w:w="108" w:type="dxa"/>
          </w:tblCellMar>
        </w:tblPrEx>
        <w:trPr>
          <w:trHeight w:val="340" w:hRule="atLeast"/>
        </w:trPr>
        <w:tc>
          <w:tcPr>
            <w:tcW w:w="1023" w:type="dxa"/>
            <w:vMerge w:val="continue"/>
            <w:tcBorders>
              <w:top w:val="nil"/>
              <w:left w:val="single" w:color="000000" w:sz="4" w:space="0"/>
              <w:bottom w:val="single" w:color="000000" w:sz="4" w:space="0"/>
              <w:right w:val="single" w:color="000000" w:sz="4" w:space="0"/>
            </w:tcBorders>
            <w:noWrap w:val="0"/>
            <w:vAlign w:val="center"/>
          </w:tcPr>
          <w:p w14:paraId="44732E99">
            <w:pPr>
              <w:keepNext w:val="0"/>
              <w:keepLines w:val="0"/>
              <w:widowControl/>
              <w:suppressLineNumbers w:val="0"/>
              <w:spacing w:before="0" w:beforeAutospacing="0" w:after="0" w:afterAutospacing="0"/>
              <w:ind w:left="0" w:right="0"/>
              <w:jc w:val="left"/>
              <w:rPr>
                <w:rFonts w:hint="eastAsia" w:ascii="宋体" w:hAnsi="宋体" w:cs="宋体"/>
                <w:bCs/>
                <w:color w:val="auto"/>
                <w:kern w:val="0"/>
                <w:szCs w:val="21"/>
                <w:highlight w:val="none"/>
              </w:rPr>
            </w:pPr>
          </w:p>
        </w:tc>
        <w:tc>
          <w:tcPr>
            <w:tcW w:w="1372" w:type="dxa"/>
            <w:vMerge w:val="continue"/>
            <w:tcBorders>
              <w:top w:val="nil"/>
              <w:left w:val="nil"/>
              <w:bottom w:val="single" w:color="000000" w:sz="4" w:space="0"/>
              <w:right w:val="single" w:color="000000" w:sz="4" w:space="0"/>
            </w:tcBorders>
            <w:noWrap w:val="0"/>
            <w:vAlign w:val="center"/>
          </w:tcPr>
          <w:p w14:paraId="24F38D58">
            <w:pPr>
              <w:keepNext w:val="0"/>
              <w:keepLines w:val="0"/>
              <w:widowControl/>
              <w:suppressLineNumbers w:val="0"/>
              <w:spacing w:before="0" w:beforeAutospacing="0" w:after="0" w:afterAutospacing="0"/>
              <w:ind w:left="0" w:right="0"/>
              <w:jc w:val="left"/>
              <w:rPr>
                <w:rFonts w:hint="eastAsia" w:ascii="宋体" w:hAnsi="宋体" w:cs="宋体"/>
                <w:color w:val="auto"/>
                <w:kern w:val="0"/>
                <w:szCs w:val="21"/>
                <w:highlight w:val="none"/>
              </w:rPr>
            </w:pPr>
          </w:p>
        </w:tc>
        <w:tc>
          <w:tcPr>
            <w:tcW w:w="2173" w:type="dxa"/>
            <w:tcBorders>
              <w:top w:val="single" w:color="000000" w:sz="4" w:space="0"/>
              <w:left w:val="nil"/>
              <w:bottom w:val="single" w:color="000000" w:sz="4" w:space="0"/>
              <w:right w:val="single" w:color="000000" w:sz="4" w:space="0"/>
            </w:tcBorders>
            <w:noWrap w:val="0"/>
            <w:vAlign w:val="center"/>
          </w:tcPr>
          <w:p w14:paraId="25460C63">
            <w:pPr>
              <w:keepNext w:val="0"/>
              <w:keepLines w:val="0"/>
              <w:widowControl/>
              <w:suppressLineNumbers w:val="0"/>
              <w:spacing w:before="0" w:beforeAutospacing="0" w:after="0" w:afterAutospacing="0"/>
              <w:ind w:left="0" w:right="0"/>
              <w:jc w:val="left"/>
              <w:rPr>
                <w:rFonts w:hint="eastAsia" w:ascii="宋体" w:hAnsi="宋体" w:cs="宋体"/>
                <w:color w:val="auto"/>
                <w:kern w:val="0"/>
                <w:szCs w:val="21"/>
                <w:highlight w:val="none"/>
              </w:rPr>
            </w:pPr>
          </w:p>
        </w:tc>
        <w:tc>
          <w:tcPr>
            <w:tcW w:w="2107" w:type="dxa"/>
            <w:tcBorders>
              <w:top w:val="single" w:color="000000" w:sz="4" w:space="0"/>
              <w:left w:val="nil"/>
              <w:bottom w:val="single" w:color="000000" w:sz="4" w:space="0"/>
              <w:right w:val="single" w:color="000000" w:sz="4" w:space="0"/>
            </w:tcBorders>
            <w:noWrap w:val="0"/>
            <w:vAlign w:val="top"/>
          </w:tcPr>
          <w:p w14:paraId="0D0D5A5B">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c>
          <w:tcPr>
            <w:tcW w:w="1845" w:type="dxa"/>
            <w:tcBorders>
              <w:top w:val="single" w:color="000000" w:sz="4" w:space="0"/>
              <w:left w:val="nil"/>
              <w:bottom w:val="single" w:color="000000" w:sz="4" w:space="0"/>
              <w:right w:val="single" w:color="000000" w:sz="4" w:space="0"/>
            </w:tcBorders>
            <w:noWrap w:val="0"/>
            <w:vAlign w:val="top"/>
          </w:tcPr>
          <w:p w14:paraId="3ED7D8E7">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c>
          <w:tcPr>
            <w:tcW w:w="1418" w:type="dxa"/>
            <w:tcBorders>
              <w:top w:val="single" w:color="000000" w:sz="4" w:space="0"/>
              <w:left w:val="nil"/>
              <w:bottom w:val="single" w:color="000000" w:sz="4" w:space="0"/>
              <w:right w:val="single" w:color="000000" w:sz="4" w:space="0"/>
            </w:tcBorders>
            <w:noWrap w:val="0"/>
            <w:vAlign w:val="top"/>
          </w:tcPr>
          <w:p w14:paraId="07E45357">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r>
      <w:tr w14:paraId="6A3DB15F">
        <w:trPr>
          <w:trHeight w:val="340" w:hRule="atLeast"/>
        </w:trPr>
        <w:tc>
          <w:tcPr>
            <w:tcW w:w="1023" w:type="dxa"/>
            <w:vMerge w:val="continue"/>
            <w:tcBorders>
              <w:top w:val="nil"/>
              <w:left w:val="single" w:color="000000" w:sz="4" w:space="0"/>
              <w:bottom w:val="single" w:color="000000" w:sz="4" w:space="0"/>
              <w:right w:val="single" w:color="000000" w:sz="4" w:space="0"/>
            </w:tcBorders>
            <w:noWrap w:val="0"/>
            <w:vAlign w:val="center"/>
          </w:tcPr>
          <w:p w14:paraId="4CE6332A">
            <w:pPr>
              <w:keepNext w:val="0"/>
              <w:keepLines w:val="0"/>
              <w:widowControl/>
              <w:suppressLineNumbers w:val="0"/>
              <w:spacing w:before="0" w:beforeAutospacing="0" w:after="0" w:afterAutospacing="0"/>
              <w:ind w:left="0" w:right="0"/>
              <w:jc w:val="left"/>
              <w:rPr>
                <w:rFonts w:hint="eastAsia" w:ascii="宋体" w:hAnsi="宋体" w:cs="宋体"/>
                <w:bCs/>
                <w:color w:val="auto"/>
                <w:kern w:val="0"/>
                <w:szCs w:val="21"/>
                <w:highlight w:val="none"/>
              </w:rPr>
            </w:pPr>
          </w:p>
        </w:tc>
        <w:tc>
          <w:tcPr>
            <w:tcW w:w="1372" w:type="dxa"/>
            <w:vMerge w:val="continue"/>
            <w:tcBorders>
              <w:top w:val="nil"/>
              <w:left w:val="nil"/>
              <w:bottom w:val="single" w:color="000000" w:sz="4" w:space="0"/>
              <w:right w:val="single" w:color="000000" w:sz="4" w:space="0"/>
            </w:tcBorders>
            <w:noWrap w:val="0"/>
            <w:vAlign w:val="center"/>
          </w:tcPr>
          <w:p w14:paraId="5798C6C8">
            <w:pPr>
              <w:keepNext w:val="0"/>
              <w:keepLines w:val="0"/>
              <w:widowControl/>
              <w:suppressLineNumbers w:val="0"/>
              <w:spacing w:before="0" w:beforeAutospacing="0" w:after="0" w:afterAutospacing="0"/>
              <w:ind w:left="0" w:right="0"/>
              <w:jc w:val="left"/>
              <w:rPr>
                <w:rFonts w:hint="eastAsia" w:ascii="宋体" w:hAnsi="宋体" w:cs="宋体"/>
                <w:color w:val="auto"/>
                <w:kern w:val="0"/>
                <w:szCs w:val="21"/>
                <w:highlight w:val="none"/>
              </w:rPr>
            </w:pPr>
          </w:p>
        </w:tc>
        <w:tc>
          <w:tcPr>
            <w:tcW w:w="2173" w:type="dxa"/>
            <w:tcBorders>
              <w:top w:val="single" w:color="000000" w:sz="4" w:space="0"/>
              <w:left w:val="nil"/>
              <w:bottom w:val="single" w:color="000000" w:sz="4" w:space="0"/>
              <w:right w:val="single" w:color="000000" w:sz="4" w:space="0"/>
            </w:tcBorders>
            <w:noWrap w:val="0"/>
            <w:vAlign w:val="center"/>
          </w:tcPr>
          <w:p w14:paraId="3CD0558D">
            <w:pPr>
              <w:keepNext w:val="0"/>
              <w:keepLines w:val="0"/>
              <w:widowControl/>
              <w:suppressLineNumbers w:val="0"/>
              <w:spacing w:before="0" w:beforeAutospacing="0" w:after="0" w:afterAutospacing="0"/>
              <w:ind w:left="0" w:right="0"/>
              <w:jc w:val="left"/>
              <w:rPr>
                <w:rFonts w:hint="eastAsia" w:ascii="宋体" w:hAnsi="宋体" w:cs="宋体"/>
                <w:color w:val="auto"/>
                <w:kern w:val="0"/>
                <w:szCs w:val="21"/>
                <w:highlight w:val="none"/>
              </w:rPr>
            </w:pPr>
          </w:p>
        </w:tc>
        <w:tc>
          <w:tcPr>
            <w:tcW w:w="2107" w:type="dxa"/>
            <w:tcBorders>
              <w:top w:val="single" w:color="000000" w:sz="4" w:space="0"/>
              <w:left w:val="nil"/>
              <w:bottom w:val="single" w:color="000000" w:sz="4" w:space="0"/>
              <w:right w:val="single" w:color="000000" w:sz="4" w:space="0"/>
            </w:tcBorders>
            <w:noWrap w:val="0"/>
            <w:vAlign w:val="top"/>
          </w:tcPr>
          <w:p w14:paraId="2C9F7D34">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c>
          <w:tcPr>
            <w:tcW w:w="1845" w:type="dxa"/>
            <w:tcBorders>
              <w:top w:val="single" w:color="000000" w:sz="4" w:space="0"/>
              <w:left w:val="nil"/>
              <w:bottom w:val="single" w:color="000000" w:sz="4" w:space="0"/>
              <w:right w:val="single" w:color="000000" w:sz="4" w:space="0"/>
            </w:tcBorders>
            <w:noWrap w:val="0"/>
            <w:vAlign w:val="top"/>
          </w:tcPr>
          <w:p w14:paraId="6A24AC63">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c>
          <w:tcPr>
            <w:tcW w:w="1418" w:type="dxa"/>
            <w:tcBorders>
              <w:top w:val="single" w:color="000000" w:sz="4" w:space="0"/>
              <w:left w:val="nil"/>
              <w:bottom w:val="single" w:color="000000" w:sz="4" w:space="0"/>
              <w:right w:val="single" w:color="000000" w:sz="4" w:space="0"/>
            </w:tcBorders>
            <w:noWrap w:val="0"/>
            <w:vAlign w:val="top"/>
          </w:tcPr>
          <w:p w14:paraId="086DB4CA">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r>
    </w:tbl>
    <w:p w14:paraId="23E4DD6C">
      <w:pPr>
        <w:rPr>
          <w:rFonts w:hint="eastAsia" w:ascii="宋体" w:hAnsi="宋体" w:cs="宋体"/>
          <w:color w:val="auto"/>
          <w:szCs w:val="21"/>
          <w:highlight w:val="none"/>
        </w:rPr>
      </w:pPr>
      <w:r>
        <w:rPr>
          <w:rFonts w:hint="eastAsia" w:ascii="宋体" w:hAnsi="宋体" w:cs="宋体"/>
          <w:color w:val="auto"/>
          <w:szCs w:val="21"/>
          <w:highlight w:val="none"/>
        </w:rPr>
        <w:t>投标人保证：投标人须逐条响应招标文件第三章采购需求4.2技术要求表的全部要求。</w:t>
      </w:r>
    </w:p>
    <w:p w14:paraId="594F7CB6">
      <w:pPr>
        <w:widowControl/>
        <w:spacing w:line="360" w:lineRule="exact"/>
        <w:ind w:firstLine="470" w:firstLineChars="196"/>
        <w:rPr>
          <w:rFonts w:hint="eastAsia" w:ascii="宋体" w:hAnsi="宋体" w:cs="宋体"/>
          <w:color w:val="auto"/>
          <w:kern w:val="0"/>
          <w:sz w:val="24"/>
          <w:highlight w:val="none"/>
        </w:rPr>
      </w:pPr>
      <w:r>
        <w:rPr>
          <w:rFonts w:hint="eastAsia" w:ascii="宋体" w:hAnsi="宋体" w:cs="宋体"/>
          <w:color w:val="auto"/>
          <w:kern w:val="0"/>
          <w:sz w:val="24"/>
          <w:highlight w:val="none"/>
        </w:rPr>
        <w:t xml:space="preserve"> </w:t>
      </w:r>
    </w:p>
    <w:p w14:paraId="1C03EED3">
      <w:pPr>
        <w:widowControl/>
        <w:spacing w:line="360" w:lineRule="exact"/>
        <w:ind w:firstLine="470" w:firstLineChars="196"/>
        <w:rPr>
          <w:rFonts w:hint="eastAsia" w:ascii="宋体" w:hAnsi="宋体" w:cs="宋体"/>
          <w:color w:val="auto"/>
          <w:kern w:val="0"/>
          <w:sz w:val="24"/>
          <w:highlight w:val="none"/>
        </w:rPr>
      </w:pPr>
    </w:p>
    <w:p w14:paraId="670F3E02">
      <w:pPr>
        <w:pStyle w:val="4"/>
        <w:jc w:val="center"/>
        <w:rPr>
          <w:rStyle w:val="107"/>
          <w:rFonts w:hint="eastAsia" w:ascii="宋体" w:hAnsi="宋体" w:eastAsia="宋体" w:cs="宋体"/>
          <w:b/>
          <w:bCs w:val="0"/>
          <w:color w:val="auto"/>
          <w:sz w:val="24"/>
          <w:szCs w:val="24"/>
          <w:highlight w:val="none"/>
        </w:rPr>
      </w:pPr>
      <w:r>
        <w:rPr>
          <w:rFonts w:hint="eastAsia" w:cs="宋体"/>
          <w:color w:val="auto"/>
          <w:highlight w:val="none"/>
          <w:lang w:eastAsia="zh-CN"/>
        </w:rPr>
        <w:br w:type="page"/>
      </w:r>
      <w:r>
        <w:rPr>
          <w:rFonts w:hint="eastAsia" w:cs="宋体"/>
          <w:color w:val="auto"/>
          <w:sz w:val="24"/>
          <w:highlight w:val="none"/>
          <w:lang w:eastAsia="zh-CN"/>
        </w:rPr>
        <w:t>（三）</w:t>
      </w:r>
      <w:r>
        <w:rPr>
          <w:rStyle w:val="107"/>
          <w:rFonts w:hint="eastAsia" w:ascii="宋体" w:hAnsi="宋体" w:eastAsia="宋体" w:cs="宋体"/>
          <w:b/>
          <w:bCs w:val="0"/>
          <w:color w:val="auto"/>
          <w:sz w:val="24"/>
          <w:szCs w:val="24"/>
          <w:highlight w:val="none"/>
        </w:rPr>
        <w:t>技术响应资料</w:t>
      </w:r>
    </w:p>
    <w:p w14:paraId="1D0422B4">
      <w:pPr>
        <w:widowControl/>
        <w:jc w:val="left"/>
        <w:rPr>
          <w:rFonts w:hint="eastAsia" w:ascii="宋体" w:hAnsi="宋体" w:cs="宋体"/>
          <w:color w:val="auto"/>
          <w:highlight w:val="none"/>
        </w:rPr>
      </w:pPr>
    </w:p>
    <w:p w14:paraId="125EE84E">
      <w:pPr>
        <w:pStyle w:val="5"/>
        <w:keepNext w:val="0"/>
        <w:tabs>
          <w:tab w:val="left" w:pos="1260"/>
        </w:tabs>
        <w:jc w:val="center"/>
        <w:rPr>
          <w:rFonts w:hint="eastAsia" w:cs="宋体"/>
          <w:b w:val="0"/>
          <w:bCs w:val="0"/>
          <w:color w:val="auto"/>
          <w:sz w:val="24"/>
          <w:highlight w:val="none"/>
          <w:lang w:eastAsia="zh-CN"/>
        </w:rPr>
      </w:pPr>
      <w:r>
        <w:rPr>
          <w:rFonts w:hint="eastAsia" w:ascii="宋体" w:hAnsi="宋体" w:cs="宋体"/>
          <w:color w:val="auto"/>
          <w:sz w:val="24"/>
          <w:highlight w:val="none"/>
          <w:lang w:eastAsia="zh-CN"/>
        </w:rPr>
        <w:t>1.货物（服务）主要技术指标和性能的详细说明</w:t>
      </w:r>
    </w:p>
    <w:tbl>
      <w:tblPr>
        <w:tblStyle w:val="48"/>
        <w:tblW w:w="9607"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384"/>
        <w:gridCol w:w="1701"/>
        <w:gridCol w:w="1134"/>
        <w:gridCol w:w="1984"/>
        <w:gridCol w:w="2269"/>
        <w:gridCol w:w="1135"/>
      </w:tblGrid>
      <w:tr w14:paraId="2FE5E5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84" w:hRule="atLeast"/>
        </w:trPr>
        <w:tc>
          <w:tcPr>
            <w:tcW w:w="1384" w:type="dxa"/>
            <w:noWrap w:val="0"/>
            <w:vAlign w:val="center"/>
          </w:tcPr>
          <w:p w14:paraId="363A0FCC">
            <w:pPr>
              <w:keepNext w:val="0"/>
              <w:keepLines w:val="0"/>
              <w:widowControl/>
              <w:suppressLineNumbers w:val="0"/>
              <w:spacing w:before="0" w:beforeAutospacing="0" w:after="0" w:afterAutospacing="0"/>
              <w:ind w:left="0" w:right="0"/>
              <w:jc w:val="center"/>
              <w:rPr>
                <w:rFonts w:hint="eastAsia" w:ascii="宋体" w:hAnsi="宋体" w:cs="宋体"/>
                <w:b/>
                <w:bCs/>
                <w:color w:val="auto"/>
                <w:kern w:val="0"/>
                <w:szCs w:val="21"/>
                <w:highlight w:val="none"/>
              </w:rPr>
            </w:pPr>
            <w:r>
              <w:rPr>
                <w:rFonts w:hint="eastAsia" w:ascii="宋体" w:hAnsi="宋体" w:cs="宋体"/>
                <w:b/>
                <w:bCs/>
                <w:color w:val="auto"/>
                <w:kern w:val="0"/>
                <w:szCs w:val="21"/>
                <w:highlight w:val="none"/>
              </w:rPr>
              <w:t>货物名称</w:t>
            </w:r>
          </w:p>
        </w:tc>
        <w:tc>
          <w:tcPr>
            <w:tcW w:w="1701" w:type="dxa"/>
            <w:noWrap w:val="0"/>
            <w:vAlign w:val="center"/>
          </w:tcPr>
          <w:p w14:paraId="55C2600D">
            <w:pPr>
              <w:keepNext w:val="0"/>
              <w:keepLines w:val="0"/>
              <w:widowControl/>
              <w:suppressLineNumbers w:val="0"/>
              <w:spacing w:before="0" w:beforeAutospacing="0" w:after="0" w:afterAutospacing="0"/>
              <w:ind w:left="0" w:right="0"/>
              <w:jc w:val="center"/>
              <w:rPr>
                <w:rFonts w:hint="eastAsia" w:ascii="宋体" w:hAnsi="宋体" w:cs="宋体"/>
                <w:b/>
                <w:bCs/>
                <w:color w:val="auto"/>
                <w:kern w:val="0"/>
                <w:szCs w:val="21"/>
                <w:highlight w:val="none"/>
              </w:rPr>
            </w:pPr>
            <w:r>
              <w:rPr>
                <w:rFonts w:hint="eastAsia" w:ascii="宋体" w:hAnsi="宋体" w:cs="宋体"/>
                <w:b/>
                <w:bCs/>
                <w:color w:val="auto"/>
                <w:kern w:val="0"/>
                <w:szCs w:val="21"/>
                <w:highlight w:val="none"/>
              </w:rPr>
              <w:t>主要部件或功能配置名称</w:t>
            </w:r>
          </w:p>
        </w:tc>
        <w:tc>
          <w:tcPr>
            <w:tcW w:w="1134" w:type="dxa"/>
            <w:noWrap w:val="0"/>
            <w:vAlign w:val="center"/>
          </w:tcPr>
          <w:p w14:paraId="681659AC">
            <w:pPr>
              <w:keepNext w:val="0"/>
              <w:keepLines w:val="0"/>
              <w:widowControl/>
              <w:suppressLineNumbers w:val="0"/>
              <w:spacing w:before="0" w:beforeAutospacing="0" w:after="0" w:afterAutospacing="0"/>
              <w:ind w:left="0" w:right="0"/>
              <w:jc w:val="center"/>
              <w:rPr>
                <w:rFonts w:hint="eastAsia" w:ascii="宋体" w:hAnsi="宋体" w:cs="宋体"/>
                <w:b/>
                <w:color w:val="auto"/>
                <w:szCs w:val="21"/>
                <w:highlight w:val="none"/>
              </w:rPr>
            </w:pPr>
            <w:r>
              <w:rPr>
                <w:rFonts w:hint="eastAsia" w:ascii="宋体" w:hAnsi="宋体" w:cs="宋体"/>
                <w:b/>
                <w:color w:val="auto"/>
                <w:szCs w:val="21"/>
                <w:highlight w:val="none"/>
              </w:rPr>
              <w:t>规格/型号</w:t>
            </w:r>
          </w:p>
        </w:tc>
        <w:tc>
          <w:tcPr>
            <w:tcW w:w="1984" w:type="dxa"/>
            <w:noWrap w:val="0"/>
            <w:vAlign w:val="center"/>
          </w:tcPr>
          <w:p w14:paraId="2A1B1515">
            <w:pPr>
              <w:keepNext w:val="0"/>
              <w:keepLines w:val="0"/>
              <w:widowControl/>
              <w:suppressLineNumbers w:val="0"/>
              <w:spacing w:before="0" w:beforeAutospacing="0" w:after="0" w:afterAutospacing="0"/>
              <w:ind w:left="0" w:right="0"/>
              <w:jc w:val="center"/>
              <w:rPr>
                <w:rFonts w:hint="eastAsia" w:ascii="宋体" w:hAnsi="宋体" w:cs="宋体"/>
                <w:b/>
                <w:color w:val="auto"/>
                <w:szCs w:val="21"/>
                <w:highlight w:val="none"/>
              </w:rPr>
            </w:pPr>
            <w:r>
              <w:rPr>
                <w:rFonts w:hint="eastAsia" w:ascii="宋体" w:hAnsi="宋体" w:cs="宋体"/>
                <w:b/>
                <w:color w:val="auto"/>
                <w:szCs w:val="21"/>
                <w:highlight w:val="none"/>
              </w:rPr>
              <w:t>产地、品牌及制造商名称</w:t>
            </w:r>
          </w:p>
        </w:tc>
        <w:tc>
          <w:tcPr>
            <w:tcW w:w="2269" w:type="dxa"/>
            <w:noWrap w:val="0"/>
            <w:vAlign w:val="center"/>
          </w:tcPr>
          <w:p w14:paraId="4AB52E97">
            <w:pPr>
              <w:keepNext w:val="0"/>
              <w:keepLines w:val="0"/>
              <w:widowControl/>
              <w:suppressLineNumbers w:val="0"/>
              <w:spacing w:before="0" w:beforeAutospacing="0" w:after="0" w:afterAutospacing="0"/>
              <w:ind w:left="0" w:right="0"/>
              <w:jc w:val="center"/>
              <w:rPr>
                <w:rFonts w:hint="eastAsia" w:ascii="宋体" w:hAnsi="宋体" w:cs="宋体"/>
                <w:b/>
                <w:color w:val="auto"/>
                <w:szCs w:val="21"/>
                <w:highlight w:val="none"/>
              </w:rPr>
            </w:pPr>
            <w:r>
              <w:rPr>
                <w:rFonts w:hint="eastAsia" w:ascii="宋体" w:hAnsi="宋体" w:cs="宋体"/>
                <w:b/>
                <w:color w:val="auto"/>
                <w:szCs w:val="21"/>
                <w:highlight w:val="none"/>
              </w:rPr>
              <w:t>主要技术指标及功能描述</w:t>
            </w:r>
          </w:p>
        </w:tc>
        <w:tc>
          <w:tcPr>
            <w:tcW w:w="1135" w:type="dxa"/>
            <w:noWrap w:val="0"/>
            <w:vAlign w:val="center"/>
          </w:tcPr>
          <w:p w14:paraId="68A19856">
            <w:pPr>
              <w:keepNext w:val="0"/>
              <w:keepLines w:val="0"/>
              <w:widowControl/>
              <w:suppressLineNumbers w:val="0"/>
              <w:spacing w:before="0" w:beforeAutospacing="0" w:after="0" w:afterAutospacing="0"/>
              <w:ind w:left="0" w:right="0"/>
              <w:jc w:val="center"/>
              <w:rPr>
                <w:rFonts w:hint="eastAsia" w:ascii="宋体" w:hAnsi="宋体" w:cs="宋体"/>
                <w:b/>
                <w:bCs/>
                <w:color w:val="auto"/>
                <w:kern w:val="0"/>
                <w:szCs w:val="21"/>
                <w:highlight w:val="none"/>
              </w:rPr>
            </w:pPr>
            <w:r>
              <w:rPr>
                <w:rFonts w:hint="eastAsia" w:ascii="宋体" w:hAnsi="宋体" w:cs="宋体"/>
                <w:b/>
                <w:bCs/>
                <w:color w:val="auto"/>
                <w:kern w:val="0"/>
                <w:szCs w:val="21"/>
                <w:highlight w:val="none"/>
              </w:rPr>
              <w:t>备注</w:t>
            </w:r>
          </w:p>
        </w:tc>
      </w:tr>
      <w:tr w14:paraId="70B8F2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4" w:hRule="atLeast"/>
        </w:trPr>
        <w:tc>
          <w:tcPr>
            <w:tcW w:w="1384" w:type="dxa"/>
            <w:vMerge w:val="restart"/>
            <w:noWrap w:val="0"/>
            <w:vAlign w:val="center"/>
          </w:tcPr>
          <w:p w14:paraId="3CBDF176">
            <w:pPr>
              <w:keepNext w:val="0"/>
              <w:keepLines w:val="0"/>
              <w:widowControl/>
              <w:suppressLineNumbers w:val="0"/>
              <w:spacing w:before="0" w:beforeAutospacing="0" w:after="0" w:afterAutospacing="0"/>
              <w:ind w:left="0" w:right="0"/>
              <w:rPr>
                <w:rFonts w:hint="eastAsia" w:ascii="宋体" w:hAnsi="宋体" w:cs="宋体"/>
                <w:color w:val="auto"/>
                <w:kern w:val="0"/>
                <w:szCs w:val="21"/>
                <w:highlight w:val="none"/>
              </w:rPr>
            </w:pPr>
          </w:p>
        </w:tc>
        <w:tc>
          <w:tcPr>
            <w:tcW w:w="1701" w:type="dxa"/>
            <w:noWrap w:val="0"/>
            <w:vAlign w:val="top"/>
          </w:tcPr>
          <w:p w14:paraId="410D593A">
            <w:pPr>
              <w:keepNext w:val="0"/>
              <w:keepLines w:val="0"/>
              <w:widowControl/>
              <w:suppressLineNumbers w:val="0"/>
              <w:spacing w:before="0" w:beforeAutospacing="0" w:after="0" w:afterAutospacing="0"/>
              <w:ind w:left="0" w:right="0"/>
              <w:jc w:val="center"/>
              <w:rPr>
                <w:rFonts w:hint="eastAsia" w:ascii="宋体" w:hAnsi="宋体" w:cs="宋体"/>
                <w:b/>
                <w:color w:val="auto"/>
                <w:szCs w:val="21"/>
                <w:highlight w:val="none"/>
              </w:rPr>
            </w:pPr>
          </w:p>
        </w:tc>
        <w:tc>
          <w:tcPr>
            <w:tcW w:w="1134" w:type="dxa"/>
            <w:noWrap w:val="0"/>
            <w:vAlign w:val="center"/>
          </w:tcPr>
          <w:p w14:paraId="354F9920">
            <w:pPr>
              <w:keepNext w:val="0"/>
              <w:keepLines w:val="0"/>
              <w:widowControl/>
              <w:suppressLineNumbers w:val="0"/>
              <w:spacing w:before="0" w:beforeAutospacing="0" w:after="0" w:afterAutospacing="0"/>
              <w:ind w:left="0" w:right="0"/>
              <w:jc w:val="center"/>
              <w:rPr>
                <w:rFonts w:hint="eastAsia" w:ascii="宋体" w:hAnsi="宋体" w:cs="宋体"/>
                <w:b/>
                <w:color w:val="auto"/>
                <w:szCs w:val="21"/>
                <w:highlight w:val="none"/>
              </w:rPr>
            </w:pPr>
          </w:p>
        </w:tc>
        <w:tc>
          <w:tcPr>
            <w:tcW w:w="1984" w:type="dxa"/>
            <w:noWrap w:val="0"/>
            <w:vAlign w:val="center"/>
          </w:tcPr>
          <w:p w14:paraId="372AAD06">
            <w:pPr>
              <w:keepNext w:val="0"/>
              <w:keepLines w:val="0"/>
              <w:widowControl/>
              <w:suppressLineNumbers w:val="0"/>
              <w:spacing w:before="0" w:beforeAutospacing="0" w:after="0" w:afterAutospacing="0"/>
              <w:ind w:left="0" w:right="0"/>
              <w:jc w:val="center"/>
              <w:rPr>
                <w:rFonts w:hint="eastAsia" w:ascii="宋体" w:hAnsi="宋体" w:cs="宋体"/>
                <w:b/>
                <w:color w:val="auto"/>
                <w:szCs w:val="21"/>
                <w:highlight w:val="none"/>
              </w:rPr>
            </w:pPr>
          </w:p>
        </w:tc>
        <w:tc>
          <w:tcPr>
            <w:tcW w:w="2269" w:type="dxa"/>
            <w:noWrap w:val="0"/>
            <w:vAlign w:val="top"/>
          </w:tcPr>
          <w:p w14:paraId="78B42BD7">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c>
          <w:tcPr>
            <w:tcW w:w="1135" w:type="dxa"/>
            <w:noWrap w:val="0"/>
            <w:vAlign w:val="center"/>
          </w:tcPr>
          <w:p w14:paraId="6C4AA0D9">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r>
      <w:tr w14:paraId="42EC3A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4" w:hRule="atLeast"/>
        </w:trPr>
        <w:tc>
          <w:tcPr>
            <w:tcW w:w="1384" w:type="dxa"/>
            <w:vMerge w:val="continue"/>
            <w:noWrap w:val="0"/>
            <w:vAlign w:val="center"/>
          </w:tcPr>
          <w:p w14:paraId="611F1FEC">
            <w:pPr>
              <w:keepNext w:val="0"/>
              <w:keepLines w:val="0"/>
              <w:widowControl/>
              <w:suppressLineNumbers w:val="0"/>
              <w:spacing w:before="0" w:beforeAutospacing="0" w:after="0" w:afterAutospacing="0"/>
              <w:ind w:left="0" w:right="0"/>
              <w:rPr>
                <w:rFonts w:hint="eastAsia" w:ascii="宋体" w:hAnsi="宋体" w:cs="宋体"/>
                <w:color w:val="auto"/>
                <w:kern w:val="0"/>
                <w:szCs w:val="21"/>
                <w:highlight w:val="none"/>
              </w:rPr>
            </w:pPr>
          </w:p>
        </w:tc>
        <w:tc>
          <w:tcPr>
            <w:tcW w:w="1701" w:type="dxa"/>
            <w:noWrap w:val="0"/>
            <w:vAlign w:val="top"/>
          </w:tcPr>
          <w:p w14:paraId="31282BF6">
            <w:pPr>
              <w:keepNext w:val="0"/>
              <w:keepLines w:val="0"/>
              <w:widowControl/>
              <w:suppressLineNumbers w:val="0"/>
              <w:spacing w:before="0" w:beforeAutospacing="0" w:after="0" w:afterAutospacing="0"/>
              <w:ind w:left="0" w:right="0"/>
              <w:jc w:val="center"/>
              <w:rPr>
                <w:rFonts w:hint="eastAsia" w:ascii="宋体" w:hAnsi="宋体" w:cs="宋体"/>
                <w:b/>
                <w:color w:val="auto"/>
                <w:szCs w:val="21"/>
                <w:highlight w:val="none"/>
              </w:rPr>
            </w:pPr>
          </w:p>
        </w:tc>
        <w:tc>
          <w:tcPr>
            <w:tcW w:w="1134" w:type="dxa"/>
            <w:noWrap w:val="0"/>
            <w:vAlign w:val="center"/>
          </w:tcPr>
          <w:p w14:paraId="27333E34">
            <w:pPr>
              <w:keepNext w:val="0"/>
              <w:keepLines w:val="0"/>
              <w:widowControl/>
              <w:suppressLineNumbers w:val="0"/>
              <w:spacing w:before="0" w:beforeAutospacing="0" w:after="0" w:afterAutospacing="0"/>
              <w:ind w:left="0" w:right="0"/>
              <w:jc w:val="center"/>
              <w:rPr>
                <w:rFonts w:hint="eastAsia" w:ascii="宋体" w:hAnsi="宋体" w:cs="宋体"/>
                <w:b/>
                <w:color w:val="auto"/>
                <w:szCs w:val="21"/>
                <w:highlight w:val="none"/>
              </w:rPr>
            </w:pPr>
          </w:p>
        </w:tc>
        <w:tc>
          <w:tcPr>
            <w:tcW w:w="1984" w:type="dxa"/>
            <w:noWrap w:val="0"/>
            <w:vAlign w:val="center"/>
          </w:tcPr>
          <w:p w14:paraId="3131C752">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c>
          <w:tcPr>
            <w:tcW w:w="2269" w:type="dxa"/>
            <w:noWrap w:val="0"/>
            <w:vAlign w:val="top"/>
          </w:tcPr>
          <w:p w14:paraId="15F06874">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c>
          <w:tcPr>
            <w:tcW w:w="1135" w:type="dxa"/>
            <w:noWrap w:val="0"/>
            <w:vAlign w:val="center"/>
          </w:tcPr>
          <w:p w14:paraId="5649A52D">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r>
      <w:tr w14:paraId="6AA4FE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4" w:hRule="atLeast"/>
        </w:trPr>
        <w:tc>
          <w:tcPr>
            <w:tcW w:w="1384" w:type="dxa"/>
            <w:vMerge w:val="continue"/>
            <w:noWrap w:val="0"/>
            <w:vAlign w:val="center"/>
          </w:tcPr>
          <w:p w14:paraId="346B805C">
            <w:pPr>
              <w:keepNext w:val="0"/>
              <w:keepLines w:val="0"/>
              <w:widowControl/>
              <w:suppressLineNumbers w:val="0"/>
              <w:spacing w:before="0" w:beforeAutospacing="0" w:after="0" w:afterAutospacing="0"/>
              <w:ind w:left="0" w:right="0"/>
              <w:rPr>
                <w:rFonts w:hint="eastAsia" w:ascii="宋体" w:hAnsi="宋体" w:cs="宋体"/>
                <w:color w:val="auto"/>
                <w:kern w:val="0"/>
                <w:szCs w:val="21"/>
                <w:highlight w:val="none"/>
              </w:rPr>
            </w:pPr>
          </w:p>
        </w:tc>
        <w:tc>
          <w:tcPr>
            <w:tcW w:w="1701" w:type="dxa"/>
            <w:noWrap w:val="0"/>
            <w:vAlign w:val="top"/>
          </w:tcPr>
          <w:p w14:paraId="3A7272CD">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c>
          <w:tcPr>
            <w:tcW w:w="1134" w:type="dxa"/>
            <w:noWrap w:val="0"/>
            <w:vAlign w:val="center"/>
          </w:tcPr>
          <w:p w14:paraId="28E7359F">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c>
          <w:tcPr>
            <w:tcW w:w="1984" w:type="dxa"/>
            <w:noWrap w:val="0"/>
            <w:vAlign w:val="center"/>
          </w:tcPr>
          <w:p w14:paraId="016E2D69">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c>
          <w:tcPr>
            <w:tcW w:w="2269" w:type="dxa"/>
            <w:noWrap w:val="0"/>
            <w:vAlign w:val="top"/>
          </w:tcPr>
          <w:p w14:paraId="32B0D424">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c>
          <w:tcPr>
            <w:tcW w:w="1135" w:type="dxa"/>
            <w:noWrap w:val="0"/>
            <w:vAlign w:val="center"/>
          </w:tcPr>
          <w:p w14:paraId="386C6381">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r>
      <w:tr w14:paraId="502702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4" w:hRule="atLeast"/>
        </w:trPr>
        <w:tc>
          <w:tcPr>
            <w:tcW w:w="1384" w:type="dxa"/>
            <w:vMerge w:val="restart"/>
            <w:noWrap w:val="0"/>
            <w:vAlign w:val="center"/>
          </w:tcPr>
          <w:p w14:paraId="58006A37">
            <w:pPr>
              <w:keepNext w:val="0"/>
              <w:keepLines w:val="0"/>
              <w:widowControl/>
              <w:suppressLineNumbers w:val="0"/>
              <w:spacing w:before="0" w:beforeAutospacing="0" w:after="0" w:afterAutospacing="0"/>
              <w:ind w:left="0" w:right="0"/>
              <w:rPr>
                <w:rFonts w:hint="eastAsia" w:ascii="宋体" w:hAnsi="宋体" w:cs="宋体"/>
                <w:color w:val="auto"/>
                <w:kern w:val="0"/>
                <w:szCs w:val="21"/>
                <w:highlight w:val="none"/>
              </w:rPr>
            </w:pPr>
          </w:p>
        </w:tc>
        <w:tc>
          <w:tcPr>
            <w:tcW w:w="1701" w:type="dxa"/>
            <w:noWrap w:val="0"/>
            <w:vAlign w:val="top"/>
          </w:tcPr>
          <w:p w14:paraId="4AD1D253">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c>
          <w:tcPr>
            <w:tcW w:w="1134" w:type="dxa"/>
            <w:noWrap w:val="0"/>
            <w:vAlign w:val="center"/>
          </w:tcPr>
          <w:p w14:paraId="07197FBB">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c>
          <w:tcPr>
            <w:tcW w:w="1984" w:type="dxa"/>
            <w:noWrap w:val="0"/>
            <w:vAlign w:val="center"/>
          </w:tcPr>
          <w:p w14:paraId="540EB68C">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c>
          <w:tcPr>
            <w:tcW w:w="2269" w:type="dxa"/>
            <w:noWrap w:val="0"/>
            <w:vAlign w:val="top"/>
          </w:tcPr>
          <w:p w14:paraId="01FCC0A8">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c>
          <w:tcPr>
            <w:tcW w:w="1135" w:type="dxa"/>
            <w:noWrap w:val="0"/>
            <w:vAlign w:val="center"/>
          </w:tcPr>
          <w:p w14:paraId="6794C10A">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r>
      <w:tr w14:paraId="72278D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4" w:hRule="atLeast"/>
        </w:trPr>
        <w:tc>
          <w:tcPr>
            <w:tcW w:w="1384" w:type="dxa"/>
            <w:vMerge w:val="continue"/>
            <w:noWrap w:val="0"/>
            <w:vAlign w:val="center"/>
          </w:tcPr>
          <w:p w14:paraId="30A8FDCB">
            <w:pPr>
              <w:keepNext w:val="0"/>
              <w:keepLines w:val="0"/>
              <w:widowControl/>
              <w:suppressLineNumbers w:val="0"/>
              <w:spacing w:before="0" w:beforeAutospacing="0" w:after="0" w:afterAutospacing="0"/>
              <w:ind w:left="0" w:right="0"/>
              <w:rPr>
                <w:rFonts w:hint="eastAsia" w:ascii="宋体" w:hAnsi="宋体" w:cs="宋体"/>
                <w:color w:val="auto"/>
                <w:kern w:val="0"/>
                <w:szCs w:val="21"/>
                <w:highlight w:val="none"/>
              </w:rPr>
            </w:pPr>
          </w:p>
        </w:tc>
        <w:tc>
          <w:tcPr>
            <w:tcW w:w="1701" w:type="dxa"/>
            <w:noWrap w:val="0"/>
            <w:vAlign w:val="top"/>
          </w:tcPr>
          <w:p w14:paraId="40264EB6">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c>
          <w:tcPr>
            <w:tcW w:w="1134" w:type="dxa"/>
            <w:noWrap w:val="0"/>
            <w:vAlign w:val="center"/>
          </w:tcPr>
          <w:p w14:paraId="5F5D84DA">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c>
          <w:tcPr>
            <w:tcW w:w="1984" w:type="dxa"/>
            <w:noWrap w:val="0"/>
            <w:vAlign w:val="center"/>
          </w:tcPr>
          <w:p w14:paraId="78886F0F">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c>
          <w:tcPr>
            <w:tcW w:w="2269" w:type="dxa"/>
            <w:noWrap w:val="0"/>
            <w:vAlign w:val="top"/>
          </w:tcPr>
          <w:p w14:paraId="212BD2A1">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c>
          <w:tcPr>
            <w:tcW w:w="1135" w:type="dxa"/>
            <w:noWrap w:val="0"/>
            <w:vAlign w:val="center"/>
          </w:tcPr>
          <w:p w14:paraId="136DF6E3">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r>
      <w:tr w14:paraId="32846A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4" w:hRule="atLeast"/>
        </w:trPr>
        <w:tc>
          <w:tcPr>
            <w:tcW w:w="1384" w:type="dxa"/>
            <w:vMerge w:val="continue"/>
            <w:noWrap w:val="0"/>
            <w:vAlign w:val="center"/>
          </w:tcPr>
          <w:p w14:paraId="0F80E657">
            <w:pPr>
              <w:keepNext w:val="0"/>
              <w:keepLines w:val="0"/>
              <w:widowControl/>
              <w:suppressLineNumbers w:val="0"/>
              <w:spacing w:before="0" w:beforeAutospacing="0" w:after="0" w:afterAutospacing="0"/>
              <w:ind w:left="0" w:right="0"/>
              <w:rPr>
                <w:rFonts w:hint="eastAsia" w:ascii="宋体" w:hAnsi="宋体" w:cs="宋体"/>
                <w:color w:val="auto"/>
                <w:kern w:val="0"/>
                <w:szCs w:val="21"/>
                <w:highlight w:val="none"/>
              </w:rPr>
            </w:pPr>
          </w:p>
        </w:tc>
        <w:tc>
          <w:tcPr>
            <w:tcW w:w="1701" w:type="dxa"/>
            <w:noWrap w:val="0"/>
            <w:vAlign w:val="top"/>
          </w:tcPr>
          <w:p w14:paraId="376BBF04">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c>
          <w:tcPr>
            <w:tcW w:w="1134" w:type="dxa"/>
            <w:noWrap w:val="0"/>
            <w:vAlign w:val="center"/>
          </w:tcPr>
          <w:p w14:paraId="51CDD5ED">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c>
          <w:tcPr>
            <w:tcW w:w="1984" w:type="dxa"/>
            <w:noWrap w:val="0"/>
            <w:vAlign w:val="center"/>
          </w:tcPr>
          <w:p w14:paraId="2452AD45">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c>
          <w:tcPr>
            <w:tcW w:w="2269" w:type="dxa"/>
            <w:noWrap w:val="0"/>
            <w:vAlign w:val="top"/>
          </w:tcPr>
          <w:p w14:paraId="48D38CD7">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c>
          <w:tcPr>
            <w:tcW w:w="1135" w:type="dxa"/>
            <w:noWrap w:val="0"/>
            <w:vAlign w:val="center"/>
          </w:tcPr>
          <w:p w14:paraId="556AA8D2">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r>
      <w:tr w14:paraId="5F4C0D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84" w:hRule="atLeast"/>
        </w:trPr>
        <w:tc>
          <w:tcPr>
            <w:tcW w:w="1384" w:type="dxa"/>
            <w:noWrap w:val="0"/>
            <w:vAlign w:val="center"/>
          </w:tcPr>
          <w:p w14:paraId="78F2F5D5">
            <w:pPr>
              <w:keepNext w:val="0"/>
              <w:keepLines w:val="0"/>
              <w:widowControl/>
              <w:suppressLineNumbers w:val="0"/>
              <w:spacing w:before="0" w:beforeAutospacing="0" w:after="0" w:afterAutospacing="0"/>
              <w:ind w:left="0" w:right="0"/>
              <w:rPr>
                <w:rFonts w:hint="eastAsia" w:ascii="宋体" w:hAnsi="宋体" w:cs="宋体"/>
                <w:color w:val="auto"/>
                <w:kern w:val="0"/>
                <w:szCs w:val="21"/>
                <w:highlight w:val="none"/>
              </w:rPr>
            </w:pPr>
          </w:p>
        </w:tc>
        <w:tc>
          <w:tcPr>
            <w:tcW w:w="1701" w:type="dxa"/>
            <w:noWrap w:val="0"/>
            <w:vAlign w:val="top"/>
          </w:tcPr>
          <w:p w14:paraId="43B0E074">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c>
          <w:tcPr>
            <w:tcW w:w="1134" w:type="dxa"/>
            <w:noWrap w:val="0"/>
            <w:vAlign w:val="center"/>
          </w:tcPr>
          <w:p w14:paraId="5B548253">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c>
          <w:tcPr>
            <w:tcW w:w="1984" w:type="dxa"/>
            <w:noWrap w:val="0"/>
            <w:vAlign w:val="center"/>
          </w:tcPr>
          <w:p w14:paraId="2B92CA33">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c>
          <w:tcPr>
            <w:tcW w:w="2269" w:type="dxa"/>
            <w:noWrap w:val="0"/>
            <w:vAlign w:val="top"/>
          </w:tcPr>
          <w:p w14:paraId="6C65D1CD">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c>
          <w:tcPr>
            <w:tcW w:w="1135" w:type="dxa"/>
            <w:noWrap w:val="0"/>
            <w:vAlign w:val="center"/>
          </w:tcPr>
          <w:p w14:paraId="6D1675B2">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r>
      <w:tr w14:paraId="511135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4" w:hRule="atLeast"/>
        </w:trPr>
        <w:tc>
          <w:tcPr>
            <w:tcW w:w="1384" w:type="dxa"/>
            <w:noWrap w:val="0"/>
            <w:vAlign w:val="center"/>
          </w:tcPr>
          <w:p w14:paraId="596DA500">
            <w:pPr>
              <w:keepNext w:val="0"/>
              <w:keepLines w:val="0"/>
              <w:widowControl/>
              <w:suppressLineNumbers w:val="0"/>
              <w:spacing w:before="0" w:beforeAutospacing="0" w:after="0" w:afterAutospacing="0"/>
              <w:ind w:left="0" w:right="0"/>
              <w:rPr>
                <w:rFonts w:hint="eastAsia" w:ascii="宋体" w:hAnsi="宋体" w:cs="宋体"/>
                <w:color w:val="auto"/>
                <w:kern w:val="0"/>
                <w:szCs w:val="21"/>
                <w:highlight w:val="none"/>
              </w:rPr>
            </w:pPr>
          </w:p>
        </w:tc>
        <w:tc>
          <w:tcPr>
            <w:tcW w:w="1701" w:type="dxa"/>
            <w:noWrap w:val="0"/>
            <w:vAlign w:val="top"/>
          </w:tcPr>
          <w:p w14:paraId="44E57B96">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c>
          <w:tcPr>
            <w:tcW w:w="1134" w:type="dxa"/>
            <w:noWrap w:val="0"/>
            <w:vAlign w:val="center"/>
          </w:tcPr>
          <w:p w14:paraId="161DDF8E">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c>
          <w:tcPr>
            <w:tcW w:w="1984" w:type="dxa"/>
            <w:noWrap w:val="0"/>
            <w:vAlign w:val="center"/>
          </w:tcPr>
          <w:p w14:paraId="10397D05">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c>
          <w:tcPr>
            <w:tcW w:w="2269" w:type="dxa"/>
            <w:noWrap w:val="0"/>
            <w:vAlign w:val="top"/>
          </w:tcPr>
          <w:p w14:paraId="39086877">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c>
          <w:tcPr>
            <w:tcW w:w="1135" w:type="dxa"/>
            <w:noWrap w:val="0"/>
            <w:vAlign w:val="center"/>
          </w:tcPr>
          <w:p w14:paraId="7672CA70">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r>
      <w:tr w14:paraId="53BBD6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4" w:hRule="atLeast"/>
        </w:trPr>
        <w:tc>
          <w:tcPr>
            <w:tcW w:w="1384" w:type="dxa"/>
            <w:noWrap w:val="0"/>
            <w:vAlign w:val="center"/>
          </w:tcPr>
          <w:p w14:paraId="5D158D58">
            <w:pPr>
              <w:keepNext w:val="0"/>
              <w:keepLines w:val="0"/>
              <w:widowControl/>
              <w:suppressLineNumbers w:val="0"/>
              <w:spacing w:before="0" w:beforeAutospacing="0" w:after="0" w:afterAutospacing="0"/>
              <w:ind w:left="0" w:right="0"/>
              <w:rPr>
                <w:rFonts w:hint="eastAsia" w:ascii="宋体" w:hAnsi="宋体" w:cs="宋体"/>
                <w:color w:val="auto"/>
                <w:kern w:val="0"/>
                <w:szCs w:val="21"/>
                <w:highlight w:val="none"/>
              </w:rPr>
            </w:pPr>
          </w:p>
        </w:tc>
        <w:tc>
          <w:tcPr>
            <w:tcW w:w="1701" w:type="dxa"/>
            <w:noWrap w:val="0"/>
            <w:vAlign w:val="top"/>
          </w:tcPr>
          <w:p w14:paraId="561646CB">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c>
          <w:tcPr>
            <w:tcW w:w="1134" w:type="dxa"/>
            <w:noWrap w:val="0"/>
            <w:vAlign w:val="center"/>
          </w:tcPr>
          <w:p w14:paraId="367EFABD">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c>
          <w:tcPr>
            <w:tcW w:w="1984" w:type="dxa"/>
            <w:noWrap w:val="0"/>
            <w:vAlign w:val="center"/>
          </w:tcPr>
          <w:p w14:paraId="635C1917">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c>
          <w:tcPr>
            <w:tcW w:w="2269" w:type="dxa"/>
            <w:noWrap w:val="0"/>
            <w:vAlign w:val="top"/>
          </w:tcPr>
          <w:p w14:paraId="1A52283F">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c>
          <w:tcPr>
            <w:tcW w:w="1135" w:type="dxa"/>
            <w:noWrap w:val="0"/>
            <w:vAlign w:val="center"/>
          </w:tcPr>
          <w:p w14:paraId="463166E8">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r>
    </w:tbl>
    <w:p w14:paraId="2D558E5F">
      <w:pPr>
        <w:widowControl/>
        <w:jc w:val="left"/>
        <w:rPr>
          <w:rFonts w:hint="eastAsia" w:ascii="宋体" w:hAnsi="宋体" w:cs="宋体"/>
          <w:color w:val="auto"/>
          <w:sz w:val="24"/>
          <w:highlight w:val="none"/>
        </w:rPr>
      </w:pPr>
      <w:r>
        <w:rPr>
          <w:rFonts w:hint="eastAsia" w:ascii="宋体" w:hAnsi="宋体" w:cs="宋体"/>
          <w:color w:val="auto"/>
          <w:sz w:val="24"/>
          <w:highlight w:val="none"/>
        </w:rPr>
        <w:t>注：投标人应将投标产品拆分为相关主要部件分别描述。</w:t>
      </w:r>
    </w:p>
    <w:p w14:paraId="3B53B97A">
      <w:pPr>
        <w:widowControl/>
        <w:jc w:val="left"/>
        <w:rPr>
          <w:rFonts w:hint="eastAsia" w:ascii="宋体" w:hAnsi="宋体" w:cs="宋体"/>
          <w:color w:val="auto"/>
          <w:sz w:val="24"/>
          <w:highlight w:val="none"/>
        </w:rPr>
      </w:pPr>
    </w:p>
    <w:p w14:paraId="770ED741">
      <w:pPr>
        <w:pStyle w:val="5"/>
        <w:keepNext w:val="0"/>
        <w:tabs>
          <w:tab w:val="left" w:pos="1260"/>
        </w:tabs>
        <w:jc w:val="center"/>
        <w:rPr>
          <w:rFonts w:hint="eastAsia" w:cs="宋体"/>
          <w:bCs w:val="0"/>
          <w:iCs w:val="0"/>
          <w:color w:val="auto"/>
          <w:sz w:val="24"/>
          <w:highlight w:val="none"/>
          <w:lang w:eastAsia="zh-CN"/>
        </w:rPr>
      </w:pPr>
      <w:r>
        <w:rPr>
          <w:rFonts w:hint="eastAsia" w:ascii="宋体" w:hAnsi="宋体" w:cs="宋体"/>
          <w:iCs w:val="0"/>
          <w:color w:val="auto"/>
          <w:sz w:val="24"/>
          <w:highlight w:val="none"/>
          <w:lang w:eastAsia="zh-CN"/>
        </w:rPr>
        <w:t>2.货物（服务）说明（按此格式或者投标人自定格式）</w:t>
      </w:r>
    </w:p>
    <w:tbl>
      <w:tblPr>
        <w:tblStyle w:val="48"/>
        <w:tblW w:w="9561"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3109"/>
        <w:gridCol w:w="6452"/>
      </w:tblGrid>
      <w:tr w14:paraId="022287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97" w:hRule="atLeast"/>
          <w:jc w:val="center"/>
        </w:trPr>
        <w:tc>
          <w:tcPr>
            <w:tcW w:w="3109" w:type="dxa"/>
            <w:noWrap w:val="0"/>
            <w:vAlign w:val="center"/>
          </w:tcPr>
          <w:p w14:paraId="1F91CA37">
            <w:pPr>
              <w:keepNext w:val="0"/>
              <w:keepLines w:val="0"/>
              <w:widowControl/>
              <w:suppressLineNumbers w:val="0"/>
              <w:spacing w:before="0" w:beforeAutospacing="0" w:after="0" w:afterAutospacing="0"/>
              <w:ind w:left="0" w:right="0"/>
              <w:jc w:val="center"/>
              <w:rPr>
                <w:rFonts w:hint="eastAsia" w:ascii="宋体" w:hAnsi="宋体" w:cs="宋体"/>
                <w:b/>
                <w:bCs/>
                <w:color w:val="auto"/>
                <w:kern w:val="0"/>
                <w:szCs w:val="21"/>
                <w:highlight w:val="none"/>
              </w:rPr>
            </w:pPr>
            <w:r>
              <w:rPr>
                <w:rFonts w:hint="eastAsia" w:ascii="宋体" w:hAnsi="宋体" w:cs="宋体"/>
                <w:b/>
                <w:bCs/>
                <w:color w:val="auto"/>
                <w:kern w:val="0"/>
                <w:szCs w:val="21"/>
                <w:highlight w:val="none"/>
              </w:rPr>
              <w:t>货物名称</w:t>
            </w:r>
          </w:p>
        </w:tc>
        <w:tc>
          <w:tcPr>
            <w:tcW w:w="6452" w:type="dxa"/>
            <w:noWrap w:val="0"/>
            <w:vAlign w:val="center"/>
          </w:tcPr>
          <w:p w14:paraId="45AA243F">
            <w:pPr>
              <w:keepNext w:val="0"/>
              <w:keepLines w:val="0"/>
              <w:widowControl/>
              <w:suppressLineNumbers w:val="0"/>
              <w:spacing w:before="0" w:beforeAutospacing="0" w:after="0" w:afterAutospacing="0"/>
              <w:ind w:left="0" w:right="0"/>
              <w:jc w:val="center"/>
              <w:rPr>
                <w:rFonts w:hint="eastAsia" w:ascii="宋体" w:hAnsi="宋体" w:cs="宋体"/>
                <w:b/>
                <w:bCs/>
                <w:color w:val="auto"/>
                <w:kern w:val="0"/>
                <w:szCs w:val="21"/>
                <w:highlight w:val="none"/>
              </w:rPr>
            </w:pPr>
          </w:p>
        </w:tc>
      </w:tr>
      <w:tr w14:paraId="75CC02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78" w:hRule="atLeast"/>
          <w:jc w:val="center"/>
        </w:trPr>
        <w:tc>
          <w:tcPr>
            <w:tcW w:w="9561" w:type="dxa"/>
            <w:gridSpan w:val="2"/>
            <w:noWrap w:val="0"/>
            <w:vAlign w:val="center"/>
          </w:tcPr>
          <w:p w14:paraId="4D0C06D9">
            <w:pPr>
              <w:keepNext w:val="0"/>
              <w:keepLines w:val="0"/>
              <w:widowControl/>
              <w:suppressLineNumbers w:val="0"/>
              <w:spacing w:before="0" w:beforeAutospacing="0" w:after="0" w:afterAutospacing="0"/>
              <w:ind w:left="0" w:right="0"/>
              <w:rPr>
                <w:rFonts w:hint="eastAsia" w:ascii="宋体" w:hAnsi="宋体" w:cs="宋体"/>
                <w:b/>
                <w:bCs/>
                <w:color w:val="auto"/>
                <w:kern w:val="0"/>
                <w:szCs w:val="21"/>
                <w:highlight w:val="none"/>
              </w:rPr>
            </w:pPr>
            <w:r>
              <w:rPr>
                <w:rFonts w:hint="eastAsia" w:ascii="宋体" w:hAnsi="宋体" w:cs="宋体"/>
                <w:b/>
                <w:bCs/>
                <w:color w:val="auto"/>
                <w:kern w:val="0"/>
                <w:szCs w:val="21"/>
                <w:highlight w:val="none"/>
              </w:rPr>
              <w:t>供货范围</w:t>
            </w:r>
          </w:p>
        </w:tc>
      </w:tr>
      <w:tr w14:paraId="0AD015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78" w:hRule="atLeast"/>
          <w:jc w:val="center"/>
        </w:trPr>
        <w:tc>
          <w:tcPr>
            <w:tcW w:w="9561" w:type="dxa"/>
            <w:gridSpan w:val="2"/>
            <w:noWrap w:val="0"/>
            <w:vAlign w:val="center"/>
          </w:tcPr>
          <w:p w14:paraId="6AF399A1">
            <w:pPr>
              <w:keepNext w:val="0"/>
              <w:keepLines w:val="0"/>
              <w:widowControl/>
              <w:suppressLineNumbers w:val="0"/>
              <w:spacing w:before="0" w:beforeAutospacing="0" w:after="0" w:afterAutospacing="0"/>
              <w:ind w:left="0" w:right="0"/>
              <w:rPr>
                <w:rFonts w:hint="eastAsia" w:ascii="宋体" w:hAnsi="宋体" w:cs="宋体"/>
                <w:b/>
                <w:bCs/>
                <w:color w:val="auto"/>
                <w:kern w:val="0"/>
                <w:szCs w:val="21"/>
                <w:highlight w:val="none"/>
              </w:rPr>
            </w:pPr>
            <w:r>
              <w:rPr>
                <w:rFonts w:hint="eastAsia" w:ascii="宋体" w:hAnsi="宋体" w:cs="宋体"/>
                <w:b/>
                <w:bCs/>
                <w:color w:val="auto"/>
                <w:kern w:val="0"/>
                <w:szCs w:val="21"/>
                <w:highlight w:val="none"/>
              </w:rPr>
              <w:t>工艺、参数等货物（服务）详细说明</w:t>
            </w:r>
          </w:p>
        </w:tc>
      </w:tr>
    </w:tbl>
    <w:p w14:paraId="5B5A889C">
      <w:pPr>
        <w:widowControl/>
        <w:jc w:val="left"/>
        <w:rPr>
          <w:rFonts w:hint="eastAsia" w:ascii="宋体" w:hAnsi="宋体" w:cs="宋体"/>
          <w:color w:val="auto"/>
          <w:sz w:val="24"/>
          <w:highlight w:val="none"/>
        </w:rPr>
      </w:pPr>
    </w:p>
    <w:p w14:paraId="3697DF4E">
      <w:pPr>
        <w:pStyle w:val="5"/>
        <w:keepNext w:val="0"/>
        <w:tabs>
          <w:tab w:val="left" w:pos="1260"/>
        </w:tabs>
        <w:jc w:val="center"/>
        <w:rPr>
          <w:rFonts w:hint="eastAsia" w:cs="宋体"/>
          <w:bCs w:val="0"/>
          <w:iCs w:val="0"/>
          <w:color w:val="auto"/>
          <w:sz w:val="24"/>
          <w:highlight w:val="none"/>
          <w:lang w:eastAsia="zh-CN"/>
        </w:rPr>
      </w:pPr>
      <w:r>
        <w:rPr>
          <w:rFonts w:hint="eastAsia" w:ascii="宋体" w:hAnsi="宋体" w:cs="宋体"/>
          <w:iCs w:val="0"/>
          <w:color w:val="auto"/>
          <w:sz w:val="24"/>
          <w:highlight w:val="none"/>
          <w:lang w:eastAsia="zh-CN"/>
        </w:rPr>
        <w:t>3.产品综合评价</w:t>
      </w:r>
    </w:p>
    <w:p w14:paraId="26D2A904">
      <w:pPr>
        <w:rPr>
          <w:rFonts w:hint="eastAsia" w:ascii="宋体" w:hAnsi="宋体" w:cs="宋体"/>
          <w:color w:val="auto"/>
          <w:sz w:val="24"/>
          <w:highlight w:val="none"/>
          <w:lang w:bidi="en-US"/>
        </w:rPr>
      </w:pPr>
    </w:p>
    <w:p w14:paraId="7EF63D98">
      <w:pPr>
        <w:pStyle w:val="5"/>
        <w:tabs>
          <w:tab w:val="left" w:pos="1260"/>
        </w:tabs>
        <w:jc w:val="center"/>
        <w:rPr>
          <w:rFonts w:hint="default" w:cs="宋体"/>
          <w:bCs w:val="0"/>
          <w:iCs w:val="0"/>
          <w:color w:val="auto"/>
          <w:sz w:val="24"/>
          <w:highlight w:val="none"/>
          <w:lang w:val="en-US" w:eastAsia="zh-CN"/>
        </w:rPr>
      </w:pPr>
      <w:r>
        <w:rPr>
          <w:rFonts w:hint="eastAsia" w:ascii="宋体" w:hAnsi="宋体" w:cs="宋体"/>
          <w:iCs w:val="0"/>
          <w:color w:val="auto"/>
          <w:sz w:val="24"/>
          <w:highlight w:val="none"/>
          <w:lang w:eastAsia="zh-CN"/>
        </w:rPr>
        <w:t>4.售后服务</w:t>
      </w:r>
      <w:r>
        <w:rPr>
          <w:rFonts w:hint="eastAsia" w:ascii="宋体" w:hAnsi="宋体" w:cs="宋体"/>
          <w:iCs w:val="0"/>
          <w:color w:val="auto"/>
          <w:sz w:val="24"/>
          <w:highlight w:val="none"/>
          <w:lang w:val="en-US" w:eastAsia="zh-CN"/>
        </w:rPr>
        <w:t>方案</w:t>
      </w:r>
    </w:p>
    <w:p w14:paraId="6F64FA47">
      <w:pPr>
        <w:rPr>
          <w:rFonts w:hint="eastAsia" w:ascii="宋体" w:hAnsi="宋体" w:cs="宋体"/>
          <w:color w:val="auto"/>
          <w:sz w:val="24"/>
          <w:highlight w:val="none"/>
          <w:lang w:bidi="en-US"/>
        </w:rPr>
      </w:pPr>
    </w:p>
    <w:p w14:paraId="21019B3B">
      <w:pPr>
        <w:pStyle w:val="5"/>
        <w:tabs>
          <w:tab w:val="left" w:pos="1260"/>
        </w:tabs>
        <w:jc w:val="center"/>
        <w:rPr>
          <w:rFonts w:hint="eastAsia" w:cs="宋体"/>
          <w:bCs w:val="0"/>
          <w:iCs w:val="0"/>
          <w:color w:val="auto"/>
          <w:sz w:val="24"/>
          <w:highlight w:val="none"/>
          <w:lang w:eastAsia="zh-CN"/>
        </w:rPr>
      </w:pPr>
      <w:r>
        <w:rPr>
          <w:rFonts w:hint="eastAsia" w:ascii="宋体" w:hAnsi="宋体" w:cs="宋体"/>
          <w:iCs w:val="0"/>
          <w:color w:val="auto"/>
          <w:sz w:val="24"/>
          <w:highlight w:val="none"/>
          <w:lang w:eastAsia="zh-CN"/>
        </w:rPr>
        <w:t>5.</w:t>
      </w:r>
      <w:r>
        <w:rPr>
          <w:rFonts w:hint="eastAsia" w:ascii="宋体" w:hAnsi="宋体" w:cs="宋体"/>
          <w:iCs w:val="0"/>
          <w:color w:val="auto"/>
          <w:sz w:val="24"/>
          <w:highlight w:val="none"/>
          <w:lang w:val="en-US" w:eastAsia="zh-CN"/>
        </w:rPr>
        <w:t>技术</w:t>
      </w:r>
      <w:r>
        <w:rPr>
          <w:rFonts w:hint="eastAsia" w:ascii="宋体" w:hAnsi="宋体" w:cs="宋体"/>
          <w:iCs w:val="0"/>
          <w:color w:val="auto"/>
          <w:sz w:val="24"/>
          <w:highlight w:val="none"/>
          <w:lang w:eastAsia="zh-CN"/>
        </w:rPr>
        <w:t>培训方案</w:t>
      </w:r>
    </w:p>
    <w:p w14:paraId="0C994FA5">
      <w:pPr>
        <w:rPr>
          <w:rFonts w:hint="eastAsia" w:ascii="宋体" w:hAnsi="宋体" w:cs="宋体"/>
          <w:color w:val="auto"/>
          <w:sz w:val="24"/>
          <w:highlight w:val="none"/>
          <w:lang w:bidi="en-US"/>
        </w:rPr>
      </w:pPr>
    </w:p>
    <w:p w14:paraId="225E2371">
      <w:pPr>
        <w:pStyle w:val="5"/>
        <w:tabs>
          <w:tab w:val="left" w:pos="1260"/>
        </w:tabs>
        <w:jc w:val="center"/>
        <w:rPr>
          <w:rFonts w:hint="eastAsia" w:ascii="宋体" w:hAnsi="宋体" w:cs="宋体"/>
          <w:iCs w:val="0"/>
          <w:color w:val="auto"/>
          <w:sz w:val="24"/>
          <w:highlight w:val="none"/>
          <w:lang w:eastAsia="zh-CN"/>
        </w:rPr>
      </w:pPr>
      <w:r>
        <w:rPr>
          <w:rFonts w:hint="eastAsia" w:ascii="宋体" w:hAnsi="宋体" w:cs="宋体"/>
          <w:iCs w:val="0"/>
          <w:color w:val="auto"/>
          <w:sz w:val="24"/>
          <w:highlight w:val="none"/>
          <w:lang w:eastAsia="zh-CN"/>
        </w:rPr>
        <w:t>6.应急服务方案</w:t>
      </w:r>
    </w:p>
    <w:p w14:paraId="462B3309">
      <w:pPr>
        <w:rPr>
          <w:rFonts w:hint="eastAsia"/>
          <w:color w:val="auto"/>
          <w:highlight w:val="none"/>
        </w:rPr>
      </w:pPr>
    </w:p>
    <w:p w14:paraId="473C3566">
      <w:pPr>
        <w:pStyle w:val="5"/>
        <w:tabs>
          <w:tab w:val="left" w:pos="1260"/>
        </w:tabs>
        <w:jc w:val="center"/>
        <w:rPr>
          <w:rFonts w:hint="eastAsia" w:ascii="宋体" w:hAnsi="宋体" w:cs="宋体"/>
          <w:iCs w:val="0"/>
          <w:color w:val="auto"/>
          <w:sz w:val="24"/>
          <w:highlight w:val="none"/>
          <w:lang w:eastAsia="zh-CN"/>
        </w:rPr>
      </w:pPr>
      <w:r>
        <w:rPr>
          <w:rFonts w:hint="eastAsia" w:ascii="宋体" w:hAnsi="宋体" w:cs="宋体"/>
          <w:iCs w:val="0"/>
          <w:color w:val="auto"/>
          <w:sz w:val="24"/>
          <w:highlight w:val="none"/>
          <w:lang w:eastAsia="zh-CN"/>
        </w:rPr>
        <w:t>7.供货安装方案</w:t>
      </w:r>
    </w:p>
    <w:p w14:paraId="58F4D767">
      <w:pPr>
        <w:pStyle w:val="5"/>
        <w:tabs>
          <w:tab w:val="left" w:pos="1260"/>
        </w:tabs>
        <w:jc w:val="center"/>
        <w:rPr>
          <w:rFonts w:hint="eastAsia" w:ascii="宋体" w:hAnsi="宋体" w:cs="宋体"/>
          <w:iCs w:val="0"/>
          <w:color w:val="auto"/>
          <w:sz w:val="24"/>
          <w:highlight w:val="none"/>
          <w:lang w:eastAsia="zh-CN"/>
        </w:rPr>
      </w:pPr>
    </w:p>
    <w:p w14:paraId="3E682D23">
      <w:pPr>
        <w:rPr>
          <w:rFonts w:hint="eastAsia" w:ascii="宋体" w:hAnsi="宋体" w:cs="宋体"/>
          <w:b/>
          <w:bCs/>
          <w:color w:val="auto"/>
          <w:sz w:val="24"/>
          <w:highlight w:val="none"/>
        </w:rPr>
      </w:pPr>
    </w:p>
    <w:p w14:paraId="34E30E49">
      <w:pPr>
        <w:spacing w:line="360" w:lineRule="auto"/>
        <w:jc w:val="center"/>
        <w:outlineLvl w:val="2"/>
        <w:rPr>
          <w:rFonts w:hint="eastAsia" w:ascii="宋体" w:hAnsi="宋体" w:cs="宋体"/>
          <w:b/>
          <w:bCs/>
          <w:color w:val="auto"/>
          <w:kern w:val="0"/>
          <w:sz w:val="24"/>
          <w:highlight w:val="none"/>
          <w:lang w:bidi="en-US"/>
        </w:rPr>
      </w:pPr>
      <w:r>
        <w:rPr>
          <w:rFonts w:hint="eastAsia" w:ascii="宋体" w:hAnsi="宋体" w:cs="宋体"/>
          <w:b/>
          <w:bCs/>
          <w:color w:val="auto"/>
          <w:kern w:val="0"/>
          <w:sz w:val="24"/>
          <w:highlight w:val="none"/>
          <w:lang w:bidi="en-US"/>
        </w:rPr>
        <w:br w:type="page"/>
      </w:r>
      <w:r>
        <w:rPr>
          <w:rFonts w:hint="eastAsia" w:ascii="宋体" w:hAnsi="宋体" w:cs="宋体"/>
          <w:b/>
          <w:bCs/>
          <w:color w:val="auto"/>
          <w:kern w:val="0"/>
          <w:sz w:val="24"/>
          <w:highlight w:val="none"/>
          <w:lang w:bidi="en-US"/>
        </w:rPr>
        <w:t>（四）用于评标的业绩证明材料</w:t>
      </w:r>
    </w:p>
    <w:p w14:paraId="667CA129">
      <w:pPr>
        <w:spacing w:line="360" w:lineRule="auto"/>
        <w:jc w:val="center"/>
        <w:rPr>
          <w:rFonts w:hint="eastAsia" w:ascii="宋体" w:hAnsi="宋体" w:cs="宋体"/>
          <w:b/>
          <w:bCs/>
          <w:color w:val="auto"/>
          <w:sz w:val="24"/>
          <w:highlight w:val="none"/>
        </w:rPr>
      </w:pPr>
      <w:r>
        <w:rPr>
          <w:rFonts w:hint="eastAsia" w:ascii="宋体" w:hAnsi="宋体" w:cs="宋体"/>
          <w:b/>
          <w:bCs/>
          <w:color w:val="auto"/>
          <w:sz w:val="24"/>
          <w:highlight w:val="none"/>
        </w:rPr>
        <w:t>1.业绩承诺函</w:t>
      </w:r>
    </w:p>
    <w:p w14:paraId="06D2A5AD">
      <w:pPr>
        <w:pStyle w:val="27"/>
        <w:spacing w:line="360" w:lineRule="auto"/>
        <w:rPr>
          <w:rFonts w:hint="eastAsia" w:hAnsi="宋体" w:cs="宋体"/>
          <w:b/>
          <w:color w:val="auto"/>
          <w:sz w:val="21"/>
          <w:highlight w:val="none"/>
          <w:u w:val="single"/>
        </w:rPr>
      </w:pPr>
      <w:r>
        <w:rPr>
          <w:rFonts w:hint="eastAsia" w:hAnsi="宋体" w:cs="宋体"/>
          <w:color w:val="auto"/>
          <w:sz w:val="21"/>
          <w:highlight w:val="none"/>
        </w:rPr>
        <w:t>致：安徽省卫生健康委员会</w:t>
      </w:r>
    </w:p>
    <w:p w14:paraId="33EB4652">
      <w:pPr>
        <w:spacing w:line="360" w:lineRule="auto"/>
        <w:ind w:firstLine="435"/>
        <w:rPr>
          <w:rFonts w:hint="eastAsia" w:ascii="宋体" w:hAnsi="宋体" w:cs="宋体"/>
          <w:color w:val="auto"/>
          <w:highlight w:val="none"/>
        </w:rPr>
      </w:pPr>
      <w:r>
        <w:rPr>
          <w:rFonts w:hint="eastAsia" w:ascii="宋体" w:hAnsi="宋体" w:cs="宋体"/>
          <w:color w:val="auto"/>
          <w:highlight w:val="none"/>
        </w:rPr>
        <w:t>我方承诺：投标文件中所提供的业绩均真实有效，若有质疑，我方承诺会将2个工作日内可就以下业绩信息提供(对应的发票、合同或业主单位加盖公章证明材料)原件供贵单位核对。若被发现存在任何虚假、隐瞒情况，我公司承担由此产生的一切后果。同时我方承诺贵方可就我方业绩进行公布。</w:t>
      </w:r>
    </w:p>
    <w:p w14:paraId="77A26C18">
      <w:pPr>
        <w:spacing w:line="360" w:lineRule="auto"/>
        <w:ind w:firstLine="3700" w:firstLineChars="1762"/>
        <w:rPr>
          <w:rFonts w:hint="eastAsia" w:ascii="宋体" w:hAnsi="宋体" w:cs="宋体"/>
          <w:color w:val="auto"/>
          <w:highlight w:val="none"/>
          <w:u w:val="single"/>
        </w:rPr>
      </w:pPr>
      <w:r>
        <w:rPr>
          <w:rFonts w:hint="eastAsia" w:ascii="宋体" w:hAnsi="宋体" w:cs="宋体"/>
          <w:color w:val="auto"/>
          <w:highlight w:val="none"/>
        </w:rPr>
        <w:t>投标人：</w:t>
      </w:r>
      <w:r>
        <w:rPr>
          <w:rFonts w:hint="eastAsia" w:ascii="宋体" w:hAnsi="宋体" w:cs="宋体"/>
          <w:color w:val="auto"/>
          <w:highlight w:val="none"/>
          <w:u w:val="single"/>
        </w:rPr>
        <w:t xml:space="preserve">              </w:t>
      </w:r>
      <w:r>
        <w:rPr>
          <w:rFonts w:hint="eastAsia" w:ascii="宋体" w:hAnsi="宋体" w:cs="宋体"/>
          <w:color w:val="auto"/>
          <w:highlight w:val="none"/>
        </w:rPr>
        <w:t>（盖单位章）</w:t>
      </w:r>
    </w:p>
    <w:p w14:paraId="258AAED8">
      <w:pPr>
        <w:tabs>
          <w:tab w:val="left" w:pos="630"/>
        </w:tabs>
        <w:spacing w:line="360" w:lineRule="auto"/>
        <w:ind w:firstLine="3700" w:firstLineChars="1762"/>
        <w:rPr>
          <w:rFonts w:hint="eastAsia" w:ascii="宋体" w:hAnsi="宋体" w:cs="宋体"/>
          <w:color w:val="auto"/>
          <w:highlight w:val="none"/>
        </w:rPr>
      </w:pPr>
      <w:r>
        <w:rPr>
          <w:rFonts w:hint="eastAsia" w:ascii="宋体" w:hAnsi="宋体" w:cs="宋体"/>
          <w:color w:val="auto"/>
          <w:highlight w:val="none"/>
        </w:rPr>
        <w:t>日  期：</w:t>
      </w:r>
      <w:r>
        <w:rPr>
          <w:rFonts w:hint="eastAsia" w:ascii="宋体" w:hAnsi="宋体" w:cs="宋体"/>
          <w:color w:val="auto"/>
          <w:highlight w:val="none"/>
          <w:u w:val="single"/>
        </w:rPr>
        <w:t xml:space="preserve">                     </w:t>
      </w:r>
    </w:p>
    <w:p w14:paraId="2E63D6C0">
      <w:pPr>
        <w:jc w:val="center"/>
        <w:rPr>
          <w:rFonts w:hint="eastAsia" w:ascii="宋体" w:hAnsi="宋体" w:cs="宋体"/>
          <w:color w:val="auto"/>
          <w:sz w:val="28"/>
          <w:highlight w:val="none"/>
        </w:rPr>
      </w:pPr>
    </w:p>
    <w:p w14:paraId="3BB5E6B1">
      <w:pPr>
        <w:jc w:val="center"/>
        <w:rPr>
          <w:rFonts w:hint="eastAsia" w:ascii="宋体" w:hAnsi="宋体" w:cs="宋体"/>
          <w:color w:val="auto"/>
          <w:sz w:val="28"/>
          <w:highlight w:val="none"/>
        </w:rPr>
      </w:pPr>
      <w:r>
        <w:rPr>
          <w:rFonts w:hint="eastAsia" w:ascii="宋体" w:hAnsi="宋体" w:cs="宋体"/>
          <w:b/>
          <w:bCs/>
          <w:color w:val="auto"/>
          <w:sz w:val="24"/>
          <w:highlight w:val="none"/>
        </w:rPr>
        <w:t>2.业绩汇总表</w:t>
      </w:r>
    </w:p>
    <w:tbl>
      <w:tblPr>
        <w:tblStyle w:val="48"/>
        <w:tblW w:w="499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6"/>
        <w:gridCol w:w="980"/>
        <w:gridCol w:w="983"/>
        <w:gridCol w:w="896"/>
        <w:gridCol w:w="1121"/>
        <w:gridCol w:w="837"/>
        <w:gridCol w:w="837"/>
        <w:gridCol w:w="995"/>
        <w:gridCol w:w="995"/>
        <w:gridCol w:w="949"/>
        <w:gridCol w:w="613"/>
      </w:tblGrid>
      <w:tr w14:paraId="11B83D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23" w:type="pct"/>
            <w:noWrap w:val="0"/>
            <w:vAlign w:val="center"/>
          </w:tcPr>
          <w:p w14:paraId="52F4BEED">
            <w:pPr>
              <w:keepNext w:val="0"/>
              <w:keepLines w:val="0"/>
              <w:suppressLineNumbers w:val="0"/>
              <w:spacing w:before="0" w:beforeAutospacing="0" w:after="0" w:afterAutospacing="0"/>
              <w:ind w:left="0" w:right="0"/>
              <w:jc w:val="center"/>
              <w:rPr>
                <w:rFonts w:hint="eastAsia" w:ascii="宋体" w:hAnsi="宋体" w:cs="宋体"/>
                <w:b/>
                <w:color w:val="auto"/>
                <w:highlight w:val="none"/>
              </w:rPr>
            </w:pPr>
            <w:r>
              <w:rPr>
                <w:rFonts w:hint="eastAsia" w:ascii="宋体" w:hAnsi="宋体" w:cs="宋体"/>
                <w:b/>
                <w:color w:val="auto"/>
                <w:highlight w:val="none"/>
              </w:rPr>
              <w:t>序号</w:t>
            </w:r>
          </w:p>
        </w:tc>
        <w:tc>
          <w:tcPr>
            <w:tcW w:w="498" w:type="pct"/>
            <w:noWrap w:val="0"/>
            <w:vAlign w:val="center"/>
          </w:tcPr>
          <w:p w14:paraId="4D8DA6F7">
            <w:pPr>
              <w:keepNext w:val="0"/>
              <w:keepLines w:val="0"/>
              <w:suppressLineNumbers w:val="0"/>
              <w:spacing w:before="0" w:beforeAutospacing="0" w:after="0" w:afterAutospacing="0"/>
              <w:ind w:left="0" w:right="0"/>
              <w:jc w:val="center"/>
              <w:rPr>
                <w:rFonts w:hint="default" w:ascii="宋体" w:hAnsi="宋体" w:eastAsia="宋体" w:cs="宋体"/>
                <w:b/>
                <w:color w:val="auto"/>
                <w:highlight w:val="none"/>
                <w:lang w:val="en-US" w:eastAsia="zh-CN"/>
              </w:rPr>
            </w:pPr>
            <w:r>
              <w:rPr>
                <w:rFonts w:hint="eastAsia" w:ascii="宋体" w:hAnsi="宋体" w:cs="宋体"/>
                <w:b/>
                <w:color w:val="auto"/>
                <w:highlight w:val="none"/>
                <w:lang w:val="en-US" w:eastAsia="zh-CN"/>
              </w:rPr>
              <w:t>时间分类</w:t>
            </w:r>
          </w:p>
        </w:tc>
        <w:tc>
          <w:tcPr>
            <w:tcW w:w="499" w:type="pct"/>
            <w:noWrap w:val="0"/>
            <w:vAlign w:val="center"/>
          </w:tcPr>
          <w:p w14:paraId="060971F7">
            <w:pPr>
              <w:keepNext w:val="0"/>
              <w:keepLines w:val="0"/>
              <w:suppressLineNumbers w:val="0"/>
              <w:spacing w:before="0" w:beforeAutospacing="0" w:after="0" w:afterAutospacing="0"/>
              <w:ind w:left="0" w:right="0"/>
              <w:jc w:val="center"/>
              <w:rPr>
                <w:rFonts w:hint="eastAsia" w:ascii="宋体" w:hAnsi="宋体" w:cs="宋体"/>
                <w:b/>
                <w:color w:val="auto"/>
                <w:highlight w:val="none"/>
              </w:rPr>
            </w:pPr>
            <w:r>
              <w:rPr>
                <w:rFonts w:hint="eastAsia" w:ascii="宋体" w:hAnsi="宋体" w:cs="宋体"/>
                <w:b/>
                <w:color w:val="auto"/>
                <w:highlight w:val="none"/>
              </w:rPr>
              <w:t>项目名称</w:t>
            </w:r>
          </w:p>
        </w:tc>
        <w:tc>
          <w:tcPr>
            <w:tcW w:w="454" w:type="pct"/>
            <w:noWrap w:val="0"/>
            <w:vAlign w:val="center"/>
          </w:tcPr>
          <w:p w14:paraId="3CB3E8F3">
            <w:pPr>
              <w:keepNext w:val="0"/>
              <w:keepLines w:val="0"/>
              <w:widowControl/>
              <w:suppressLineNumbers w:val="0"/>
              <w:spacing w:before="0" w:beforeAutospacing="0" w:after="0" w:afterAutospacing="0"/>
              <w:ind w:left="0" w:right="0"/>
              <w:jc w:val="center"/>
              <w:rPr>
                <w:rFonts w:hint="eastAsia" w:ascii="宋体" w:hAnsi="宋体" w:cs="宋体"/>
                <w:b/>
                <w:color w:val="auto"/>
                <w:highlight w:val="none"/>
              </w:rPr>
            </w:pPr>
            <w:r>
              <w:rPr>
                <w:rFonts w:hint="eastAsia" w:ascii="宋体" w:hAnsi="宋体" w:cs="宋体"/>
                <w:b/>
                <w:color w:val="auto"/>
                <w:highlight w:val="none"/>
              </w:rPr>
              <w:t>合同主要内容</w:t>
            </w:r>
          </w:p>
        </w:tc>
        <w:tc>
          <w:tcPr>
            <w:tcW w:w="569" w:type="pct"/>
            <w:noWrap w:val="0"/>
            <w:vAlign w:val="center"/>
          </w:tcPr>
          <w:p w14:paraId="2C8DF071">
            <w:pPr>
              <w:keepNext w:val="0"/>
              <w:keepLines w:val="0"/>
              <w:suppressLineNumbers w:val="0"/>
              <w:spacing w:before="0" w:beforeAutospacing="0" w:after="0" w:afterAutospacing="0"/>
              <w:ind w:left="0" w:right="0"/>
              <w:jc w:val="center"/>
              <w:rPr>
                <w:rFonts w:hint="eastAsia" w:ascii="宋体" w:hAnsi="宋体" w:cs="宋体"/>
                <w:b/>
                <w:color w:val="auto"/>
                <w:highlight w:val="none"/>
              </w:rPr>
            </w:pPr>
            <w:r>
              <w:rPr>
                <w:rFonts w:hint="eastAsia" w:ascii="宋体" w:hAnsi="宋体" w:cs="宋体"/>
                <w:b/>
                <w:color w:val="auto"/>
                <w:highlight w:val="none"/>
              </w:rPr>
              <w:t>符合评标要求的设备台数</w:t>
            </w:r>
          </w:p>
        </w:tc>
        <w:tc>
          <w:tcPr>
            <w:tcW w:w="425" w:type="pct"/>
            <w:noWrap w:val="0"/>
            <w:vAlign w:val="center"/>
          </w:tcPr>
          <w:p w14:paraId="01DC4B14">
            <w:pPr>
              <w:keepNext w:val="0"/>
              <w:keepLines w:val="0"/>
              <w:suppressLineNumbers w:val="0"/>
              <w:spacing w:before="0" w:beforeAutospacing="0" w:after="0" w:afterAutospacing="0"/>
              <w:ind w:left="0" w:right="0"/>
              <w:jc w:val="center"/>
              <w:rPr>
                <w:rFonts w:hint="eastAsia" w:ascii="宋体" w:hAnsi="宋体" w:eastAsia="宋体" w:cs="宋体"/>
                <w:b/>
                <w:color w:val="auto"/>
                <w:highlight w:val="none"/>
                <w:lang w:eastAsia="zh-CN"/>
              </w:rPr>
            </w:pPr>
            <w:r>
              <w:rPr>
                <w:rFonts w:hint="eastAsia" w:ascii="宋体" w:hAnsi="宋体" w:cs="宋体"/>
                <w:b/>
                <w:color w:val="auto"/>
                <w:highlight w:val="none"/>
              </w:rPr>
              <w:t>符合评标要求的设备</w:t>
            </w:r>
            <w:r>
              <w:rPr>
                <w:rFonts w:hint="eastAsia" w:ascii="宋体" w:hAnsi="宋体" w:cs="宋体"/>
                <w:b/>
                <w:color w:val="auto"/>
                <w:highlight w:val="none"/>
                <w:lang w:val="en-US" w:eastAsia="zh-CN"/>
              </w:rPr>
              <w:t>单价</w:t>
            </w:r>
          </w:p>
        </w:tc>
        <w:tc>
          <w:tcPr>
            <w:tcW w:w="425" w:type="pct"/>
            <w:noWrap w:val="0"/>
            <w:vAlign w:val="center"/>
          </w:tcPr>
          <w:p w14:paraId="70A59FE7">
            <w:pPr>
              <w:keepNext w:val="0"/>
              <w:keepLines w:val="0"/>
              <w:suppressLineNumbers w:val="0"/>
              <w:spacing w:before="0" w:beforeAutospacing="0" w:after="0" w:afterAutospacing="0"/>
              <w:ind w:left="0" w:right="0"/>
              <w:jc w:val="center"/>
              <w:rPr>
                <w:rFonts w:hint="eastAsia" w:ascii="宋体" w:hAnsi="宋体" w:cs="宋体"/>
                <w:b/>
                <w:color w:val="auto"/>
                <w:highlight w:val="none"/>
              </w:rPr>
            </w:pPr>
            <w:r>
              <w:rPr>
                <w:rFonts w:hint="eastAsia" w:ascii="宋体" w:hAnsi="宋体" w:cs="宋体"/>
                <w:b/>
                <w:color w:val="auto"/>
                <w:highlight w:val="none"/>
              </w:rPr>
              <w:t>签约合同价金额</w:t>
            </w:r>
          </w:p>
        </w:tc>
        <w:tc>
          <w:tcPr>
            <w:tcW w:w="505" w:type="pct"/>
            <w:noWrap w:val="0"/>
            <w:vAlign w:val="center"/>
          </w:tcPr>
          <w:p w14:paraId="63C8BEE2">
            <w:pPr>
              <w:keepNext w:val="0"/>
              <w:keepLines w:val="0"/>
              <w:suppressLineNumbers w:val="0"/>
              <w:spacing w:before="0" w:beforeAutospacing="0" w:after="0" w:afterAutospacing="0"/>
              <w:ind w:left="0" w:right="0"/>
              <w:jc w:val="center"/>
              <w:rPr>
                <w:rFonts w:hint="default" w:ascii="宋体" w:hAnsi="宋体" w:eastAsia="宋体" w:cs="宋体"/>
                <w:b/>
                <w:color w:val="auto"/>
                <w:highlight w:val="none"/>
                <w:lang w:val="en-US" w:eastAsia="zh-CN"/>
              </w:rPr>
            </w:pPr>
            <w:r>
              <w:rPr>
                <w:rFonts w:hint="eastAsia" w:ascii="宋体" w:hAnsi="宋体" w:cs="宋体"/>
                <w:b/>
                <w:color w:val="auto"/>
                <w:highlight w:val="none"/>
              </w:rPr>
              <w:t>设备</w:t>
            </w:r>
            <w:r>
              <w:rPr>
                <w:rFonts w:hint="eastAsia" w:ascii="宋体" w:hAnsi="宋体" w:cs="宋体"/>
                <w:b/>
                <w:color w:val="auto"/>
                <w:highlight w:val="none"/>
                <w:lang w:val="en-US" w:eastAsia="zh-CN"/>
              </w:rPr>
              <w:t>单台平均价格</w:t>
            </w:r>
          </w:p>
        </w:tc>
        <w:tc>
          <w:tcPr>
            <w:tcW w:w="505" w:type="pct"/>
            <w:noWrap w:val="0"/>
            <w:vAlign w:val="center"/>
          </w:tcPr>
          <w:p w14:paraId="1C362984">
            <w:pPr>
              <w:keepNext w:val="0"/>
              <w:keepLines w:val="0"/>
              <w:suppressLineNumbers w:val="0"/>
              <w:spacing w:before="0" w:beforeAutospacing="0" w:after="0" w:afterAutospacing="0"/>
              <w:ind w:left="0" w:right="0"/>
              <w:jc w:val="center"/>
              <w:rPr>
                <w:rFonts w:hint="eastAsia" w:ascii="宋体" w:hAnsi="宋体" w:cs="宋体"/>
                <w:b/>
                <w:color w:val="auto"/>
                <w:highlight w:val="none"/>
              </w:rPr>
            </w:pPr>
            <w:r>
              <w:rPr>
                <w:rFonts w:hint="eastAsia" w:ascii="宋体" w:hAnsi="宋体" w:cs="宋体"/>
                <w:b/>
                <w:color w:val="auto"/>
                <w:highlight w:val="none"/>
              </w:rPr>
              <w:t>业主单位</w:t>
            </w:r>
          </w:p>
          <w:p w14:paraId="19AA2971">
            <w:pPr>
              <w:keepNext w:val="0"/>
              <w:keepLines w:val="0"/>
              <w:suppressLineNumbers w:val="0"/>
              <w:spacing w:before="0" w:beforeAutospacing="0" w:after="0" w:afterAutospacing="0"/>
              <w:ind w:left="0" w:right="0"/>
              <w:jc w:val="center"/>
              <w:rPr>
                <w:rFonts w:hint="eastAsia" w:ascii="宋体" w:hAnsi="宋体" w:cs="宋体"/>
                <w:b/>
                <w:color w:val="auto"/>
                <w:highlight w:val="none"/>
              </w:rPr>
            </w:pPr>
            <w:r>
              <w:rPr>
                <w:rFonts w:hint="eastAsia" w:ascii="宋体" w:hAnsi="宋体" w:cs="宋体"/>
                <w:b/>
                <w:color w:val="auto"/>
                <w:highlight w:val="none"/>
              </w:rPr>
              <w:t>及联系电话</w:t>
            </w:r>
          </w:p>
        </w:tc>
        <w:tc>
          <w:tcPr>
            <w:tcW w:w="482" w:type="pct"/>
            <w:noWrap w:val="0"/>
            <w:vAlign w:val="center"/>
          </w:tcPr>
          <w:p w14:paraId="28A35856">
            <w:pPr>
              <w:keepNext w:val="0"/>
              <w:keepLines w:val="0"/>
              <w:suppressLineNumbers w:val="0"/>
              <w:spacing w:before="0" w:beforeAutospacing="0" w:after="0" w:afterAutospacing="0"/>
              <w:ind w:left="0" w:right="0"/>
              <w:jc w:val="center"/>
              <w:rPr>
                <w:rFonts w:hint="eastAsia" w:ascii="宋体" w:hAnsi="宋体" w:cs="宋体"/>
                <w:b/>
                <w:color w:val="auto"/>
                <w:highlight w:val="none"/>
              </w:rPr>
            </w:pPr>
            <w:r>
              <w:rPr>
                <w:rFonts w:hint="eastAsia" w:ascii="宋体" w:hAnsi="宋体" w:cs="宋体"/>
                <w:b/>
                <w:color w:val="auto"/>
                <w:highlight w:val="none"/>
              </w:rPr>
              <w:t>合同签订时间</w:t>
            </w:r>
          </w:p>
        </w:tc>
        <w:tc>
          <w:tcPr>
            <w:tcW w:w="311" w:type="pct"/>
            <w:noWrap w:val="0"/>
            <w:vAlign w:val="center"/>
          </w:tcPr>
          <w:p w14:paraId="4F90C3E3">
            <w:pPr>
              <w:keepNext w:val="0"/>
              <w:keepLines w:val="0"/>
              <w:suppressLineNumbers w:val="0"/>
              <w:spacing w:before="0" w:beforeAutospacing="0" w:after="0" w:afterAutospacing="0"/>
              <w:ind w:left="0" w:right="0"/>
              <w:jc w:val="center"/>
              <w:rPr>
                <w:rFonts w:hint="eastAsia" w:ascii="宋体" w:hAnsi="宋体" w:cs="宋体"/>
                <w:b/>
                <w:color w:val="auto"/>
                <w:highlight w:val="none"/>
              </w:rPr>
            </w:pPr>
            <w:r>
              <w:rPr>
                <w:rFonts w:hint="eastAsia" w:ascii="宋体" w:hAnsi="宋体" w:cs="宋体"/>
                <w:b/>
                <w:color w:val="auto"/>
                <w:highlight w:val="none"/>
              </w:rPr>
              <w:t>备注</w:t>
            </w:r>
          </w:p>
        </w:tc>
      </w:tr>
      <w:tr w14:paraId="1DB7B7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23" w:type="pct"/>
            <w:noWrap w:val="0"/>
            <w:vAlign w:val="center"/>
          </w:tcPr>
          <w:p w14:paraId="20444AB1">
            <w:pPr>
              <w:keepNext w:val="0"/>
              <w:keepLines w:val="0"/>
              <w:suppressLineNumbers w:val="0"/>
              <w:spacing w:before="0" w:beforeAutospacing="0" w:after="0" w:afterAutospacing="0"/>
              <w:ind w:left="0" w:right="0"/>
              <w:jc w:val="center"/>
              <w:rPr>
                <w:rFonts w:hint="eastAsia" w:ascii="宋体" w:hAnsi="宋体" w:cs="宋体"/>
                <w:color w:val="auto"/>
                <w:highlight w:val="none"/>
              </w:rPr>
            </w:pPr>
            <w:r>
              <w:rPr>
                <w:rFonts w:hint="eastAsia" w:ascii="宋体" w:hAnsi="宋体" w:cs="宋体"/>
                <w:color w:val="auto"/>
                <w:highlight w:val="none"/>
              </w:rPr>
              <w:t>1</w:t>
            </w:r>
          </w:p>
        </w:tc>
        <w:tc>
          <w:tcPr>
            <w:tcW w:w="498" w:type="pct"/>
            <w:vMerge w:val="restart"/>
            <w:noWrap w:val="0"/>
            <w:vAlign w:val="center"/>
          </w:tcPr>
          <w:p w14:paraId="43366157">
            <w:pPr>
              <w:keepNext w:val="0"/>
              <w:keepLines w:val="0"/>
              <w:suppressLineNumbers w:val="0"/>
              <w:spacing w:before="0" w:beforeAutospacing="0" w:after="0" w:afterAutospacing="0"/>
              <w:ind w:left="0" w:right="0"/>
              <w:rPr>
                <w:rFonts w:hint="default" w:ascii="宋体" w:hAnsi="宋体" w:eastAsia="宋体" w:cs="宋体"/>
                <w:color w:val="auto"/>
                <w:highlight w:val="none"/>
                <w:lang w:val="en-US" w:eastAsia="zh-CN"/>
              </w:rPr>
            </w:pPr>
            <w:r>
              <w:rPr>
                <w:rFonts w:hint="eastAsia" w:ascii="宋体" w:hAnsi="宋体" w:cs="宋体"/>
                <w:color w:val="auto"/>
                <w:highlight w:val="none"/>
                <w:lang w:val="en-US" w:eastAsia="zh-CN"/>
              </w:rPr>
              <w:t>2025年1月1日（不含）前</w:t>
            </w:r>
          </w:p>
        </w:tc>
        <w:tc>
          <w:tcPr>
            <w:tcW w:w="499" w:type="pct"/>
            <w:noWrap w:val="0"/>
            <w:vAlign w:val="center"/>
          </w:tcPr>
          <w:p w14:paraId="3FF6FB52">
            <w:pPr>
              <w:keepNext w:val="0"/>
              <w:keepLines w:val="0"/>
              <w:suppressLineNumbers w:val="0"/>
              <w:spacing w:before="0" w:beforeAutospacing="0" w:after="0" w:afterAutospacing="0"/>
              <w:ind w:left="0" w:right="0"/>
              <w:rPr>
                <w:rFonts w:hint="eastAsia" w:ascii="宋体" w:hAnsi="宋体" w:cs="宋体"/>
                <w:color w:val="auto"/>
                <w:highlight w:val="none"/>
              </w:rPr>
            </w:pPr>
          </w:p>
        </w:tc>
        <w:tc>
          <w:tcPr>
            <w:tcW w:w="454" w:type="pct"/>
            <w:noWrap w:val="0"/>
            <w:vAlign w:val="center"/>
          </w:tcPr>
          <w:p w14:paraId="40827E84">
            <w:pPr>
              <w:keepNext w:val="0"/>
              <w:keepLines w:val="0"/>
              <w:suppressLineNumbers w:val="0"/>
              <w:spacing w:before="0" w:beforeAutospacing="0" w:after="0" w:afterAutospacing="0"/>
              <w:ind w:left="0" w:right="0"/>
              <w:rPr>
                <w:rFonts w:hint="eastAsia" w:ascii="宋体" w:hAnsi="宋体" w:cs="宋体"/>
                <w:color w:val="auto"/>
                <w:highlight w:val="none"/>
              </w:rPr>
            </w:pPr>
          </w:p>
        </w:tc>
        <w:tc>
          <w:tcPr>
            <w:tcW w:w="569" w:type="pct"/>
            <w:noWrap w:val="0"/>
            <w:vAlign w:val="center"/>
          </w:tcPr>
          <w:p w14:paraId="42155159">
            <w:pPr>
              <w:keepNext w:val="0"/>
              <w:keepLines w:val="0"/>
              <w:suppressLineNumbers w:val="0"/>
              <w:spacing w:before="0" w:beforeAutospacing="0" w:after="0" w:afterAutospacing="0"/>
              <w:ind w:left="0" w:right="0"/>
              <w:rPr>
                <w:rFonts w:hint="eastAsia" w:ascii="宋体" w:hAnsi="宋体" w:cs="宋体"/>
                <w:color w:val="auto"/>
                <w:highlight w:val="none"/>
              </w:rPr>
            </w:pPr>
          </w:p>
        </w:tc>
        <w:tc>
          <w:tcPr>
            <w:tcW w:w="425" w:type="pct"/>
            <w:noWrap w:val="0"/>
            <w:vAlign w:val="center"/>
          </w:tcPr>
          <w:p w14:paraId="1B460C79">
            <w:pPr>
              <w:keepNext w:val="0"/>
              <w:keepLines w:val="0"/>
              <w:suppressLineNumbers w:val="0"/>
              <w:spacing w:before="0" w:beforeAutospacing="0" w:after="0" w:afterAutospacing="0"/>
              <w:ind w:left="0" w:right="0"/>
              <w:rPr>
                <w:rFonts w:hint="eastAsia" w:ascii="宋体" w:hAnsi="宋体" w:cs="宋体"/>
                <w:color w:val="auto"/>
                <w:highlight w:val="none"/>
              </w:rPr>
            </w:pPr>
          </w:p>
        </w:tc>
        <w:tc>
          <w:tcPr>
            <w:tcW w:w="425" w:type="pct"/>
            <w:noWrap w:val="0"/>
            <w:vAlign w:val="center"/>
          </w:tcPr>
          <w:p w14:paraId="4497A612">
            <w:pPr>
              <w:keepNext w:val="0"/>
              <w:keepLines w:val="0"/>
              <w:suppressLineNumbers w:val="0"/>
              <w:spacing w:before="0" w:beforeAutospacing="0" w:after="0" w:afterAutospacing="0"/>
              <w:ind w:left="0" w:right="0"/>
              <w:rPr>
                <w:rFonts w:hint="eastAsia" w:ascii="宋体" w:hAnsi="宋体" w:cs="宋体"/>
                <w:color w:val="auto"/>
                <w:highlight w:val="none"/>
              </w:rPr>
            </w:pPr>
          </w:p>
        </w:tc>
        <w:tc>
          <w:tcPr>
            <w:tcW w:w="505" w:type="pct"/>
            <w:vMerge w:val="restart"/>
            <w:noWrap w:val="0"/>
            <w:vAlign w:val="center"/>
          </w:tcPr>
          <w:p w14:paraId="44EE182A">
            <w:pPr>
              <w:keepNext w:val="0"/>
              <w:keepLines w:val="0"/>
              <w:suppressLineNumbers w:val="0"/>
              <w:spacing w:before="0" w:beforeAutospacing="0" w:after="0" w:afterAutospacing="0"/>
              <w:ind w:left="0" w:right="0"/>
              <w:rPr>
                <w:rFonts w:hint="eastAsia" w:ascii="宋体" w:hAnsi="宋体" w:cs="宋体"/>
                <w:color w:val="auto"/>
                <w:highlight w:val="none"/>
              </w:rPr>
            </w:pPr>
          </w:p>
        </w:tc>
        <w:tc>
          <w:tcPr>
            <w:tcW w:w="505" w:type="pct"/>
            <w:noWrap w:val="0"/>
            <w:vAlign w:val="center"/>
          </w:tcPr>
          <w:p w14:paraId="5BE51651">
            <w:pPr>
              <w:keepNext w:val="0"/>
              <w:keepLines w:val="0"/>
              <w:suppressLineNumbers w:val="0"/>
              <w:spacing w:before="0" w:beforeAutospacing="0" w:after="0" w:afterAutospacing="0"/>
              <w:ind w:left="0" w:right="0"/>
              <w:rPr>
                <w:rFonts w:hint="eastAsia" w:ascii="宋体" w:hAnsi="宋体" w:cs="宋体"/>
                <w:color w:val="auto"/>
                <w:highlight w:val="none"/>
              </w:rPr>
            </w:pPr>
          </w:p>
        </w:tc>
        <w:tc>
          <w:tcPr>
            <w:tcW w:w="482" w:type="pct"/>
            <w:noWrap w:val="0"/>
            <w:vAlign w:val="center"/>
          </w:tcPr>
          <w:p w14:paraId="492FAC0D">
            <w:pPr>
              <w:keepNext w:val="0"/>
              <w:keepLines w:val="0"/>
              <w:suppressLineNumbers w:val="0"/>
              <w:spacing w:before="0" w:beforeAutospacing="0" w:after="0" w:afterAutospacing="0"/>
              <w:ind w:left="0" w:right="0"/>
              <w:rPr>
                <w:rFonts w:hint="eastAsia" w:ascii="宋体" w:hAnsi="宋体" w:cs="宋体"/>
                <w:color w:val="auto"/>
                <w:highlight w:val="none"/>
              </w:rPr>
            </w:pPr>
          </w:p>
        </w:tc>
        <w:tc>
          <w:tcPr>
            <w:tcW w:w="311" w:type="pct"/>
            <w:noWrap w:val="0"/>
            <w:vAlign w:val="center"/>
          </w:tcPr>
          <w:p w14:paraId="482CE7C7">
            <w:pPr>
              <w:keepNext w:val="0"/>
              <w:keepLines w:val="0"/>
              <w:suppressLineNumbers w:val="0"/>
              <w:spacing w:before="0" w:beforeAutospacing="0" w:after="0" w:afterAutospacing="0"/>
              <w:ind w:left="0" w:right="0"/>
              <w:rPr>
                <w:rFonts w:hint="eastAsia" w:ascii="宋体" w:hAnsi="宋体" w:cs="宋体"/>
                <w:color w:val="auto"/>
                <w:highlight w:val="none"/>
              </w:rPr>
            </w:pPr>
          </w:p>
        </w:tc>
      </w:tr>
      <w:tr w14:paraId="6F2324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23" w:type="pct"/>
            <w:noWrap w:val="0"/>
            <w:vAlign w:val="center"/>
          </w:tcPr>
          <w:p w14:paraId="57801B18">
            <w:pPr>
              <w:keepNext w:val="0"/>
              <w:keepLines w:val="0"/>
              <w:suppressLineNumbers w:val="0"/>
              <w:spacing w:before="0" w:beforeAutospacing="0" w:after="0" w:afterAutospacing="0"/>
              <w:ind w:left="0" w:right="0"/>
              <w:jc w:val="center"/>
              <w:rPr>
                <w:rFonts w:hint="eastAsia" w:ascii="宋体" w:hAnsi="宋体" w:cs="宋体"/>
                <w:color w:val="auto"/>
                <w:highlight w:val="none"/>
              </w:rPr>
            </w:pPr>
            <w:r>
              <w:rPr>
                <w:rFonts w:hint="eastAsia" w:ascii="宋体" w:hAnsi="宋体" w:cs="宋体"/>
                <w:color w:val="auto"/>
                <w:highlight w:val="none"/>
              </w:rPr>
              <w:t>2</w:t>
            </w:r>
          </w:p>
        </w:tc>
        <w:tc>
          <w:tcPr>
            <w:tcW w:w="498" w:type="pct"/>
            <w:vMerge w:val="continue"/>
            <w:noWrap w:val="0"/>
            <w:vAlign w:val="center"/>
          </w:tcPr>
          <w:p w14:paraId="55101486">
            <w:pPr>
              <w:keepNext w:val="0"/>
              <w:keepLines w:val="0"/>
              <w:suppressLineNumbers w:val="0"/>
              <w:spacing w:before="0" w:beforeAutospacing="0" w:after="0" w:afterAutospacing="0"/>
              <w:ind w:left="0" w:right="0"/>
              <w:rPr>
                <w:rFonts w:hint="default" w:ascii="宋体" w:hAnsi="宋体" w:eastAsia="宋体" w:cs="宋体"/>
                <w:color w:val="auto"/>
                <w:highlight w:val="none"/>
                <w:lang w:val="en-US" w:eastAsia="zh-CN"/>
              </w:rPr>
            </w:pPr>
          </w:p>
        </w:tc>
        <w:tc>
          <w:tcPr>
            <w:tcW w:w="499" w:type="pct"/>
            <w:noWrap w:val="0"/>
            <w:vAlign w:val="center"/>
          </w:tcPr>
          <w:p w14:paraId="6C54A4E0">
            <w:pPr>
              <w:keepNext w:val="0"/>
              <w:keepLines w:val="0"/>
              <w:suppressLineNumbers w:val="0"/>
              <w:spacing w:before="0" w:beforeAutospacing="0" w:after="0" w:afterAutospacing="0"/>
              <w:ind w:left="0" w:right="0"/>
              <w:rPr>
                <w:rFonts w:hint="eastAsia" w:ascii="宋体" w:hAnsi="宋体" w:cs="宋体"/>
                <w:color w:val="auto"/>
                <w:highlight w:val="none"/>
              </w:rPr>
            </w:pPr>
          </w:p>
        </w:tc>
        <w:tc>
          <w:tcPr>
            <w:tcW w:w="454" w:type="pct"/>
            <w:noWrap w:val="0"/>
            <w:vAlign w:val="center"/>
          </w:tcPr>
          <w:p w14:paraId="322731DE">
            <w:pPr>
              <w:keepNext w:val="0"/>
              <w:keepLines w:val="0"/>
              <w:suppressLineNumbers w:val="0"/>
              <w:spacing w:before="0" w:beforeAutospacing="0" w:after="0" w:afterAutospacing="0"/>
              <w:ind w:left="0" w:right="0"/>
              <w:rPr>
                <w:rFonts w:hint="eastAsia" w:ascii="宋体" w:hAnsi="宋体" w:cs="宋体"/>
                <w:color w:val="auto"/>
                <w:highlight w:val="none"/>
              </w:rPr>
            </w:pPr>
          </w:p>
        </w:tc>
        <w:tc>
          <w:tcPr>
            <w:tcW w:w="569" w:type="pct"/>
            <w:noWrap w:val="0"/>
            <w:vAlign w:val="center"/>
          </w:tcPr>
          <w:p w14:paraId="505491A1">
            <w:pPr>
              <w:keepNext w:val="0"/>
              <w:keepLines w:val="0"/>
              <w:suppressLineNumbers w:val="0"/>
              <w:spacing w:before="0" w:beforeAutospacing="0" w:after="0" w:afterAutospacing="0"/>
              <w:ind w:left="0" w:right="0"/>
              <w:rPr>
                <w:rFonts w:hint="eastAsia" w:ascii="宋体" w:hAnsi="宋体" w:cs="宋体"/>
                <w:color w:val="auto"/>
                <w:highlight w:val="none"/>
              </w:rPr>
            </w:pPr>
          </w:p>
        </w:tc>
        <w:tc>
          <w:tcPr>
            <w:tcW w:w="425" w:type="pct"/>
            <w:noWrap w:val="0"/>
            <w:vAlign w:val="center"/>
          </w:tcPr>
          <w:p w14:paraId="700E7DDA">
            <w:pPr>
              <w:keepNext w:val="0"/>
              <w:keepLines w:val="0"/>
              <w:suppressLineNumbers w:val="0"/>
              <w:spacing w:before="0" w:beforeAutospacing="0" w:after="0" w:afterAutospacing="0"/>
              <w:ind w:left="0" w:right="0"/>
              <w:rPr>
                <w:rFonts w:hint="eastAsia" w:ascii="宋体" w:hAnsi="宋体" w:cs="宋体"/>
                <w:color w:val="auto"/>
                <w:highlight w:val="none"/>
              </w:rPr>
            </w:pPr>
          </w:p>
        </w:tc>
        <w:tc>
          <w:tcPr>
            <w:tcW w:w="425" w:type="pct"/>
            <w:noWrap w:val="0"/>
            <w:vAlign w:val="center"/>
          </w:tcPr>
          <w:p w14:paraId="44A5C169">
            <w:pPr>
              <w:keepNext w:val="0"/>
              <w:keepLines w:val="0"/>
              <w:suppressLineNumbers w:val="0"/>
              <w:spacing w:before="0" w:beforeAutospacing="0" w:after="0" w:afterAutospacing="0"/>
              <w:ind w:left="0" w:right="0"/>
              <w:rPr>
                <w:rFonts w:hint="eastAsia" w:ascii="宋体" w:hAnsi="宋体" w:cs="宋体"/>
                <w:color w:val="auto"/>
                <w:highlight w:val="none"/>
              </w:rPr>
            </w:pPr>
          </w:p>
        </w:tc>
        <w:tc>
          <w:tcPr>
            <w:tcW w:w="505" w:type="pct"/>
            <w:vMerge w:val="continue"/>
            <w:noWrap w:val="0"/>
            <w:vAlign w:val="center"/>
          </w:tcPr>
          <w:p w14:paraId="54315D80">
            <w:pPr>
              <w:keepNext w:val="0"/>
              <w:keepLines w:val="0"/>
              <w:suppressLineNumbers w:val="0"/>
              <w:spacing w:before="0" w:beforeAutospacing="0" w:after="0" w:afterAutospacing="0"/>
              <w:ind w:left="0" w:right="0"/>
              <w:rPr>
                <w:rFonts w:hint="eastAsia" w:ascii="宋体" w:hAnsi="宋体" w:cs="宋体"/>
                <w:color w:val="auto"/>
                <w:highlight w:val="none"/>
              </w:rPr>
            </w:pPr>
          </w:p>
        </w:tc>
        <w:tc>
          <w:tcPr>
            <w:tcW w:w="505" w:type="pct"/>
            <w:noWrap w:val="0"/>
            <w:vAlign w:val="center"/>
          </w:tcPr>
          <w:p w14:paraId="5032C3FF">
            <w:pPr>
              <w:keepNext w:val="0"/>
              <w:keepLines w:val="0"/>
              <w:suppressLineNumbers w:val="0"/>
              <w:spacing w:before="0" w:beforeAutospacing="0" w:after="0" w:afterAutospacing="0"/>
              <w:ind w:left="0" w:right="0"/>
              <w:rPr>
                <w:rFonts w:hint="eastAsia" w:ascii="宋体" w:hAnsi="宋体" w:cs="宋体"/>
                <w:color w:val="auto"/>
                <w:highlight w:val="none"/>
              </w:rPr>
            </w:pPr>
          </w:p>
        </w:tc>
        <w:tc>
          <w:tcPr>
            <w:tcW w:w="482" w:type="pct"/>
            <w:noWrap w:val="0"/>
            <w:vAlign w:val="center"/>
          </w:tcPr>
          <w:p w14:paraId="2B37E313">
            <w:pPr>
              <w:keepNext w:val="0"/>
              <w:keepLines w:val="0"/>
              <w:suppressLineNumbers w:val="0"/>
              <w:spacing w:before="0" w:beforeAutospacing="0" w:after="0" w:afterAutospacing="0"/>
              <w:ind w:left="0" w:right="0"/>
              <w:rPr>
                <w:rFonts w:hint="eastAsia" w:ascii="宋体" w:hAnsi="宋体" w:cs="宋体"/>
                <w:color w:val="auto"/>
                <w:highlight w:val="none"/>
              </w:rPr>
            </w:pPr>
          </w:p>
        </w:tc>
        <w:tc>
          <w:tcPr>
            <w:tcW w:w="311" w:type="pct"/>
            <w:noWrap w:val="0"/>
            <w:vAlign w:val="center"/>
          </w:tcPr>
          <w:p w14:paraId="379181AD">
            <w:pPr>
              <w:keepNext w:val="0"/>
              <w:keepLines w:val="0"/>
              <w:suppressLineNumbers w:val="0"/>
              <w:spacing w:before="0" w:beforeAutospacing="0" w:after="0" w:afterAutospacing="0"/>
              <w:ind w:left="0" w:right="0"/>
              <w:rPr>
                <w:rFonts w:hint="eastAsia" w:ascii="宋体" w:hAnsi="宋体" w:cs="宋体"/>
                <w:color w:val="auto"/>
                <w:highlight w:val="none"/>
              </w:rPr>
            </w:pPr>
          </w:p>
        </w:tc>
      </w:tr>
      <w:tr w14:paraId="7F3548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23" w:type="pct"/>
            <w:noWrap w:val="0"/>
            <w:vAlign w:val="center"/>
          </w:tcPr>
          <w:p w14:paraId="4FBC9667">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lang w:eastAsia="zh-CN"/>
              </w:rPr>
            </w:pPr>
            <w:r>
              <w:rPr>
                <w:rFonts w:hint="eastAsia" w:ascii="宋体" w:hAnsi="宋体" w:cs="宋体"/>
                <w:color w:val="auto"/>
                <w:highlight w:val="none"/>
              </w:rPr>
              <w:t>……</w:t>
            </w:r>
          </w:p>
        </w:tc>
        <w:tc>
          <w:tcPr>
            <w:tcW w:w="498" w:type="pct"/>
            <w:vMerge w:val="continue"/>
            <w:noWrap w:val="0"/>
            <w:vAlign w:val="center"/>
          </w:tcPr>
          <w:p w14:paraId="75B965A2">
            <w:pPr>
              <w:keepNext w:val="0"/>
              <w:keepLines w:val="0"/>
              <w:suppressLineNumbers w:val="0"/>
              <w:spacing w:before="0" w:beforeAutospacing="0" w:after="0" w:afterAutospacing="0"/>
              <w:ind w:left="0" w:right="0"/>
              <w:rPr>
                <w:rFonts w:hint="eastAsia" w:ascii="宋体" w:hAnsi="宋体" w:cs="宋体"/>
                <w:color w:val="auto"/>
                <w:highlight w:val="none"/>
              </w:rPr>
            </w:pPr>
          </w:p>
        </w:tc>
        <w:tc>
          <w:tcPr>
            <w:tcW w:w="499" w:type="pct"/>
            <w:noWrap w:val="0"/>
            <w:vAlign w:val="center"/>
          </w:tcPr>
          <w:p w14:paraId="61E84B59">
            <w:pPr>
              <w:keepNext w:val="0"/>
              <w:keepLines w:val="0"/>
              <w:suppressLineNumbers w:val="0"/>
              <w:spacing w:before="0" w:beforeAutospacing="0" w:after="0" w:afterAutospacing="0"/>
              <w:ind w:left="0" w:right="0"/>
              <w:rPr>
                <w:rFonts w:hint="eastAsia" w:ascii="宋体" w:hAnsi="宋体" w:cs="宋体"/>
                <w:color w:val="auto"/>
                <w:highlight w:val="none"/>
              </w:rPr>
            </w:pPr>
          </w:p>
        </w:tc>
        <w:tc>
          <w:tcPr>
            <w:tcW w:w="454" w:type="pct"/>
            <w:noWrap w:val="0"/>
            <w:vAlign w:val="center"/>
          </w:tcPr>
          <w:p w14:paraId="07051217">
            <w:pPr>
              <w:keepNext w:val="0"/>
              <w:keepLines w:val="0"/>
              <w:suppressLineNumbers w:val="0"/>
              <w:spacing w:before="0" w:beforeAutospacing="0" w:after="0" w:afterAutospacing="0"/>
              <w:ind w:left="0" w:right="0"/>
              <w:rPr>
                <w:rFonts w:hint="eastAsia" w:ascii="宋体" w:hAnsi="宋体" w:cs="宋体"/>
                <w:color w:val="auto"/>
                <w:highlight w:val="none"/>
              </w:rPr>
            </w:pPr>
          </w:p>
        </w:tc>
        <w:tc>
          <w:tcPr>
            <w:tcW w:w="569" w:type="pct"/>
            <w:noWrap w:val="0"/>
            <w:vAlign w:val="center"/>
          </w:tcPr>
          <w:p w14:paraId="1D351496">
            <w:pPr>
              <w:keepNext w:val="0"/>
              <w:keepLines w:val="0"/>
              <w:suppressLineNumbers w:val="0"/>
              <w:spacing w:before="0" w:beforeAutospacing="0" w:after="0" w:afterAutospacing="0"/>
              <w:ind w:left="0" w:right="0"/>
              <w:rPr>
                <w:rFonts w:hint="eastAsia" w:ascii="宋体" w:hAnsi="宋体" w:cs="宋体"/>
                <w:color w:val="auto"/>
                <w:highlight w:val="none"/>
              </w:rPr>
            </w:pPr>
          </w:p>
        </w:tc>
        <w:tc>
          <w:tcPr>
            <w:tcW w:w="425" w:type="pct"/>
            <w:noWrap w:val="0"/>
            <w:vAlign w:val="center"/>
          </w:tcPr>
          <w:p w14:paraId="2396B8FA">
            <w:pPr>
              <w:keepNext w:val="0"/>
              <w:keepLines w:val="0"/>
              <w:suppressLineNumbers w:val="0"/>
              <w:spacing w:before="0" w:beforeAutospacing="0" w:after="0" w:afterAutospacing="0"/>
              <w:ind w:left="0" w:right="0"/>
              <w:rPr>
                <w:rFonts w:hint="eastAsia" w:ascii="宋体" w:hAnsi="宋体" w:cs="宋体"/>
                <w:color w:val="auto"/>
                <w:highlight w:val="none"/>
              </w:rPr>
            </w:pPr>
          </w:p>
        </w:tc>
        <w:tc>
          <w:tcPr>
            <w:tcW w:w="425" w:type="pct"/>
            <w:noWrap w:val="0"/>
            <w:vAlign w:val="center"/>
          </w:tcPr>
          <w:p w14:paraId="2ADE3907">
            <w:pPr>
              <w:keepNext w:val="0"/>
              <w:keepLines w:val="0"/>
              <w:suppressLineNumbers w:val="0"/>
              <w:spacing w:before="0" w:beforeAutospacing="0" w:after="0" w:afterAutospacing="0"/>
              <w:ind w:left="0" w:right="0"/>
              <w:rPr>
                <w:rFonts w:hint="eastAsia" w:ascii="宋体" w:hAnsi="宋体" w:cs="宋体"/>
                <w:color w:val="auto"/>
                <w:highlight w:val="none"/>
              </w:rPr>
            </w:pPr>
          </w:p>
        </w:tc>
        <w:tc>
          <w:tcPr>
            <w:tcW w:w="505" w:type="pct"/>
            <w:vMerge w:val="continue"/>
            <w:noWrap w:val="0"/>
            <w:vAlign w:val="center"/>
          </w:tcPr>
          <w:p w14:paraId="033896D3">
            <w:pPr>
              <w:keepNext w:val="0"/>
              <w:keepLines w:val="0"/>
              <w:suppressLineNumbers w:val="0"/>
              <w:spacing w:before="0" w:beforeAutospacing="0" w:after="0" w:afterAutospacing="0"/>
              <w:ind w:left="0" w:right="0"/>
              <w:rPr>
                <w:rFonts w:hint="eastAsia" w:ascii="宋体" w:hAnsi="宋体" w:cs="宋体"/>
                <w:color w:val="auto"/>
                <w:highlight w:val="none"/>
              </w:rPr>
            </w:pPr>
          </w:p>
        </w:tc>
        <w:tc>
          <w:tcPr>
            <w:tcW w:w="505" w:type="pct"/>
            <w:noWrap w:val="0"/>
            <w:vAlign w:val="center"/>
          </w:tcPr>
          <w:p w14:paraId="5403AB7F">
            <w:pPr>
              <w:keepNext w:val="0"/>
              <w:keepLines w:val="0"/>
              <w:suppressLineNumbers w:val="0"/>
              <w:spacing w:before="0" w:beforeAutospacing="0" w:after="0" w:afterAutospacing="0"/>
              <w:ind w:left="0" w:right="0"/>
              <w:rPr>
                <w:rFonts w:hint="eastAsia" w:ascii="宋体" w:hAnsi="宋体" w:cs="宋体"/>
                <w:color w:val="auto"/>
                <w:highlight w:val="none"/>
              </w:rPr>
            </w:pPr>
          </w:p>
        </w:tc>
        <w:tc>
          <w:tcPr>
            <w:tcW w:w="482" w:type="pct"/>
            <w:noWrap w:val="0"/>
            <w:vAlign w:val="center"/>
          </w:tcPr>
          <w:p w14:paraId="092CDC59">
            <w:pPr>
              <w:keepNext w:val="0"/>
              <w:keepLines w:val="0"/>
              <w:suppressLineNumbers w:val="0"/>
              <w:spacing w:before="0" w:beforeAutospacing="0" w:after="0" w:afterAutospacing="0"/>
              <w:ind w:left="0" w:right="0"/>
              <w:rPr>
                <w:rFonts w:hint="eastAsia" w:ascii="宋体" w:hAnsi="宋体" w:cs="宋体"/>
                <w:color w:val="auto"/>
                <w:highlight w:val="none"/>
              </w:rPr>
            </w:pPr>
          </w:p>
        </w:tc>
        <w:tc>
          <w:tcPr>
            <w:tcW w:w="311" w:type="pct"/>
            <w:noWrap w:val="0"/>
            <w:vAlign w:val="center"/>
          </w:tcPr>
          <w:p w14:paraId="75B31BCC">
            <w:pPr>
              <w:keepNext w:val="0"/>
              <w:keepLines w:val="0"/>
              <w:suppressLineNumbers w:val="0"/>
              <w:spacing w:before="0" w:beforeAutospacing="0" w:after="0" w:afterAutospacing="0"/>
              <w:ind w:left="0" w:right="0"/>
              <w:rPr>
                <w:rFonts w:hint="eastAsia" w:ascii="宋体" w:hAnsi="宋体" w:cs="宋体"/>
                <w:color w:val="auto"/>
                <w:highlight w:val="none"/>
              </w:rPr>
            </w:pPr>
          </w:p>
        </w:tc>
      </w:tr>
      <w:tr w14:paraId="5D9E7E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23" w:type="pct"/>
            <w:noWrap w:val="0"/>
            <w:vAlign w:val="center"/>
          </w:tcPr>
          <w:p w14:paraId="557ADBBC">
            <w:pPr>
              <w:keepNext w:val="0"/>
              <w:keepLines w:val="0"/>
              <w:suppressLineNumbers w:val="0"/>
              <w:spacing w:before="0" w:beforeAutospacing="0" w:after="0" w:afterAutospacing="0"/>
              <w:ind w:left="0" w:right="0"/>
              <w:jc w:val="center"/>
              <w:rPr>
                <w:rFonts w:hint="eastAsia" w:ascii="宋体" w:hAnsi="宋体" w:cs="宋体"/>
                <w:color w:val="auto"/>
                <w:highlight w:val="none"/>
              </w:rPr>
            </w:pPr>
            <w:r>
              <w:rPr>
                <w:rFonts w:hint="eastAsia" w:ascii="宋体" w:hAnsi="宋体" w:cs="宋体"/>
                <w:color w:val="auto"/>
                <w:highlight w:val="none"/>
              </w:rPr>
              <w:t>……</w:t>
            </w:r>
          </w:p>
        </w:tc>
        <w:tc>
          <w:tcPr>
            <w:tcW w:w="498" w:type="pct"/>
            <w:vMerge w:val="restart"/>
            <w:noWrap w:val="0"/>
            <w:vAlign w:val="center"/>
          </w:tcPr>
          <w:p w14:paraId="357DA2B7">
            <w:pPr>
              <w:keepNext w:val="0"/>
              <w:keepLines w:val="0"/>
              <w:suppressLineNumbers w:val="0"/>
              <w:spacing w:before="0" w:beforeAutospacing="0" w:after="0" w:afterAutospacing="0"/>
              <w:ind w:left="0" w:right="0"/>
              <w:rPr>
                <w:rFonts w:hint="default" w:ascii="宋体" w:hAnsi="宋体" w:eastAsia="宋体" w:cs="宋体"/>
                <w:color w:val="auto"/>
                <w:highlight w:val="none"/>
                <w:lang w:val="en-US" w:eastAsia="zh-CN"/>
              </w:rPr>
            </w:pPr>
            <w:r>
              <w:rPr>
                <w:rFonts w:hint="eastAsia" w:ascii="宋体" w:hAnsi="宋体" w:cs="宋体"/>
                <w:color w:val="auto"/>
                <w:highlight w:val="none"/>
                <w:lang w:val="en-US" w:eastAsia="zh-CN"/>
              </w:rPr>
              <w:t>2025年1月1日（含）后</w:t>
            </w:r>
          </w:p>
        </w:tc>
        <w:tc>
          <w:tcPr>
            <w:tcW w:w="499" w:type="pct"/>
            <w:noWrap w:val="0"/>
            <w:vAlign w:val="center"/>
          </w:tcPr>
          <w:p w14:paraId="603C04C9">
            <w:pPr>
              <w:keepNext w:val="0"/>
              <w:keepLines w:val="0"/>
              <w:suppressLineNumbers w:val="0"/>
              <w:spacing w:before="0" w:beforeAutospacing="0" w:after="0" w:afterAutospacing="0"/>
              <w:ind w:left="0" w:right="0"/>
              <w:rPr>
                <w:rFonts w:hint="eastAsia" w:ascii="宋体" w:hAnsi="宋体" w:cs="宋体"/>
                <w:color w:val="auto"/>
                <w:highlight w:val="none"/>
              </w:rPr>
            </w:pPr>
          </w:p>
        </w:tc>
        <w:tc>
          <w:tcPr>
            <w:tcW w:w="454" w:type="pct"/>
            <w:noWrap w:val="0"/>
            <w:vAlign w:val="center"/>
          </w:tcPr>
          <w:p w14:paraId="2DB9E3B7">
            <w:pPr>
              <w:keepNext w:val="0"/>
              <w:keepLines w:val="0"/>
              <w:suppressLineNumbers w:val="0"/>
              <w:spacing w:before="0" w:beforeAutospacing="0" w:after="0" w:afterAutospacing="0"/>
              <w:ind w:left="0" w:right="0"/>
              <w:rPr>
                <w:rFonts w:hint="eastAsia" w:ascii="宋体" w:hAnsi="宋体" w:cs="宋体"/>
                <w:color w:val="auto"/>
                <w:highlight w:val="none"/>
              </w:rPr>
            </w:pPr>
          </w:p>
        </w:tc>
        <w:tc>
          <w:tcPr>
            <w:tcW w:w="569" w:type="pct"/>
            <w:noWrap w:val="0"/>
            <w:vAlign w:val="center"/>
          </w:tcPr>
          <w:p w14:paraId="253CD4AF">
            <w:pPr>
              <w:keepNext w:val="0"/>
              <w:keepLines w:val="0"/>
              <w:suppressLineNumbers w:val="0"/>
              <w:spacing w:before="0" w:beforeAutospacing="0" w:after="0" w:afterAutospacing="0"/>
              <w:ind w:left="0" w:right="0"/>
              <w:rPr>
                <w:rFonts w:hint="eastAsia" w:ascii="宋体" w:hAnsi="宋体" w:cs="宋体"/>
                <w:color w:val="auto"/>
                <w:highlight w:val="none"/>
              </w:rPr>
            </w:pPr>
          </w:p>
        </w:tc>
        <w:tc>
          <w:tcPr>
            <w:tcW w:w="425" w:type="pct"/>
            <w:noWrap w:val="0"/>
            <w:vAlign w:val="center"/>
          </w:tcPr>
          <w:p w14:paraId="29FDD745">
            <w:pPr>
              <w:keepNext w:val="0"/>
              <w:keepLines w:val="0"/>
              <w:suppressLineNumbers w:val="0"/>
              <w:spacing w:before="0" w:beforeAutospacing="0" w:after="0" w:afterAutospacing="0"/>
              <w:ind w:left="0" w:right="0"/>
              <w:rPr>
                <w:rFonts w:hint="eastAsia" w:ascii="宋体" w:hAnsi="宋体" w:cs="宋体"/>
                <w:color w:val="auto"/>
                <w:highlight w:val="none"/>
              </w:rPr>
            </w:pPr>
          </w:p>
        </w:tc>
        <w:tc>
          <w:tcPr>
            <w:tcW w:w="425" w:type="pct"/>
            <w:noWrap w:val="0"/>
            <w:vAlign w:val="center"/>
          </w:tcPr>
          <w:p w14:paraId="576B2754">
            <w:pPr>
              <w:keepNext w:val="0"/>
              <w:keepLines w:val="0"/>
              <w:suppressLineNumbers w:val="0"/>
              <w:spacing w:before="0" w:beforeAutospacing="0" w:after="0" w:afterAutospacing="0"/>
              <w:ind w:left="0" w:right="0"/>
              <w:rPr>
                <w:rFonts w:hint="eastAsia" w:ascii="宋体" w:hAnsi="宋体" w:cs="宋体"/>
                <w:color w:val="auto"/>
                <w:highlight w:val="none"/>
              </w:rPr>
            </w:pPr>
          </w:p>
        </w:tc>
        <w:tc>
          <w:tcPr>
            <w:tcW w:w="505" w:type="pct"/>
            <w:vMerge w:val="restart"/>
            <w:noWrap w:val="0"/>
            <w:vAlign w:val="center"/>
          </w:tcPr>
          <w:p w14:paraId="21D5319F">
            <w:pPr>
              <w:keepNext w:val="0"/>
              <w:keepLines w:val="0"/>
              <w:suppressLineNumbers w:val="0"/>
              <w:spacing w:before="0" w:beforeAutospacing="0" w:after="0" w:afterAutospacing="0"/>
              <w:ind w:left="0" w:right="0"/>
              <w:rPr>
                <w:rFonts w:hint="eastAsia" w:ascii="宋体" w:hAnsi="宋体" w:cs="宋体"/>
                <w:color w:val="auto"/>
                <w:highlight w:val="none"/>
              </w:rPr>
            </w:pPr>
          </w:p>
        </w:tc>
        <w:tc>
          <w:tcPr>
            <w:tcW w:w="505" w:type="pct"/>
            <w:noWrap w:val="0"/>
            <w:vAlign w:val="center"/>
          </w:tcPr>
          <w:p w14:paraId="2F5BF8EA">
            <w:pPr>
              <w:keepNext w:val="0"/>
              <w:keepLines w:val="0"/>
              <w:suppressLineNumbers w:val="0"/>
              <w:spacing w:before="0" w:beforeAutospacing="0" w:after="0" w:afterAutospacing="0"/>
              <w:ind w:left="0" w:right="0"/>
              <w:rPr>
                <w:rFonts w:hint="eastAsia" w:ascii="宋体" w:hAnsi="宋体" w:cs="宋体"/>
                <w:color w:val="auto"/>
                <w:highlight w:val="none"/>
              </w:rPr>
            </w:pPr>
          </w:p>
        </w:tc>
        <w:tc>
          <w:tcPr>
            <w:tcW w:w="482" w:type="pct"/>
            <w:noWrap w:val="0"/>
            <w:vAlign w:val="center"/>
          </w:tcPr>
          <w:p w14:paraId="68F33419">
            <w:pPr>
              <w:keepNext w:val="0"/>
              <w:keepLines w:val="0"/>
              <w:suppressLineNumbers w:val="0"/>
              <w:spacing w:before="0" w:beforeAutospacing="0" w:after="0" w:afterAutospacing="0"/>
              <w:ind w:left="0" w:right="0"/>
              <w:rPr>
                <w:rFonts w:hint="eastAsia" w:ascii="宋体" w:hAnsi="宋体" w:cs="宋体"/>
                <w:color w:val="auto"/>
                <w:highlight w:val="none"/>
              </w:rPr>
            </w:pPr>
          </w:p>
        </w:tc>
        <w:tc>
          <w:tcPr>
            <w:tcW w:w="311" w:type="pct"/>
            <w:noWrap w:val="0"/>
            <w:vAlign w:val="center"/>
          </w:tcPr>
          <w:p w14:paraId="24717059">
            <w:pPr>
              <w:keepNext w:val="0"/>
              <w:keepLines w:val="0"/>
              <w:suppressLineNumbers w:val="0"/>
              <w:spacing w:before="0" w:beforeAutospacing="0" w:after="0" w:afterAutospacing="0"/>
              <w:ind w:left="0" w:right="0"/>
              <w:rPr>
                <w:rFonts w:hint="eastAsia" w:ascii="宋体" w:hAnsi="宋体" w:cs="宋体"/>
                <w:color w:val="auto"/>
                <w:highlight w:val="none"/>
              </w:rPr>
            </w:pPr>
          </w:p>
        </w:tc>
      </w:tr>
      <w:tr w14:paraId="3D20C5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23" w:type="pct"/>
            <w:noWrap w:val="0"/>
            <w:vAlign w:val="center"/>
          </w:tcPr>
          <w:p w14:paraId="2E20423A">
            <w:pPr>
              <w:keepNext w:val="0"/>
              <w:keepLines w:val="0"/>
              <w:suppressLineNumbers w:val="0"/>
              <w:spacing w:before="0" w:beforeAutospacing="0" w:after="0" w:afterAutospacing="0"/>
              <w:ind w:left="0" w:right="0"/>
              <w:jc w:val="center"/>
              <w:rPr>
                <w:rFonts w:hint="eastAsia" w:ascii="宋体" w:hAnsi="宋体" w:cs="宋体"/>
                <w:color w:val="auto"/>
                <w:highlight w:val="none"/>
              </w:rPr>
            </w:pPr>
            <w:r>
              <w:rPr>
                <w:rFonts w:hint="eastAsia" w:ascii="宋体" w:hAnsi="宋体" w:cs="宋体"/>
                <w:color w:val="auto"/>
                <w:highlight w:val="none"/>
              </w:rPr>
              <w:t>……</w:t>
            </w:r>
          </w:p>
        </w:tc>
        <w:tc>
          <w:tcPr>
            <w:tcW w:w="498" w:type="pct"/>
            <w:vMerge w:val="continue"/>
            <w:noWrap w:val="0"/>
            <w:vAlign w:val="center"/>
          </w:tcPr>
          <w:p w14:paraId="664B0AA5">
            <w:pPr>
              <w:keepNext w:val="0"/>
              <w:keepLines w:val="0"/>
              <w:suppressLineNumbers w:val="0"/>
              <w:spacing w:before="0" w:beforeAutospacing="0" w:after="0" w:afterAutospacing="0"/>
              <w:ind w:left="0" w:right="0"/>
              <w:rPr>
                <w:rFonts w:hint="eastAsia" w:ascii="宋体" w:hAnsi="宋体" w:cs="宋体"/>
                <w:color w:val="auto"/>
                <w:highlight w:val="none"/>
              </w:rPr>
            </w:pPr>
          </w:p>
        </w:tc>
        <w:tc>
          <w:tcPr>
            <w:tcW w:w="499" w:type="pct"/>
            <w:noWrap w:val="0"/>
            <w:vAlign w:val="center"/>
          </w:tcPr>
          <w:p w14:paraId="6A07A1D3">
            <w:pPr>
              <w:keepNext w:val="0"/>
              <w:keepLines w:val="0"/>
              <w:suppressLineNumbers w:val="0"/>
              <w:spacing w:before="0" w:beforeAutospacing="0" w:after="0" w:afterAutospacing="0"/>
              <w:ind w:left="0" w:right="0"/>
              <w:rPr>
                <w:rFonts w:hint="eastAsia" w:ascii="宋体" w:hAnsi="宋体" w:cs="宋体"/>
                <w:color w:val="auto"/>
                <w:highlight w:val="none"/>
              </w:rPr>
            </w:pPr>
          </w:p>
        </w:tc>
        <w:tc>
          <w:tcPr>
            <w:tcW w:w="454" w:type="pct"/>
            <w:noWrap w:val="0"/>
            <w:vAlign w:val="center"/>
          </w:tcPr>
          <w:p w14:paraId="6FC88E83">
            <w:pPr>
              <w:keepNext w:val="0"/>
              <w:keepLines w:val="0"/>
              <w:suppressLineNumbers w:val="0"/>
              <w:spacing w:before="0" w:beforeAutospacing="0" w:after="0" w:afterAutospacing="0"/>
              <w:ind w:left="0" w:right="0"/>
              <w:rPr>
                <w:rFonts w:hint="eastAsia" w:ascii="宋体" w:hAnsi="宋体" w:cs="宋体"/>
                <w:color w:val="auto"/>
                <w:highlight w:val="none"/>
              </w:rPr>
            </w:pPr>
          </w:p>
        </w:tc>
        <w:tc>
          <w:tcPr>
            <w:tcW w:w="569" w:type="pct"/>
            <w:noWrap w:val="0"/>
            <w:vAlign w:val="center"/>
          </w:tcPr>
          <w:p w14:paraId="336F03B2">
            <w:pPr>
              <w:keepNext w:val="0"/>
              <w:keepLines w:val="0"/>
              <w:suppressLineNumbers w:val="0"/>
              <w:spacing w:before="0" w:beforeAutospacing="0" w:after="0" w:afterAutospacing="0"/>
              <w:ind w:left="0" w:right="0"/>
              <w:rPr>
                <w:rFonts w:hint="eastAsia" w:ascii="宋体" w:hAnsi="宋体" w:cs="宋体"/>
                <w:color w:val="auto"/>
                <w:highlight w:val="none"/>
              </w:rPr>
            </w:pPr>
          </w:p>
        </w:tc>
        <w:tc>
          <w:tcPr>
            <w:tcW w:w="425" w:type="pct"/>
            <w:noWrap w:val="0"/>
            <w:vAlign w:val="center"/>
          </w:tcPr>
          <w:p w14:paraId="2DDAD10B">
            <w:pPr>
              <w:keepNext w:val="0"/>
              <w:keepLines w:val="0"/>
              <w:suppressLineNumbers w:val="0"/>
              <w:spacing w:before="0" w:beforeAutospacing="0" w:after="0" w:afterAutospacing="0"/>
              <w:ind w:left="0" w:right="0"/>
              <w:rPr>
                <w:rFonts w:hint="eastAsia" w:ascii="宋体" w:hAnsi="宋体" w:cs="宋体"/>
                <w:color w:val="auto"/>
                <w:highlight w:val="none"/>
              </w:rPr>
            </w:pPr>
          </w:p>
        </w:tc>
        <w:tc>
          <w:tcPr>
            <w:tcW w:w="425" w:type="pct"/>
            <w:noWrap w:val="0"/>
            <w:vAlign w:val="center"/>
          </w:tcPr>
          <w:p w14:paraId="5DA87FAC">
            <w:pPr>
              <w:keepNext w:val="0"/>
              <w:keepLines w:val="0"/>
              <w:suppressLineNumbers w:val="0"/>
              <w:spacing w:before="0" w:beforeAutospacing="0" w:after="0" w:afterAutospacing="0"/>
              <w:ind w:left="0" w:right="0"/>
              <w:rPr>
                <w:rFonts w:hint="eastAsia" w:ascii="宋体" w:hAnsi="宋体" w:cs="宋体"/>
                <w:color w:val="auto"/>
                <w:highlight w:val="none"/>
              </w:rPr>
            </w:pPr>
          </w:p>
        </w:tc>
        <w:tc>
          <w:tcPr>
            <w:tcW w:w="505" w:type="pct"/>
            <w:vMerge w:val="continue"/>
            <w:noWrap w:val="0"/>
            <w:vAlign w:val="center"/>
          </w:tcPr>
          <w:p w14:paraId="5BFF839C">
            <w:pPr>
              <w:keepNext w:val="0"/>
              <w:keepLines w:val="0"/>
              <w:suppressLineNumbers w:val="0"/>
              <w:spacing w:before="0" w:beforeAutospacing="0" w:after="0" w:afterAutospacing="0"/>
              <w:ind w:left="0" w:right="0"/>
              <w:rPr>
                <w:rFonts w:hint="eastAsia" w:ascii="宋体" w:hAnsi="宋体" w:cs="宋体"/>
                <w:color w:val="auto"/>
                <w:highlight w:val="none"/>
              </w:rPr>
            </w:pPr>
          </w:p>
        </w:tc>
        <w:tc>
          <w:tcPr>
            <w:tcW w:w="505" w:type="pct"/>
            <w:noWrap w:val="0"/>
            <w:vAlign w:val="center"/>
          </w:tcPr>
          <w:p w14:paraId="3037BC4E">
            <w:pPr>
              <w:keepNext w:val="0"/>
              <w:keepLines w:val="0"/>
              <w:suppressLineNumbers w:val="0"/>
              <w:spacing w:before="0" w:beforeAutospacing="0" w:after="0" w:afterAutospacing="0"/>
              <w:ind w:left="0" w:right="0"/>
              <w:rPr>
                <w:rFonts w:hint="eastAsia" w:ascii="宋体" w:hAnsi="宋体" w:cs="宋体"/>
                <w:color w:val="auto"/>
                <w:highlight w:val="none"/>
              </w:rPr>
            </w:pPr>
          </w:p>
        </w:tc>
        <w:tc>
          <w:tcPr>
            <w:tcW w:w="482" w:type="pct"/>
            <w:noWrap w:val="0"/>
            <w:vAlign w:val="center"/>
          </w:tcPr>
          <w:p w14:paraId="17154681">
            <w:pPr>
              <w:keepNext w:val="0"/>
              <w:keepLines w:val="0"/>
              <w:suppressLineNumbers w:val="0"/>
              <w:spacing w:before="0" w:beforeAutospacing="0" w:after="0" w:afterAutospacing="0"/>
              <w:ind w:left="0" w:right="0"/>
              <w:rPr>
                <w:rFonts w:hint="eastAsia" w:ascii="宋体" w:hAnsi="宋体" w:cs="宋体"/>
                <w:color w:val="auto"/>
                <w:highlight w:val="none"/>
              </w:rPr>
            </w:pPr>
          </w:p>
        </w:tc>
        <w:tc>
          <w:tcPr>
            <w:tcW w:w="311" w:type="pct"/>
            <w:noWrap w:val="0"/>
            <w:vAlign w:val="center"/>
          </w:tcPr>
          <w:p w14:paraId="7BD13201">
            <w:pPr>
              <w:keepNext w:val="0"/>
              <w:keepLines w:val="0"/>
              <w:suppressLineNumbers w:val="0"/>
              <w:spacing w:before="0" w:beforeAutospacing="0" w:after="0" w:afterAutospacing="0"/>
              <w:ind w:left="0" w:right="0"/>
              <w:rPr>
                <w:rFonts w:hint="eastAsia" w:ascii="宋体" w:hAnsi="宋体" w:cs="宋体"/>
                <w:color w:val="auto"/>
                <w:highlight w:val="none"/>
              </w:rPr>
            </w:pPr>
          </w:p>
        </w:tc>
      </w:tr>
      <w:tr w14:paraId="4DA97B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23" w:type="pct"/>
            <w:noWrap w:val="0"/>
            <w:vAlign w:val="center"/>
          </w:tcPr>
          <w:p w14:paraId="00EAF8B0">
            <w:pPr>
              <w:keepNext w:val="0"/>
              <w:keepLines w:val="0"/>
              <w:suppressLineNumbers w:val="0"/>
              <w:spacing w:before="0" w:beforeAutospacing="0" w:after="0" w:afterAutospacing="0"/>
              <w:ind w:left="0" w:right="0"/>
              <w:jc w:val="center"/>
              <w:rPr>
                <w:rFonts w:hint="eastAsia" w:ascii="宋体" w:hAnsi="宋体" w:cs="宋体"/>
                <w:color w:val="auto"/>
                <w:highlight w:val="none"/>
              </w:rPr>
            </w:pPr>
            <w:r>
              <w:rPr>
                <w:rFonts w:hint="eastAsia" w:ascii="宋体" w:hAnsi="宋体" w:cs="宋体"/>
                <w:color w:val="auto"/>
                <w:highlight w:val="none"/>
              </w:rPr>
              <w:t>……</w:t>
            </w:r>
          </w:p>
        </w:tc>
        <w:tc>
          <w:tcPr>
            <w:tcW w:w="498" w:type="pct"/>
            <w:vMerge w:val="continue"/>
            <w:noWrap w:val="0"/>
            <w:vAlign w:val="center"/>
          </w:tcPr>
          <w:p w14:paraId="3E99426A">
            <w:pPr>
              <w:keepNext w:val="0"/>
              <w:keepLines w:val="0"/>
              <w:suppressLineNumbers w:val="0"/>
              <w:spacing w:before="0" w:beforeAutospacing="0" w:after="0" w:afterAutospacing="0"/>
              <w:ind w:left="0" w:right="0"/>
              <w:rPr>
                <w:rFonts w:hint="eastAsia" w:ascii="宋体" w:hAnsi="宋体" w:cs="宋体"/>
                <w:color w:val="auto"/>
                <w:highlight w:val="none"/>
              </w:rPr>
            </w:pPr>
          </w:p>
        </w:tc>
        <w:tc>
          <w:tcPr>
            <w:tcW w:w="499" w:type="pct"/>
            <w:noWrap w:val="0"/>
            <w:vAlign w:val="center"/>
          </w:tcPr>
          <w:p w14:paraId="25F4EC3F">
            <w:pPr>
              <w:keepNext w:val="0"/>
              <w:keepLines w:val="0"/>
              <w:suppressLineNumbers w:val="0"/>
              <w:spacing w:before="0" w:beforeAutospacing="0" w:after="0" w:afterAutospacing="0"/>
              <w:ind w:left="0" w:right="0"/>
              <w:rPr>
                <w:rFonts w:hint="eastAsia" w:ascii="宋体" w:hAnsi="宋体" w:cs="宋体"/>
                <w:color w:val="auto"/>
                <w:highlight w:val="none"/>
              </w:rPr>
            </w:pPr>
          </w:p>
        </w:tc>
        <w:tc>
          <w:tcPr>
            <w:tcW w:w="454" w:type="pct"/>
            <w:noWrap w:val="0"/>
            <w:vAlign w:val="center"/>
          </w:tcPr>
          <w:p w14:paraId="785BC695">
            <w:pPr>
              <w:keepNext w:val="0"/>
              <w:keepLines w:val="0"/>
              <w:suppressLineNumbers w:val="0"/>
              <w:spacing w:before="0" w:beforeAutospacing="0" w:after="0" w:afterAutospacing="0"/>
              <w:ind w:left="0" w:right="0"/>
              <w:rPr>
                <w:rFonts w:hint="eastAsia" w:ascii="宋体" w:hAnsi="宋体" w:cs="宋体"/>
                <w:color w:val="auto"/>
                <w:highlight w:val="none"/>
              </w:rPr>
            </w:pPr>
          </w:p>
        </w:tc>
        <w:tc>
          <w:tcPr>
            <w:tcW w:w="569" w:type="pct"/>
            <w:noWrap w:val="0"/>
            <w:vAlign w:val="center"/>
          </w:tcPr>
          <w:p w14:paraId="2D83BFBD">
            <w:pPr>
              <w:keepNext w:val="0"/>
              <w:keepLines w:val="0"/>
              <w:suppressLineNumbers w:val="0"/>
              <w:spacing w:before="0" w:beforeAutospacing="0" w:after="0" w:afterAutospacing="0"/>
              <w:ind w:left="0" w:right="0"/>
              <w:rPr>
                <w:rFonts w:hint="eastAsia" w:ascii="宋体" w:hAnsi="宋体" w:cs="宋体"/>
                <w:color w:val="auto"/>
                <w:highlight w:val="none"/>
              </w:rPr>
            </w:pPr>
          </w:p>
        </w:tc>
        <w:tc>
          <w:tcPr>
            <w:tcW w:w="425" w:type="pct"/>
            <w:noWrap w:val="0"/>
            <w:vAlign w:val="center"/>
          </w:tcPr>
          <w:p w14:paraId="60A766C8">
            <w:pPr>
              <w:keepNext w:val="0"/>
              <w:keepLines w:val="0"/>
              <w:suppressLineNumbers w:val="0"/>
              <w:spacing w:before="0" w:beforeAutospacing="0" w:after="0" w:afterAutospacing="0"/>
              <w:ind w:left="0" w:right="0"/>
              <w:rPr>
                <w:rFonts w:hint="eastAsia" w:ascii="宋体" w:hAnsi="宋体" w:cs="宋体"/>
                <w:color w:val="auto"/>
                <w:highlight w:val="none"/>
              </w:rPr>
            </w:pPr>
          </w:p>
        </w:tc>
        <w:tc>
          <w:tcPr>
            <w:tcW w:w="425" w:type="pct"/>
            <w:noWrap w:val="0"/>
            <w:vAlign w:val="center"/>
          </w:tcPr>
          <w:p w14:paraId="784EB468">
            <w:pPr>
              <w:keepNext w:val="0"/>
              <w:keepLines w:val="0"/>
              <w:suppressLineNumbers w:val="0"/>
              <w:spacing w:before="0" w:beforeAutospacing="0" w:after="0" w:afterAutospacing="0"/>
              <w:ind w:left="0" w:right="0"/>
              <w:rPr>
                <w:rFonts w:hint="eastAsia" w:ascii="宋体" w:hAnsi="宋体" w:cs="宋体"/>
                <w:color w:val="auto"/>
                <w:highlight w:val="none"/>
              </w:rPr>
            </w:pPr>
          </w:p>
        </w:tc>
        <w:tc>
          <w:tcPr>
            <w:tcW w:w="505" w:type="pct"/>
            <w:vMerge w:val="continue"/>
            <w:noWrap w:val="0"/>
            <w:vAlign w:val="center"/>
          </w:tcPr>
          <w:p w14:paraId="0400C037">
            <w:pPr>
              <w:keepNext w:val="0"/>
              <w:keepLines w:val="0"/>
              <w:suppressLineNumbers w:val="0"/>
              <w:spacing w:before="0" w:beforeAutospacing="0" w:after="0" w:afterAutospacing="0"/>
              <w:ind w:left="0" w:right="0"/>
              <w:rPr>
                <w:rFonts w:hint="eastAsia" w:ascii="宋体" w:hAnsi="宋体" w:cs="宋体"/>
                <w:color w:val="auto"/>
                <w:highlight w:val="none"/>
              </w:rPr>
            </w:pPr>
          </w:p>
        </w:tc>
        <w:tc>
          <w:tcPr>
            <w:tcW w:w="505" w:type="pct"/>
            <w:noWrap w:val="0"/>
            <w:vAlign w:val="center"/>
          </w:tcPr>
          <w:p w14:paraId="58E34ECA">
            <w:pPr>
              <w:keepNext w:val="0"/>
              <w:keepLines w:val="0"/>
              <w:suppressLineNumbers w:val="0"/>
              <w:spacing w:before="0" w:beforeAutospacing="0" w:after="0" w:afterAutospacing="0"/>
              <w:ind w:left="0" w:right="0"/>
              <w:rPr>
                <w:rFonts w:hint="eastAsia" w:ascii="宋体" w:hAnsi="宋体" w:cs="宋体"/>
                <w:color w:val="auto"/>
                <w:highlight w:val="none"/>
              </w:rPr>
            </w:pPr>
          </w:p>
        </w:tc>
        <w:tc>
          <w:tcPr>
            <w:tcW w:w="482" w:type="pct"/>
            <w:noWrap w:val="0"/>
            <w:vAlign w:val="center"/>
          </w:tcPr>
          <w:p w14:paraId="60B50962">
            <w:pPr>
              <w:keepNext w:val="0"/>
              <w:keepLines w:val="0"/>
              <w:suppressLineNumbers w:val="0"/>
              <w:spacing w:before="0" w:beforeAutospacing="0" w:after="0" w:afterAutospacing="0"/>
              <w:ind w:left="0" w:right="0"/>
              <w:rPr>
                <w:rFonts w:hint="eastAsia" w:ascii="宋体" w:hAnsi="宋体" w:cs="宋体"/>
                <w:color w:val="auto"/>
                <w:highlight w:val="none"/>
              </w:rPr>
            </w:pPr>
          </w:p>
        </w:tc>
        <w:tc>
          <w:tcPr>
            <w:tcW w:w="311" w:type="pct"/>
            <w:noWrap w:val="0"/>
            <w:vAlign w:val="center"/>
          </w:tcPr>
          <w:p w14:paraId="669A5B05">
            <w:pPr>
              <w:keepNext w:val="0"/>
              <w:keepLines w:val="0"/>
              <w:suppressLineNumbers w:val="0"/>
              <w:spacing w:before="0" w:beforeAutospacing="0" w:after="0" w:afterAutospacing="0"/>
              <w:ind w:left="0" w:right="0"/>
              <w:rPr>
                <w:rFonts w:hint="eastAsia" w:ascii="宋体" w:hAnsi="宋体" w:cs="宋体"/>
                <w:color w:val="auto"/>
                <w:highlight w:val="none"/>
              </w:rPr>
            </w:pPr>
          </w:p>
        </w:tc>
      </w:tr>
      <w:tr w14:paraId="0D07FB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775" w:type="pct"/>
            <w:gridSpan w:val="4"/>
            <w:noWrap w:val="0"/>
            <w:vAlign w:val="center"/>
          </w:tcPr>
          <w:p w14:paraId="075208A7">
            <w:pPr>
              <w:keepNext w:val="0"/>
              <w:keepLines w:val="0"/>
              <w:suppressLineNumbers w:val="0"/>
              <w:spacing w:before="0" w:beforeAutospacing="0" w:after="0" w:afterAutospacing="0"/>
              <w:ind w:left="0" w:right="0"/>
              <w:rPr>
                <w:rFonts w:hint="eastAsia" w:ascii="宋体" w:hAnsi="宋体" w:cs="宋体"/>
                <w:color w:val="auto"/>
                <w:highlight w:val="none"/>
              </w:rPr>
            </w:pPr>
            <w:r>
              <w:rPr>
                <w:rFonts w:hint="eastAsia" w:ascii="宋体" w:hAnsi="宋体" w:cs="宋体"/>
                <w:color w:val="auto"/>
                <w:highlight w:val="none"/>
              </w:rPr>
              <w:t>合计</w:t>
            </w:r>
          </w:p>
        </w:tc>
        <w:tc>
          <w:tcPr>
            <w:tcW w:w="569" w:type="pct"/>
            <w:noWrap w:val="0"/>
            <w:vAlign w:val="center"/>
          </w:tcPr>
          <w:p w14:paraId="6C9A646B">
            <w:pPr>
              <w:keepNext w:val="0"/>
              <w:keepLines w:val="0"/>
              <w:suppressLineNumbers w:val="0"/>
              <w:spacing w:before="0" w:beforeAutospacing="0" w:after="0" w:afterAutospacing="0"/>
              <w:ind w:left="0" w:right="0"/>
              <w:rPr>
                <w:rFonts w:hint="eastAsia" w:ascii="宋体" w:hAnsi="宋体" w:cs="宋体"/>
                <w:color w:val="auto"/>
                <w:highlight w:val="none"/>
              </w:rPr>
            </w:pPr>
          </w:p>
        </w:tc>
        <w:tc>
          <w:tcPr>
            <w:tcW w:w="425" w:type="pct"/>
            <w:noWrap w:val="0"/>
            <w:vAlign w:val="center"/>
          </w:tcPr>
          <w:p w14:paraId="6C433248">
            <w:pPr>
              <w:keepNext w:val="0"/>
              <w:keepLines w:val="0"/>
              <w:suppressLineNumbers w:val="0"/>
              <w:spacing w:before="0" w:beforeAutospacing="0" w:after="0" w:afterAutospacing="0"/>
              <w:ind w:left="0" w:right="0"/>
              <w:rPr>
                <w:rFonts w:hint="eastAsia" w:ascii="宋体" w:hAnsi="宋体" w:cs="宋体"/>
                <w:color w:val="auto"/>
                <w:highlight w:val="none"/>
              </w:rPr>
            </w:pPr>
          </w:p>
        </w:tc>
        <w:tc>
          <w:tcPr>
            <w:tcW w:w="425" w:type="pct"/>
            <w:noWrap w:val="0"/>
            <w:vAlign w:val="center"/>
          </w:tcPr>
          <w:p w14:paraId="01382E68">
            <w:pPr>
              <w:keepNext w:val="0"/>
              <w:keepLines w:val="0"/>
              <w:suppressLineNumbers w:val="0"/>
              <w:spacing w:before="0" w:beforeAutospacing="0" w:after="0" w:afterAutospacing="0"/>
              <w:ind w:left="0" w:right="0"/>
              <w:rPr>
                <w:rFonts w:hint="eastAsia" w:ascii="宋体" w:hAnsi="宋体" w:cs="宋体"/>
                <w:color w:val="auto"/>
                <w:highlight w:val="none"/>
              </w:rPr>
            </w:pPr>
          </w:p>
        </w:tc>
        <w:tc>
          <w:tcPr>
            <w:tcW w:w="505" w:type="pct"/>
            <w:noWrap w:val="0"/>
            <w:vAlign w:val="center"/>
          </w:tcPr>
          <w:p w14:paraId="4C7636CA">
            <w:pPr>
              <w:keepNext w:val="0"/>
              <w:keepLines w:val="0"/>
              <w:suppressLineNumbers w:val="0"/>
              <w:spacing w:before="0" w:beforeAutospacing="0" w:after="0" w:afterAutospacing="0"/>
              <w:ind w:left="0" w:right="0"/>
              <w:rPr>
                <w:rFonts w:hint="eastAsia" w:ascii="宋体" w:hAnsi="宋体" w:eastAsia="宋体" w:cs="宋体"/>
                <w:color w:val="auto"/>
                <w:highlight w:val="none"/>
                <w:lang w:val="en-US" w:eastAsia="zh-CN"/>
              </w:rPr>
            </w:pPr>
            <w:r>
              <w:rPr>
                <w:rFonts w:hint="eastAsia" w:ascii="宋体" w:hAnsi="宋体" w:cs="宋体"/>
                <w:color w:val="auto"/>
                <w:highlight w:val="none"/>
                <w:lang w:val="en-US" w:eastAsia="zh-CN"/>
              </w:rPr>
              <w:t>/</w:t>
            </w:r>
          </w:p>
        </w:tc>
        <w:tc>
          <w:tcPr>
            <w:tcW w:w="505" w:type="pct"/>
            <w:noWrap w:val="0"/>
            <w:vAlign w:val="center"/>
          </w:tcPr>
          <w:p w14:paraId="27679FAE">
            <w:pPr>
              <w:keepNext w:val="0"/>
              <w:keepLines w:val="0"/>
              <w:suppressLineNumbers w:val="0"/>
              <w:spacing w:before="0" w:beforeAutospacing="0" w:after="0" w:afterAutospacing="0"/>
              <w:ind w:left="0" w:right="0"/>
              <w:rPr>
                <w:rFonts w:hint="eastAsia" w:ascii="宋体" w:hAnsi="宋体" w:cs="宋体"/>
                <w:color w:val="auto"/>
                <w:highlight w:val="none"/>
              </w:rPr>
            </w:pPr>
            <w:r>
              <w:rPr>
                <w:rFonts w:hint="eastAsia" w:ascii="宋体" w:hAnsi="宋体" w:cs="宋体"/>
                <w:color w:val="auto"/>
                <w:highlight w:val="none"/>
              </w:rPr>
              <w:t>/</w:t>
            </w:r>
          </w:p>
        </w:tc>
        <w:tc>
          <w:tcPr>
            <w:tcW w:w="482" w:type="pct"/>
            <w:noWrap w:val="0"/>
            <w:vAlign w:val="center"/>
          </w:tcPr>
          <w:p w14:paraId="69E0F1AD">
            <w:pPr>
              <w:keepNext w:val="0"/>
              <w:keepLines w:val="0"/>
              <w:suppressLineNumbers w:val="0"/>
              <w:spacing w:before="0" w:beforeAutospacing="0" w:after="0" w:afterAutospacing="0"/>
              <w:ind w:left="0" w:right="0"/>
              <w:rPr>
                <w:rFonts w:hint="eastAsia" w:ascii="宋体" w:hAnsi="宋体" w:cs="宋体"/>
                <w:color w:val="auto"/>
                <w:highlight w:val="none"/>
              </w:rPr>
            </w:pPr>
            <w:r>
              <w:rPr>
                <w:rFonts w:hint="eastAsia" w:ascii="宋体" w:hAnsi="宋体" w:cs="宋体"/>
                <w:color w:val="auto"/>
                <w:highlight w:val="none"/>
              </w:rPr>
              <w:t>/</w:t>
            </w:r>
          </w:p>
        </w:tc>
        <w:tc>
          <w:tcPr>
            <w:tcW w:w="311" w:type="pct"/>
            <w:noWrap w:val="0"/>
            <w:vAlign w:val="center"/>
          </w:tcPr>
          <w:p w14:paraId="4444A89D">
            <w:pPr>
              <w:keepNext w:val="0"/>
              <w:keepLines w:val="0"/>
              <w:suppressLineNumbers w:val="0"/>
              <w:spacing w:before="0" w:beforeAutospacing="0" w:after="0" w:afterAutospacing="0"/>
              <w:ind w:left="0" w:right="0"/>
              <w:rPr>
                <w:rFonts w:hint="eastAsia" w:ascii="宋体" w:hAnsi="宋体" w:cs="宋体"/>
                <w:color w:val="auto"/>
                <w:highlight w:val="none"/>
              </w:rPr>
            </w:pPr>
            <w:r>
              <w:rPr>
                <w:rFonts w:hint="eastAsia" w:ascii="宋体" w:hAnsi="宋体" w:cs="宋体"/>
                <w:color w:val="auto"/>
                <w:highlight w:val="none"/>
              </w:rPr>
              <w:t>/</w:t>
            </w:r>
          </w:p>
        </w:tc>
      </w:tr>
    </w:tbl>
    <w:p w14:paraId="48D048B5">
      <w:pPr>
        <w:rPr>
          <w:rFonts w:hint="eastAsia" w:ascii="宋体" w:hAnsi="宋体" w:cs="宋体"/>
          <w:color w:val="auto"/>
          <w:highlight w:val="none"/>
          <w:lang w:bidi="en-US"/>
        </w:rPr>
      </w:pPr>
    </w:p>
    <w:p w14:paraId="62D43D2C">
      <w:pPr>
        <w:rPr>
          <w:rFonts w:hint="eastAsia" w:ascii="宋体" w:hAnsi="宋体" w:cs="宋体"/>
          <w:color w:val="auto"/>
          <w:highlight w:val="none"/>
          <w:lang w:bidi="en-US"/>
        </w:rPr>
      </w:pPr>
    </w:p>
    <w:p w14:paraId="72D106EB">
      <w:pPr>
        <w:rPr>
          <w:rFonts w:hint="eastAsia" w:ascii="宋体" w:hAnsi="宋体" w:cs="宋体"/>
          <w:color w:val="auto"/>
          <w:highlight w:val="none"/>
          <w:lang w:bidi="en-US"/>
        </w:rPr>
      </w:pPr>
    </w:p>
    <w:p w14:paraId="459BCB0D">
      <w:pPr>
        <w:spacing w:line="360" w:lineRule="auto"/>
        <w:rPr>
          <w:rFonts w:hint="eastAsia" w:ascii="宋体" w:hAnsi="宋体" w:cs="宋体"/>
          <w:color w:val="auto"/>
          <w:highlight w:val="none"/>
          <w:lang w:val="en-US" w:eastAsia="zh-CN" w:bidi="en-US"/>
        </w:rPr>
      </w:pPr>
      <w:r>
        <w:rPr>
          <w:rFonts w:hint="eastAsia" w:ascii="宋体" w:hAnsi="宋体" w:cs="宋体"/>
          <w:color w:val="auto"/>
          <w:highlight w:val="none"/>
          <w:lang w:val="en-US" w:eastAsia="zh-CN" w:bidi="en-US"/>
        </w:rPr>
        <w:t>注：</w:t>
      </w:r>
    </w:p>
    <w:p w14:paraId="29C52998">
      <w:pPr>
        <w:numPr>
          <w:ilvl w:val="0"/>
          <w:numId w:val="16"/>
        </w:numPr>
        <w:spacing w:line="360" w:lineRule="auto"/>
        <w:rPr>
          <w:rFonts w:hint="default" w:ascii="宋体" w:hAnsi="宋体" w:cs="宋体"/>
          <w:color w:val="auto"/>
          <w:highlight w:val="none"/>
          <w:lang w:val="en-US" w:eastAsia="zh-CN" w:bidi="en-US"/>
        </w:rPr>
      </w:pPr>
      <w:r>
        <w:rPr>
          <w:rFonts w:hint="eastAsia" w:ascii="宋体" w:hAnsi="宋体" w:cs="宋体"/>
          <w:color w:val="auto"/>
          <w:highlight w:val="none"/>
          <w:lang w:val="en-US" w:eastAsia="zh-CN" w:bidi="en-US"/>
        </w:rPr>
        <w:t>所提供业绩须按年度（2025年1月1日之前与2025年1月1日之后）分类排序；</w:t>
      </w:r>
    </w:p>
    <w:p w14:paraId="3C67F118">
      <w:pPr>
        <w:numPr>
          <w:ilvl w:val="0"/>
          <w:numId w:val="0"/>
        </w:numPr>
        <w:spacing w:line="360" w:lineRule="auto"/>
        <w:rPr>
          <w:rFonts w:hint="default" w:ascii="宋体" w:hAnsi="宋体" w:cs="宋体"/>
          <w:color w:val="auto"/>
          <w:highlight w:val="none"/>
          <w:lang w:val="en-US" w:eastAsia="zh-CN" w:bidi="en-US"/>
        </w:rPr>
        <w:sectPr>
          <w:footnotePr>
            <w:numFmt w:val="decimalEnclosedCircleChinese"/>
            <w:numRestart w:val="eachPage"/>
          </w:footnotePr>
          <w:pgSz w:w="11906" w:h="16838"/>
          <w:pgMar w:top="1134" w:right="1134" w:bottom="1134" w:left="1134" w:header="851" w:footer="851" w:gutter="0"/>
          <w:cols w:space="720" w:num="1"/>
          <w:docGrid w:linePitch="312" w:charSpace="0"/>
        </w:sectPr>
      </w:pPr>
      <w:r>
        <w:rPr>
          <w:rFonts w:hint="eastAsia" w:ascii="宋体" w:hAnsi="宋体" w:cs="宋体"/>
          <w:color w:val="auto"/>
          <w:highlight w:val="none"/>
          <w:lang w:val="en-US" w:eastAsia="zh-CN" w:bidi="en-US"/>
        </w:rPr>
        <w:t>2、所提供业绩须在上表中体现2025年1月1日之前与2025年1月1日之后供货设备平均单价。</w:t>
      </w:r>
    </w:p>
    <w:p w14:paraId="6FCEA727">
      <w:pPr>
        <w:pStyle w:val="4"/>
        <w:tabs>
          <w:tab w:val="left" w:pos="1260"/>
        </w:tabs>
        <w:jc w:val="center"/>
        <w:rPr>
          <w:rFonts w:cs="宋体"/>
          <w:color w:val="auto"/>
          <w:sz w:val="24"/>
          <w:highlight w:val="none"/>
          <w:lang w:eastAsia="zh-CN"/>
        </w:rPr>
      </w:pPr>
      <w:r>
        <w:rPr>
          <w:rFonts w:hint="eastAsia" w:cs="宋体"/>
          <w:color w:val="auto"/>
          <w:sz w:val="24"/>
          <w:highlight w:val="none"/>
          <w:lang w:eastAsia="zh-CN"/>
        </w:rPr>
        <w:t>（五）其他材料</w:t>
      </w:r>
    </w:p>
    <w:p w14:paraId="7558D25C">
      <w:pPr>
        <w:widowControl/>
        <w:jc w:val="left"/>
        <w:rPr>
          <w:rFonts w:hint="eastAsia" w:ascii="宋体" w:hAnsi="宋体" w:cs="宋体"/>
          <w:color w:val="auto"/>
          <w:highlight w:val="none"/>
        </w:rPr>
      </w:pPr>
    </w:p>
    <w:p w14:paraId="298255F6">
      <w:pPr>
        <w:widowControl/>
        <w:jc w:val="left"/>
        <w:rPr>
          <w:rFonts w:hint="eastAsia" w:ascii="宋体" w:hAnsi="宋体" w:cs="宋体"/>
          <w:color w:val="auto"/>
          <w:highlight w:val="none"/>
        </w:rPr>
      </w:pPr>
    </w:p>
    <w:p w14:paraId="55C84F30">
      <w:pPr>
        <w:widowControl/>
        <w:jc w:val="left"/>
        <w:rPr>
          <w:rFonts w:hint="eastAsia" w:ascii="宋体" w:hAnsi="宋体" w:cs="宋体"/>
          <w:color w:val="auto"/>
          <w:highlight w:val="none"/>
        </w:rPr>
        <w:sectPr>
          <w:footnotePr>
            <w:numFmt w:val="decimalEnclosedCircleChinese"/>
            <w:numRestart w:val="eachPage"/>
          </w:footnotePr>
          <w:pgSz w:w="11906" w:h="16838"/>
          <w:pgMar w:top="1134" w:right="1134" w:bottom="1134" w:left="1134" w:header="851" w:footer="851" w:gutter="0"/>
          <w:cols w:space="720" w:num="1"/>
          <w:docGrid w:linePitch="312" w:charSpace="0"/>
        </w:sectPr>
      </w:pPr>
    </w:p>
    <w:p w14:paraId="27D28C64">
      <w:pPr>
        <w:spacing w:line="360" w:lineRule="auto"/>
        <w:jc w:val="center"/>
        <w:outlineLvl w:val="1"/>
        <w:rPr>
          <w:rFonts w:hint="eastAsia" w:ascii="宋体" w:hAnsi="宋体"/>
          <w:b/>
          <w:color w:val="auto"/>
          <w:sz w:val="24"/>
          <w:highlight w:val="none"/>
        </w:rPr>
      </w:pPr>
      <w:bookmarkStart w:id="897" w:name="_Hlk11531103"/>
      <w:r>
        <w:rPr>
          <w:rStyle w:val="107"/>
          <w:rFonts w:hint="eastAsia" w:ascii="宋体" w:hAnsi="宋体" w:eastAsia="宋体" w:cs="宋体"/>
          <w:color w:val="auto"/>
          <w:sz w:val="30"/>
          <w:szCs w:val="30"/>
          <w:highlight w:val="none"/>
          <w:lang w:val="en-US"/>
        </w:rPr>
        <w:t>九</w:t>
      </w:r>
      <w:r>
        <w:rPr>
          <w:rStyle w:val="107"/>
          <w:rFonts w:hint="eastAsia" w:ascii="宋体" w:hAnsi="宋体" w:eastAsia="宋体" w:cs="宋体"/>
          <w:color w:val="auto"/>
          <w:sz w:val="30"/>
          <w:szCs w:val="30"/>
          <w:highlight w:val="none"/>
        </w:rPr>
        <w:t>、主要标的承诺函</w:t>
      </w:r>
    </w:p>
    <w:p w14:paraId="44EA62DF">
      <w:pPr>
        <w:jc w:val="center"/>
        <w:rPr>
          <w:rFonts w:hint="eastAsia"/>
          <w:color w:val="auto"/>
          <w:highlight w:val="none"/>
        </w:rPr>
      </w:pPr>
      <w:r>
        <w:rPr>
          <w:rFonts w:hint="eastAsia" w:ascii="宋体" w:hAnsi="宋体"/>
          <w:b/>
          <w:color w:val="auto"/>
          <w:sz w:val="24"/>
          <w:highlight w:val="none"/>
        </w:rPr>
        <w:t>（列出招标文件标明</w:t>
      </w:r>
      <w:r>
        <w:rPr>
          <w:rFonts w:hint="eastAsia" w:ascii="仿宋" w:hAnsi="仿宋" w:eastAsia="仿宋" w:cs="仿宋"/>
          <w:color w:val="auto"/>
          <w:sz w:val="24"/>
          <w:highlight w:val="none"/>
        </w:rPr>
        <w:t>▲</w:t>
      </w:r>
      <w:r>
        <w:rPr>
          <w:rFonts w:hint="eastAsia" w:ascii="宋体" w:hAnsi="宋体"/>
          <w:b/>
          <w:color w:val="auto"/>
          <w:sz w:val="24"/>
          <w:highlight w:val="none"/>
        </w:rPr>
        <w:t>货物的信息）</w:t>
      </w:r>
    </w:p>
    <w:p w14:paraId="561148B0">
      <w:pPr>
        <w:widowControl/>
        <w:tabs>
          <w:tab w:val="left" w:leader="underscore" w:pos="2880"/>
        </w:tabs>
        <w:spacing w:line="360" w:lineRule="auto"/>
        <w:rPr>
          <w:rFonts w:hint="eastAsia" w:ascii="宋体" w:hAnsi="宋体" w:cs="宋体"/>
          <w:b/>
          <w:color w:val="auto"/>
          <w:szCs w:val="21"/>
          <w:highlight w:val="none"/>
        </w:rPr>
      </w:pPr>
      <w:r>
        <w:rPr>
          <w:rFonts w:hint="eastAsia" w:ascii="宋体" w:hAnsi="宋体" w:cs="宋体"/>
          <w:color w:val="auto"/>
          <w:szCs w:val="21"/>
          <w:highlight w:val="none"/>
        </w:rPr>
        <w:t>致：安徽省卫生健康委员会（采购人名称)</w:t>
      </w:r>
    </w:p>
    <w:p w14:paraId="43ADCB37">
      <w:pPr>
        <w:widowControl/>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u w:val="single"/>
        </w:rPr>
        <w:t xml:space="preserve">  安徽省招标集团股份有限公司  </w:t>
      </w:r>
      <w:r>
        <w:rPr>
          <w:rFonts w:hint="eastAsia" w:ascii="宋体" w:hAnsi="宋体" w:cs="宋体"/>
          <w:color w:val="auto"/>
          <w:szCs w:val="21"/>
          <w:highlight w:val="none"/>
        </w:rPr>
        <w:t>（采购代理名称)</w:t>
      </w:r>
    </w:p>
    <w:p w14:paraId="50563B32">
      <w:pPr>
        <w:spacing w:line="360" w:lineRule="auto"/>
        <w:ind w:firstLine="435"/>
        <w:rPr>
          <w:rFonts w:ascii="宋体" w:hAnsi="宋体"/>
          <w:color w:val="auto"/>
          <w:szCs w:val="21"/>
          <w:highlight w:val="none"/>
        </w:rPr>
      </w:pPr>
      <w:r>
        <w:rPr>
          <w:rFonts w:hint="eastAsia" w:ascii="宋体" w:hAnsi="宋体"/>
          <w:color w:val="auto"/>
          <w:szCs w:val="21"/>
          <w:highlight w:val="none"/>
        </w:rPr>
        <w:t>我单位同意中标结果公告中公告以下主要标的信息并承诺：投标文件中所提供的主要标的信息均真实有效。若被发现存在任何虚假、隐瞒情况，我单位承担由此产生的一切后果。</w:t>
      </w:r>
    </w:p>
    <w:tbl>
      <w:tblPr>
        <w:tblStyle w:val="4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1"/>
        <w:gridCol w:w="1583"/>
        <w:gridCol w:w="1062"/>
        <w:gridCol w:w="1646"/>
        <w:gridCol w:w="1890"/>
        <w:gridCol w:w="1809"/>
        <w:gridCol w:w="1003"/>
      </w:tblGrid>
      <w:tr w14:paraId="28F24A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437" w:type="pct"/>
            <w:noWrap w:val="0"/>
            <w:vAlign w:val="center"/>
          </w:tcPr>
          <w:p w14:paraId="765B0EA6">
            <w:pPr>
              <w:keepNext w:val="0"/>
              <w:keepLines w:val="0"/>
              <w:widowControl/>
              <w:suppressLineNumbers w:val="0"/>
              <w:spacing w:before="0" w:beforeAutospacing="0" w:after="0" w:afterAutospacing="0"/>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序号</w:t>
            </w:r>
          </w:p>
        </w:tc>
        <w:tc>
          <w:tcPr>
            <w:tcW w:w="803" w:type="pct"/>
            <w:noWrap w:val="0"/>
            <w:vAlign w:val="center"/>
          </w:tcPr>
          <w:p w14:paraId="7F436F3B">
            <w:pPr>
              <w:keepNext w:val="0"/>
              <w:keepLines w:val="0"/>
              <w:widowControl/>
              <w:suppressLineNumbers w:val="0"/>
              <w:spacing w:before="0" w:beforeAutospacing="0" w:after="0" w:afterAutospacing="0"/>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名称</w:t>
            </w:r>
          </w:p>
        </w:tc>
        <w:tc>
          <w:tcPr>
            <w:tcW w:w="539" w:type="pct"/>
            <w:noWrap w:val="0"/>
            <w:vAlign w:val="center"/>
          </w:tcPr>
          <w:p w14:paraId="48BE9734">
            <w:pPr>
              <w:keepNext w:val="0"/>
              <w:keepLines w:val="0"/>
              <w:widowControl/>
              <w:suppressLineNumbers w:val="0"/>
              <w:spacing w:before="0" w:beforeAutospacing="0" w:after="0" w:afterAutospacing="0"/>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品牌</w:t>
            </w:r>
          </w:p>
        </w:tc>
        <w:tc>
          <w:tcPr>
            <w:tcW w:w="835" w:type="pct"/>
            <w:noWrap w:val="0"/>
            <w:vAlign w:val="center"/>
          </w:tcPr>
          <w:p w14:paraId="5AD9C23C">
            <w:pPr>
              <w:keepNext w:val="0"/>
              <w:keepLines w:val="0"/>
              <w:widowControl/>
              <w:suppressLineNumbers w:val="0"/>
              <w:spacing w:before="0" w:beforeAutospacing="0" w:after="0" w:afterAutospacing="0"/>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规格型号</w:t>
            </w:r>
          </w:p>
        </w:tc>
        <w:tc>
          <w:tcPr>
            <w:tcW w:w="959" w:type="pct"/>
            <w:noWrap w:val="0"/>
            <w:vAlign w:val="center"/>
          </w:tcPr>
          <w:p w14:paraId="4AB1DECB">
            <w:pPr>
              <w:keepNext w:val="0"/>
              <w:keepLines w:val="0"/>
              <w:widowControl/>
              <w:suppressLineNumbers w:val="0"/>
              <w:spacing w:before="0" w:beforeAutospacing="0" w:after="0" w:afterAutospacing="0"/>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数量</w:t>
            </w:r>
          </w:p>
        </w:tc>
        <w:tc>
          <w:tcPr>
            <w:tcW w:w="918" w:type="pct"/>
            <w:noWrap w:val="0"/>
            <w:vAlign w:val="center"/>
          </w:tcPr>
          <w:p w14:paraId="620DEB1C">
            <w:pPr>
              <w:keepNext w:val="0"/>
              <w:keepLines w:val="0"/>
              <w:widowControl/>
              <w:suppressLineNumbers w:val="0"/>
              <w:spacing w:before="0" w:beforeAutospacing="0" w:after="0" w:afterAutospacing="0"/>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单价</w:t>
            </w:r>
          </w:p>
        </w:tc>
        <w:tc>
          <w:tcPr>
            <w:tcW w:w="509" w:type="pct"/>
            <w:noWrap w:val="0"/>
            <w:vAlign w:val="center"/>
          </w:tcPr>
          <w:p w14:paraId="4160F404">
            <w:pPr>
              <w:keepNext w:val="0"/>
              <w:keepLines w:val="0"/>
              <w:widowControl/>
              <w:suppressLineNumbers w:val="0"/>
              <w:spacing w:before="0" w:beforeAutospacing="0" w:after="0" w:afterAutospacing="0"/>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备注</w:t>
            </w:r>
          </w:p>
        </w:tc>
      </w:tr>
      <w:tr w14:paraId="55A778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7" w:type="pct"/>
            <w:noWrap w:val="0"/>
            <w:vAlign w:val="center"/>
          </w:tcPr>
          <w:p w14:paraId="2B7A29C6">
            <w:pPr>
              <w:keepNext w:val="0"/>
              <w:keepLines w:val="0"/>
              <w:suppressLineNumbers w:val="0"/>
              <w:spacing w:before="0" w:beforeAutospacing="0" w:after="0" w:afterAutospacing="0" w:line="360" w:lineRule="auto"/>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1</w:t>
            </w:r>
          </w:p>
        </w:tc>
        <w:tc>
          <w:tcPr>
            <w:tcW w:w="803" w:type="pct"/>
            <w:noWrap w:val="0"/>
            <w:vAlign w:val="center"/>
          </w:tcPr>
          <w:p w14:paraId="0AE23022">
            <w:pPr>
              <w:keepNext w:val="0"/>
              <w:keepLines w:val="0"/>
              <w:suppressLineNumbers w:val="0"/>
              <w:spacing w:before="0" w:beforeAutospacing="0" w:after="0" w:afterAutospacing="0" w:line="360" w:lineRule="auto"/>
              <w:ind w:left="0" w:right="0"/>
              <w:rPr>
                <w:rFonts w:hint="default" w:ascii="宋体" w:hAnsi="宋体" w:cs="Times New Roman"/>
                <w:color w:val="auto"/>
                <w:szCs w:val="21"/>
                <w:highlight w:val="none"/>
              </w:rPr>
            </w:pPr>
          </w:p>
        </w:tc>
        <w:tc>
          <w:tcPr>
            <w:tcW w:w="539" w:type="pct"/>
            <w:noWrap w:val="0"/>
            <w:vAlign w:val="center"/>
          </w:tcPr>
          <w:p w14:paraId="2C0C4DDD">
            <w:pPr>
              <w:keepNext w:val="0"/>
              <w:keepLines w:val="0"/>
              <w:suppressLineNumbers w:val="0"/>
              <w:spacing w:before="0" w:beforeAutospacing="0" w:after="0" w:afterAutospacing="0" w:line="360" w:lineRule="auto"/>
              <w:ind w:left="0" w:right="0"/>
              <w:rPr>
                <w:rFonts w:hint="default" w:ascii="宋体" w:hAnsi="宋体" w:cs="Times New Roman"/>
                <w:color w:val="auto"/>
                <w:szCs w:val="21"/>
                <w:highlight w:val="none"/>
              </w:rPr>
            </w:pPr>
          </w:p>
        </w:tc>
        <w:tc>
          <w:tcPr>
            <w:tcW w:w="835" w:type="pct"/>
            <w:noWrap w:val="0"/>
            <w:vAlign w:val="center"/>
          </w:tcPr>
          <w:p w14:paraId="2EE961C7">
            <w:pPr>
              <w:keepNext w:val="0"/>
              <w:keepLines w:val="0"/>
              <w:suppressLineNumbers w:val="0"/>
              <w:spacing w:before="0" w:beforeAutospacing="0" w:after="0" w:afterAutospacing="0" w:line="360" w:lineRule="auto"/>
              <w:ind w:left="0" w:right="0"/>
              <w:rPr>
                <w:rFonts w:hint="default" w:ascii="宋体" w:hAnsi="宋体" w:cs="Times New Roman"/>
                <w:color w:val="auto"/>
                <w:szCs w:val="21"/>
                <w:highlight w:val="none"/>
              </w:rPr>
            </w:pPr>
          </w:p>
        </w:tc>
        <w:tc>
          <w:tcPr>
            <w:tcW w:w="959" w:type="pct"/>
            <w:noWrap w:val="0"/>
            <w:vAlign w:val="center"/>
          </w:tcPr>
          <w:p w14:paraId="536EB2A5">
            <w:pPr>
              <w:keepNext w:val="0"/>
              <w:keepLines w:val="0"/>
              <w:suppressLineNumbers w:val="0"/>
              <w:spacing w:before="0" w:beforeAutospacing="0" w:after="0" w:afterAutospacing="0" w:line="360" w:lineRule="auto"/>
              <w:ind w:left="0" w:right="0"/>
              <w:rPr>
                <w:rFonts w:hint="default" w:ascii="宋体" w:hAnsi="宋体" w:cs="Times New Roman"/>
                <w:color w:val="auto"/>
                <w:szCs w:val="21"/>
                <w:highlight w:val="none"/>
              </w:rPr>
            </w:pPr>
          </w:p>
        </w:tc>
        <w:tc>
          <w:tcPr>
            <w:tcW w:w="918" w:type="pct"/>
            <w:noWrap w:val="0"/>
            <w:vAlign w:val="center"/>
          </w:tcPr>
          <w:p w14:paraId="4BFBB6A5">
            <w:pPr>
              <w:keepNext w:val="0"/>
              <w:keepLines w:val="0"/>
              <w:suppressLineNumbers w:val="0"/>
              <w:spacing w:before="0" w:beforeAutospacing="0" w:after="0" w:afterAutospacing="0" w:line="360" w:lineRule="auto"/>
              <w:ind w:left="0" w:right="0"/>
              <w:rPr>
                <w:rFonts w:hint="default" w:ascii="宋体" w:hAnsi="宋体" w:cs="Times New Roman"/>
                <w:color w:val="auto"/>
                <w:szCs w:val="21"/>
                <w:highlight w:val="none"/>
              </w:rPr>
            </w:pPr>
          </w:p>
        </w:tc>
        <w:tc>
          <w:tcPr>
            <w:tcW w:w="509" w:type="pct"/>
            <w:noWrap w:val="0"/>
            <w:vAlign w:val="center"/>
          </w:tcPr>
          <w:p w14:paraId="7DF46571">
            <w:pPr>
              <w:keepNext w:val="0"/>
              <w:keepLines w:val="0"/>
              <w:suppressLineNumbers w:val="0"/>
              <w:spacing w:before="0" w:beforeAutospacing="0" w:after="0" w:afterAutospacing="0" w:line="360" w:lineRule="auto"/>
              <w:ind w:left="0" w:right="0"/>
              <w:rPr>
                <w:rFonts w:hint="default" w:ascii="宋体" w:hAnsi="宋体" w:cs="Times New Roman"/>
                <w:color w:val="auto"/>
                <w:szCs w:val="21"/>
                <w:highlight w:val="none"/>
              </w:rPr>
            </w:pPr>
          </w:p>
        </w:tc>
      </w:tr>
      <w:tr w14:paraId="23AA89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7" w:type="pct"/>
            <w:noWrap w:val="0"/>
            <w:vAlign w:val="center"/>
          </w:tcPr>
          <w:p w14:paraId="1A01E041">
            <w:pPr>
              <w:keepNext w:val="0"/>
              <w:keepLines w:val="0"/>
              <w:suppressLineNumbers w:val="0"/>
              <w:spacing w:before="0" w:beforeAutospacing="0" w:after="0" w:afterAutospacing="0" w:line="360" w:lineRule="auto"/>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2</w:t>
            </w:r>
          </w:p>
        </w:tc>
        <w:tc>
          <w:tcPr>
            <w:tcW w:w="803" w:type="pct"/>
            <w:noWrap w:val="0"/>
            <w:vAlign w:val="center"/>
          </w:tcPr>
          <w:p w14:paraId="266ECA91">
            <w:pPr>
              <w:keepNext w:val="0"/>
              <w:keepLines w:val="0"/>
              <w:suppressLineNumbers w:val="0"/>
              <w:spacing w:before="0" w:beforeAutospacing="0" w:after="0" w:afterAutospacing="0" w:line="360" w:lineRule="auto"/>
              <w:ind w:left="0" w:right="0"/>
              <w:rPr>
                <w:rFonts w:hint="default" w:ascii="宋体" w:hAnsi="宋体" w:cs="Times New Roman"/>
                <w:color w:val="auto"/>
                <w:szCs w:val="21"/>
                <w:highlight w:val="none"/>
              </w:rPr>
            </w:pPr>
          </w:p>
        </w:tc>
        <w:tc>
          <w:tcPr>
            <w:tcW w:w="539" w:type="pct"/>
            <w:noWrap w:val="0"/>
            <w:vAlign w:val="center"/>
          </w:tcPr>
          <w:p w14:paraId="6171797C">
            <w:pPr>
              <w:keepNext w:val="0"/>
              <w:keepLines w:val="0"/>
              <w:suppressLineNumbers w:val="0"/>
              <w:spacing w:before="0" w:beforeAutospacing="0" w:after="0" w:afterAutospacing="0" w:line="360" w:lineRule="auto"/>
              <w:ind w:left="0" w:right="0"/>
              <w:rPr>
                <w:rFonts w:hint="default" w:ascii="宋体" w:hAnsi="宋体" w:cs="Times New Roman"/>
                <w:color w:val="auto"/>
                <w:szCs w:val="21"/>
                <w:highlight w:val="none"/>
              </w:rPr>
            </w:pPr>
          </w:p>
        </w:tc>
        <w:tc>
          <w:tcPr>
            <w:tcW w:w="835" w:type="pct"/>
            <w:noWrap w:val="0"/>
            <w:vAlign w:val="center"/>
          </w:tcPr>
          <w:p w14:paraId="391EC220">
            <w:pPr>
              <w:keepNext w:val="0"/>
              <w:keepLines w:val="0"/>
              <w:suppressLineNumbers w:val="0"/>
              <w:spacing w:before="0" w:beforeAutospacing="0" w:after="0" w:afterAutospacing="0" w:line="360" w:lineRule="auto"/>
              <w:ind w:left="0" w:right="0"/>
              <w:rPr>
                <w:rFonts w:hint="default" w:ascii="宋体" w:hAnsi="宋体" w:cs="Times New Roman"/>
                <w:color w:val="auto"/>
                <w:szCs w:val="21"/>
                <w:highlight w:val="none"/>
              </w:rPr>
            </w:pPr>
          </w:p>
        </w:tc>
        <w:tc>
          <w:tcPr>
            <w:tcW w:w="959" w:type="pct"/>
            <w:noWrap w:val="0"/>
            <w:vAlign w:val="center"/>
          </w:tcPr>
          <w:p w14:paraId="1FA9FE2D">
            <w:pPr>
              <w:keepNext w:val="0"/>
              <w:keepLines w:val="0"/>
              <w:suppressLineNumbers w:val="0"/>
              <w:spacing w:before="0" w:beforeAutospacing="0" w:after="0" w:afterAutospacing="0" w:line="360" w:lineRule="auto"/>
              <w:ind w:left="0" w:right="0"/>
              <w:rPr>
                <w:rFonts w:hint="default" w:ascii="宋体" w:hAnsi="宋体" w:cs="Times New Roman"/>
                <w:color w:val="auto"/>
                <w:szCs w:val="21"/>
                <w:highlight w:val="none"/>
              </w:rPr>
            </w:pPr>
          </w:p>
        </w:tc>
        <w:tc>
          <w:tcPr>
            <w:tcW w:w="918" w:type="pct"/>
            <w:noWrap w:val="0"/>
            <w:vAlign w:val="center"/>
          </w:tcPr>
          <w:p w14:paraId="1D452561">
            <w:pPr>
              <w:keepNext w:val="0"/>
              <w:keepLines w:val="0"/>
              <w:suppressLineNumbers w:val="0"/>
              <w:spacing w:before="0" w:beforeAutospacing="0" w:after="0" w:afterAutospacing="0" w:line="360" w:lineRule="auto"/>
              <w:ind w:left="0" w:right="0"/>
              <w:rPr>
                <w:rFonts w:hint="default" w:ascii="宋体" w:hAnsi="宋体" w:cs="Times New Roman"/>
                <w:color w:val="auto"/>
                <w:szCs w:val="21"/>
                <w:highlight w:val="none"/>
              </w:rPr>
            </w:pPr>
          </w:p>
        </w:tc>
        <w:tc>
          <w:tcPr>
            <w:tcW w:w="509" w:type="pct"/>
            <w:noWrap w:val="0"/>
            <w:vAlign w:val="center"/>
          </w:tcPr>
          <w:p w14:paraId="358237EC">
            <w:pPr>
              <w:keepNext w:val="0"/>
              <w:keepLines w:val="0"/>
              <w:suppressLineNumbers w:val="0"/>
              <w:spacing w:before="0" w:beforeAutospacing="0" w:after="0" w:afterAutospacing="0" w:line="360" w:lineRule="auto"/>
              <w:ind w:left="0" w:right="0"/>
              <w:rPr>
                <w:rFonts w:hint="default" w:ascii="宋体" w:hAnsi="宋体" w:cs="Times New Roman"/>
                <w:color w:val="auto"/>
                <w:szCs w:val="21"/>
                <w:highlight w:val="none"/>
              </w:rPr>
            </w:pPr>
          </w:p>
        </w:tc>
      </w:tr>
      <w:tr w14:paraId="524329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7" w:type="pct"/>
            <w:noWrap w:val="0"/>
            <w:vAlign w:val="center"/>
          </w:tcPr>
          <w:p w14:paraId="01F7D15E">
            <w:pPr>
              <w:keepNext w:val="0"/>
              <w:keepLines w:val="0"/>
              <w:suppressLineNumbers w:val="0"/>
              <w:spacing w:before="0" w:beforeAutospacing="0" w:after="0" w:afterAutospacing="0" w:line="360" w:lineRule="auto"/>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3</w:t>
            </w:r>
          </w:p>
        </w:tc>
        <w:tc>
          <w:tcPr>
            <w:tcW w:w="803" w:type="pct"/>
            <w:noWrap w:val="0"/>
            <w:vAlign w:val="center"/>
          </w:tcPr>
          <w:p w14:paraId="51AEA82F">
            <w:pPr>
              <w:keepNext w:val="0"/>
              <w:keepLines w:val="0"/>
              <w:suppressLineNumbers w:val="0"/>
              <w:spacing w:before="0" w:beforeAutospacing="0" w:after="0" w:afterAutospacing="0" w:line="360" w:lineRule="auto"/>
              <w:ind w:left="0" w:right="0"/>
              <w:rPr>
                <w:rFonts w:hint="default" w:ascii="宋体" w:hAnsi="宋体" w:cs="Times New Roman"/>
                <w:color w:val="auto"/>
                <w:szCs w:val="21"/>
                <w:highlight w:val="none"/>
              </w:rPr>
            </w:pPr>
          </w:p>
        </w:tc>
        <w:tc>
          <w:tcPr>
            <w:tcW w:w="539" w:type="pct"/>
            <w:noWrap w:val="0"/>
            <w:vAlign w:val="center"/>
          </w:tcPr>
          <w:p w14:paraId="31867B4F">
            <w:pPr>
              <w:keepNext w:val="0"/>
              <w:keepLines w:val="0"/>
              <w:suppressLineNumbers w:val="0"/>
              <w:spacing w:before="0" w:beforeAutospacing="0" w:after="0" w:afterAutospacing="0" w:line="360" w:lineRule="auto"/>
              <w:ind w:left="0" w:right="0"/>
              <w:rPr>
                <w:rFonts w:hint="default" w:ascii="宋体" w:hAnsi="宋体" w:cs="Times New Roman"/>
                <w:color w:val="auto"/>
                <w:szCs w:val="21"/>
                <w:highlight w:val="none"/>
              </w:rPr>
            </w:pPr>
          </w:p>
        </w:tc>
        <w:tc>
          <w:tcPr>
            <w:tcW w:w="835" w:type="pct"/>
            <w:noWrap w:val="0"/>
            <w:vAlign w:val="center"/>
          </w:tcPr>
          <w:p w14:paraId="535F22E9">
            <w:pPr>
              <w:keepNext w:val="0"/>
              <w:keepLines w:val="0"/>
              <w:suppressLineNumbers w:val="0"/>
              <w:spacing w:before="0" w:beforeAutospacing="0" w:after="0" w:afterAutospacing="0" w:line="360" w:lineRule="auto"/>
              <w:ind w:left="0" w:right="0"/>
              <w:rPr>
                <w:rFonts w:hint="default" w:ascii="宋体" w:hAnsi="宋体" w:cs="Times New Roman"/>
                <w:color w:val="auto"/>
                <w:szCs w:val="21"/>
                <w:highlight w:val="none"/>
              </w:rPr>
            </w:pPr>
          </w:p>
        </w:tc>
        <w:tc>
          <w:tcPr>
            <w:tcW w:w="959" w:type="pct"/>
            <w:noWrap w:val="0"/>
            <w:vAlign w:val="center"/>
          </w:tcPr>
          <w:p w14:paraId="6A488916">
            <w:pPr>
              <w:keepNext w:val="0"/>
              <w:keepLines w:val="0"/>
              <w:suppressLineNumbers w:val="0"/>
              <w:spacing w:before="0" w:beforeAutospacing="0" w:after="0" w:afterAutospacing="0" w:line="360" w:lineRule="auto"/>
              <w:ind w:left="0" w:right="0"/>
              <w:rPr>
                <w:rFonts w:hint="default" w:ascii="宋体" w:hAnsi="宋体" w:cs="Times New Roman"/>
                <w:color w:val="auto"/>
                <w:szCs w:val="21"/>
                <w:highlight w:val="none"/>
              </w:rPr>
            </w:pPr>
          </w:p>
        </w:tc>
        <w:tc>
          <w:tcPr>
            <w:tcW w:w="918" w:type="pct"/>
            <w:noWrap w:val="0"/>
            <w:vAlign w:val="center"/>
          </w:tcPr>
          <w:p w14:paraId="5E468A2A">
            <w:pPr>
              <w:keepNext w:val="0"/>
              <w:keepLines w:val="0"/>
              <w:suppressLineNumbers w:val="0"/>
              <w:spacing w:before="0" w:beforeAutospacing="0" w:after="0" w:afterAutospacing="0" w:line="360" w:lineRule="auto"/>
              <w:ind w:left="0" w:right="0"/>
              <w:rPr>
                <w:rFonts w:hint="default" w:ascii="宋体" w:hAnsi="宋体" w:cs="Times New Roman"/>
                <w:color w:val="auto"/>
                <w:szCs w:val="21"/>
                <w:highlight w:val="none"/>
              </w:rPr>
            </w:pPr>
          </w:p>
        </w:tc>
        <w:tc>
          <w:tcPr>
            <w:tcW w:w="509" w:type="pct"/>
            <w:noWrap w:val="0"/>
            <w:vAlign w:val="center"/>
          </w:tcPr>
          <w:p w14:paraId="7920EF64">
            <w:pPr>
              <w:keepNext w:val="0"/>
              <w:keepLines w:val="0"/>
              <w:suppressLineNumbers w:val="0"/>
              <w:spacing w:before="0" w:beforeAutospacing="0" w:after="0" w:afterAutospacing="0" w:line="360" w:lineRule="auto"/>
              <w:ind w:left="0" w:right="0"/>
              <w:rPr>
                <w:rFonts w:hint="default" w:ascii="宋体" w:hAnsi="宋体" w:cs="Times New Roman"/>
                <w:color w:val="auto"/>
                <w:szCs w:val="21"/>
                <w:highlight w:val="none"/>
              </w:rPr>
            </w:pPr>
          </w:p>
        </w:tc>
      </w:tr>
      <w:tr w14:paraId="3248FA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7" w:type="pct"/>
            <w:noWrap w:val="0"/>
            <w:vAlign w:val="center"/>
          </w:tcPr>
          <w:p w14:paraId="432FD75A">
            <w:pPr>
              <w:keepNext w:val="0"/>
              <w:keepLines w:val="0"/>
              <w:suppressLineNumbers w:val="0"/>
              <w:spacing w:before="0" w:beforeAutospacing="0" w:after="0" w:afterAutospacing="0" w:line="360" w:lineRule="auto"/>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4</w:t>
            </w:r>
          </w:p>
        </w:tc>
        <w:tc>
          <w:tcPr>
            <w:tcW w:w="803" w:type="pct"/>
            <w:noWrap w:val="0"/>
            <w:vAlign w:val="center"/>
          </w:tcPr>
          <w:p w14:paraId="6B760D08">
            <w:pPr>
              <w:keepNext w:val="0"/>
              <w:keepLines w:val="0"/>
              <w:suppressLineNumbers w:val="0"/>
              <w:spacing w:before="0" w:beforeAutospacing="0" w:after="0" w:afterAutospacing="0" w:line="360" w:lineRule="auto"/>
              <w:ind w:left="0" w:right="0"/>
              <w:rPr>
                <w:rFonts w:hint="default" w:ascii="宋体" w:hAnsi="宋体" w:cs="Times New Roman"/>
                <w:color w:val="auto"/>
                <w:szCs w:val="21"/>
                <w:highlight w:val="none"/>
              </w:rPr>
            </w:pPr>
          </w:p>
        </w:tc>
        <w:tc>
          <w:tcPr>
            <w:tcW w:w="539" w:type="pct"/>
            <w:noWrap w:val="0"/>
            <w:vAlign w:val="center"/>
          </w:tcPr>
          <w:p w14:paraId="69FC69DE">
            <w:pPr>
              <w:keepNext w:val="0"/>
              <w:keepLines w:val="0"/>
              <w:suppressLineNumbers w:val="0"/>
              <w:spacing w:before="0" w:beforeAutospacing="0" w:after="0" w:afterAutospacing="0" w:line="360" w:lineRule="auto"/>
              <w:ind w:left="0" w:right="0"/>
              <w:rPr>
                <w:rFonts w:hint="default" w:ascii="宋体" w:hAnsi="宋体" w:cs="Times New Roman"/>
                <w:color w:val="auto"/>
                <w:szCs w:val="21"/>
                <w:highlight w:val="none"/>
              </w:rPr>
            </w:pPr>
          </w:p>
        </w:tc>
        <w:tc>
          <w:tcPr>
            <w:tcW w:w="835" w:type="pct"/>
            <w:noWrap w:val="0"/>
            <w:vAlign w:val="center"/>
          </w:tcPr>
          <w:p w14:paraId="2593F36D">
            <w:pPr>
              <w:keepNext w:val="0"/>
              <w:keepLines w:val="0"/>
              <w:suppressLineNumbers w:val="0"/>
              <w:spacing w:before="0" w:beforeAutospacing="0" w:after="0" w:afterAutospacing="0" w:line="360" w:lineRule="auto"/>
              <w:ind w:left="0" w:right="0"/>
              <w:rPr>
                <w:rFonts w:hint="default" w:ascii="宋体" w:hAnsi="宋体" w:cs="Times New Roman"/>
                <w:color w:val="auto"/>
                <w:szCs w:val="21"/>
                <w:highlight w:val="none"/>
              </w:rPr>
            </w:pPr>
          </w:p>
        </w:tc>
        <w:tc>
          <w:tcPr>
            <w:tcW w:w="959" w:type="pct"/>
            <w:noWrap w:val="0"/>
            <w:vAlign w:val="center"/>
          </w:tcPr>
          <w:p w14:paraId="63DC58FE">
            <w:pPr>
              <w:keepNext w:val="0"/>
              <w:keepLines w:val="0"/>
              <w:suppressLineNumbers w:val="0"/>
              <w:spacing w:before="0" w:beforeAutospacing="0" w:after="0" w:afterAutospacing="0" w:line="360" w:lineRule="auto"/>
              <w:ind w:left="0" w:right="0"/>
              <w:rPr>
                <w:rFonts w:hint="default" w:ascii="宋体" w:hAnsi="宋体" w:cs="Times New Roman"/>
                <w:color w:val="auto"/>
                <w:szCs w:val="21"/>
                <w:highlight w:val="none"/>
              </w:rPr>
            </w:pPr>
          </w:p>
        </w:tc>
        <w:tc>
          <w:tcPr>
            <w:tcW w:w="918" w:type="pct"/>
            <w:noWrap w:val="0"/>
            <w:vAlign w:val="center"/>
          </w:tcPr>
          <w:p w14:paraId="00920299">
            <w:pPr>
              <w:keepNext w:val="0"/>
              <w:keepLines w:val="0"/>
              <w:suppressLineNumbers w:val="0"/>
              <w:spacing w:before="0" w:beforeAutospacing="0" w:after="0" w:afterAutospacing="0" w:line="360" w:lineRule="auto"/>
              <w:ind w:left="0" w:right="0"/>
              <w:rPr>
                <w:rFonts w:hint="default" w:ascii="宋体" w:hAnsi="宋体" w:cs="Times New Roman"/>
                <w:color w:val="auto"/>
                <w:szCs w:val="21"/>
                <w:highlight w:val="none"/>
              </w:rPr>
            </w:pPr>
          </w:p>
        </w:tc>
        <w:tc>
          <w:tcPr>
            <w:tcW w:w="509" w:type="pct"/>
            <w:noWrap w:val="0"/>
            <w:vAlign w:val="center"/>
          </w:tcPr>
          <w:p w14:paraId="768383D6">
            <w:pPr>
              <w:keepNext w:val="0"/>
              <w:keepLines w:val="0"/>
              <w:suppressLineNumbers w:val="0"/>
              <w:spacing w:before="0" w:beforeAutospacing="0" w:after="0" w:afterAutospacing="0" w:line="360" w:lineRule="auto"/>
              <w:ind w:left="0" w:right="0"/>
              <w:rPr>
                <w:rFonts w:hint="default" w:ascii="宋体" w:hAnsi="宋体" w:cs="Times New Roman"/>
                <w:color w:val="auto"/>
                <w:szCs w:val="21"/>
                <w:highlight w:val="none"/>
              </w:rPr>
            </w:pPr>
          </w:p>
        </w:tc>
      </w:tr>
      <w:tr w14:paraId="6D1FDC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7" w:type="pct"/>
            <w:noWrap w:val="0"/>
            <w:vAlign w:val="center"/>
          </w:tcPr>
          <w:p w14:paraId="698560A5">
            <w:pPr>
              <w:keepNext w:val="0"/>
              <w:keepLines w:val="0"/>
              <w:suppressLineNumbers w:val="0"/>
              <w:spacing w:before="0" w:beforeAutospacing="0" w:after="0" w:afterAutospacing="0" w:line="360" w:lineRule="auto"/>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5</w:t>
            </w:r>
          </w:p>
        </w:tc>
        <w:tc>
          <w:tcPr>
            <w:tcW w:w="803" w:type="pct"/>
            <w:noWrap w:val="0"/>
            <w:vAlign w:val="center"/>
          </w:tcPr>
          <w:p w14:paraId="33139EA1">
            <w:pPr>
              <w:keepNext w:val="0"/>
              <w:keepLines w:val="0"/>
              <w:suppressLineNumbers w:val="0"/>
              <w:spacing w:before="0" w:beforeAutospacing="0" w:after="0" w:afterAutospacing="0" w:line="360" w:lineRule="auto"/>
              <w:ind w:left="0" w:right="0"/>
              <w:rPr>
                <w:rFonts w:hint="default" w:ascii="宋体" w:hAnsi="宋体" w:cs="Times New Roman"/>
                <w:color w:val="auto"/>
                <w:szCs w:val="21"/>
                <w:highlight w:val="none"/>
              </w:rPr>
            </w:pPr>
          </w:p>
        </w:tc>
        <w:tc>
          <w:tcPr>
            <w:tcW w:w="539" w:type="pct"/>
            <w:noWrap w:val="0"/>
            <w:vAlign w:val="center"/>
          </w:tcPr>
          <w:p w14:paraId="426E4ACA">
            <w:pPr>
              <w:keepNext w:val="0"/>
              <w:keepLines w:val="0"/>
              <w:suppressLineNumbers w:val="0"/>
              <w:spacing w:before="0" w:beforeAutospacing="0" w:after="0" w:afterAutospacing="0" w:line="360" w:lineRule="auto"/>
              <w:ind w:left="0" w:right="0"/>
              <w:rPr>
                <w:rFonts w:hint="default" w:ascii="宋体" w:hAnsi="宋体" w:cs="Times New Roman"/>
                <w:color w:val="auto"/>
                <w:szCs w:val="21"/>
                <w:highlight w:val="none"/>
              </w:rPr>
            </w:pPr>
          </w:p>
        </w:tc>
        <w:tc>
          <w:tcPr>
            <w:tcW w:w="835" w:type="pct"/>
            <w:noWrap w:val="0"/>
            <w:vAlign w:val="center"/>
          </w:tcPr>
          <w:p w14:paraId="35C2B9D7">
            <w:pPr>
              <w:keepNext w:val="0"/>
              <w:keepLines w:val="0"/>
              <w:suppressLineNumbers w:val="0"/>
              <w:spacing w:before="0" w:beforeAutospacing="0" w:after="0" w:afterAutospacing="0" w:line="360" w:lineRule="auto"/>
              <w:ind w:left="0" w:right="0"/>
              <w:rPr>
                <w:rFonts w:hint="default" w:ascii="宋体" w:hAnsi="宋体" w:cs="Times New Roman"/>
                <w:color w:val="auto"/>
                <w:szCs w:val="21"/>
                <w:highlight w:val="none"/>
              </w:rPr>
            </w:pPr>
          </w:p>
        </w:tc>
        <w:tc>
          <w:tcPr>
            <w:tcW w:w="959" w:type="pct"/>
            <w:noWrap w:val="0"/>
            <w:vAlign w:val="center"/>
          </w:tcPr>
          <w:p w14:paraId="0ED87BA4">
            <w:pPr>
              <w:keepNext w:val="0"/>
              <w:keepLines w:val="0"/>
              <w:suppressLineNumbers w:val="0"/>
              <w:spacing w:before="0" w:beforeAutospacing="0" w:after="0" w:afterAutospacing="0" w:line="360" w:lineRule="auto"/>
              <w:ind w:left="0" w:right="0"/>
              <w:rPr>
                <w:rFonts w:hint="default" w:ascii="宋体" w:hAnsi="宋体" w:cs="Times New Roman"/>
                <w:color w:val="auto"/>
                <w:szCs w:val="21"/>
                <w:highlight w:val="none"/>
              </w:rPr>
            </w:pPr>
          </w:p>
        </w:tc>
        <w:tc>
          <w:tcPr>
            <w:tcW w:w="918" w:type="pct"/>
            <w:noWrap w:val="0"/>
            <w:vAlign w:val="center"/>
          </w:tcPr>
          <w:p w14:paraId="643F416E">
            <w:pPr>
              <w:keepNext w:val="0"/>
              <w:keepLines w:val="0"/>
              <w:suppressLineNumbers w:val="0"/>
              <w:spacing w:before="0" w:beforeAutospacing="0" w:after="0" w:afterAutospacing="0" w:line="360" w:lineRule="auto"/>
              <w:ind w:left="0" w:right="0"/>
              <w:rPr>
                <w:rFonts w:hint="default" w:ascii="宋体" w:hAnsi="宋体" w:cs="Times New Roman"/>
                <w:color w:val="auto"/>
                <w:szCs w:val="21"/>
                <w:highlight w:val="none"/>
              </w:rPr>
            </w:pPr>
          </w:p>
        </w:tc>
        <w:tc>
          <w:tcPr>
            <w:tcW w:w="509" w:type="pct"/>
            <w:noWrap w:val="0"/>
            <w:vAlign w:val="center"/>
          </w:tcPr>
          <w:p w14:paraId="0E87EC63">
            <w:pPr>
              <w:keepNext w:val="0"/>
              <w:keepLines w:val="0"/>
              <w:suppressLineNumbers w:val="0"/>
              <w:spacing w:before="0" w:beforeAutospacing="0" w:after="0" w:afterAutospacing="0" w:line="360" w:lineRule="auto"/>
              <w:ind w:left="0" w:right="0"/>
              <w:rPr>
                <w:rFonts w:hint="default" w:ascii="宋体" w:hAnsi="宋体" w:cs="Times New Roman"/>
                <w:color w:val="auto"/>
                <w:szCs w:val="21"/>
                <w:highlight w:val="none"/>
              </w:rPr>
            </w:pPr>
          </w:p>
        </w:tc>
      </w:tr>
      <w:tr w14:paraId="147484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7" w:type="pct"/>
            <w:noWrap w:val="0"/>
            <w:vAlign w:val="center"/>
          </w:tcPr>
          <w:p w14:paraId="2045C21C">
            <w:pPr>
              <w:keepNext w:val="0"/>
              <w:keepLines w:val="0"/>
              <w:suppressLineNumbers w:val="0"/>
              <w:spacing w:before="0" w:beforeAutospacing="0" w:after="0" w:afterAutospacing="0" w:line="360" w:lineRule="auto"/>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w:t>
            </w:r>
          </w:p>
        </w:tc>
        <w:tc>
          <w:tcPr>
            <w:tcW w:w="803" w:type="pct"/>
            <w:noWrap w:val="0"/>
            <w:vAlign w:val="center"/>
          </w:tcPr>
          <w:p w14:paraId="54B7C845">
            <w:pPr>
              <w:keepNext w:val="0"/>
              <w:keepLines w:val="0"/>
              <w:suppressLineNumbers w:val="0"/>
              <w:spacing w:before="0" w:beforeAutospacing="0" w:after="0" w:afterAutospacing="0" w:line="360" w:lineRule="auto"/>
              <w:ind w:left="0" w:right="0"/>
              <w:rPr>
                <w:rFonts w:hint="default" w:ascii="宋体" w:hAnsi="宋体" w:cs="Times New Roman"/>
                <w:color w:val="auto"/>
                <w:szCs w:val="21"/>
                <w:highlight w:val="none"/>
              </w:rPr>
            </w:pPr>
          </w:p>
        </w:tc>
        <w:tc>
          <w:tcPr>
            <w:tcW w:w="539" w:type="pct"/>
            <w:noWrap w:val="0"/>
            <w:vAlign w:val="center"/>
          </w:tcPr>
          <w:p w14:paraId="1D063126">
            <w:pPr>
              <w:keepNext w:val="0"/>
              <w:keepLines w:val="0"/>
              <w:suppressLineNumbers w:val="0"/>
              <w:spacing w:before="0" w:beforeAutospacing="0" w:after="0" w:afterAutospacing="0" w:line="360" w:lineRule="auto"/>
              <w:ind w:left="0" w:right="0"/>
              <w:rPr>
                <w:rFonts w:hint="default" w:ascii="宋体" w:hAnsi="宋体" w:cs="Times New Roman"/>
                <w:color w:val="auto"/>
                <w:szCs w:val="21"/>
                <w:highlight w:val="none"/>
              </w:rPr>
            </w:pPr>
          </w:p>
        </w:tc>
        <w:tc>
          <w:tcPr>
            <w:tcW w:w="835" w:type="pct"/>
            <w:noWrap w:val="0"/>
            <w:vAlign w:val="center"/>
          </w:tcPr>
          <w:p w14:paraId="0E6ECD3B">
            <w:pPr>
              <w:keepNext w:val="0"/>
              <w:keepLines w:val="0"/>
              <w:suppressLineNumbers w:val="0"/>
              <w:spacing w:before="0" w:beforeAutospacing="0" w:after="0" w:afterAutospacing="0" w:line="360" w:lineRule="auto"/>
              <w:ind w:left="0" w:right="0"/>
              <w:rPr>
                <w:rFonts w:hint="default" w:ascii="宋体" w:hAnsi="宋体" w:cs="Times New Roman"/>
                <w:color w:val="auto"/>
                <w:szCs w:val="21"/>
                <w:highlight w:val="none"/>
              </w:rPr>
            </w:pPr>
          </w:p>
        </w:tc>
        <w:tc>
          <w:tcPr>
            <w:tcW w:w="959" w:type="pct"/>
            <w:noWrap w:val="0"/>
            <w:vAlign w:val="center"/>
          </w:tcPr>
          <w:p w14:paraId="65363967">
            <w:pPr>
              <w:keepNext w:val="0"/>
              <w:keepLines w:val="0"/>
              <w:suppressLineNumbers w:val="0"/>
              <w:spacing w:before="0" w:beforeAutospacing="0" w:after="0" w:afterAutospacing="0" w:line="360" w:lineRule="auto"/>
              <w:ind w:left="0" w:right="0"/>
              <w:rPr>
                <w:rFonts w:hint="default" w:ascii="宋体" w:hAnsi="宋体" w:cs="Times New Roman"/>
                <w:color w:val="auto"/>
                <w:szCs w:val="21"/>
                <w:highlight w:val="none"/>
              </w:rPr>
            </w:pPr>
          </w:p>
        </w:tc>
        <w:tc>
          <w:tcPr>
            <w:tcW w:w="918" w:type="pct"/>
            <w:noWrap w:val="0"/>
            <w:vAlign w:val="center"/>
          </w:tcPr>
          <w:p w14:paraId="5C420BB8">
            <w:pPr>
              <w:keepNext w:val="0"/>
              <w:keepLines w:val="0"/>
              <w:suppressLineNumbers w:val="0"/>
              <w:spacing w:before="0" w:beforeAutospacing="0" w:after="0" w:afterAutospacing="0" w:line="360" w:lineRule="auto"/>
              <w:ind w:left="0" w:right="0"/>
              <w:rPr>
                <w:rFonts w:hint="default" w:ascii="宋体" w:hAnsi="宋体" w:cs="Times New Roman"/>
                <w:color w:val="auto"/>
                <w:szCs w:val="21"/>
                <w:highlight w:val="none"/>
              </w:rPr>
            </w:pPr>
          </w:p>
        </w:tc>
        <w:tc>
          <w:tcPr>
            <w:tcW w:w="509" w:type="pct"/>
            <w:noWrap w:val="0"/>
            <w:vAlign w:val="center"/>
          </w:tcPr>
          <w:p w14:paraId="283C06B9">
            <w:pPr>
              <w:keepNext w:val="0"/>
              <w:keepLines w:val="0"/>
              <w:suppressLineNumbers w:val="0"/>
              <w:spacing w:before="0" w:beforeAutospacing="0" w:after="0" w:afterAutospacing="0" w:line="360" w:lineRule="auto"/>
              <w:ind w:left="0" w:right="0"/>
              <w:rPr>
                <w:rFonts w:hint="default" w:ascii="宋体" w:hAnsi="宋体" w:cs="Times New Roman"/>
                <w:color w:val="auto"/>
                <w:szCs w:val="21"/>
                <w:highlight w:val="none"/>
              </w:rPr>
            </w:pPr>
          </w:p>
        </w:tc>
      </w:tr>
    </w:tbl>
    <w:p w14:paraId="53BD3526">
      <w:pPr>
        <w:adjustRightInd w:val="0"/>
        <w:snapToGrid w:val="0"/>
        <w:spacing w:line="360" w:lineRule="auto"/>
        <w:rPr>
          <w:rFonts w:ascii="宋体" w:hAnsi="宋体"/>
          <w:b/>
          <w:bCs/>
          <w:color w:val="auto"/>
          <w:szCs w:val="21"/>
          <w:highlight w:val="none"/>
        </w:rPr>
      </w:pPr>
    </w:p>
    <w:p w14:paraId="50F0B3C3">
      <w:pPr>
        <w:adjustRightInd w:val="0"/>
        <w:snapToGrid w:val="0"/>
        <w:spacing w:line="360" w:lineRule="auto"/>
        <w:rPr>
          <w:rFonts w:ascii="宋体" w:hAnsi="宋体"/>
          <w:b/>
          <w:bCs/>
          <w:color w:val="auto"/>
          <w:szCs w:val="21"/>
          <w:highlight w:val="none"/>
        </w:rPr>
      </w:pPr>
      <w:r>
        <w:rPr>
          <w:rFonts w:hint="eastAsia" w:ascii="宋体" w:hAnsi="宋体"/>
          <w:b/>
          <w:bCs/>
          <w:color w:val="auto"/>
          <w:szCs w:val="21"/>
          <w:highlight w:val="none"/>
        </w:rPr>
        <w:t>备注：</w:t>
      </w:r>
    </w:p>
    <w:p w14:paraId="709469AB">
      <w:pPr>
        <w:spacing w:line="360" w:lineRule="auto"/>
        <w:ind w:firstLine="435"/>
        <w:rPr>
          <w:rFonts w:ascii="宋体" w:hAnsi="宋体"/>
          <w:bCs/>
          <w:color w:val="auto"/>
          <w:szCs w:val="21"/>
          <w:highlight w:val="none"/>
        </w:rPr>
      </w:pPr>
      <w:r>
        <w:rPr>
          <w:rFonts w:hint="eastAsia" w:ascii="宋体" w:hAnsi="宋体"/>
          <w:bCs/>
          <w:color w:val="auto"/>
          <w:szCs w:val="21"/>
          <w:highlight w:val="none"/>
        </w:rPr>
        <w:t>1.</w:t>
      </w:r>
      <w:r>
        <w:rPr>
          <w:rFonts w:hint="eastAsia" w:ascii="宋体" w:hAnsi="宋体"/>
          <w:color w:val="auto"/>
          <w:szCs w:val="21"/>
          <w:highlight w:val="none"/>
        </w:rPr>
        <w:t>表中所列内容为满足本项目要求的</w:t>
      </w:r>
      <w:r>
        <w:rPr>
          <w:rFonts w:hint="eastAsia" w:ascii="宋体" w:hAnsi="宋体"/>
          <w:bCs/>
          <w:color w:val="auto"/>
          <w:szCs w:val="21"/>
          <w:highlight w:val="none"/>
        </w:rPr>
        <w:t>主要标的信息；</w:t>
      </w:r>
    </w:p>
    <w:p w14:paraId="01C2EE85">
      <w:pPr>
        <w:spacing w:line="360" w:lineRule="auto"/>
        <w:ind w:firstLine="435"/>
        <w:rPr>
          <w:rFonts w:ascii="宋体" w:hAnsi="宋体"/>
          <w:color w:val="auto"/>
          <w:szCs w:val="21"/>
          <w:highlight w:val="none"/>
        </w:rPr>
      </w:pPr>
      <w:r>
        <w:rPr>
          <w:rFonts w:hint="eastAsia" w:ascii="宋体" w:hAnsi="宋体"/>
          <w:bCs/>
          <w:color w:val="auto"/>
          <w:szCs w:val="21"/>
          <w:highlight w:val="none"/>
        </w:rPr>
        <w:t>2.</w:t>
      </w:r>
      <w:r>
        <w:rPr>
          <w:rFonts w:hint="eastAsia" w:ascii="宋体" w:hAnsi="宋体"/>
          <w:color w:val="auto"/>
          <w:szCs w:val="21"/>
          <w:highlight w:val="none"/>
        </w:rPr>
        <w:t>中标人提供的以上承诺情况（含名称、品牌、规格型号、数量、单价），经评标委员会确认后，将按约定随中标结果公告同时公告。</w:t>
      </w:r>
    </w:p>
    <w:bookmarkEnd w:id="897"/>
    <w:p w14:paraId="7A69A98E">
      <w:pPr>
        <w:pStyle w:val="3"/>
        <w:widowControl/>
        <w:spacing w:before="120" w:after="120" w:line="240" w:lineRule="auto"/>
        <w:jc w:val="center"/>
        <w:rPr>
          <w:rStyle w:val="107"/>
          <w:rFonts w:hint="eastAsia" w:ascii="宋体" w:hAnsi="宋体" w:eastAsia="宋体" w:cs="宋体"/>
          <w:b/>
          <w:bCs/>
          <w:color w:val="auto"/>
          <w:sz w:val="30"/>
          <w:szCs w:val="30"/>
          <w:highlight w:val="none"/>
        </w:rPr>
      </w:pPr>
      <w:r>
        <w:rPr>
          <w:rStyle w:val="107"/>
          <w:rFonts w:hint="eastAsia" w:ascii="宋体" w:hAnsi="宋体" w:eastAsia="宋体" w:cs="宋体"/>
          <w:b/>
          <w:bCs/>
          <w:color w:val="auto"/>
          <w:sz w:val="30"/>
          <w:szCs w:val="30"/>
          <w:highlight w:val="none"/>
        </w:rPr>
        <w:br w:type="page"/>
      </w:r>
      <w:r>
        <w:rPr>
          <w:rStyle w:val="107"/>
          <w:rFonts w:hint="eastAsia" w:ascii="宋体" w:hAnsi="宋体" w:eastAsia="宋体" w:cs="宋体"/>
          <w:b/>
          <w:bCs/>
          <w:color w:val="auto"/>
          <w:sz w:val="30"/>
          <w:szCs w:val="30"/>
          <w:highlight w:val="none"/>
          <w:lang w:val="en-US"/>
        </w:rPr>
        <w:t>十</w:t>
      </w:r>
      <w:r>
        <w:rPr>
          <w:rStyle w:val="107"/>
          <w:rFonts w:hint="eastAsia" w:ascii="宋体" w:hAnsi="宋体" w:eastAsia="宋体" w:cs="宋体"/>
          <w:b/>
          <w:bCs/>
          <w:color w:val="auto"/>
          <w:sz w:val="30"/>
          <w:szCs w:val="30"/>
          <w:highlight w:val="none"/>
        </w:rPr>
        <w:t>、投标相关信息汇总表</w:t>
      </w:r>
    </w:p>
    <w:p w14:paraId="23F24176">
      <w:pPr>
        <w:adjustRightInd w:val="0"/>
        <w:snapToGrid w:val="0"/>
        <w:spacing w:line="300" w:lineRule="auto"/>
        <w:rPr>
          <w:rFonts w:ascii="宋体" w:hAnsi="宋体"/>
          <w:b/>
          <w:bCs/>
          <w:color w:val="auto"/>
          <w:szCs w:val="21"/>
          <w:highlight w:val="none"/>
        </w:rPr>
      </w:pPr>
      <w:r>
        <w:rPr>
          <w:rFonts w:hint="eastAsia" w:ascii="宋体" w:hAnsi="宋体"/>
          <w:b/>
          <w:bCs/>
          <w:color w:val="auto"/>
          <w:szCs w:val="21"/>
          <w:highlight w:val="none"/>
        </w:rPr>
        <w:t>填表说明：</w:t>
      </w:r>
    </w:p>
    <w:p w14:paraId="640A04DD">
      <w:pPr>
        <w:numPr>
          <w:ilvl w:val="0"/>
          <w:numId w:val="17"/>
        </w:numPr>
        <w:adjustRightInd w:val="0"/>
        <w:snapToGrid w:val="0"/>
        <w:spacing w:line="300" w:lineRule="auto"/>
        <w:rPr>
          <w:rFonts w:ascii="宋体" w:hAnsi="宋体"/>
          <w:b/>
          <w:bCs/>
          <w:color w:val="auto"/>
          <w:szCs w:val="21"/>
          <w:highlight w:val="none"/>
        </w:rPr>
      </w:pPr>
      <w:r>
        <w:rPr>
          <w:rFonts w:hint="eastAsia" w:ascii="宋体" w:hAnsi="宋体"/>
          <w:color w:val="auto"/>
          <w:szCs w:val="21"/>
          <w:highlight w:val="none"/>
        </w:rPr>
        <w:t>为便于了解投标企业及投标产品的相关信息，请各投标人认真填写下表，</w:t>
      </w:r>
      <w:r>
        <w:rPr>
          <w:rFonts w:hint="eastAsia" w:ascii="宋体" w:hAnsi="宋体"/>
          <w:b/>
          <w:bCs/>
          <w:color w:val="auto"/>
          <w:szCs w:val="21"/>
          <w:highlight w:val="none"/>
        </w:rPr>
        <w:t>不得弄虚作假。</w:t>
      </w:r>
    </w:p>
    <w:p w14:paraId="75D19020">
      <w:pPr>
        <w:numPr>
          <w:ilvl w:val="0"/>
          <w:numId w:val="17"/>
        </w:numPr>
        <w:adjustRightInd w:val="0"/>
        <w:snapToGrid w:val="0"/>
        <w:spacing w:line="300" w:lineRule="auto"/>
        <w:rPr>
          <w:rFonts w:hint="eastAsia" w:ascii="宋体" w:hAnsi="宋体"/>
          <w:color w:val="auto"/>
          <w:szCs w:val="21"/>
          <w:highlight w:val="none"/>
        </w:rPr>
      </w:pPr>
      <w:r>
        <w:rPr>
          <w:rFonts w:hint="eastAsia" w:ascii="宋体" w:hAnsi="宋体"/>
          <w:color w:val="auto"/>
          <w:szCs w:val="21"/>
          <w:highlight w:val="none"/>
        </w:rPr>
        <w:t>本表内容仅供参考，不作为本项目的资格要求或者评审因素。</w:t>
      </w:r>
    </w:p>
    <w:p w14:paraId="72B9C744">
      <w:pPr>
        <w:numPr>
          <w:ilvl w:val="0"/>
          <w:numId w:val="17"/>
        </w:numPr>
        <w:adjustRightInd w:val="0"/>
        <w:snapToGrid w:val="0"/>
        <w:spacing w:line="300" w:lineRule="auto"/>
        <w:rPr>
          <w:rFonts w:ascii="宋体" w:hAnsi="宋体"/>
          <w:color w:val="auto"/>
          <w:szCs w:val="21"/>
          <w:highlight w:val="none"/>
        </w:rPr>
      </w:pPr>
      <w:r>
        <w:rPr>
          <w:rFonts w:hint="eastAsia" w:ascii="宋体" w:hAnsi="宋体"/>
          <w:color w:val="auto"/>
          <w:szCs w:val="21"/>
          <w:highlight w:val="none"/>
        </w:rPr>
        <w:t>在本表后，应附相应证明材料（格式、内容不限）。</w:t>
      </w:r>
    </w:p>
    <w:tbl>
      <w:tblPr>
        <w:tblStyle w:val="48"/>
        <w:tblW w:w="968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33"/>
        <w:gridCol w:w="4677"/>
        <w:gridCol w:w="3779"/>
      </w:tblGrid>
      <w:tr w14:paraId="2B772D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1233" w:type="dxa"/>
            <w:noWrap w:val="0"/>
            <w:vAlign w:val="center"/>
          </w:tcPr>
          <w:p w14:paraId="07867359">
            <w:pPr>
              <w:keepNext w:val="0"/>
              <w:keepLines w:val="0"/>
              <w:suppressLineNumbers w:val="0"/>
              <w:adjustRightInd w:val="0"/>
              <w:snapToGrid w:val="0"/>
              <w:spacing w:before="0" w:beforeAutospacing="0" w:after="0" w:afterAutospacing="0"/>
              <w:ind w:left="0" w:right="0"/>
              <w:jc w:val="center"/>
              <w:rPr>
                <w:rFonts w:hint="eastAsia" w:ascii="宋体" w:hAnsi="宋体" w:cs="Times New Roman"/>
                <w:b/>
                <w:bCs/>
                <w:color w:val="auto"/>
                <w:szCs w:val="21"/>
                <w:highlight w:val="none"/>
              </w:rPr>
            </w:pPr>
            <w:r>
              <w:rPr>
                <w:rFonts w:hint="eastAsia" w:ascii="宋体" w:hAnsi="宋体" w:cs="Times New Roman"/>
                <w:b/>
                <w:bCs/>
                <w:color w:val="auto"/>
                <w:szCs w:val="21"/>
                <w:highlight w:val="none"/>
              </w:rPr>
              <w:t>相关主体</w:t>
            </w:r>
          </w:p>
        </w:tc>
        <w:tc>
          <w:tcPr>
            <w:tcW w:w="4677" w:type="dxa"/>
            <w:noWrap w:val="0"/>
            <w:vAlign w:val="center"/>
          </w:tcPr>
          <w:p w14:paraId="38FC15D2">
            <w:pPr>
              <w:keepNext w:val="0"/>
              <w:keepLines w:val="0"/>
              <w:suppressLineNumbers w:val="0"/>
              <w:adjustRightInd w:val="0"/>
              <w:snapToGrid w:val="0"/>
              <w:spacing w:before="0" w:beforeAutospacing="0" w:after="0" w:afterAutospacing="0"/>
              <w:ind w:left="0" w:right="0"/>
              <w:jc w:val="center"/>
              <w:rPr>
                <w:rFonts w:hint="eastAsia" w:ascii="宋体" w:hAnsi="宋体" w:cs="Times New Roman"/>
                <w:b/>
                <w:bCs/>
                <w:color w:val="auto"/>
                <w:szCs w:val="21"/>
                <w:highlight w:val="none"/>
              </w:rPr>
            </w:pPr>
            <w:r>
              <w:rPr>
                <w:rFonts w:hint="eastAsia" w:ascii="宋体" w:hAnsi="宋体" w:cs="Times New Roman"/>
                <w:b/>
                <w:bCs/>
                <w:color w:val="auto"/>
                <w:szCs w:val="21"/>
                <w:highlight w:val="none"/>
              </w:rPr>
              <w:t>项目</w:t>
            </w:r>
          </w:p>
        </w:tc>
        <w:tc>
          <w:tcPr>
            <w:tcW w:w="3779" w:type="dxa"/>
            <w:noWrap w:val="0"/>
            <w:vAlign w:val="center"/>
          </w:tcPr>
          <w:p w14:paraId="06AFC27B">
            <w:pPr>
              <w:keepNext w:val="0"/>
              <w:keepLines w:val="0"/>
              <w:suppressLineNumbers w:val="0"/>
              <w:adjustRightInd w:val="0"/>
              <w:snapToGrid w:val="0"/>
              <w:spacing w:before="0" w:beforeAutospacing="0" w:after="0" w:afterAutospacing="0"/>
              <w:ind w:left="0" w:right="0"/>
              <w:jc w:val="center"/>
              <w:rPr>
                <w:rFonts w:hint="eastAsia" w:ascii="宋体" w:hAnsi="宋体" w:cs="Times New Roman"/>
                <w:b/>
                <w:bCs/>
                <w:color w:val="auto"/>
                <w:szCs w:val="21"/>
                <w:highlight w:val="none"/>
              </w:rPr>
            </w:pPr>
            <w:r>
              <w:rPr>
                <w:rFonts w:hint="eastAsia" w:ascii="宋体" w:hAnsi="宋体" w:cs="Times New Roman"/>
                <w:b/>
                <w:bCs/>
                <w:color w:val="auto"/>
                <w:szCs w:val="21"/>
                <w:highlight w:val="none"/>
              </w:rPr>
              <w:t>具体信息内容</w:t>
            </w:r>
          </w:p>
        </w:tc>
      </w:tr>
      <w:tr w14:paraId="48D005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1233" w:type="dxa"/>
            <w:vMerge w:val="restart"/>
            <w:noWrap w:val="0"/>
            <w:vAlign w:val="center"/>
          </w:tcPr>
          <w:p w14:paraId="4D2EB578">
            <w:pPr>
              <w:keepNext w:val="0"/>
              <w:keepLines w:val="0"/>
              <w:suppressLineNumbers w:val="0"/>
              <w:adjustRightInd w:val="0"/>
              <w:snapToGrid w:val="0"/>
              <w:spacing w:before="0" w:beforeAutospacing="0" w:after="0" w:afterAutospacing="0"/>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投标人</w:t>
            </w:r>
          </w:p>
          <w:p w14:paraId="2A94C04E">
            <w:pPr>
              <w:keepNext w:val="0"/>
              <w:keepLines w:val="0"/>
              <w:suppressLineNumbers w:val="0"/>
              <w:adjustRightInd w:val="0"/>
              <w:snapToGrid w:val="0"/>
              <w:spacing w:before="0" w:beforeAutospacing="0" w:after="0" w:afterAutospacing="0"/>
              <w:ind w:left="0" w:right="0"/>
              <w:jc w:val="center"/>
              <w:rPr>
                <w:rFonts w:hint="eastAsia" w:ascii="宋体" w:hAnsi="宋体" w:cs="Times New Roman"/>
                <w:color w:val="auto"/>
                <w:szCs w:val="21"/>
                <w:highlight w:val="none"/>
              </w:rPr>
            </w:pPr>
            <w:bookmarkStart w:id="898" w:name="OLE_LINK18"/>
            <w:r>
              <w:rPr>
                <w:rFonts w:hint="eastAsia" w:ascii="宋体" w:hAnsi="宋体" w:cs="Times New Roman"/>
                <w:color w:val="auto"/>
                <w:szCs w:val="21"/>
                <w:highlight w:val="none"/>
              </w:rPr>
              <w:t>相关信息</w:t>
            </w:r>
            <w:bookmarkEnd w:id="898"/>
          </w:p>
        </w:tc>
        <w:tc>
          <w:tcPr>
            <w:tcW w:w="4677" w:type="dxa"/>
            <w:noWrap w:val="0"/>
            <w:vAlign w:val="center"/>
          </w:tcPr>
          <w:p w14:paraId="77032053">
            <w:pPr>
              <w:keepNext w:val="0"/>
              <w:keepLines w:val="0"/>
              <w:suppressLineNumbers w:val="0"/>
              <w:adjustRightInd w:val="0"/>
              <w:snapToGrid w:val="0"/>
              <w:spacing w:before="0" w:beforeAutospacing="0" w:after="0" w:afterAutospacing="0"/>
              <w:ind w:left="0" w:right="0"/>
              <w:rPr>
                <w:rFonts w:hint="eastAsia" w:ascii="宋体" w:hAnsi="宋体" w:cs="Times New Roman"/>
                <w:color w:val="auto"/>
                <w:szCs w:val="21"/>
                <w:highlight w:val="none"/>
              </w:rPr>
            </w:pPr>
            <w:r>
              <w:rPr>
                <w:rFonts w:hint="eastAsia" w:ascii="宋体" w:hAnsi="宋体" w:cs="Times New Roman"/>
                <w:color w:val="auto"/>
                <w:szCs w:val="21"/>
                <w:highlight w:val="none"/>
              </w:rPr>
              <w:t>1.1企业名称</w:t>
            </w:r>
          </w:p>
        </w:tc>
        <w:tc>
          <w:tcPr>
            <w:tcW w:w="3779" w:type="dxa"/>
            <w:noWrap w:val="0"/>
            <w:vAlign w:val="center"/>
          </w:tcPr>
          <w:p w14:paraId="26C14627">
            <w:pPr>
              <w:keepNext w:val="0"/>
              <w:keepLines w:val="0"/>
              <w:suppressLineNumbers w:val="0"/>
              <w:adjustRightInd w:val="0"/>
              <w:snapToGrid w:val="0"/>
              <w:spacing w:before="0" w:beforeAutospacing="0" w:after="0" w:afterAutospacing="0"/>
              <w:ind w:left="0" w:right="0"/>
              <w:rPr>
                <w:rFonts w:hint="eastAsia" w:ascii="宋体" w:hAnsi="宋体" w:cs="Times New Roman"/>
                <w:color w:val="auto"/>
                <w:szCs w:val="21"/>
                <w:highlight w:val="none"/>
              </w:rPr>
            </w:pPr>
          </w:p>
        </w:tc>
      </w:tr>
      <w:tr w14:paraId="26DB0D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1233" w:type="dxa"/>
            <w:vMerge w:val="continue"/>
            <w:noWrap w:val="0"/>
            <w:vAlign w:val="center"/>
          </w:tcPr>
          <w:p w14:paraId="01C36E2D">
            <w:pPr>
              <w:keepNext w:val="0"/>
              <w:keepLines w:val="0"/>
              <w:suppressLineNumbers w:val="0"/>
              <w:adjustRightInd w:val="0"/>
              <w:snapToGrid w:val="0"/>
              <w:spacing w:before="0" w:beforeAutospacing="0" w:after="0" w:afterAutospacing="0"/>
              <w:ind w:left="0" w:right="0"/>
              <w:jc w:val="center"/>
              <w:rPr>
                <w:rFonts w:hint="eastAsia" w:ascii="宋体" w:hAnsi="宋体" w:cs="Times New Roman"/>
                <w:color w:val="auto"/>
                <w:szCs w:val="21"/>
                <w:highlight w:val="none"/>
              </w:rPr>
            </w:pPr>
          </w:p>
        </w:tc>
        <w:tc>
          <w:tcPr>
            <w:tcW w:w="4677" w:type="dxa"/>
            <w:noWrap w:val="0"/>
            <w:vAlign w:val="center"/>
          </w:tcPr>
          <w:p w14:paraId="6AAC474E">
            <w:pPr>
              <w:keepNext w:val="0"/>
              <w:keepLines w:val="0"/>
              <w:suppressLineNumbers w:val="0"/>
              <w:adjustRightInd w:val="0"/>
              <w:snapToGrid w:val="0"/>
              <w:spacing w:before="0" w:beforeAutospacing="0" w:after="0" w:afterAutospacing="0"/>
              <w:ind w:left="0" w:right="0"/>
              <w:rPr>
                <w:rFonts w:hint="eastAsia" w:ascii="宋体" w:hAnsi="宋体" w:cs="Times New Roman"/>
                <w:color w:val="auto"/>
                <w:szCs w:val="21"/>
                <w:highlight w:val="none"/>
              </w:rPr>
            </w:pPr>
            <w:r>
              <w:rPr>
                <w:rFonts w:hint="eastAsia" w:ascii="宋体" w:hAnsi="宋体" w:cs="Times New Roman"/>
                <w:color w:val="auto"/>
                <w:szCs w:val="21"/>
                <w:highlight w:val="none"/>
              </w:rPr>
              <w:t>1.2注册资本（以营业执照为准，万元）</w:t>
            </w:r>
          </w:p>
        </w:tc>
        <w:tc>
          <w:tcPr>
            <w:tcW w:w="3779" w:type="dxa"/>
            <w:noWrap w:val="0"/>
            <w:vAlign w:val="center"/>
          </w:tcPr>
          <w:p w14:paraId="3DC205D9">
            <w:pPr>
              <w:keepNext w:val="0"/>
              <w:keepLines w:val="0"/>
              <w:suppressLineNumbers w:val="0"/>
              <w:adjustRightInd w:val="0"/>
              <w:snapToGrid w:val="0"/>
              <w:spacing w:before="0" w:beforeAutospacing="0" w:after="0" w:afterAutospacing="0"/>
              <w:ind w:left="0" w:right="0"/>
              <w:rPr>
                <w:rFonts w:hint="eastAsia" w:ascii="宋体" w:hAnsi="宋体" w:cs="Times New Roman"/>
                <w:color w:val="auto"/>
                <w:szCs w:val="21"/>
                <w:highlight w:val="none"/>
              </w:rPr>
            </w:pPr>
          </w:p>
        </w:tc>
      </w:tr>
      <w:tr w14:paraId="45CB77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1233" w:type="dxa"/>
            <w:vMerge w:val="continue"/>
            <w:noWrap w:val="0"/>
            <w:vAlign w:val="center"/>
          </w:tcPr>
          <w:p w14:paraId="73B06171">
            <w:pPr>
              <w:keepNext w:val="0"/>
              <w:keepLines w:val="0"/>
              <w:suppressLineNumbers w:val="0"/>
              <w:adjustRightInd w:val="0"/>
              <w:snapToGrid w:val="0"/>
              <w:spacing w:before="0" w:beforeAutospacing="0" w:after="0" w:afterAutospacing="0"/>
              <w:ind w:left="0" w:right="0"/>
              <w:jc w:val="center"/>
              <w:rPr>
                <w:rFonts w:hint="eastAsia" w:ascii="宋体" w:hAnsi="宋体" w:cs="Times New Roman"/>
                <w:color w:val="auto"/>
                <w:szCs w:val="21"/>
                <w:highlight w:val="none"/>
              </w:rPr>
            </w:pPr>
          </w:p>
        </w:tc>
        <w:tc>
          <w:tcPr>
            <w:tcW w:w="4677" w:type="dxa"/>
            <w:noWrap w:val="0"/>
            <w:vAlign w:val="center"/>
          </w:tcPr>
          <w:p w14:paraId="1C988F9A">
            <w:pPr>
              <w:keepNext w:val="0"/>
              <w:keepLines w:val="0"/>
              <w:suppressLineNumbers w:val="0"/>
              <w:adjustRightInd w:val="0"/>
              <w:snapToGrid w:val="0"/>
              <w:spacing w:before="0" w:beforeAutospacing="0" w:after="0" w:afterAutospacing="0"/>
              <w:ind w:left="0" w:right="0"/>
              <w:rPr>
                <w:rFonts w:hint="eastAsia" w:ascii="宋体" w:hAnsi="宋体" w:cs="Times New Roman"/>
                <w:color w:val="auto"/>
                <w:szCs w:val="21"/>
                <w:highlight w:val="none"/>
              </w:rPr>
            </w:pPr>
            <w:r>
              <w:rPr>
                <w:rFonts w:hint="eastAsia" w:ascii="宋体" w:hAnsi="宋体" w:cs="Times New Roman"/>
                <w:color w:val="auto"/>
                <w:szCs w:val="21"/>
                <w:highlight w:val="none"/>
              </w:rPr>
              <w:t>1.3是否属于：中小企业、残疾人福利性</w:t>
            </w:r>
          </w:p>
        </w:tc>
        <w:tc>
          <w:tcPr>
            <w:tcW w:w="3779" w:type="dxa"/>
            <w:noWrap w:val="0"/>
            <w:vAlign w:val="center"/>
          </w:tcPr>
          <w:p w14:paraId="7545EF05">
            <w:pPr>
              <w:keepNext w:val="0"/>
              <w:keepLines w:val="0"/>
              <w:suppressLineNumbers w:val="0"/>
              <w:adjustRightInd w:val="0"/>
              <w:snapToGrid w:val="0"/>
              <w:spacing w:before="0" w:beforeAutospacing="0" w:after="0" w:afterAutospacing="0"/>
              <w:ind w:left="0" w:right="0"/>
              <w:rPr>
                <w:rFonts w:hint="eastAsia" w:ascii="宋体" w:hAnsi="宋体" w:cs="Times New Roman"/>
                <w:color w:val="auto"/>
                <w:szCs w:val="21"/>
                <w:highlight w:val="none"/>
              </w:rPr>
            </w:pPr>
          </w:p>
        </w:tc>
      </w:tr>
      <w:tr w14:paraId="168220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1233" w:type="dxa"/>
            <w:vMerge w:val="continue"/>
            <w:noWrap w:val="0"/>
            <w:vAlign w:val="center"/>
          </w:tcPr>
          <w:p w14:paraId="79876DCC">
            <w:pPr>
              <w:keepNext w:val="0"/>
              <w:keepLines w:val="0"/>
              <w:suppressLineNumbers w:val="0"/>
              <w:adjustRightInd w:val="0"/>
              <w:snapToGrid w:val="0"/>
              <w:spacing w:before="0" w:beforeAutospacing="0" w:after="0" w:afterAutospacing="0"/>
              <w:ind w:left="0" w:right="0"/>
              <w:jc w:val="center"/>
              <w:rPr>
                <w:rFonts w:hint="eastAsia" w:ascii="宋体" w:hAnsi="宋体" w:cs="Times New Roman"/>
                <w:color w:val="auto"/>
                <w:szCs w:val="21"/>
                <w:highlight w:val="none"/>
              </w:rPr>
            </w:pPr>
          </w:p>
        </w:tc>
        <w:tc>
          <w:tcPr>
            <w:tcW w:w="4677" w:type="dxa"/>
            <w:noWrap w:val="0"/>
            <w:vAlign w:val="center"/>
          </w:tcPr>
          <w:p w14:paraId="35A94CE2">
            <w:pPr>
              <w:keepNext w:val="0"/>
              <w:keepLines w:val="0"/>
              <w:suppressLineNumbers w:val="0"/>
              <w:adjustRightInd w:val="0"/>
              <w:snapToGrid w:val="0"/>
              <w:spacing w:before="0" w:beforeAutospacing="0" w:after="0" w:afterAutospacing="0"/>
              <w:ind w:left="0" w:right="0"/>
              <w:rPr>
                <w:rFonts w:hint="eastAsia" w:ascii="宋体" w:hAnsi="宋体" w:cs="Times New Roman"/>
                <w:color w:val="auto"/>
                <w:szCs w:val="21"/>
                <w:highlight w:val="none"/>
              </w:rPr>
            </w:pPr>
            <w:r>
              <w:rPr>
                <w:rFonts w:hint="eastAsia" w:ascii="宋体" w:hAnsi="宋体" w:cs="Times New Roman"/>
                <w:color w:val="auto"/>
                <w:szCs w:val="21"/>
                <w:highlight w:val="none"/>
              </w:rPr>
              <w:t>1.4在职员工数量(人)</w:t>
            </w:r>
          </w:p>
        </w:tc>
        <w:tc>
          <w:tcPr>
            <w:tcW w:w="3779" w:type="dxa"/>
            <w:noWrap w:val="0"/>
            <w:vAlign w:val="center"/>
          </w:tcPr>
          <w:p w14:paraId="01315C43">
            <w:pPr>
              <w:keepNext w:val="0"/>
              <w:keepLines w:val="0"/>
              <w:suppressLineNumbers w:val="0"/>
              <w:adjustRightInd w:val="0"/>
              <w:snapToGrid w:val="0"/>
              <w:spacing w:before="0" w:beforeAutospacing="0" w:after="0" w:afterAutospacing="0"/>
              <w:ind w:left="0" w:right="0"/>
              <w:rPr>
                <w:rFonts w:hint="eastAsia" w:ascii="宋体" w:hAnsi="宋体" w:cs="Times New Roman"/>
                <w:color w:val="auto"/>
                <w:szCs w:val="21"/>
                <w:highlight w:val="none"/>
              </w:rPr>
            </w:pPr>
          </w:p>
        </w:tc>
      </w:tr>
      <w:tr w14:paraId="73C7F5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1233" w:type="dxa"/>
            <w:vMerge w:val="continue"/>
            <w:noWrap w:val="0"/>
            <w:vAlign w:val="center"/>
          </w:tcPr>
          <w:p w14:paraId="0183D8D0">
            <w:pPr>
              <w:keepNext w:val="0"/>
              <w:keepLines w:val="0"/>
              <w:suppressLineNumbers w:val="0"/>
              <w:adjustRightInd w:val="0"/>
              <w:snapToGrid w:val="0"/>
              <w:spacing w:before="0" w:beforeAutospacing="0" w:after="0" w:afterAutospacing="0"/>
              <w:ind w:left="0" w:right="0"/>
              <w:jc w:val="center"/>
              <w:rPr>
                <w:rFonts w:hint="eastAsia" w:ascii="宋体" w:hAnsi="宋体" w:cs="Times New Roman"/>
                <w:color w:val="auto"/>
                <w:szCs w:val="21"/>
                <w:highlight w:val="none"/>
              </w:rPr>
            </w:pPr>
          </w:p>
        </w:tc>
        <w:tc>
          <w:tcPr>
            <w:tcW w:w="4677" w:type="dxa"/>
            <w:noWrap w:val="0"/>
            <w:vAlign w:val="center"/>
          </w:tcPr>
          <w:p w14:paraId="3E342B19">
            <w:pPr>
              <w:keepNext w:val="0"/>
              <w:keepLines w:val="0"/>
              <w:suppressLineNumbers w:val="0"/>
              <w:adjustRightInd w:val="0"/>
              <w:snapToGrid w:val="0"/>
              <w:spacing w:before="0" w:beforeAutospacing="0" w:after="0" w:afterAutospacing="0"/>
              <w:ind w:left="0" w:right="0"/>
              <w:rPr>
                <w:rFonts w:hint="eastAsia" w:ascii="宋体" w:hAnsi="宋体" w:cs="Times New Roman"/>
                <w:i/>
                <w:iCs/>
                <w:color w:val="auto"/>
                <w:szCs w:val="21"/>
                <w:highlight w:val="none"/>
              </w:rPr>
            </w:pPr>
            <w:bookmarkStart w:id="899" w:name="OLE_LINK2"/>
            <w:r>
              <w:rPr>
                <w:rFonts w:hint="eastAsia" w:ascii="宋体" w:hAnsi="宋体" w:cs="Times New Roman"/>
                <w:i/>
                <w:iCs/>
                <w:color w:val="auto"/>
                <w:szCs w:val="21"/>
                <w:highlight w:val="none"/>
              </w:rPr>
              <w:t>1.4.1专业技术人员数量</w:t>
            </w:r>
            <w:bookmarkEnd w:id="899"/>
            <w:r>
              <w:rPr>
                <w:rFonts w:hint="eastAsia" w:ascii="宋体" w:hAnsi="宋体" w:cs="Times New Roman"/>
                <w:color w:val="auto"/>
                <w:szCs w:val="21"/>
                <w:highlight w:val="none"/>
              </w:rPr>
              <w:t>(人)</w:t>
            </w:r>
          </w:p>
        </w:tc>
        <w:tc>
          <w:tcPr>
            <w:tcW w:w="3779" w:type="dxa"/>
            <w:noWrap w:val="0"/>
            <w:vAlign w:val="center"/>
          </w:tcPr>
          <w:p w14:paraId="2B91CDBE">
            <w:pPr>
              <w:keepNext w:val="0"/>
              <w:keepLines w:val="0"/>
              <w:suppressLineNumbers w:val="0"/>
              <w:adjustRightInd w:val="0"/>
              <w:snapToGrid w:val="0"/>
              <w:spacing w:before="0" w:beforeAutospacing="0" w:after="0" w:afterAutospacing="0"/>
              <w:ind w:left="0" w:right="0"/>
              <w:rPr>
                <w:rFonts w:hint="eastAsia" w:ascii="宋体" w:hAnsi="宋体" w:cs="Times New Roman"/>
                <w:color w:val="auto"/>
                <w:szCs w:val="21"/>
                <w:highlight w:val="none"/>
              </w:rPr>
            </w:pPr>
          </w:p>
        </w:tc>
      </w:tr>
      <w:tr w14:paraId="550EC0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1233" w:type="dxa"/>
            <w:vMerge w:val="continue"/>
            <w:noWrap w:val="0"/>
            <w:vAlign w:val="center"/>
          </w:tcPr>
          <w:p w14:paraId="18365BD1">
            <w:pPr>
              <w:keepNext w:val="0"/>
              <w:keepLines w:val="0"/>
              <w:suppressLineNumbers w:val="0"/>
              <w:adjustRightInd w:val="0"/>
              <w:snapToGrid w:val="0"/>
              <w:spacing w:before="0" w:beforeAutospacing="0" w:after="0" w:afterAutospacing="0"/>
              <w:ind w:left="0" w:right="0"/>
              <w:jc w:val="center"/>
              <w:rPr>
                <w:rFonts w:hint="eastAsia" w:ascii="宋体" w:hAnsi="宋体" w:cs="Times New Roman"/>
                <w:color w:val="auto"/>
                <w:szCs w:val="21"/>
                <w:highlight w:val="none"/>
              </w:rPr>
            </w:pPr>
          </w:p>
        </w:tc>
        <w:tc>
          <w:tcPr>
            <w:tcW w:w="4677" w:type="dxa"/>
            <w:noWrap w:val="0"/>
            <w:vAlign w:val="center"/>
          </w:tcPr>
          <w:p w14:paraId="13DA05A2">
            <w:pPr>
              <w:keepNext w:val="0"/>
              <w:keepLines w:val="0"/>
              <w:suppressLineNumbers w:val="0"/>
              <w:adjustRightInd w:val="0"/>
              <w:snapToGrid w:val="0"/>
              <w:spacing w:before="0" w:beforeAutospacing="0" w:after="0" w:afterAutospacing="0"/>
              <w:ind w:left="0" w:right="0"/>
              <w:rPr>
                <w:rFonts w:hint="eastAsia" w:ascii="宋体" w:hAnsi="宋体" w:cs="Times New Roman"/>
                <w:i/>
                <w:iCs/>
                <w:color w:val="auto"/>
                <w:szCs w:val="21"/>
                <w:highlight w:val="none"/>
              </w:rPr>
            </w:pPr>
            <w:r>
              <w:rPr>
                <w:rFonts w:hint="eastAsia" w:ascii="宋体" w:hAnsi="宋体" w:cs="Times New Roman"/>
                <w:i/>
                <w:iCs/>
                <w:color w:val="auto"/>
                <w:szCs w:val="21"/>
                <w:highlight w:val="none"/>
              </w:rPr>
              <w:t>1.4.2销售团队人员数量</w:t>
            </w:r>
            <w:r>
              <w:rPr>
                <w:rFonts w:hint="eastAsia" w:ascii="宋体" w:hAnsi="宋体" w:cs="Times New Roman"/>
                <w:color w:val="auto"/>
                <w:szCs w:val="21"/>
                <w:highlight w:val="none"/>
              </w:rPr>
              <w:t>(人)</w:t>
            </w:r>
          </w:p>
        </w:tc>
        <w:tc>
          <w:tcPr>
            <w:tcW w:w="3779" w:type="dxa"/>
            <w:noWrap w:val="0"/>
            <w:vAlign w:val="center"/>
          </w:tcPr>
          <w:p w14:paraId="7E766B4E">
            <w:pPr>
              <w:keepNext w:val="0"/>
              <w:keepLines w:val="0"/>
              <w:suppressLineNumbers w:val="0"/>
              <w:adjustRightInd w:val="0"/>
              <w:snapToGrid w:val="0"/>
              <w:spacing w:before="0" w:beforeAutospacing="0" w:after="0" w:afterAutospacing="0"/>
              <w:ind w:left="0" w:right="0"/>
              <w:rPr>
                <w:rFonts w:hint="eastAsia" w:ascii="宋体" w:hAnsi="宋体" w:cs="Times New Roman"/>
                <w:color w:val="auto"/>
                <w:szCs w:val="21"/>
                <w:highlight w:val="none"/>
              </w:rPr>
            </w:pPr>
          </w:p>
        </w:tc>
      </w:tr>
      <w:tr w14:paraId="6FCF8A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1233" w:type="dxa"/>
            <w:vMerge w:val="continue"/>
            <w:noWrap w:val="0"/>
            <w:vAlign w:val="center"/>
          </w:tcPr>
          <w:p w14:paraId="57F123DB">
            <w:pPr>
              <w:keepNext w:val="0"/>
              <w:keepLines w:val="0"/>
              <w:suppressLineNumbers w:val="0"/>
              <w:adjustRightInd w:val="0"/>
              <w:snapToGrid w:val="0"/>
              <w:spacing w:before="0" w:beforeAutospacing="0" w:after="0" w:afterAutospacing="0"/>
              <w:ind w:left="0" w:right="0"/>
              <w:jc w:val="center"/>
              <w:rPr>
                <w:rFonts w:hint="eastAsia" w:ascii="宋体" w:hAnsi="宋体" w:cs="Times New Roman"/>
                <w:color w:val="auto"/>
                <w:szCs w:val="21"/>
                <w:highlight w:val="none"/>
              </w:rPr>
            </w:pPr>
          </w:p>
        </w:tc>
        <w:tc>
          <w:tcPr>
            <w:tcW w:w="4677" w:type="dxa"/>
            <w:noWrap w:val="0"/>
            <w:vAlign w:val="center"/>
          </w:tcPr>
          <w:p w14:paraId="76E424B0">
            <w:pPr>
              <w:keepNext w:val="0"/>
              <w:keepLines w:val="0"/>
              <w:suppressLineNumbers w:val="0"/>
              <w:adjustRightInd w:val="0"/>
              <w:snapToGrid w:val="0"/>
              <w:spacing w:before="0" w:beforeAutospacing="0" w:after="0" w:afterAutospacing="0"/>
              <w:ind w:left="0" w:right="0"/>
              <w:rPr>
                <w:rFonts w:hint="eastAsia" w:ascii="宋体" w:hAnsi="宋体" w:cs="Times New Roman"/>
                <w:i/>
                <w:iCs/>
                <w:color w:val="auto"/>
                <w:szCs w:val="21"/>
                <w:highlight w:val="none"/>
              </w:rPr>
            </w:pPr>
            <w:r>
              <w:rPr>
                <w:rFonts w:hint="eastAsia" w:ascii="宋体" w:hAnsi="宋体" w:cs="Times New Roman"/>
                <w:i/>
                <w:iCs/>
                <w:color w:val="auto"/>
                <w:szCs w:val="21"/>
                <w:highlight w:val="none"/>
              </w:rPr>
              <w:t>1.4.3售后、维修人员数量</w:t>
            </w:r>
            <w:r>
              <w:rPr>
                <w:rFonts w:hint="eastAsia" w:ascii="宋体" w:hAnsi="宋体" w:cs="Times New Roman"/>
                <w:color w:val="auto"/>
                <w:szCs w:val="21"/>
                <w:highlight w:val="none"/>
              </w:rPr>
              <w:t>(人)</w:t>
            </w:r>
          </w:p>
        </w:tc>
        <w:tc>
          <w:tcPr>
            <w:tcW w:w="3779" w:type="dxa"/>
            <w:noWrap w:val="0"/>
            <w:vAlign w:val="center"/>
          </w:tcPr>
          <w:p w14:paraId="5FCB7F2D">
            <w:pPr>
              <w:keepNext w:val="0"/>
              <w:keepLines w:val="0"/>
              <w:suppressLineNumbers w:val="0"/>
              <w:adjustRightInd w:val="0"/>
              <w:snapToGrid w:val="0"/>
              <w:spacing w:before="0" w:beforeAutospacing="0" w:after="0" w:afterAutospacing="0"/>
              <w:ind w:left="0" w:right="0"/>
              <w:rPr>
                <w:rFonts w:hint="eastAsia" w:ascii="宋体" w:hAnsi="宋体" w:cs="Times New Roman"/>
                <w:color w:val="auto"/>
                <w:szCs w:val="21"/>
                <w:highlight w:val="none"/>
              </w:rPr>
            </w:pPr>
          </w:p>
        </w:tc>
      </w:tr>
      <w:tr w14:paraId="4513EB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1233" w:type="dxa"/>
            <w:vMerge w:val="continue"/>
            <w:noWrap w:val="0"/>
            <w:vAlign w:val="center"/>
          </w:tcPr>
          <w:p w14:paraId="469E867F">
            <w:pPr>
              <w:keepNext w:val="0"/>
              <w:keepLines w:val="0"/>
              <w:suppressLineNumbers w:val="0"/>
              <w:adjustRightInd w:val="0"/>
              <w:snapToGrid w:val="0"/>
              <w:spacing w:before="0" w:beforeAutospacing="0" w:after="0" w:afterAutospacing="0"/>
              <w:ind w:left="0" w:right="0"/>
              <w:jc w:val="center"/>
              <w:rPr>
                <w:rFonts w:hint="eastAsia" w:ascii="宋体" w:hAnsi="宋体" w:cs="Times New Roman"/>
                <w:color w:val="auto"/>
                <w:szCs w:val="21"/>
                <w:highlight w:val="none"/>
              </w:rPr>
            </w:pPr>
          </w:p>
        </w:tc>
        <w:tc>
          <w:tcPr>
            <w:tcW w:w="4677" w:type="dxa"/>
            <w:noWrap w:val="0"/>
            <w:vAlign w:val="center"/>
          </w:tcPr>
          <w:p w14:paraId="218C9180">
            <w:pPr>
              <w:keepNext w:val="0"/>
              <w:keepLines w:val="0"/>
              <w:suppressLineNumbers w:val="0"/>
              <w:adjustRightInd w:val="0"/>
              <w:snapToGrid w:val="0"/>
              <w:spacing w:before="0" w:beforeAutospacing="0" w:after="0" w:afterAutospacing="0"/>
              <w:ind w:left="0" w:right="0"/>
              <w:rPr>
                <w:rFonts w:hint="eastAsia" w:ascii="宋体" w:hAnsi="宋体" w:cs="Times New Roman"/>
                <w:color w:val="auto"/>
                <w:szCs w:val="21"/>
                <w:highlight w:val="none"/>
              </w:rPr>
            </w:pPr>
            <w:r>
              <w:rPr>
                <w:rFonts w:hint="eastAsia" w:ascii="宋体" w:hAnsi="宋体" w:cs="Times New Roman"/>
                <w:color w:val="auto"/>
                <w:szCs w:val="21"/>
                <w:highlight w:val="none"/>
              </w:rPr>
              <w:t>1.5上年度</w:t>
            </w:r>
            <w:r>
              <w:rPr>
                <w:rFonts w:hint="default" w:ascii="宋体" w:hAnsi="宋体" w:cs="Times New Roman"/>
                <w:color w:val="auto"/>
                <w:szCs w:val="21"/>
                <w:highlight w:val="none"/>
              </w:rPr>
              <w:t>研发投入</w:t>
            </w:r>
            <w:r>
              <w:rPr>
                <w:rFonts w:hint="eastAsia" w:ascii="宋体" w:hAnsi="宋体" w:cs="Times New Roman"/>
                <w:color w:val="auto"/>
                <w:szCs w:val="21"/>
                <w:highlight w:val="none"/>
              </w:rPr>
              <w:t>（万元）</w:t>
            </w:r>
          </w:p>
        </w:tc>
        <w:tc>
          <w:tcPr>
            <w:tcW w:w="3779" w:type="dxa"/>
            <w:noWrap w:val="0"/>
            <w:vAlign w:val="center"/>
          </w:tcPr>
          <w:p w14:paraId="5CD24840">
            <w:pPr>
              <w:keepNext w:val="0"/>
              <w:keepLines w:val="0"/>
              <w:suppressLineNumbers w:val="0"/>
              <w:adjustRightInd w:val="0"/>
              <w:snapToGrid w:val="0"/>
              <w:spacing w:before="0" w:beforeAutospacing="0" w:after="0" w:afterAutospacing="0"/>
              <w:ind w:left="0" w:right="0"/>
              <w:rPr>
                <w:rFonts w:hint="eastAsia" w:ascii="宋体" w:hAnsi="宋体" w:cs="Times New Roman"/>
                <w:color w:val="auto"/>
                <w:szCs w:val="21"/>
                <w:highlight w:val="none"/>
              </w:rPr>
            </w:pPr>
          </w:p>
        </w:tc>
      </w:tr>
      <w:tr w14:paraId="237045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1233" w:type="dxa"/>
            <w:vMerge w:val="continue"/>
            <w:noWrap w:val="0"/>
            <w:vAlign w:val="center"/>
          </w:tcPr>
          <w:p w14:paraId="450CB20D">
            <w:pPr>
              <w:keepNext w:val="0"/>
              <w:keepLines w:val="0"/>
              <w:suppressLineNumbers w:val="0"/>
              <w:adjustRightInd w:val="0"/>
              <w:snapToGrid w:val="0"/>
              <w:spacing w:before="0" w:beforeAutospacing="0" w:after="0" w:afterAutospacing="0"/>
              <w:ind w:left="0" w:right="0"/>
              <w:jc w:val="center"/>
              <w:rPr>
                <w:rFonts w:hint="eastAsia" w:ascii="宋体" w:hAnsi="宋体" w:cs="Times New Roman"/>
                <w:color w:val="auto"/>
                <w:szCs w:val="21"/>
                <w:highlight w:val="none"/>
              </w:rPr>
            </w:pPr>
          </w:p>
        </w:tc>
        <w:tc>
          <w:tcPr>
            <w:tcW w:w="4677" w:type="dxa"/>
            <w:noWrap w:val="0"/>
            <w:vAlign w:val="center"/>
          </w:tcPr>
          <w:p w14:paraId="5B0E82EC">
            <w:pPr>
              <w:keepNext w:val="0"/>
              <w:keepLines w:val="0"/>
              <w:suppressLineNumbers w:val="0"/>
              <w:adjustRightInd w:val="0"/>
              <w:snapToGrid w:val="0"/>
              <w:spacing w:before="0" w:beforeAutospacing="0" w:after="0" w:afterAutospacing="0"/>
              <w:ind w:left="0" w:right="0"/>
              <w:rPr>
                <w:rFonts w:hint="eastAsia" w:ascii="宋体" w:hAnsi="宋体" w:cs="Times New Roman"/>
                <w:color w:val="auto"/>
                <w:szCs w:val="21"/>
                <w:highlight w:val="none"/>
              </w:rPr>
            </w:pPr>
            <w:r>
              <w:rPr>
                <w:rFonts w:hint="eastAsia" w:ascii="宋体" w:hAnsi="宋体" w:cs="Times New Roman"/>
                <w:color w:val="auto"/>
                <w:szCs w:val="21"/>
                <w:highlight w:val="none"/>
              </w:rPr>
              <w:t>1.6主要生产产品类别</w:t>
            </w:r>
          </w:p>
        </w:tc>
        <w:tc>
          <w:tcPr>
            <w:tcW w:w="3779" w:type="dxa"/>
            <w:noWrap w:val="0"/>
            <w:vAlign w:val="center"/>
          </w:tcPr>
          <w:p w14:paraId="5845B5B1">
            <w:pPr>
              <w:keepNext w:val="0"/>
              <w:keepLines w:val="0"/>
              <w:suppressLineNumbers w:val="0"/>
              <w:adjustRightInd w:val="0"/>
              <w:snapToGrid w:val="0"/>
              <w:spacing w:before="0" w:beforeAutospacing="0" w:after="0" w:afterAutospacing="0"/>
              <w:ind w:left="0" w:right="0"/>
              <w:rPr>
                <w:rFonts w:hint="eastAsia" w:ascii="宋体" w:hAnsi="宋体" w:cs="Times New Roman"/>
                <w:color w:val="auto"/>
                <w:szCs w:val="21"/>
                <w:highlight w:val="none"/>
              </w:rPr>
            </w:pPr>
          </w:p>
        </w:tc>
      </w:tr>
      <w:tr w14:paraId="7B850A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1233" w:type="dxa"/>
            <w:vMerge w:val="continue"/>
            <w:noWrap w:val="0"/>
            <w:vAlign w:val="center"/>
          </w:tcPr>
          <w:p w14:paraId="08217100">
            <w:pPr>
              <w:keepNext w:val="0"/>
              <w:keepLines w:val="0"/>
              <w:suppressLineNumbers w:val="0"/>
              <w:adjustRightInd w:val="0"/>
              <w:snapToGrid w:val="0"/>
              <w:spacing w:before="0" w:beforeAutospacing="0" w:after="0" w:afterAutospacing="0"/>
              <w:ind w:left="0" w:right="0"/>
              <w:jc w:val="center"/>
              <w:rPr>
                <w:rFonts w:hint="eastAsia" w:ascii="宋体" w:hAnsi="宋体" w:cs="Times New Roman"/>
                <w:color w:val="auto"/>
                <w:szCs w:val="21"/>
                <w:highlight w:val="none"/>
              </w:rPr>
            </w:pPr>
          </w:p>
        </w:tc>
        <w:tc>
          <w:tcPr>
            <w:tcW w:w="4677" w:type="dxa"/>
            <w:noWrap w:val="0"/>
            <w:vAlign w:val="center"/>
          </w:tcPr>
          <w:p w14:paraId="29D21F3A">
            <w:pPr>
              <w:keepNext w:val="0"/>
              <w:keepLines w:val="0"/>
              <w:suppressLineNumbers w:val="0"/>
              <w:adjustRightInd w:val="0"/>
              <w:snapToGrid w:val="0"/>
              <w:spacing w:before="0" w:beforeAutospacing="0" w:after="0" w:afterAutospacing="0"/>
              <w:ind w:left="0" w:right="0"/>
              <w:rPr>
                <w:rFonts w:hint="eastAsia" w:ascii="宋体" w:hAnsi="宋体" w:cs="Times New Roman"/>
                <w:color w:val="auto"/>
                <w:szCs w:val="21"/>
                <w:highlight w:val="none"/>
              </w:rPr>
            </w:pPr>
            <w:r>
              <w:rPr>
                <w:rFonts w:hint="eastAsia" w:ascii="宋体" w:hAnsi="宋体" w:cs="Times New Roman"/>
                <w:color w:val="auto"/>
                <w:szCs w:val="21"/>
                <w:highlight w:val="none"/>
              </w:rPr>
              <w:t>1.7拥有</w:t>
            </w:r>
            <w:r>
              <w:rPr>
                <w:rFonts w:hint="eastAsia" w:ascii="宋体" w:hAnsi="宋体" w:cs="Times New Roman"/>
                <w:b/>
                <w:bCs/>
                <w:color w:val="auto"/>
                <w:szCs w:val="21"/>
                <w:highlight w:val="none"/>
              </w:rPr>
              <w:t>发明</w:t>
            </w:r>
            <w:r>
              <w:rPr>
                <w:rFonts w:hint="default" w:ascii="宋体" w:hAnsi="宋体" w:cs="Times New Roman"/>
                <w:b/>
                <w:bCs/>
                <w:color w:val="auto"/>
                <w:szCs w:val="21"/>
                <w:highlight w:val="none"/>
              </w:rPr>
              <w:t>专利</w:t>
            </w:r>
            <w:r>
              <w:rPr>
                <w:rFonts w:hint="default" w:ascii="宋体" w:hAnsi="宋体" w:cs="Times New Roman"/>
                <w:color w:val="auto"/>
                <w:szCs w:val="21"/>
                <w:highlight w:val="none"/>
              </w:rPr>
              <w:t>数量</w:t>
            </w:r>
            <w:r>
              <w:rPr>
                <w:rFonts w:hint="eastAsia" w:ascii="宋体" w:hAnsi="宋体" w:cs="Times New Roman"/>
                <w:color w:val="auto"/>
                <w:szCs w:val="21"/>
                <w:highlight w:val="none"/>
              </w:rPr>
              <w:t>(件)</w:t>
            </w:r>
          </w:p>
        </w:tc>
        <w:tc>
          <w:tcPr>
            <w:tcW w:w="3779" w:type="dxa"/>
            <w:noWrap w:val="0"/>
            <w:vAlign w:val="center"/>
          </w:tcPr>
          <w:p w14:paraId="0BF50DC9">
            <w:pPr>
              <w:keepNext w:val="0"/>
              <w:keepLines w:val="0"/>
              <w:suppressLineNumbers w:val="0"/>
              <w:adjustRightInd w:val="0"/>
              <w:snapToGrid w:val="0"/>
              <w:spacing w:before="0" w:beforeAutospacing="0" w:after="0" w:afterAutospacing="0"/>
              <w:ind w:left="0" w:right="0"/>
              <w:rPr>
                <w:rFonts w:hint="eastAsia" w:ascii="宋体" w:hAnsi="宋体" w:cs="Times New Roman"/>
                <w:color w:val="auto"/>
                <w:szCs w:val="21"/>
                <w:highlight w:val="none"/>
              </w:rPr>
            </w:pPr>
          </w:p>
        </w:tc>
      </w:tr>
      <w:tr w14:paraId="37CB9F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1233" w:type="dxa"/>
            <w:vMerge w:val="continue"/>
            <w:noWrap w:val="0"/>
            <w:vAlign w:val="center"/>
          </w:tcPr>
          <w:p w14:paraId="4F30EA8B">
            <w:pPr>
              <w:keepNext w:val="0"/>
              <w:keepLines w:val="0"/>
              <w:suppressLineNumbers w:val="0"/>
              <w:adjustRightInd w:val="0"/>
              <w:snapToGrid w:val="0"/>
              <w:spacing w:before="0" w:beforeAutospacing="0" w:after="0" w:afterAutospacing="0"/>
              <w:ind w:left="0" w:right="0"/>
              <w:jc w:val="center"/>
              <w:rPr>
                <w:rFonts w:hint="eastAsia" w:ascii="宋体" w:hAnsi="宋体" w:cs="Times New Roman"/>
                <w:color w:val="auto"/>
                <w:szCs w:val="21"/>
                <w:highlight w:val="none"/>
              </w:rPr>
            </w:pPr>
          </w:p>
        </w:tc>
        <w:tc>
          <w:tcPr>
            <w:tcW w:w="4677" w:type="dxa"/>
            <w:noWrap w:val="0"/>
            <w:vAlign w:val="center"/>
          </w:tcPr>
          <w:p w14:paraId="6E1BAD45">
            <w:pPr>
              <w:keepNext w:val="0"/>
              <w:keepLines w:val="0"/>
              <w:suppressLineNumbers w:val="0"/>
              <w:adjustRightInd w:val="0"/>
              <w:snapToGrid w:val="0"/>
              <w:spacing w:before="0" w:beforeAutospacing="0" w:after="0" w:afterAutospacing="0"/>
              <w:ind w:left="0" w:right="0"/>
              <w:rPr>
                <w:rFonts w:hint="eastAsia" w:ascii="宋体" w:hAnsi="宋体" w:cs="Times New Roman"/>
                <w:color w:val="auto"/>
                <w:szCs w:val="21"/>
                <w:highlight w:val="none"/>
              </w:rPr>
            </w:pPr>
            <w:r>
              <w:rPr>
                <w:rFonts w:hint="eastAsia" w:ascii="宋体" w:hAnsi="宋体" w:cs="Times New Roman"/>
                <w:color w:val="auto"/>
                <w:szCs w:val="21"/>
                <w:highlight w:val="none"/>
              </w:rPr>
              <w:t>1.8备件库（列明地址）</w:t>
            </w:r>
          </w:p>
        </w:tc>
        <w:tc>
          <w:tcPr>
            <w:tcW w:w="3779" w:type="dxa"/>
            <w:noWrap w:val="0"/>
            <w:vAlign w:val="center"/>
          </w:tcPr>
          <w:p w14:paraId="7A4BBED8">
            <w:pPr>
              <w:keepNext w:val="0"/>
              <w:keepLines w:val="0"/>
              <w:suppressLineNumbers w:val="0"/>
              <w:adjustRightInd w:val="0"/>
              <w:snapToGrid w:val="0"/>
              <w:spacing w:before="0" w:beforeAutospacing="0" w:after="0" w:afterAutospacing="0"/>
              <w:ind w:left="0" w:right="0"/>
              <w:rPr>
                <w:rFonts w:hint="eastAsia" w:ascii="宋体" w:hAnsi="宋体" w:cs="Times New Roman"/>
                <w:color w:val="auto"/>
                <w:szCs w:val="21"/>
                <w:highlight w:val="none"/>
              </w:rPr>
            </w:pPr>
          </w:p>
        </w:tc>
      </w:tr>
      <w:tr w14:paraId="0FA5D4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1233" w:type="dxa"/>
            <w:vMerge w:val="continue"/>
            <w:noWrap w:val="0"/>
            <w:vAlign w:val="center"/>
          </w:tcPr>
          <w:p w14:paraId="7ADE033E">
            <w:pPr>
              <w:keepNext w:val="0"/>
              <w:keepLines w:val="0"/>
              <w:suppressLineNumbers w:val="0"/>
              <w:adjustRightInd w:val="0"/>
              <w:snapToGrid w:val="0"/>
              <w:spacing w:before="0" w:beforeAutospacing="0" w:after="0" w:afterAutospacing="0"/>
              <w:ind w:left="0" w:right="0"/>
              <w:jc w:val="center"/>
              <w:rPr>
                <w:rFonts w:hint="eastAsia" w:ascii="宋体" w:hAnsi="宋体" w:cs="Times New Roman"/>
                <w:color w:val="auto"/>
                <w:szCs w:val="21"/>
                <w:highlight w:val="none"/>
              </w:rPr>
            </w:pPr>
          </w:p>
        </w:tc>
        <w:tc>
          <w:tcPr>
            <w:tcW w:w="4677" w:type="dxa"/>
            <w:noWrap w:val="0"/>
            <w:vAlign w:val="center"/>
          </w:tcPr>
          <w:p w14:paraId="5013BF46">
            <w:pPr>
              <w:keepNext w:val="0"/>
              <w:keepLines w:val="0"/>
              <w:suppressLineNumbers w:val="0"/>
              <w:adjustRightInd w:val="0"/>
              <w:snapToGrid w:val="0"/>
              <w:spacing w:before="0" w:beforeAutospacing="0" w:after="0" w:afterAutospacing="0"/>
              <w:ind w:left="0" w:right="0"/>
              <w:rPr>
                <w:rFonts w:hint="default" w:ascii="宋体" w:hAnsi="宋体" w:cs="Times New Roman"/>
                <w:color w:val="auto"/>
                <w:szCs w:val="21"/>
                <w:highlight w:val="none"/>
              </w:rPr>
            </w:pPr>
            <w:r>
              <w:rPr>
                <w:rFonts w:hint="eastAsia" w:ascii="宋体" w:hAnsi="宋体" w:cs="Times New Roman"/>
                <w:color w:val="auto"/>
                <w:szCs w:val="21"/>
                <w:highlight w:val="none"/>
              </w:rPr>
              <w:t>1.9行业地位</w:t>
            </w:r>
          </w:p>
        </w:tc>
        <w:tc>
          <w:tcPr>
            <w:tcW w:w="3779" w:type="dxa"/>
            <w:noWrap w:val="0"/>
            <w:vAlign w:val="center"/>
          </w:tcPr>
          <w:p w14:paraId="545947B7">
            <w:pPr>
              <w:keepNext w:val="0"/>
              <w:keepLines w:val="0"/>
              <w:suppressLineNumbers w:val="0"/>
              <w:adjustRightInd w:val="0"/>
              <w:snapToGrid w:val="0"/>
              <w:spacing w:before="0" w:beforeAutospacing="0" w:after="0" w:afterAutospacing="0"/>
              <w:ind w:left="0" w:right="0"/>
              <w:rPr>
                <w:rFonts w:hint="eastAsia" w:ascii="宋体" w:hAnsi="宋体" w:cs="Times New Roman"/>
                <w:color w:val="auto"/>
                <w:szCs w:val="21"/>
                <w:highlight w:val="none"/>
              </w:rPr>
            </w:pPr>
          </w:p>
        </w:tc>
      </w:tr>
      <w:tr w14:paraId="7B28F0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1233" w:type="dxa"/>
            <w:vMerge w:val="restart"/>
            <w:noWrap w:val="0"/>
            <w:vAlign w:val="center"/>
          </w:tcPr>
          <w:p w14:paraId="5A6CDFC0">
            <w:pPr>
              <w:keepNext w:val="0"/>
              <w:keepLines w:val="0"/>
              <w:suppressLineNumbers w:val="0"/>
              <w:adjustRightInd w:val="0"/>
              <w:snapToGrid w:val="0"/>
              <w:spacing w:before="0" w:beforeAutospacing="0" w:after="0" w:afterAutospacing="0"/>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投标产品</w:t>
            </w:r>
          </w:p>
          <w:p w14:paraId="7CF05369">
            <w:pPr>
              <w:keepNext w:val="0"/>
              <w:keepLines w:val="0"/>
              <w:suppressLineNumbers w:val="0"/>
              <w:adjustRightInd w:val="0"/>
              <w:snapToGrid w:val="0"/>
              <w:spacing w:before="0" w:beforeAutospacing="0" w:after="0" w:afterAutospacing="0"/>
              <w:ind w:left="0" w:right="0"/>
              <w:jc w:val="center"/>
              <w:rPr>
                <w:rFonts w:hint="eastAsia" w:ascii="宋体" w:hAnsi="宋体" w:cs="Times New Roman"/>
                <w:color w:val="auto"/>
                <w:szCs w:val="21"/>
                <w:highlight w:val="none"/>
              </w:rPr>
            </w:pPr>
            <w:r>
              <w:rPr>
                <w:rFonts w:hint="eastAsia" w:ascii="宋体" w:hAnsi="宋体" w:cs="Times New Roman"/>
                <w:color w:val="auto"/>
                <w:szCs w:val="21"/>
                <w:highlight w:val="none"/>
              </w:rPr>
              <w:t>相关信息</w:t>
            </w:r>
          </w:p>
        </w:tc>
        <w:tc>
          <w:tcPr>
            <w:tcW w:w="4677" w:type="dxa"/>
            <w:noWrap w:val="0"/>
            <w:vAlign w:val="center"/>
          </w:tcPr>
          <w:p w14:paraId="7132606F">
            <w:pPr>
              <w:keepNext w:val="0"/>
              <w:keepLines w:val="0"/>
              <w:suppressLineNumbers w:val="0"/>
              <w:adjustRightInd w:val="0"/>
              <w:snapToGrid w:val="0"/>
              <w:spacing w:before="0" w:beforeAutospacing="0" w:after="0" w:afterAutospacing="0"/>
              <w:ind w:left="0" w:right="0"/>
              <w:rPr>
                <w:rFonts w:hint="eastAsia" w:ascii="宋体" w:hAnsi="宋体" w:cs="Times New Roman"/>
                <w:color w:val="auto"/>
                <w:szCs w:val="21"/>
                <w:highlight w:val="none"/>
              </w:rPr>
            </w:pPr>
            <w:r>
              <w:rPr>
                <w:rFonts w:hint="eastAsia" w:ascii="宋体" w:hAnsi="宋体" w:cs="Times New Roman"/>
                <w:color w:val="auto"/>
                <w:szCs w:val="21"/>
                <w:highlight w:val="none"/>
              </w:rPr>
              <w:t>2.1所投产品名称、规格型号</w:t>
            </w:r>
          </w:p>
        </w:tc>
        <w:tc>
          <w:tcPr>
            <w:tcW w:w="3779" w:type="dxa"/>
            <w:noWrap w:val="0"/>
            <w:vAlign w:val="center"/>
          </w:tcPr>
          <w:p w14:paraId="44AD3036">
            <w:pPr>
              <w:keepNext w:val="0"/>
              <w:keepLines w:val="0"/>
              <w:suppressLineNumbers w:val="0"/>
              <w:adjustRightInd w:val="0"/>
              <w:snapToGrid w:val="0"/>
              <w:spacing w:before="0" w:beforeAutospacing="0" w:after="0" w:afterAutospacing="0"/>
              <w:ind w:left="0" w:right="0"/>
              <w:rPr>
                <w:rFonts w:hint="eastAsia" w:ascii="宋体" w:hAnsi="宋体" w:cs="Times New Roman"/>
                <w:color w:val="auto"/>
                <w:szCs w:val="21"/>
                <w:highlight w:val="none"/>
              </w:rPr>
            </w:pPr>
          </w:p>
        </w:tc>
      </w:tr>
      <w:tr w14:paraId="11E877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1233" w:type="dxa"/>
            <w:vMerge w:val="continue"/>
            <w:noWrap w:val="0"/>
            <w:vAlign w:val="center"/>
          </w:tcPr>
          <w:p w14:paraId="151CD91B">
            <w:pPr>
              <w:keepNext w:val="0"/>
              <w:keepLines w:val="0"/>
              <w:suppressLineNumbers w:val="0"/>
              <w:adjustRightInd w:val="0"/>
              <w:snapToGrid w:val="0"/>
              <w:spacing w:before="0" w:beforeAutospacing="0" w:after="0" w:afterAutospacing="0"/>
              <w:ind w:left="0" w:right="0"/>
              <w:rPr>
                <w:rFonts w:hint="eastAsia" w:ascii="宋体" w:hAnsi="宋体" w:cs="Times New Roman"/>
                <w:color w:val="auto"/>
                <w:szCs w:val="21"/>
                <w:highlight w:val="none"/>
              </w:rPr>
            </w:pPr>
          </w:p>
        </w:tc>
        <w:tc>
          <w:tcPr>
            <w:tcW w:w="4677" w:type="dxa"/>
            <w:noWrap w:val="0"/>
            <w:vAlign w:val="center"/>
          </w:tcPr>
          <w:p w14:paraId="551131B7">
            <w:pPr>
              <w:keepNext w:val="0"/>
              <w:keepLines w:val="0"/>
              <w:suppressLineNumbers w:val="0"/>
              <w:adjustRightInd w:val="0"/>
              <w:snapToGrid w:val="0"/>
              <w:spacing w:before="0" w:beforeAutospacing="0" w:after="0" w:afterAutospacing="0"/>
              <w:ind w:left="0" w:right="0"/>
              <w:rPr>
                <w:rFonts w:hint="eastAsia" w:ascii="宋体" w:hAnsi="宋体" w:cs="Times New Roman"/>
                <w:color w:val="auto"/>
                <w:szCs w:val="21"/>
                <w:highlight w:val="none"/>
              </w:rPr>
            </w:pPr>
            <w:r>
              <w:rPr>
                <w:rFonts w:hint="eastAsia" w:ascii="宋体" w:hAnsi="宋体" w:cs="Times New Roman"/>
                <w:color w:val="auto"/>
                <w:szCs w:val="21"/>
                <w:highlight w:val="none"/>
              </w:rPr>
              <w:t>2.2</w:t>
            </w:r>
            <w:r>
              <w:rPr>
                <w:rFonts w:hint="eastAsia" w:ascii="宋体" w:hAnsi="宋体" w:cs="宋体"/>
                <w:color w:val="auto"/>
                <w:kern w:val="0"/>
                <w:szCs w:val="21"/>
                <w:highlight w:val="none"/>
              </w:rPr>
              <w:t>产品技术参数(优于/满足/不满足招标文件)</w:t>
            </w:r>
          </w:p>
        </w:tc>
        <w:tc>
          <w:tcPr>
            <w:tcW w:w="3779" w:type="dxa"/>
            <w:noWrap w:val="0"/>
            <w:vAlign w:val="center"/>
          </w:tcPr>
          <w:p w14:paraId="053F61FA">
            <w:pPr>
              <w:keepNext w:val="0"/>
              <w:keepLines w:val="0"/>
              <w:suppressLineNumbers w:val="0"/>
              <w:adjustRightInd w:val="0"/>
              <w:snapToGrid w:val="0"/>
              <w:spacing w:before="0" w:beforeAutospacing="0" w:after="0" w:afterAutospacing="0"/>
              <w:ind w:left="0" w:right="0"/>
              <w:rPr>
                <w:rFonts w:hint="eastAsia" w:ascii="宋体" w:hAnsi="宋体" w:cs="Times New Roman"/>
                <w:color w:val="auto"/>
                <w:szCs w:val="21"/>
                <w:highlight w:val="none"/>
              </w:rPr>
            </w:pPr>
          </w:p>
        </w:tc>
      </w:tr>
      <w:tr w14:paraId="7D4F2E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1233" w:type="dxa"/>
            <w:vMerge w:val="continue"/>
            <w:noWrap w:val="0"/>
            <w:vAlign w:val="center"/>
          </w:tcPr>
          <w:p w14:paraId="3FE9C7A5">
            <w:pPr>
              <w:keepNext w:val="0"/>
              <w:keepLines w:val="0"/>
              <w:suppressLineNumbers w:val="0"/>
              <w:adjustRightInd w:val="0"/>
              <w:snapToGrid w:val="0"/>
              <w:spacing w:before="0" w:beforeAutospacing="0" w:after="0" w:afterAutospacing="0"/>
              <w:ind w:left="0" w:right="0"/>
              <w:rPr>
                <w:rFonts w:hint="eastAsia" w:ascii="宋体" w:hAnsi="宋体" w:cs="Times New Roman"/>
                <w:color w:val="auto"/>
                <w:szCs w:val="21"/>
                <w:highlight w:val="none"/>
              </w:rPr>
            </w:pPr>
          </w:p>
        </w:tc>
        <w:tc>
          <w:tcPr>
            <w:tcW w:w="4677" w:type="dxa"/>
            <w:noWrap w:val="0"/>
            <w:vAlign w:val="center"/>
          </w:tcPr>
          <w:p w14:paraId="6553C89C">
            <w:pPr>
              <w:keepNext w:val="0"/>
              <w:keepLines w:val="0"/>
              <w:suppressLineNumbers w:val="0"/>
              <w:adjustRightInd w:val="0"/>
              <w:snapToGrid w:val="0"/>
              <w:spacing w:before="0" w:beforeAutospacing="0" w:after="0" w:afterAutospacing="0"/>
              <w:ind w:left="0" w:right="0"/>
              <w:rPr>
                <w:rFonts w:hint="eastAsia" w:ascii="宋体" w:hAnsi="宋体" w:cs="Times New Roman"/>
                <w:color w:val="auto"/>
                <w:szCs w:val="21"/>
                <w:highlight w:val="none"/>
              </w:rPr>
            </w:pPr>
            <w:r>
              <w:rPr>
                <w:rFonts w:hint="eastAsia" w:ascii="宋体" w:hAnsi="宋体" w:cs="Times New Roman"/>
                <w:color w:val="auto"/>
                <w:szCs w:val="21"/>
                <w:highlight w:val="none"/>
              </w:rPr>
              <w:t>2.3所投产品</w:t>
            </w:r>
            <w:r>
              <w:rPr>
                <w:rFonts w:hint="default" w:ascii="宋体" w:hAnsi="宋体" w:cs="Times New Roman"/>
                <w:color w:val="auto"/>
                <w:szCs w:val="21"/>
                <w:highlight w:val="none"/>
              </w:rPr>
              <w:t>市场份额</w:t>
            </w:r>
          </w:p>
        </w:tc>
        <w:tc>
          <w:tcPr>
            <w:tcW w:w="3779" w:type="dxa"/>
            <w:noWrap w:val="0"/>
            <w:vAlign w:val="center"/>
          </w:tcPr>
          <w:p w14:paraId="17977516">
            <w:pPr>
              <w:keepNext w:val="0"/>
              <w:keepLines w:val="0"/>
              <w:suppressLineNumbers w:val="0"/>
              <w:adjustRightInd w:val="0"/>
              <w:snapToGrid w:val="0"/>
              <w:spacing w:before="0" w:beforeAutospacing="0" w:after="0" w:afterAutospacing="0"/>
              <w:ind w:left="0" w:right="0"/>
              <w:rPr>
                <w:rFonts w:hint="eastAsia" w:ascii="宋体" w:hAnsi="宋体" w:cs="Times New Roman"/>
                <w:color w:val="auto"/>
                <w:szCs w:val="21"/>
                <w:highlight w:val="none"/>
              </w:rPr>
            </w:pPr>
            <w:r>
              <w:rPr>
                <w:rFonts w:hint="eastAsia" w:ascii="宋体" w:hAnsi="宋体" w:cs="Times New Roman"/>
                <w:color w:val="auto"/>
                <w:szCs w:val="21"/>
                <w:highlight w:val="none"/>
              </w:rPr>
              <w:t>/</w:t>
            </w:r>
          </w:p>
        </w:tc>
      </w:tr>
      <w:tr w14:paraId="08D310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1233" w:type="dxa"/>
            <w:vMerge w:val="continue"/>
            <w:noWrap w:val="0"/>
            <w:vAlign w:val="center"/>
          </w:tcPr>
          <w:p w14:paraId="4C8B5A2E">
            <w:pPr>
              <w:keepNext w:val="0"/>
              <w:keepLines w:val="0"/>
              <w:suppressLineNumbers w:val="0"/>
              <w:adjustRightInd w:val="0"/>
              <w:snapToGrid w:val="0"/>
              <w:spacing w:before="0" w:beforeAutospacing="0" w:after="0" w:afterAutospacing="0"/>
              <w:ind w:left="0" w:right="0"/>
              <w:rPr>
                <w:rFonts w:hint="eastAsia" w:ascii="宋体" w:hAnsi="宋体" w:cs="Times New Roman"/>
                <w:color w:val="auto"/>
                <w:szCs w:val="21"/>
                <w:highlight w:val="none"/>
              </w:rPr>
            </w:pPr>
          </w:p>
        </w:tc>
        <w:tc>
          <w:tcPr>
            <w:tcW w:w="4677" w:type="dxa"/>
            <w:noWrap w:val="0"/>
            <w:vAlign w:val="center"/>
          </w:tcPr>
          <w:p w14:paraId="1B2D2B6D">
            <w:pPr>
              <w:keepNext w:val="0"/>
              <w:keepLines w:val="0"/>
              <w:suppressLineNumbers w:val="0"/>
              <w:adjustRightInd w:val="0"/>
              <w:snapToGrid w:val="0"/>
              <w:spacing w:before="0" w:beforeAutospacing="0" w:after="0" w:afterAutospacing="0"/>
              <w:ind w:left="0" w:right="0"/>
              <w:rPr>
                <w:rFonts w:hint="eastAsia" w:ascii="宋体" w:hAnsi="宋体" w:cs="Times New Roman"/>
                <w:i/>
                <w:iCs/>
                <w:color w:val="auto"/>
                <w:szCs w:val="21"/>
                <w:highlight w:val="none"/>
              </w:rPr>
            </w:pPr>
            <w:r>
              <w:rPr>
                <w:rFonts w:hint="eastAsia" w:ascii="宋体" w:hAnsi="宋体" w:cs="Times New Roman"/>
                <w:i/>
                <w:iCs/>
                <w:color w:val="auto"/>
                <w:szCs w:val="21"/>
                <w:highlight w:val="none"/>
              </w:rPr>
              <w:t>2.3</w:t>
            </w:r>
            <w:bookmarkStart w:id="900" w:name="OLE_LINK8"/>
            <w:r>
              <w:rPr>
                <w:rFonts w:hint="eastAsia" w:ascii="宋体" w:hAnsi="宋体" w:cs="Times New Roman"/>
                <w:i/>
                <w:iCs/>
                <w:color w:val="auto"/>
                <w:szCs w:val="21"/>
                <w:highlight w:val="none"/>
              </w:rPr>
              <w:t>.1所投产品在全国</w:t>
            </w:r>
            <w:r>
              <w:rPr>
                <w:rFonts w:hint="default" w:ascii="宋体" w:hAnsi="宋体" w:cs="Times New Roman"/>
                <w:i/>
                <w:iCs/>
                <w:color w:val="auto"/>
                <w:szCs w:val="21"/>
                <w:highlight w:val="none"/>
              </w:rPr>
              <w:t>市场份额</w:t>
            </w:r>
            <w:bookmarkEnd w:id="900"/>
          </w:p>
        </w:tc>
        <w:tc>
          <w:tcPr>
            <w:tcW w:w="3779" w:type="dxa"/>
            <w:noWrap w:val="0"/>
            <w:vAlign w:val="center"/>
          </w:tcPr>
          <w:p w14:paraId="3DEF0876">
            <w:pPr>
              <w:keepNext w:val="0"/>
              <w:keepLines w:val="0"/>
              <w:suppressLineNumbers w:val="0"/>
              <w:adjustRightInd w:val="0"/>
              <w:snapToGrid w:val="0"/>
              <w:spacing w:before="0" w:beforeAutospacing="0" w:after="0" w:afterAutospacing="0"/>
              <w:ind w:left="0" w:right="0"/>
              <w:rPr>
                <w:rFonts w:hint="eastAsia" w:ascii="宋体" w:hAnsi="宋体" w:cs="Times New Roman"/>
                <w:color w:val="auto"/>
                <w:szCs w:val="21"/>
                <w:highlight w:val="none"/>
              </w:rPr>
            </w:pPr>
          </w:p>
        </w:tc>
      </w:tr>
      <w:tr w14:paraId="4761F3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1233" w:type="dxa"/>
            <w:vMerge w:val="continue"/>
            <w:noWrap w:val="0"/>
            <w:vAlign w:val="center"/>
          </w:tcPr>
          <w:p w14:paraId="3B468D8C">
            <w:pPr>
              <w:keepNext w:val="0"/>
              <w:keepLines w:val="0"/>
              <w:suppressLineNumbers w:val="0"/>
              <w:adjustRightInd w:val="0"/>
              <w:snapToGrid w:val="0"/>
              <w:spacing w:before="0" w:beforeAutospacing="0" w:after="0" w:afterAutospacing="0"/>
              <w:ind w:left="0" w:right="0"/>
              <w:rPr>
                <w:rFonts w:hint="eastAsia" w:ascii="宋体" w:hAnsi="宋体" w:cs="Times New Roman"/>
                <w:color w:val="auto"/>
                <w:szCs w:val="21"/>
                <w:highlight w:val="none"/>
              </w:rPr>
            </w:pPr>
          </w:p>
        </w:tc>
        <w:tc>
          <w:tcPr>
            <w:tcW w:w="4677" w:type="dxa"/>
            <w:noWrap w:val="0"/>
            <w:vAlign w:val="center"/>
          </w:tcPr>
          <w:p w14:paraId="7DAC1EC1">
            <w:pPr>
              <w:keepNext w:val="0"/>
              <w:keepLines w:val="0"/>
              <w:suppressLineNumbers w:val="0"/>
              <w:adjustRightInd w:val="0"/>
              <w:snapToGrid w:val="0"/>
              <w:spacing w:before="0" w:beforeAutospacing="0" w:after="0" w:afterAutospacing="0"/>
              <w:ind w:left="0" w:right="0"/>
              <w:rPr>
                <w:rFonts w:hint="eastAsia" w:ascii="宋体" w:hAnsi="宋体" w:cs="Times New Roman"/>
                <w:i/>
                <w:iCs/>
                <w:color w:val="auto"/>
                <w:szCs w:val="21"/>
                <w:highlight w:val="none"/>
              </w:rPr>
            </w:pPr>
            <w:r>
              <w:rPr>
                <w:rFonts w:hint="eastAsia" w:ascii="宋体" w:hAnsi="宋体" w:cs="Times New Roman"/>
                <w:i/>
                <w:iCs/>
                <w:color w:val="auto"/>
                <w:szCs w:val="21"/>
                <w:highlight w:val="none"/>
              </w:rPr>
              <w:t>2.3.2所投产品在安徽省</w:t>
            </w:r>
            <w:r>
              <w:rPr>
                <w:rFonts w:hint="default" w:ascii="宋体" w:hAnsi="宋体" w:cs="Times New Roman"/>
                <w:i/>
                <w:iCs/>
                <w:color w:val="auto"/>
                <w:szCs w:val="21"/>
                <w:highlight w:val="none"/>
              </w:rPr>
              <w:t>市场份额</w:t>
            </w:r>
          </w:p>
        </w:tc>
        <w:tc>
          <w:tcPr>
            <w:tcW w:w="3779" w:type="dxa"/>
            <w:noWrap w:val="0"/>
            <w:vAlign w:val="center"/>
          </w:tcPr>
          <w:p w14:paraId="4BE86EFD">
            <w:pPr>
              <w:keepNext w:val="0"/>
              <w:keepLines w:val="0"/>
              <w:suppressLineNumbers w:val="0"/>
              <w:adjustRightInd w:val="0"/>
              <w:snapToGrid w:val="0"/>
              <w:spacing w:before="0" w:beforeAutospacing="0" w:after="0" w:afterAutospacing="0"/>
              <w:ind w:left="0" w:right="0"/>
              <w:rPr>
                <w:rFonts w:hint="eastAsia" w:ascii="宋体" w:hAnsi="宋体" w:cs="Times New Roman"/>
                <w:color w:val="auto"/>
                <w:szCs w:val="21"/>
                <w:highlight w:val="none"/>
              </w:rPr>
            </w:pPr>
          </w:p>
        </w:tc>
      </w:tr>
      <w:tr w14:paraId="4116F4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1233" w:type="dxa"/>
            <w:vMerge w:val="continue"/>
            <w:noWrap w:val="0"/>
            <w:vAlign w:val="center"/>
          </w:tcPr>
          <w:p w14:paraId="7AF56830">
            <w:pPr>
              <w:keepNext w:val="0"/>
              <w:keepLines w:val="0"/>
              <w:suppressLineNumbers w:val="0"/>
              <w:adjustRightInd w:val="0"/>
              <w:snapToGrid w:val="0"/>
              <w:spacing w:before="0" w:beforeAutospacing="0" w:after="0" w:afterAutospacing="0"/>
              <w:ind w:left="0" w:right="0"/>
              <w:rPr>
                <w:rFonts w:hint="eastAsia" w:ascii="宋体" w:hAnsi="宋体" w:cs="Times New Roman"/>
                <w:color w:val="auto"/>
                <w:szCs w:val="21"/>
                <w:highlight w:val="none"/>
              </w:rPr>
            </w:pPr>
          </w:p>
        </w:tc>
        <w:tc>
          <w:tcPr>
            <w:tcW w:w="4677" w:type="dxa"/>
            <w:noWrap w:val="0"/>
            <w:vAlign w:val="center"/>
          </w:tcPr>
          <w:p w14:paraId="79F75505">
            <w:pPr>
              <w:keepNext w:val="0"/>
              <w:keepLines w:val="0"/>
              <w:suppressLineNumbers w:val="0"/>
              <w:adjustRightInd w:val="0"/>
              <w:snapToGrid w:val="0"/>
              <w:spacing w:before="0" w:beforeAutospacing="0" w:after="0" w:afterAutospacing="0"/>
              <w:ind w:left="0" w:right="0"/>
              <w:rPr>
                <w:rFonts w:hint="eastAsia" w:ascii="宋体" w:hAnsi="宋体" w:cs="Times New Roman"/>
                <w:color w:val="auto"/>
                <w:szCs w:val="21"/>
                <w:highlight w:val="none"/>
              </w:rPr>
            </w:pPr>
            <w:r>
              <w:rPr>
                <w:rFonts w:hint="eastAsia" w:ascii="宋体" w:hAnsi="宋体" w:cs="Times New Roman"/>
                <w:color w:val="auto"/>
                <w:szCs w:val="21"/>
                <w:highlight w:val="none"/>
              </w:rPr>
              <w:t>2.4所投产品主要使用单位(医院名称，要求在每个医院名称前加序号)</w:t>
            </w:r>
          </w:p>
        </w:tc>
        <w:tc>
          <w:tcPr>
            <w:tcW w:w="3779" w:type="dxa"/>
            <w:noWrap w:val="0"/>
            <w:vAlign w:val="center"/>
          </w:tcPr>
          <w:p w14:paraId="64736E49">
            <w:pPr>
              <w:keepNext w:val="0"/>
              <w:keepLines w:val="0"/>
              <w:suppressLineNumbers w:val="0"/>
              <w:adjustRightInd w:val="0"/>
              <w:snapToGrid w:val="0"/>
              <w:spacing w:before="0" w:beforeAutospacing="0" w:after="0" w:afterAutospacing="0"/>
              <w:ind w:left="0" w:right="0"/>
              <w:rPr>
                <w:rFonts w:hint="eastAsia" w:ascii="宋体" w:hAnsi="宋体" w:cs="Times New Roman"/>
                <w:color w:val="auto"/>
                <w:szCs w:val="21"/>
                <w:highlight w:val="none"/>
              </w:rPr>
            </w:pPr>
          </w:p>
        </w:tc>
      </w:tr>
      <w:tr w14:paraId="50F903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1233" w:type="dxa"/>
            <w:vMerge w:val="continue"/>
            <w:noWrap w:val="0"/>
            <w:vAlign w:val="center"/>
          </w:tcPr>
          <w:p w14:paraId="41DC820D">
            <w:pPr>
              <w:keepNext w:val="0"/>
              <w:keepLines w:val="0"/>
              <w:suppressLineNumbers w:val="0"/>
              <w:adjustRightInd w:val="0"/>
              <w:snapToGrid w:val="0"/>
              <w:spacing w:before="0" w:beforeAutospacing="0" w:after="0" w:afterAutospacing="0"/>
              <w:ind w:left="0" w:right="0"/>
              <w:rPr>
                <w:rFonts w:hint="eastAsia" w:ascii="宋体" w:hAnsi="宋体" w:cs="Times New Roman"/>
                <w:color w:val="auto"/>
                <w:szCs w:val="21"/>
                <w:highlight w:val="none"/>
              </w:rPr>
            </w:pPr>
          </w:p>
        </w:tc>
        <w:tc>
          <w:tcPr>
            <w:tcW w:w="4677" w:type="dxa"/>
            <w:noWrap w:val="0"/>
            <w:vAlign w:val="center"/>
          </w:tcPr>
          <w:p w14:paraId="0B5A8A65">
            <w:pPr>
              <w:keepNext w:val="0"/>
              <w:keepLines w:val="0"/>
              <w:suppressLineNumbers w:val="0"/>
              <w:adjustRightInd w:val="0"/>
              <w:snapToGrid w:val="0"/>
              <w:spacing w:before="0" w:beforeAutospacing="0" w:after="0" w:afterAutospacing="0"/>
              <w:ind w:left="0" w:right="0"/>
              <w:rPr>
                <w:rFonts w:hint="eastAsia" w:ascii="宋体" w:hAnsi="宋体" w:cs="Times New Roman"/>
                <w:color w:val="auto"/>
                <w:szCs w:val="21"/>
                <w:highlight w:val="none"/>
              </w:rPr>
            </w:pPr>
            <w:r>
              <w:rPr>
                <w:rFonts w:hint="eastAsia" w:ascii="宋体" w:hAnsi="宋体" w:cs="Times New Roman"/>
                <w:color w:val="auto"/>
                <w:szCs w:val="21"/>
                <w:highlight w:val="none"/>
              </w:rPr>
              <w:t>2.5所投产品主要优势(简述)</w:t>
            </w:r>
          </w:p>
        </w:tc>
        <w:tc>
          <w:tcPr>
            <w:tcW w:w="3779" w:type="dxa"/>
            <w:noWrap w:val="0"/>
            <w:vAlign w:val="center"/>
          </w:tcPr>
          <w:p w14:paraId="02751C2F">
            <w:pPr>
              <w:keepNext w:val="0"/>
              <w:keepLines w:val="0"/>
              <w:suppressLineNumbers w:val="0"/>
              <w:adjustRightInd w:val="0"/>
              <w:snapToGrid w:val="0"/>
              <w:spacing w:before="0" w:beforeAutospacing="0" w:after="0" w:afterAutospacing="0"/>
              <w:ind w:left="0" w:right="0"/>
              <w:rPr>
                <w:rFonts w:hint="eastAsia" w:ascii="宋体" w:hAnsi="宋体" w:cs="Times New Roman"/>
                <w:color w:val="auto"/>
                <w:szCs w:val="21"/>
                <w:highlight w:val="none"/>
              </w:rPr>
            </w:pPr>
          </w:p>
        </w:tc>
      </w:tr>
    </w:tbl>
    <w:p w14:paraId="572D179D">
      <w:pPr>
        <w:rPr>
          <w:color w:val="auto"/>
          <w:highlight w:val="none"/>
        </w:rPr>
      </w:pPr>
    </w:p>
    <w:p w14:paraId="16DDF0D6">
      <w:pPr>
        <w:pStyle w:val="3"/>
        <w:widowControl/>
        <w:spacing w:before="120" w:after="120" w:line="240" w:lineRule="auto"/>
        <w:jc w:val="center"/>
        <w:rPr>
          <w:rStyle w:val="107"/>
          <w:rFonts w:hint="eastAsia" w:ascii="宋体" w:hAnsi="宋体" w:eastAsia="宋体" w:cs="宋体"/>
          <w:b/>
          <w:bCs/>
          <w:color w:val="auto"/>
          <w:sz w:val="30"/>
          <w:szCs w:val="30"/>
          <w:highlight w:val="none"/>
        </w:rPr>
      </w:pPr>
      <w:r>
        <w:rPr>
          <w:rFonts w:hint="eastAsia" w:ascii="宋体" w:hAnsi="宋体"/>
          <w:b w:val="0"/>
          <w:bCs w:val="0"/>
          <w:color w:val="auto"/>
          <w:sz w:val="21"/>
          <w:szCs w:val="21"/>
          <w:highlight w:val="none"/>
        </w:rPr>
        <w:br w:type="page"/>
      </w:r>
      <w:r>
        <w:rPr>
          <w:rStyle w:val="107"/>
          <w:rFonts w:hint="eastAsia" w:ascii="宋体" w:hAnsi="宋体" w:eastAsia="宋体" w:cs="宋体"/>
          <w:b/>
          <w:bCs/>
          <w:color w:val="auto"/>
          <w:sz w:val="30"/>
          <w:szCs w:val="30"/>
          <w:highlight w:val="none"/>
          <w:lang w:val="en-US"/>
        </w:rPr>
        <w:t>十一</w:t>
      </w:r>
      <w:r>
        <w:rPr>
          <w:rStyle w:val="107"/>
          <w:rFonts w:hint="eastAsia" w:ascii="宋体" w:hAnsi="宋体" w:eastAsia="宋体" w:cs="宋体"/>
          <w:b/>
          <w:bCs/>
          <w:color w:val="auto"/>
          <w:sz w:val="30"/>
          <w:szCs w:val="30"/>
          <w:highlight w:val="none"/>
        </w:rPr>
        <w:t>、投标人认为应该提供的其他资料</w:t>
      </w:r>
    </w:p>
    <w:p w14:paraId="2CC5907E">
      <w:pPr>
        <w:widowControl/>
        <w:jc w:val="left"/>
        <w:rPr>
          <w:rFonts w:hint="eastAsia" w:ascii="宋体" w:hAnsi="宋体" w:cs="宋体"/>
          <w:color w:val="auto"/>
          <w:szCs w:val="21"/>
          <w:highlight w:val="none"/>
        </w:rPr>
      </w:pPr>
    </w:p>
    <w:sectPr>
      <w:footerReference r:id="rId9" w:type="even"/>
      <w:footnotePr>
        <w:numFmt w:val="decimalEnclosedCircleChinese"/>
        <w:numRestart w:val="eachPage"/>
      </w:footnotePr>
      <w:pgSz w:w="11906" w:h="16838"/>
      <w:pgMar w:top="1134" w:right="1134" w:bottom="1134" w:left="1134" w:header="851" w:footer="851"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auto"/>
    <w:pitch w:val="default"/>
    <w:sig w:usb0="E0002EFF" w:usb1="C000785B" w:usb2="00000009" w:usb3="00000000" w:csb0="400001FF" w:csb1="FFFF0000"/>
  </w:font>
  <w:font w:name="宋体">
    <w:panose1 w:val="02010600030101010101"/>
    <w:charset w:val="81"/>
    <w:family w:val="roma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949E18BC-AA5E-4A68-8A6B-B9C5CD83EE54}"/>
  </w:font>
  <w:font w:name="Arial">
    <w:panose1 w:val="020B0604020202020204"/>
    <w:charset w:val="01"/>
    <w:family w:val="swiss"/>
    <w:pitch w:val="default"/>
    <w:sig w:usb0="E0002EFF" w:usb1="C000785B" w:usb2="00000009" w:usb3="00000000" w:csb0="400001FF" w:csb1="FFFF0000"/>
    <w:embedRegular r:id="rId2" w:fontKey="{7F926762-1F5E-472D-A132-02C158810683}"/>
  </w:font>
  <w:font w:name="黑体">
    <w:panose1 w:val="02010609060101010101"/>
    <w:charset w:val="86"/>
    <w:family w:val="auto"/>
    <w:pitch w:val="default"/>
    <w:sig w:usb0="800002BF" w:usb1="38CF7CFA" w:usb2="00000016" w:usb3="00000000" w:csb0="00040001" w:csb1="00000000"/>
    <w:embedRegular r:id="rId3" w:fontKey="{CA1F640C-1C00-40CE-96F4-9270C653BF5F}"/>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4" w:fontKey="{5A1A365F-384A-49D0-BB8C-96E1D0C15F69}"/>
  </w:font>
  <w:font w:name="Cambria">
    <w:panose1 w:val="02040503050406030204"/>
    <w:charset w:val="00"/>
    <w:family w:val="roman"/>
    <w:pitch w:val="default"/>
    <w:sig w:usb0="E00006FF" w:usb1="420024FF" w:usb2="02000000" w:usb3="00000000" w:csb0="2000019F" w:csb1="00000000"/>
    <w:embedRegular r:id="rId5" w:fontKey="{551329D6-8B39-4409-A05D-C8B1C2F8A42F}"/>
  </w:font>
  <w:font w:name="仿宋_GB2312">
    <w:panose1 w:val="02010609030101010101"/>
    <w:charset w:val="86"/>
    <w:family w:val="modern"/>
    <w:pitch w:val="default"/>
    <w:sig w:usb0="00000001" w:usb1="080E0000" w:usb2="00000000" w:usb3="00000000" w:csb0="00040000" w:csb1="00000000"/>
    <w:embedRegular r:id="rId6" w:fontKey="{2CB62C5C-154E-42B6-8791-D9C74D418881}"/>
  </w:font>
  <w:font w:name="PMingLiU">
    <w:altName w:val="Microsoft JhengHei UI"/>
    <w:panose1 w:val="02010601000101010101"/>
    <w:charset w:val="88"/>
    <w:family w:val="auto"/>
    <w:pitch w:val="default"/>
    <w:sig w:usb0="00000000" w:usb1="00000000" w:usb2="00000010" w:usb3="00000000" w:csb0="00100000" w:csb1="00000000"/>
  </w:font>
  <w:font w:name="Microsoft JhengHei UI">
    <w:panose1 w:val="020B0604030504040204"/>
    <w:charset w:val="88"/>
    <w:family w:val="auto"/>
    <w:pitch w:val="default"/>
    <w:sig w:usb0="000002A7" w:usb1="28CF4400" w:usb2="00000016" w:usb3="00000000" w:csb0="00100009" w:csb1="00000000"/>
  </w:font>
  <w:font w:name="monospace">
    <w:altName w:val="Segoe Print"/>
    <w:panose1 w:val="00000000000000000000"/>
    <w:charset w:val="00"/>
    <w:family w:val="auto"/>
    <w:pitch w:val="default"/>
    <w:sig w:usb0="00000000" w:usb1="00000000" w:usb2="00000000" w:usb3="00000000" w:csb0="00040001" w:csb1="00000000"/>
  </w:font>
  <w:font w:name="Segoe Print">
    <w:panose1 w:val="02000600000000000000"/>
    <w:charset w:val="00"/>
    <w:family w:val="auto"/>
    <w:pitch w:val="default"/>
    <w:sig w:usb0="0000028F" w:usb1="00000000" w:usb2="00000000" w:usb3="00000000" w:csb0="2000009F" w:csb1="47010000"/>
  </w:font>
  <w:font w:name="华文楷体">
    <w:panose1 w:val="02010600040101010101"/>
    <w:charset w:val="86"/>
    <w:family w:val="auto"/>
    <w:pitch w:val="default"/>
    <w:sig w:usb0="00000287" w:usb1="080F0000" w:usb2="00000000" w:usb3="00000000" w:csb0="0004009F" w:csb1="DFD70000"/>
    <w:embedRegular r:id="rId7" w:fontKey="{23A604D3-AA50-4794-AC70-3B1A8453B5AD}"/>
  </w:font>
  <w:font w:name="方正书宋简体">
    <w:altName w:val="宋体"/>
    <w:panose1 w:val="02000000000000000000"/>
    <w:charset w:val="86"/>
    <w:family w:val="auto"/>
    <w:pitch w:val="default"/>
    <w:sig w:usb0="00000000" w:usb1="00000000" w:usb2="00000012" w:usb3="00000000" w:csb0="00040001" w:csb1="00000000"/>
  </w:font>
  <w:font w:name="方正小标宋简体">
    <w:panose1 w:val="03000509000000000000"/>
    <w:charset w:val="86"/>
    <w:family w:val="script"/>
    <w:pitch w:val="default"/>
    <w:sig w:usb0="00000001" w:usb1="080E0000" w:usb2="00000000" w:usb3="00000000" w:csb0="00040000" w:csb1="00000000"/>
  </w:font>
  <w:font w:name="Tahoma">
    <w:panose1 w:val="020B0604030504040204"/>
    <w:charset w:val="00"/>
    <w:family w:val="swiss"/>
    <w:pitch w:val="default"/>
    <w:sig w:usb0="E1002EFF" w:usb1="C000605B" w:usb2="00000029" w:usb3="00000000" w:csb0="200101FF" w:csb1="20280000"/>
  </w:font>
  <w:font w:name="Arial Unicode MS">
    <w:altName w:val="宋体"/>
    <w:panose1 w:val="020B0604020202020204"/>
    <w:charset w:val="86"/>
    <w:family w:val="roman"/>
    <w:pitch w:val="default"/>
    <w:sig w:usb0="00000000" w:usb1="00000000" w:usb2="0000003F" w:usb3="00000000" w:csb0="603F01FF" w:csb1="FFFF0000"/>
  </w:font>
  <w:font w:name="华文细黑">
    <w:panose1 w:val="02010600040101010101"/>
    <w:charset w:val="86"/>
    <w:family w:val="auto"/>
    <w:pitch w:val="default"/>
    <w:sig w:usb0="00000287" w:usb1="080F0000" w:usb2="00000000" w:usb3="00000000" w:csb0="0004009F" w:csb1="DFD70000"/>
  </w:font>
  <w:font w:name="楷体">
    <w:panose1 w:val="02010609060101010101"/>
    <w:charset w:val="86"/>
    <w:family w:val="modern"/>
    <w:pitch w:val="default"/>
    <w:sig w:usb0="800002BF" w:usb1="38CF7CFA" w:usb2="00000016" w:usb3="00000000" w:csb0="00040001" w:csb1="00000000"/>
    <w:embedRegular r:id="rId8" w:fontKey="{31F67E41-1929-4BAE-9C24-C1E8E95EEEE7}"/>
  </w:font>
  <w:font w:name="仿宋">
    <w:panose1 w:val="02010609060101010101"/>
    <w:charset w:val="86"/>
    <w:family w:val="auto"/>
    <w:pitch w:val="default"/>
    <w:sig w:usb0="800002BF" w:usb1="38CF7CFA" w:usb2="00000016" w:usb3="00000000" w:csb0="00040001" w:csb1="00000000"/>
    <w:embedRegular r:id="rId9" w:fontKey="{D7EB8EB3-9E9B-4B83-B7D2-86750B9698A5}"/>
  </w:font>
  <w:font w:name="楷体_GB2312">
    <w:panose1 w:val="02010609030101010101"/>
    <w:charset w:val="86"/>
    <w:family w:val="modern"/>
    <w:pitch w:val="default"/>
    <w:sig w:usb0="00000001" w:usb1="080E0000" w:usb2="00000000" w:usb3="00000000" w:csb0="00040000" w:csb1="00000000"/>
    <w:embedRegular r:id="rId10" w:fontKey="{71D44627-9E20-43C6-A019-F91537F73B0C}"/>
  </w:font>
  <w:font w:name="Microsoft JhengHei">
    <w:panose1 w:val="020B0604030504040204"/>
    <w:charset w:val="88"/>
    <w:family w:val="swiss"/>
    <w:pitch w:val="default"/>
    <w:sig w:usb0="000002A7" w:usb1="28CF4400" w:usb2="00000016" w:usb3="00000000" w:csb0="00100009" w:csb1="00000000"/>
    <w:embedRegular r:id="rId11" w:fontKey="{4C059125-3B32-4F93-9806-A036E4474269}"/>
  </w:font>
  <w:font w:name="Wingdings 2">
    <w:panose1 w:val="05020102010507070707"/>
    <w:charset w:val="02"/>
    <w:family w:val="roman"/>
    <w:pitch w:val="default"/>
    <w:sig w:usb0="00000000" w:usb1="00000000" w:usb2="00000000" w:usb3="00000000" w:csb0="80000000" w:csb1="00000000"/>
    <w:embedRegular r:id="rId12" w:fontKey="{E8CDD8B2-D4E6-4975-9E0B-BFAAE665E351}"/>
  </w:font>
  <w:font w:name="Segoe UI Symbol">
    <w:panose1 w:val="020B0502040204020203"/>
    <w:charset w:val="00"/>
    <w:family w:val="swiss"/>
    <w:pitch w:val="default"/>
    <w:sig w:usb0="800001E3" w:usb1="1200FFEF" w:usb2="00040000" w:usb3="04000000" w:csb0="00000001" w:csb1="40000000"/>
    <w:embedRegular r:id="rId13" w:fontKey="{B9551959-5550-4473-9128-43085EC214EE}"/>
  </w:font>
  <w:font w:name="MS Mincho">
    <w:panose1 w:val="02020609040205080304"/>
    <w:charset w:val="80"/>
    <w:family w:val="roman"/>
    <w:pitch w:val="default"/>
    <w:sig w:usb0="E00002FF" w:usb1="6AC7FDFB" w:usb2="08000012" w:usb3="00000000" w:csb0="4002009F" w:csb1="DFD70000"/>
    <w:embedRegular r:id="rId14" w:fontKey="{E114C725-7FB3-4AF0-A6E4-9A892313223C}"/>
  </w:font>
  <w:font w:name="ˎ̥">
    <w:altName w:val="Times New Roman"/>
    <w:panose1 w:val="00000000000000000000"/>
    <w:charset w:val="00"/>
    <w:family w:val="roman"/>
    <w:pitch w:val="default"/>
    <w:sig w:usb0="00000000" w:usb1="00000000" w:usb2="00000000" w:usb3="00000000" w:csb0="00040001" w:csb1="00000000"/>
    <w:embedRegular r:id="rId15" w:fontKey="{17A86E90-B7DA-4338-9B72-D67D4C40C3D9}"/>
  </w:font>
  <w:font w:name="Cambria Math">
    <w:panose1 w:val="02040503050406030204"/>
    <w:charset w:val="00"/>
    <w:family w:val="roman"/>
    <w:pitch w:val="default"/>
    <w:sig w:usb0="E00006FF" w:usb1="420024FF" w:usb2="02000000" w:usb3="00000000" w:csb0="2000019F" w:csb1="00000000"/>
    <w:embedRegular r:id="rId16" w:fontKey="{9AD52AC8-3EF1-40E3-B1B3-7F8A7104E6E1}"/>
  </w:font>
  <w:font w:name="微软雅黑">
    <w:panose1 w:val="020B0503020204020204"/>
    <w:charset w:val="86"/>
    <w:family w:val="swiss"/>
    <w:pitch w:val="default"/>
    <w:sig w:usb0="80000287" w:usb1="2ACF3C50" w:usb2="00000016" w:usb3="00000000" w:csb0="0004001F" w:csb1="00000000"/>
    <w:embedRegular r:id="rId17" w:fontKey="{FBBF8C86-6456-49F8-83A4-990A1680F5F8}"/>
  </w:font>
  <w:font w:name="华文中宋">
    <w:panose1 w:val="02010600040101010101"/>
    <w:charset w:val="86"/>
    <w:family w:val="auto"/>
    <w:pitch w:val="default"/>
    <w:sig w:usb0="00000287" w:usb1="080F0000" w:usb2="00000000" w:usb3="00000000" w:csb0="0004009F" w:csb1="DFD70000"/>
    <w:embedRegular r:id="rId18" w:fontKey="{0C99B152-F77D-46DD-B378-A551F7704E62}"/>
  </w:font>
  <w:font w:name="WPSEMBED1">
    <w:panose1 w:val="02020609040205080304"/>
    <w:charset w:val="80"/>
    <w:family w:val="auto"/>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C3AE30">
    <w:pPr>
      <w:pStyle w:val="31"/>
      <w:jc w:val="center"/>
      <w:rPr>
        <w:rFonts w:ascii="宋体" w:hAnsi="宋体"/>
        <w:sz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84F44A">
    <w:pPr>
      <w:pStyle w:val="31"/>
      <w:rPr>
        <w:rFonts w:ascii="宋体" w:hAnsi="宋体"/>
        <w:sz w:val="24"/>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986EA9">
    <w:pPr>
      <w:pStyle w:val="31"/>
      <w:jc w:val="center"/>
      <w:rPr>
        <w:rFonts w:ascii="宋体" w:hAnsi="宋体"/>
        <w:sz w:val="24"/>
      </w:rPr>
    </w:pPr>
    <w:r>
      <w:rPr>
        <w:rFonts w:ascii="宋体" w:hAnsi="宋体"/>
        <w:sz w:val="24"/>
      </w:rPr>
      <w:fldChar w:fldCharType="begin"/>
    </w:r>
    <w:r>
      <w:rPr>
        <w:rFonts w:ascii="宋体" w:hAnsi="宋体"/>
        <w:sz w:val="24"/>
      </w:rPr>
      <w:instrText xml:space="preserve">PAGE   \* MERGEFORMAT</w:instrText>
    </w:r>
    <w:r>
      <w:rPr>
        <w:rFonts w:ascii="宋体" w:hAnsi="宋体"/>
        <w:sz w:val="24"/>
      </w:rPr>
      <w:fldChar w:fldCharType="separate"/>
    </w:r>
    <w:r>
      <w:rPr>
        <w:rFonts w:ascii="宋体" w:hAnsi="宋体"/>
        <w:sz w:val="24"/>
        <w:lang w:val="zh-CN"/>
      </w:rPr>
      <w:t>14</w:t>
    </w:r>
    <w:r>
      <w:rPr>
        <w:rFonts w:ascii="宋体" w:hAnsi="宋体"/>
        <w:sz w:val="24"/>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6ED8E4">
    <w:pPr>
      <w:pStyle w:val="31"/>
      <w:jc w:val="center"/>
      <w:rPr>
        <w:rFonts w:ascii="宋体" w:hAnsi="宋体"/>
        <w:sz w:val="24"/>
      </w:rPr>
    </w:pPr>
    <w:r>
      <w:rPr>
        <w:rFonts w:ascii="宋体" w:hAnsi="宋体"/>
        <w:sz w:val="24"/>
      </w:rPr>
      <w:fldChar w:fldCharType="begin"/>
    </w:r>
    <w:r>
      <w:rPr>
        <w:rFonts w:ascii="宋体" w:hAnsi="宋体"/>
        <w:sz w:val="24"/>
      </w:rPr>
      <w:instrText xml:space="preserve">PAGE   \* MERGEFORMAT</w:instrText>
    </w:r>
    <w:r>
      <w:rPr>
        <w:rFonts w:ascii="宋体" w:hAnsi="宋体"/>
        <w:sz w:val="24"/>
      </w:rPr>
      <w:fldChar w:fldCharType="separate"/>
    </w:r>
    <w:r>
      <w:rPr>
        <w:rFonts w:ascii="宋体" w:hAnsi="宋体"/>
        <w:sz w:val="24"/>
        <w:lang w:val="zh-CN"/>
      </w:rPr>
      <w:t>97</w:t>
    </w:r>
    <w:r>
      <w:rPr>
        <w:rFonts w:ascii="宋体" w:hAnsi="宋体"/>
        <w:sz w:val="24"/>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01984D">
    <w:pPr>
      <w:pStyle w:val="31"/>
      <w:framePr w:wrap="around" w:vAnchor="text" w:hAnchor="margin" w:xAlign="center" w:y="1"/>
      <w:rPr>
        <w:rStyle w:val="53"/>
      </w:rPr>
    </w:pPr>
    <w:r>
      <w:fldChar w:fldCharType="begin"/>
    </w:r>
    <w:r>
      <w:rPr>
        <w:rStyle w:val="53"/>
      </w:rPr>
      <w:instrText xml:space="preserve">PAGE  </w:instrText>
    </w:r>
    <w:r>
      <w:fldChar w:fldCharType="separate"/>
    </w:r>
    <w:r>
      <w:fldChar w:fldCharType="end"/>
    </w:r>
  </w:p>
  <w:p w14:paraId="6B4B6653">
    <w:pPr>
      <w:pStyle w:val="31"/>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2">
    <w:p>
      <w:r>
        <w:separator/>
      </w:r>
    </w:p>
  </w:footnote>
  <w:footnote w:type="continuationSeparator" w:id="3">
    <w:p>
      <w:r>
        <w:continuationSeparator/>
      </w:r>
    </w:p>
  </w:footnote>
  <w:footnote w:id="0">
    <w:p w14:paraId="155D9FBB">
      <w:pPr>
        <w:widowControl/>
        <w:jc w:val="left"/>
        <w:rPr>
          <w:rFonts w:eastAsia="仿宋"/>
        </w:rPr>
      </w:pPr>
      <w:r>
        <w:rPr>
          <w:rStyle w:val="61"/>
          <w:rFonts w:eastAsia="仿宋"/>
        </w:rPr>
        <w:footnoteRef/>
      </w:r>
      <w:r>
        <w:rPr>
          <w:rFonts w:hint="eastAsia" w:ascii="宋体" w:hAnsi="宋体" w:eastAsia="仿宋" w:cs="宋体"/>
          <w:color w:val="000000"/>
          <w:kern w:val="0"/>
          <w:sz w:val="18"/>
          <w:szCs w:val="18"/>
          <w:lang w:bidi="ar"/>
        </w:rPr>
        <w:t>从业人员、营业收入、资产总额填报上一年度数据，无上一年度数据的新成立企业可不填报。</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4E38CC">
    <w:pPr>
      <w:pStyle w:val="32"/>
      <w:jc w:val="left"/>
      <w:rPr>
        <w:sz w:val="21"/>
      </w:rPr>
    </w:pPr>
    <w:r>
      <w:rPr>
        <w:rFonts w:hint="eastAsia"/>
        <w:sz w:val="21"/>
      </w:rPr>
      <w:t xml:space="preserve">        项目名称                                             安徽省招标集团股份有限公司</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F17C96A"/>
    <w:multiLevelType w:val="singleLevel"/>
    <w:tmpl w:val="9F17C96A"/>
    <w:lvl w:ilvl="0" w:tentative="0">
      <w:start w:val="1"/>
      <w:numFmt w:val="bullet"/>
      <w:pStyle w:val="22"/>
      <w:lvlText w:val=""/>
      <w:lvlJc w:val="left"/>
      <w:pPr>
        <w:tabs>
          <w:tab w:val="left" w:pos="780"/>
        </w:tabs>
        <w:ind w:left="780" w:hanging="360"/>
      </w:pPr>
      <w:rPr>
        <w:rFonts w:hint="default" w:ascii="Wingdings" w:hAnsi="Wingdings"/>
      </w:rPr>
    </w:lvl>
  </w:abstractNum>
  <w:abstractNum w:abstractNumId="1">
    <w:nsid w:val="BF6BC116"/>
    <w:multiLevelType w:val="singleLevel"/>
    <w:tmpl w:val="BF6BC116"/>
    <w:lvl w:ilvl="0" w:tentative="0">
      <w:start w:val="16"/>
      <w:numFmt w:val="decimal"/>
      <w:suff w:val="space"/>
      <w:lvlText w:val="%1."/>
      <w:lvlJc w:val="left"/>
    </w:lvl>
  </w:abstractNum>
  <w:abstractNum w:abstractNumId="2">
    <w:nsid w:val="CD7CA6A8"/>
    <w:multiLevelType w:val="singleLevel"/>
    <w:tmpl w:val="CD7CA6A8"/>
    <w:lvl w:ilvl="0" w:tentative="0">
      <w:start w:val="1"/>
      <w:numFmt w:val="chineseCounting"/>
      <w:suff w:val="nothing"/>
      <w:lvlText w:val="%1、"/>
      <w:lvlJc w:val="left"/>
      <w:rPr>
        <w:rFonts w:hint="eastAsia"/>
        <w:color w:val="000000"/>
      </w:rPr>
    </w:lvl>
  </w:abstractNum>
  <w:abstractNum w:abstractNumId="3">
    <w:nsid w:val="CFE7C3F8"/>
    <w:multiLevelType w:val="singleLevel"/>
    <w:tmpl w:val="CFE7C3F8"/>
    <w:lvl w:ilvl="0" w:tentative="0">
      <w:start w:val="1"/>
      <w:numFmt w:val="decimal"/>
      <w:suff w:val="nothing"/>
      <w:lvlText w:val="（%1）"/>
      <w:lvlJc w:val="left"/>
    </w:lvl>
  </w:abstractNum>
  <w:abstractNum w:abstractNumId="4">
    <w:nsid w:val="DC6B3FD0"/>
    <w:multiLevelType w:val="singleLevel"/>
    <w:tmpl w:val="DC6B3FD0"/>
    <w:lvl w:ilvl="0" w:tentative="0">
      <w:start w:val="1"/>
      <w:numFmt w:val="decimal"/>
      <w:suff w:val="nothing"/>
      <w:lvlText w:val="%1）"/>
      <w:lvlJc w:val="left"/>
    </w:lvl>
  </w:abstractNum>
  <w:abstractNum w:abstractNumId="5">
    <w:nsid w:val="DDECD3BC"/>
    <w:multiLevelType w:val="singleLevel"/>
    <w:tmpl w:val="DDECD3BC"/>
    <w:lvl w:ilvl="0" w:tentative="0">
      <w:start w:val="6"/>
      <w:numFmt w:val="decimal"/>
      <w:suff w:val="space"/>
      <w:lvlText w:val="%1."/>
      <w:lvlJc w:val="left"/>
    </w:lvl>
  </w:abstractNum>
  <w:abstractNum w:abstractNumId="6">
    <w:nsid w:val="DE759F4B"/>
    <w:multiLevelType w:val="singleLevel"/>
    <w:tmpl w:val="DE759F4B"/>
    <w:lvl w:ilvl="0" w:tentative="0">
      <w:start w:val="2"/>
      <w:numFmt w:val="decimal"/>
      <w:suff w:val="space"/>
      <w:lvlText w:val="%1."/>
      <w:lvlJc w:val="left"/>
    </w:lvl>
  </w:abstractNum>
  <w:abstractNum w:abstractNumId="7">
    <w:nsid w:val="DEABE1DB"/>
    <w:multiLevelType w:val="singleLevel"/>
    <w:tmpl w:val="DEABE1DB"/>
    <w:lvl w:ilvl="0" w:tentative="0">
      <w:start w:val="23"/>
      <w:numFmt w:val="decimal"/>
      <w:suff w:val="space"/>
      <w:lvlText w:val="%1."/>
      <w:lvlJc w:val="left"/>
    </w:lvl>
  </w:abstractNum>
  <w:abstractNum w:abstractNumId="8">
    <w:nsid w:val="FF69CF25"/>
    <w:multiLevelType w:val="singleLevel"/>
    <w:tmpl w:val="FF69CF25"/>
    <w:lvl w:ilvl="0" w:tentative="0">
      <w:start w:val="1"/>
      <w:numFmt w:val="decimal"/>
      <w:suff w:val="nothing"/>
      <w:lvlText w:val="%1、"/>
      <w:lvlJc w:val="left"/>
    </w:lvl>
  </w:abstractNum>
  <w:abstractNum w:abstractNumId="9">
    <w:nsid w:val="FFEFC674"/>
    <w:multiLevelType w:val="singleLevel"/>
    <w:tmpl w:val="FFEFC674"/>
    <w:lvl w:ilvl="0" w:tentative="0">
      <w:start w:val="1"/>
      <w:numFmt w:val="decimal"/>
      <w:suff w:val="nothing"/>
      <w:lvlText w:val="（%1）"/>
      <w:lvlJc w:val="left"/>
    </w:lvl>
  </w:abstractNum>
  <w:abstractNum w:abstractNumId="10">
    <w:nsid w:val="05919A7A"/>
    <w:multiLevelType w:val="singleLevel"/>
    <w:tmpl w:val="05919A7A"/>
    <w:lvl w:ilvl="0" w:tentative="0">
      <w:start w:val="3"/>
      <w:numFmt w:val="chineseCounting"/>
      <w:suff w:val="nothing"/>
      <w:lvlText w:val="（%1）"/>
      <w:lvlJc w:val="left"/>
      <w:rPr>
        <w:rFonts w:hint="eastAsia"/>
      </w:rPr>
    </w:lvl>
  </w:abstractNum>
  <w:abstractNum w:abstractNumId="11">
    <w:nsid w:val="194673F9"/>
    <w:multiLevelType w:val="singleLevel"/>
    <w:tmpl w:val="194673F9"/>
    <w:lvl w:ilvl="0" w:tentative="0">
      <w:start w:val="1"/>
      <w:numFmt w:val="decimal"/>
      <w:suff w:val="nothing"/>
      <w:lvlText w:val="（%1）"/>
      <w:lvlJc w:val="left"/>
    </w:lvl>
  </w:abstractNum>
  <w:abstractNum w:abstractNumId="12">
    <w:nsid w:val="45D376A0"/>
    <w:multiLevelType w:val="multilevel"/>
    <w:tmpl w:val="45D376A0"/>
    <w:lvl w:ilvl="0" w:tentative="0">
      <w:start w:val="1"/>
      <w:numFmt w:val="decimal"/>
      <w:lvlText w:val="%1."/>
      <w:lvlJc w:val="left"/>
      <w:pPr>
        <w:ind w:left="795" w:hanging="360"/>
      </w:pPr>
      <w:rPr>
        <w:rFonts w:hint="default"/>
        <w:b w:val="0"/>
      </w:rPr>
    </w:lvl>
    <w:lvl w:ilvl="1" w:tentative="0">
      <w:start w:val="1"/>
      <w:numFmt w:val="lowerLetter"/>
      <w:lvlText w:val="%2)"/>
      <w:lvlJc w:val="left"/>
      <w:pPr>
        <w:ind w:left="1315" w:hanging="440"/>
      </w:pPr>
    </w:lvl>
    <w:lvl w:ilvl="2" w:tentative="0">
      <w:start w:val="1"/>
      <w:numFmt w:val="lowerRoman"/>
      <w:lvlText w:val="%3."/>
      <w:lvlJc w:val="right"/>
      <w:pPr>
        <w:ind w:left="1755" w:hanging="440"/>
      </w:pPr>
    </w:lvl>
    <w:lvl w:ilvl="3" w:tentative="0">
      <w:start w:val="1"/>
      <w:numFmt w:val="decimal"/>
      <w:lvlText w:val="%4."/>
      <w:lvlJc w:val="left"/>
      <w:pPr>
        <w:ind w:left="2195" w:hanging="440"/>
      </w:pPr>
    </w:lvl>
    <w:lvl w:ilvl="4" w:tentative="0">
      <w:start w:val="1"/>
      <w:numFmt w:val="lowerLetter"/>
      <w:lvlText w:val="%5)"/>
      <w:lvlJc w:val="left"/>
      <w:pPr>
        <w:ind w:left="2635" w:hanging="440"/>
      </w:pPr>
    </w:lvl>
    <w:lvl w:ilvl="5" w:tentative="0">
      <w:start w:val="1"/>
      <w:numFmt w:val="lowerRoman"/>
      <w:lvlText w:val="%6."/>
      <w:lvlJc w:val="right"/>
      <w:pPr>
        <w:ind w:left="3075" w:hanging="440"/>
      </w:pPr>
    </w:lvl>
    <w:lvl w:ilvl="6" w:tentative="0">
      <w:start w:val="1"/>
      <w:numFmt w:val="decimal"/>
      <w:lvlText w:val="%7."/>
      <w:lvlJc w:val="left"/>
      <w:pPr>
        <w:ind w:left="3515" w:hanging="440"/>
      </w:pPr>
    </w:lvl>
    <w:lvl w:ilvl="7" w:tentative="0">
      <w:start w:val="1"/>
      <w:numFmt w:val="lowerLetter"/>
      <w:lvlText w:val="%8)"/>
      <w:lvlJc w:val="left"/>
      <w:pPr>
        <w:ind w:left="3955" w:hanging="440"/>
      </w:pPr>
    </w:lvl>
    <w:lvl w:ilvl="8" w:tentative="0">
      <w:start w:val="1"/>
      <w:numFmt w:val="lowerRoman"/>
      <w:lvlText w:val="%9."/>
      <w:lvlJc w:val="right"/>
      <w:pPr>
        <w:ind w:left="4395" w:hanging="440"/>
      </w:pPr>
    </w:lvl>
  </w:abstractNum>
  <w:abstractNum w:abstractNumId="13">
    <w:nsid w:val="4C860984"/>
    <w:multiLevelType w:val="singleLevel"/>
    <w:tmpl w:val="4C860984"/>
    <w:lvl w:ilvl="0" w:tentative="0">
      <w:start w:val="1"/>
      <w:numFmt w:val="decimal"/>
      <w:suff w:val="nothing"/>
      <w:lvlText w:val="%1）"/>
      <w:lvlJc w:val="left"/>
    </w:lvl>
  </w:abstractNum>
  <w:abstractNum w:abstractNumId="14">
    <w:nsid w:val="7A0F6431"/>
    <w:multiLevelType w:val="singleLevel"/>
    <w:tmpl w:val="7A0F6431"/>
    <w:lvl w:ilvl="0" w:tentative="0">
      <w:start w:val="1"/>
      <w:numFmt w:val="decimal"/>
      <w:suff w:val="space"/>
      <w:lvlText w:val="%1."/>
      <w:lvlJc w:val="left"/>
    </w:lvl>
  </w:abstractNum>
  <w:abstractNum w:abstractNumId="15">
    <w:nsid w:val="7B8715BE"/>
    <w:multiLevelType w:val="singleLevel"/>
    <w:tmpl w:val="7B8715BE"/>
    <w:lvl w:ilvl="0" w:tentative="0">
      <w:start w:val="2"/>
      <w:numFmt w:val="decimal"/>
      <w:suff w:val="nothing"/>
      <w:lvlText w:val="%1、"/>
      <w:lvlJc w:val="left"/>
    </w:lvl>
  </w:abstractNum>
  <w:abstractNum w:abstractNumId="16">
    <w:nsid w:val="7EB6CDCC"/>
    <w:multiLevelType w:val="singleLevel"/>
    <w:tmpl w:val="7EB6CDCC"/>
    <w:lvl w:ilvl="0" w:tentative="0">
      <w:start w:val="1"/>
      <w:numFmt w:val="decimal"/>
      <w:suff w:val="nothing"/>
      <w:lvlText w:val="%1）"/>
      <w:lvlJc w:val="left"/>
    </w:lvl>
  </w:abstractNum>
  <w:num w:numId="1">
    <w:abstractNumId w:val="0"/>
  </w:num>
  <w:num w:numId="2">
    <w:abstractNumId w:val="13"/>
  </w:num>
  <w:num w:numId="3">
    <w:abstractNumId w:val="15"/>
  </w:num>
  <w:num w:numId="4">
    <w:abstractNumId w:val="11"/>
  </w:num>
  <w:num w:numId="5">
    <w:abstractNumId w:val="16"/>
  </w:num>
  <w:num w:numId="6">
    <w:abstractNumId w:val="4"/>
  </w:num>
  <w:num w:numId="7">
    <w:abstractNumId w:val="14"/>
  </w:num>
  <w:num w:numId="8">
    <w:abstractNumId w:val="3"/>
  </w:num>
  <w:num w:numId="9">
    <w:abstractNumId w:val="9"/>
  </w:num>
  <w:num w:numId="10">
    <w:abstractNumId w:val="6"/>
  </w:num>
  <w:num w:numId="11">
    <w:abstractNumId w:val="5"/>
  </w:num>
  <w:num w:numId="12">
    <w:abstractNumId w:val="1"/>
  </w:num>
  <w:num w:numId="13">
    <w:abstractNumId w:val="7"/>
  </w:num>
  <w:num w:numId="14">
    <w:abstractNumId w:val="2"/>
  </w:num>
  <w:num w:numId="15">
    <w:abstractNumId w:val="10"/>
  </w:num>
  <w:num w:numId="16">
    <w:abstractNumId w:val="8"/>
  </w:num>
  <w:num w:numId="1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7"/>
  <w:embedTrueTypeFonts/>
  <w:saveSubset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HorizontalSpacing w:val="105"/>
  <w:drawingGridVerticalSpacing w:val="156"/>
  <w:displayHorizontalDrawingGridEvery w:val="1"/>
  <w:displayVerticalDrawingGridEvery w:val="1"/>
  <w:noPunctuationKerning w:val="1"/>
  <w:characterSpacingControl w:val="compressPunctuation"/>
  <w:doNotValidateAgainstSchema/>
  <w:doNotDemarcateInvalidXml/>
  <w:footnotePr>
    <w:numFmt w:val="decimalEnclosedCircleChinese"/>
    <w:numRestart w:val="eachPage"/>
    <w:footnote w:id="2"/>
    <w:footnote w:id="3"/>
  </w:foot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EwNTM5NzYwMDRjMzkwZTVkZjY2ODkwMGIxNGU0OTUifQ=="/>
    <w:docVar w:name="KSO_WPS_MARK_KEY" w:val="af471d34-4eb3-4fff-b241-65df72152677"/>
  </w:docVars>
  <w:rsids>
    <w:rsidRoot w:val="00172A27"/>
    <w:rsid w:val="00000EE6"/>
    <w:rsid w:val="000015DE"/>
    <w:rsid w:val="00003E42"/>
    <w:rsid w:val="00004E49"/>
    <w:rsid w:val="0000515D"/>
    <w:rsid w:val="000051EC"/>
    <w:rsid w:val="00005E04"/>
    <w:rsid w:val="0000746E"/>
    <w:rsid w:val="00010114"/>
    <w:rsid w:val="0001038B"/>
    <w:rsid w:val="00010F47"/>
    <w:rsid w:val="000124DF"/>
    <w:rsid w:val="00012FFE"/>
    <w:rsid w:val="00013B67"/>
    <w:rsid w:val="000155DE"/>
    <w:rsid w:val="00020481"/>
    <w:rsid w:val="000218DB"/>
    <w:rsid w:val="00023307"/>
    <w:rsid w:val="0002356B"/>
    <w:rsid w:val="000246C1"/>
    <w:rsid w:val="00024F3F"/>
    <w:rsid w:val="000255A6"/>
    <w:rsid w:val="00025A74"/>
    <w:rsid w:val="00025AC2"/>
    <w:rsid w:val="00026830"/>
    <w:rsid w:val="00027256"/>
    <w:rsid w:val="0002748A"/>
    <w:rsid w:val="0002784F"/>
    <w:rsid w:val="00031C00"/>
    <w:rsid w:val="00032599"/>
    <w:rsid w:val="0003297D"/>
    <w:rsid w:val="00033154"/>
    <w:rsid w:val="00033736"/>
    <w:rsid w:val="00034B9D"/>
    <w:rsid w:val="00036A83"/>
    <w:rsid w:val="000375C2"/>
    <w:rsid w:val="00037C3C"/>
    <w:rsid w:val="000404FE"/>
    <w:rsid w:val="00041449"/>
    <w:rsid w:val="0004245A"/>
    <w:rsid w:val="000427C4"/>
    <w:rsid w:val="00042C11"/>
    <w:rsid w:val="00043439"/>
    <w:rsid w:val="000439A3"/>
    <w:rsid w:val="00043D27"/>
    <w:rsid w:val="00043E94"/>
    <w:rsid w:val="00044F0B"/>
    <w:rsid w:val="000468AA"/>
    <w:rsid w:val="000468B6"/>
    <w:rsid w:val="000473AB"/>
    <w:rsid w:val="0005058F"/>
    <w:rsid w:val="00050D28"/>
    <w:rsid w:val="00052113"/>
    <w:rsid w:val="00053E8B"/>
    <w:rsid w:val="000547D3"/>
    <w:rsid w:val="00054E5C"/>
    <w:rsid w:val="00056D97"/>
    <w:rsid w:val="00057923"/>
    <w:rsid w:val="00060A4A"/>
    <w:rsid w:val="00063445"/>
    <w:rsid w:val="00063931"/>
    <w:rsid w:val="00064B9A"/>
    <w:rsid w:val="00065650"/>
    <w:rsid w:val="0006576D"/>
    <w:rsid w:val="00070A25"/>
    <w:rsid w:val="00073AF9"/>
    <w:rsid w:val="00074DF9"/>
    <w:rsid w:val="00075412"/>
    <w:rsid w:val="00075935"/>
    <w:rsid w:val="000761BE"/>
    <w:rsid w:val="000772D3"/>
    <w:rsid w:val="00077482"/>
    <w:rsid w:val="00081489"/>
    <w:rsid w:val="000816E1"/>
    <w:rsid w:val="00083268"/>
    <w:rsid w:val="0008541F"/>
    <w:rsid w:val="00090E07"/>
    <w:rsid w:val="000916C1"/>
    <w:rsid w:val="0009475E"/>
    <w:rsid w:val="00094771"/>
    <w:rsid w:val="00094F75"/>
    <w:rsid w:val="00096107"/>
    <w:rsid w:val="000976ED"/>
    <w:rsid w:val="000979EA"/>
    <w:rsid w:val="00097DC6"/>
    <w:rsid w:val="000A0F60"/>
    <w:rsid w:val="000A128E"/>
    <w:rsid w:val="000A12FF"/>
    <w:rsid w:val="000A16B8"/>
    <w:rsid w:val="000A3B07"/>
    <w:rsid w:val="000A3D79"/>
    <w:rsid w:val="000A4340"/>
    <w:rsid w:val="000A5BF7"/>
    <w:rsid w:val="000A5C0C"/>
    <w:rsid w:val="000A61DD"/>
    <w:rsid w:val="000A6FC0"/>
    <w:rsid w:val="000A70D0"/>
    <w:rsid w:val="000A77EE"/>
    <w:rsid w:val="000A79DD"/>
    <w:rsid w:val="000A7DC5"/>
    <w:rsid w:val="000B0EE4"/>
    <w:rsid w:val="000B46DA"/>
    <w:rsid w:val="000B6A03"/>
    <w:rsid w:val="000C0ECE"/>
    <w:rsid w:val="000C5A16"/>
    <w:rsid w:val="000C5BA6"/>
    <w:rsid w:val="000C5D50"/>
    <w:rsid w:val="000C7096"/>
    <w:rsid w:val="000C71F7"/>
    <w:rsid w:val="000C7736"/>
    <w:rsid w:val="000D279E"/>
    <w:rsid w:val="000D3FE0"/>
    <w:rsid w:val="000D4E5D"/>
    <w:rsid w:val="000D7B48"/>
    <w:rsid w:val="000E11B8"/>
    <w:rsid w:val="000E21BD"/>
    <w:rsid w:val="000E4AD6"/>
    <w:rsid w:val="000E5ADA"/>
    <w:rsid w:val="000E6D50"/>
    <w:rsid w:val="000F01D6"/>
    <w:rsid w:val="000F0D8B"/>
    <w:rsid w:val="000F1FA4"/>
    <w:rsid w:val="000F2211"/>
    <w:rsid w:val="000F2F23"/>
    <w:rsid w:val="000F4ADB"/>
    <w:rsid w:val="000F53CC"/>
    <w:rsid w:val="000F584F"/>
    <w:rsid w:val="000F5D14"/>
    <w:rsid w:val="000F667F"/>
    <w:rsid w:val="000F7880"/>
    <w:rsid w:val="000F7E56"/>
    <w:rsid w:val="001025F4"/>
    <w:rsid w:val="0010348B"/>
    <w:rsid w:val="00107FD5"/>
    <w:rsid w:val="00110BE3"/>
    <w:rsid w:val="00112587"/>
    <w:rsid w:val="00112E2C"/>
    <w:rsid w:val="00112EE6"/>
    <w:rsid w:val="0011378C"/>
    <w:rsid w:val="001152D7"/>
    <w:rsid w:val="00116812"/>
    <w:rsid w:val="00116960"/>
    <w:rsid w:val="0011795B"/>
    <w:rsid w:val="00117B7B"/>
    <w:rsid w:val="00117FBE"/>
    <w:rsid w:val="00121B37"/>
    <w:rsid w:val="00121B69"/>
    <w:rsid w:val="001223FC"/>
    <w:rsid w:val="00122F13"/>
    <w:rsid w:val="001234D6"/>
    <w:rsid w:val="001238B9"/>
    <w:rsid w:val="00124A16"/>
    <w:rsid w:val="00127355"/>
    <w:rsid w:val="00127B39"/>
    <w:rsid w:val="001308B8"/>
    <w:rsid w:val="001312B3"/>
    <w:rsid w:val="001332F5"/>
    <w:rsid w:val="00133B1E"/>
    <w:rsid w:val="0013459C"/>
    <w:rsid w:val="00134BF1"/>
    <w:rsid w:val="00134D87"/>
    <w:rsid w:val="0013669F"/>
    <w:rsid w:val="00140F5C"/>
    <w:rsid w:val="00141914"/>
    <w:rsid w:val="00142F60"/>
    <w:rsid w:val="00143525"/>
    <w:rsid w:val="00143676"/>
    <w:rsid w:val="001445A3"/>
    <w:rsid w:val="0014469A"/>
    <w:rsid w:val="0014502C"/>
    <w:rsid w:val="001460C4"/>
    <w:rsid w:val="00146FD4"/>
    <w:rsid w:val="00147984"/>
    <w:rsid w:val="00147A4D"/>
    <w:rsid w:val="00150872"/>
    <w:rsid w:val="001535DC"/>
    <w:rsid w:val="00155032"/>
    <w:rsid w:val="001572C7"/>
    <w:rsid w:val="00160C40"/>
    <w:rsid w:val="00161BC7"/>
    <w:rsid w:val="001626E4"/>
    <w:rsid w:val="00163D7D"/>
    <w:rsid w:val="00164A8E"/>
    <w:rsid w:val="00164BCE"/>
    <w:rsid w:val="001651AB"/>
    <w:rsid w:val="001661D2"/>
    <w:rsid w:val="00166FE9"/>
    <w:rsid w:val="00167340"/>
    <w:rsid w:val="001703F4"/>
    <w:rsid w:val="0017148F"/>
    <w:rsid w:val="00171F36"/>
    <w:rsid w:val="001728C2"/>
    <w:rsid w:val="00172A35"/>
    <w:rsid w:val="00175802"/>
    <w:rsid w:val="0017600A"/>
    <w:rsid w:val="001771D6"/>
    <w:rsid w:val="0018065B"/>
    <w:rsid w:val="00180FD4"/>
    <w:rsid w:val="001828E4"/>
    <w:rsid w:val="00182FAC"/>
    <w:rsid w:val="001841F8"/>
    <w:rsid w:val="00186E39"/>
    <w:rsid w:val="00187020"/>
    <w:rsid w:val="001905CC"/>
    <w:rsid w:val="00190C19"/>
    <w:rsid w:val="00191926"/>
    <w:rsid w:val="001934F7"/>
    <w:rsid w:val="0019476E"/>
    <w:rsid w:val="00195BD9"/>
    <w:rsid w:val="00196B3C"/>
    <w:rsid w:val="00196DDF"/>
    <w:rsid w:val="001A06B0"/>
    <w:rsid w:val="001A0D56"/>
    <w:rsid w:val="001A140C"/>
    <w:rsid w:val="001A14D6"/>
    <w:rsid w:val="001A19C8"/>
    <w:rsid w:val="001A19EC"/>
    <w:rsid w:val="001A1FBB"/>
    <w:rsid w:val="001A2C11"/>
    <w:rsid w:val="001A2D1D"/>
    <w:rsid w:val="001A2E92"/>
    <w:rsid w:val="001A44E4"/>
    <w:rsid w:val="001A4A07"/>
    <w:rsid w:val="001A5724"/>
    <w:rsid w:val="001A6276"/>
    <w:rsid w:val="001A79D1"/>
    <w:rsid w:val="001A7D2C"/>
    <w:rsid w:val="001A7D6D"/>
    <w:rsid w:val="001B02CF"/>
    <w:rsid w:val="001B042A"/>
    <w:rsid w:val="001B07F0"/>
    <w:rsid w:val="001B282E"/>
    <w:rsid w:val="001B2929"/>
    <w:rsid w:val="001B3E90"/>
    <w:rsid w:val="001C11DF"/>
    <w:rsid w:val="001C200A"/>
    <w:rsid w:val="001C243D"/>
    <w:rsid w:val="001C265C"/>
    <w:rsid w:val="001C4234"/>
    <w:rsid w:val="001C5578"/>
    <w:rsid w:val="001C5CE1"/>
    <w:rsid w:val="001C754D"/>
    <w:rsid w:val="001D02FB"/>
    <w:rsid w:val="001D1122"/>
    <w:rsid w:val="001D1C3E"/>
    <w:rsid w:val="001D238A"/>
    <w:rsid w:val="001D29AE"/>
    <w:rsid w:val="001D3E51"/>
    <w:rsid w:val="001D7CF6"/>
    <w:rsid w:val="001E0418"/>
    <w:rsid w:val="001E044A"/>
    <w:rsid w:val="001E09CE"/>
    <w:rsid w:val="001E1E9A"/>
    <w:rsid w:val="001E2297"/>
    <w:rsid w:val="001E2782"/>
    <w:rsid w:val="001E6D55"/>
    <w:rsid w:val="001E7EDC"/>
    <w:rsid w:val="001F0114"/>
    <w:rsid w:val="001F353B"/>
    <w:rsid w:val="001F66E1"/>
    <w:rsid w:val="001F68D4"/>
    <w:rsid w:val="001F6A1B"/>
    <w:rsid w:val="0020035B"/>
    <w:rsid w:val="0020458B"/>
    <w:rsid w:val="00204ADC"/>
    <w:rsid w:val="00204F51"/>
    <w:rsid w:val="00206CE4"/>
    <w:rsid w:val="00210DFF"/>
    <w:rsid w:val="002112BC"/>
    <w:rsid w:val="0021199B"/>
    <w:rsid w:val="002128A6"/>
    <w:rsid w:val="002128BE"/>
    <w:rsid w:val="00212B56"/>
    <w:rsid w:val="00213CED"/>
    <w:rsid w:val="002164FE"/>
    <w:rsid w:val="00216CD9"/>
    <w:rsid w:val="00217E32"/>
    <w:rsid w:val="00217FAC"/>
    <w:rsid w:val="00222380"/>
    <w:rsid w:val="00222456"/>
    <w:rsid w:val="00224C6E"/>
    <w:rsid w:val="0022505B"/>
    <w:rsid w:val="00226066"/>
    <w:rsid w:val="00226DBD"/>
    <w:rsid w:val="00230331"/>
    <w:rsid w:val="00231005"/>
    <w:rsid w:val="00231053"/>
    <w:rsid w:val="002321B7"/>
    <w:rsid w:val="00232795"/>
    <w:rsid w:val="00233F42"/>
    <w:rsid w:val="00233FC5"/>
    <w:rsid w:val="00236181"/>
    <w:rsid w:val="00237227"/>
    <w:rsid w:val="0023767B"/>
    <w:rsid w:val="00237A6E"/>
    <w:rsid w:val="00242711"/>
    <w:rsid w:val="00244D65"/>
    <w:rsid w:val="00245699"/>
    <w:rsid w:val="002459F9"/>
    <w:rsid w:val="00245A12"/>
    <w:rsid w:val="00246076"/>
    <w:rsid w:val="00246F5B"/>
    <w:rsid w:val="0025032C"/>
    <w:rsid w:val="00251733"/>
    <w:rsid w:val="00255049"/>
    <w:rsid w:val="00257657"/>
    <w:rsid w:val="0026067A"/>
    <w:rsid w:val="00260BEB"/>
    <w:rsid w:val="00261B38"/>
    <w:rsid w:val="00261C36"/>
    <w:rsid w:val="00263356"/>
    <w:rsid w:val="0026531B"/>
    <w:rsid w:val="00265615"/>
    <w:rsid w:val="00266066"/>
    <w:rsid w:val="00266565"/>
    <w:rsid w:val="00266B0E"/>
    <w:rsid w:val="0027098A"/>
    <w:rsid w:val="002715A1"/>
    <w:rsid w:val="00271C5D"/>
    <w:rsid w:val="00272008"/>
    <w:rsid w:val="00273E55"/>
    <w:rsid w:val="00274241"/>
    <w:rsid w:val="00274F39"/>
    <w:rsid w:val="00276080"/>
    <w:rsid w:val="00276280"/>
    <w:rsid w:val="002769A2"/>
    <w:rsid w:val="00276FE3"/>
    <w:rsid w:val="00277535"/>
    <w:rsid w:val="00277635"/>
    <w:rsid w:val="00277E70"/>
    <w:rsid w:val="00281123"/>
    <w:rsid w:val="00281D54"/>
    <w:rsid w:val="00281D9F"/>
    <w:rsid w:val="0028213E"/>
    <w:rsid w:val="00283136"/>
    <w:rsid w:val="0028363E"/>
    <w:rsid w:val="00284E56"/>
    <w:rsid w:val="00286EAC"/>
    <w:rsid w:val="0028769B"/>
    <w:rsid w:val="00287DFF"/>
    <w:rsid w:val="00291563"/>
    <w:rsid w:val="0029320E"/>
    <w:rsid w:val="00295C13"/>
    <w:rsid w:val="00296F58"/>
    <w:rsid w:val="002A01F0"/>
    <w:rsid w:val="002A0879"/>
    <w:rsid w:val="002A1C9C"/>
    <w:rsid w:val="002A1E5D"/>
    <w:rsid w:val="002A444F"/>
    <w:rsid w:val="002A5D60"/>
    <w:rsid w:val="002A5EBD"/>
    <w:rsid w:val="002A5F75"/>
    <w:rsid w:val="002B08BA"/>
    <w:rsid w:val="002B12B6"/>
    <w:rsid w:val="002B1A96"/>
    <w:rsid w:val="002B1C7D"/>
    <w:rsid w:val="002B2078"/>
    <w:rsid w:val="002B2FA7"/>
    <w:rsid w:val="002B4A27"/>
    <w:rsid w:val="002B4AE4"/>
    <w:rsid w:val="002B70C1"/>
    <w:rsid w:val="002C067A"/>
    <w:rsid w:val="002C14FE"/>
    <w:rsid w:val="002C1B39"/>
    <w:rsid w:val="002C213A"/>
    <w:rsid w:val="002C2FB0"/>
    <w:rsid w:val="002C3F6A"/>
    <w:rsid w:val="002C53B6"/>
    <w:rsid w:val="002C5E6B"/>
    <w:rsid w:val="002C73EB"/>
    <w:rsid w:val="002C790A"/>
    <w:rsid w:val="002D06CF"/>
    <w:rsid w:val="002D0E61"/>
    <w:rsid w:val="002D2007"/>
    <w:rsid w:val="002D27C9"/>
    <w:rsid w:val="002D43C3"/>
    <w:rsid w:val="002D5B6E"/>
    <w:rsid w:val="002D5D09"/>
    <w:rsid w:val="002D6122"/>
    <w:rsid w:val="002D6A1E"/>
    <w:rsid w:val="002D7BCC"/>
    <w:rsid w:val="002E0475"/>
    <w:rsid w:val="002E0DEC"/>
    <w:rsid w:val="002E4A98"/>
    <w:rsid w:val="002E4CE5"/>
    <w:rsid w:val="002E5F09"/>
    <w:rsid w:val="002E6073"/>
    <w:rsid w:val="002E7141"/>
    <w:rsid w:val="002E792C"/>
    <w:rsid w:val="002F25A0"/>
    <w:rsid w:val="002F3EC6"/>
    <w:rsid w:val="002F4654"/>
    <w:rsid w:val="002F4E5D"/>
    <w:rsid w:val="002F6329"/>
    <w:rsid w:val="002F66AC"/>
    <w:rsid w:val="002F705A"/>
    <w:rsid w:val="002F7BEE"/>
    <w:rsid w:val="002F7F61"/>
    <w:rsid w:val="0030379C"/>
    <w:rsid w:val="00305BFF"/>
    <w:rsid w:val="00306B25"/>
    <w:rsid w:val="00307CC9"/>
    <w:rsid w:val="00307FD1"/>
    <w:rsid w:val="00310097"/>
    <w:rsid w:val="00311A0C"/>
    <w:rsid w:val="00312774"/>
    <w:rsid w:val="003148AA"/>
    <w:rsid w:val="0031711F"/>
    <w:rsid w:val="003177DA"/>
    <w:rsid w:val="00320D03"/>
    <w:rsid w:val="00321FF9"/>
    <w:rsid w:val="00322124"/>
    <w:rsid w:val="003225EC"/>
    <w:rsid w:val="00324B74"/>
    <w:rsid w:val="00326F79"/>
    <w:rsid w:val="00327B3D"/>
    <w:rsid w:val="00330AD8"/>
    <w:rsid w:val="003326B1"/>
    <w:rsid w:val="00333A18"/>
    <w:rsid w:val="00333F38"/>
    <w:rsid w:val="00334351"/>
    <w:rsid w:val="0033453F"/>
    <w:rsid w:val="00334582"/>
    <w:rsid w:val="003353AB"/>
    <w:rsid w:val="00341733"/>
    <w:rsid w:val="003427DF"/>
    <w:rsid w:val="00342D2D"/>
    <w:rsid w:val="003437C7"/>
    <w:rsid w:val="003444B5"/>
    <w:rsid w:val="00345B7C"/>
    <w:rsid w:val="00346313"/>
    <w:rsid w:val="00346964"/>
    <w:rsid w:val="00347BA6"/>
    <w:rsid w:val="00347E8F"/>
    <w:rsid w:val="00350B6E"/>
    <w:rsid w:val="003513F2"/>
    <w:rsid w:val="00351711"/>
    <w:rsid w:val="00353053"/>
    <w:rsid w:val="00353D04"/>
    <w:rsid w:val="00355AF1"/>
    <w:rsid w:val="0035676B"/>
    <w:rsid w:val="00356F67"/>
    <w:rsid w:val="00357CA1"/>
    <w:rsid w:val="00360F32"/>
    <w:rsid w:val="0036138D"/>
    <w:rsid w:val="00362C07"/>
    <w:rsid w:val="00363705"/>
    <w:rsid w:val="00364313"/>
    <w:rsid w:val="0036551F"/>
    <w:rsid w:val="00365B2C"/>
    <w:rsid w:val="00367E0D"/>
    <w:rsid w:val="0037008C"/>
    <w:rsid w:val="003700A0"/>
    <w:rsid w:val="00371165"/>
    <w:rsid w:val="0037148A"/>
    <w:rsid w:val="00371C23"/>
    <w:rsid w:val="0037310B"/>
    <w:rsid w:val="00373D8A"/>
    <w:rsid w:val="00374BB0"/>
    <w:rsid w:val="003760BB"/>
    <w:rsid w:val="003762AC"/>
    <w:rsid w:val="003775F4"/>
    <w:rsid w:val="003806EA"/>
    <w:rsid w:val="00381246"/>
    <w:rsid w:val="00382560"/>
    <w:rsid w:val="00384920"/>
    <w:rsid w:val="00385E7A"/>
    <w:rsid w:val="00387913"/>
    <w:rsid w:val="003905F9"/>
    <w:rsid w:val="0039071F"/>
    <w:rsid w:val="003932B9"/>
    <w:rsid w:val="003967E2"/>
    <w:rsid w:val="00397F08"/>
    <w:rsid w:val="003A001C"/>
    <w:rsid w:val="003A00E8"/>
    <w:rsid w:val="003A07AC"/>
    <w:rsid w:val="003A0D61"/>
    <w:rsid w:val="003A1760"/>
    <w:rsid w:val="003A4BED"/>
    <w:rsid w:val="003A51FF"/>
    <w:rsid w:val="003A53B1"/>
    <w:rsid w:val="003A654E"/>
    <w:rsid w:val="003A675D"/>
    <w:rsid w:val="003B330F"/>
    <w:rsid w:val="003B3926"/>
    <w:rsid w:val="003B66B5"/>
    <w:rsid w:val="003B6922"/>
    <w:rsid w:val="003C0F55"/>
    <w:rsid w:val="003C1B24"/>
    <w:rsid w:val="003C1CE5"/>
    <w:rsid w:val="003C1E21"/>
    <w:rsid w:val="003C2C89"/>
    <w:rsid w:val="003C3393"/>
    <w:rsid w:val="003C64C5"/>
    <w:rsid w:val="003C704C"/>
    <w:rsid w:val="003C7640"/>
    <w:rsid w:val="003D16BD"/>
    <w:rsid w:val="003D4199"/>
    <w:rsid w:val="003D6C18"/>
    <w:rsid w:val="003E1306"/>
    <w:rsid w:val="003E17B3"/>
    <w:rsid w:val="003E2432"/>
    <w:rsid w:val="003E2CEC"/>
    <w:rsid w:val="003E2FDF"/>
    <w:rsid w:val="003E415B"/>
    <w:rsid w:val="003E468D"/>
    <w:rsid w:val="003E5E25"/>
    <w:rsid w:val="003E6BB5"/>
    <w:rsid w:val="003E7687"/>
    <w:rsid w:val="003F0D0F"/>
    <w:rsid w:val="003F101B"/>
    <w:rsid w:val="003F1CA3"/>
    <w:rsid w:val="003F23C9"/>
    <w:rsid w:val="003F2746"/>
    <w:rsid w:val="003F2BE8"/>
    <w:rsid w:val="003F38D7"/>
    <w:rsid w:val="003F4C1E"/>
    <w:rsid w:val="003F59A5"/>
    <w:rsid w:val="003F7E4F"/>
    <w:rsid w:val="0040042C"/>
    <w:rsid w:val="00400523"/>
    <w:rsid w:val="00402FF0"/>
    <w:rsid w:val="00404B45"/>
    <w:rsid w:val="004053F3"/>
    <w:rsid w:val="004054D1"/>
    <w:rsid w:val="00406417"/>
    <w:rsid w:val="00406A90"/>
    <w:rsid w:val="004108AA"/>
    <w:rsid w:val="00410D35"/>
    <w:rsid w:val="00412C19"/>
    <w:rsid w:val="00413192"/>
    <w:rsid w:val="00413208"/>
    <w:rsid w:val="0042144D"/>
    <w:rsid w:val="00422301"/>
    <w:rsid w:val="00425ABC"/>
    <w:rsid w:val="00431932"/>
    <w:rsid w:val="004347EE"/>
    <w:rsid w:val="00434D17"/>
    <w:rsid w:val="00435BA2"/>
    <w:rsid w:val="00436185"/>
    <w:rsid w:val="004371D0"/>
    <w:rsid w:val="004372C8"/>
    <w:rsid w:val="00437397"/>
    <w:rsid w:val="00440C74"/>
    <w:rsid w:val="00444894"/>
    <w:rsid w:val="00445D94"/>
    <w:rsid w:val="00450901"/>
    <w:rsid w:val="00451450"/>
    <w:rsid w:val="004516C9"/>
    <w:rsid w:val="0045356D"/>
    <w:rsid w:val="00455258"/>
    <w:rsid w:val="00455BFC"/>
    <w:rsid w:val="004560B8"/>
    <w:rsid w:val="0046162D"/>
    <w:rsid w:val="00461BED"/>
    <w:rsid w:val="00461C22"/>
    <w:rsid w:val="00462613"/>
    <w:rsid w:val="004628D7"/>
    <w:rsid w:val="004628DE"/>
    <w:rsid w:val="00462BB9"/>
    <w:rsid w:val="00463827"/>
    <w:rsid w:val="00463E9B"/>
    <w:rsid w:val="00464A87"/>
    <w:rsid w:val="00465F99"/>
    <w:rsid w:val="00470D00"/>
    <w:rsid w:val="0047292D"/>
    <w:rsid w:val="00472BFF"/>
    <w:rsid w:val="00474201"/>
    <w:rsid w:val="004743F1"/>
    <w:rsid w:val="00474D7B"/>
    <w:rsid w:val="00475316"/>
    <w:rsid w:val="00475814"/>
    <w:rsid w:val="004763FB"/>
    <w:rsid w:val="004818A1"/>
    <w:rsid w:val="00482683"/>
    <w:rsid w:val="00482BA3"/>
    <w:rsid w:val="0048315C"/>
    <w:rsid w:val="00483EBD"/>
    <w:rsid w:val="004851D5"/>
    <w:rsid w:val="004877F5"/>
    <w:rsid w:val="00490556"/>
    <w:rsid w:val="00490764"/>
    <w:rsid w:val="004911F3"/>
    <w:rsid w:val="00493FBE"/>
    <w:rsid w:val="00494B58"/>
    <w:rsid w:val="004954D9"/>
    <w:rsid w:val="00495CAE"/>
    <w:rsid w:val="00497552"/>
    <w:rsid w:val="004A0EC8"/>
    <w:rsid w:val="004A1EC5"/>
    <w:rsid w:val="004A381C"/>
    <w:rsid w:val="004A5C6C"/>
    <w:rsid w:val="004A5C87"/>
    <w:rsid w:val="004B02A6"/>
    <w:rsid w:val="004B1E33"/>
    <w:rsid w:val="004B3DB4"/>
    <w:rsid w:val="004B46A2"/>
    <w:rsid w:val="004B528A"/>
    <w:rsid w:val="004B569C"/>
    <w:rsid w:val="004B6068"/>
    <w:rsid w:val="004B6333"/>
    <w:rsid w:val="004B724B"/>
    <w:rsid w:val="004B7403"/>
    <w:rsid w:val="004B7AC5"/>
    <w:rsid w:val="004C0D1D"/>
    <w:rsid w:val="004C4DD2"/>
    <w:rsid w:val="004C53E7"/>
    <w:rsid w:val="004C618F"/>
    <w:rsid w:val="004D1339"/>
    <w:rsid w:val="004D1387"/>
    <w:rsid w:val="004D2216"/>
    <w:rsid w:val="004D2495"/>
    <w:rsid w:val="004D2BDC"/>
    <w:rsid w:val="004D4E39"/>
    <w:rsid w:val="004D5913"/>
    <w:rsid w:val="004D6D3C"/>
    <w:rsid w:val="004E0C6D"/>
    <w:rsid w:val="004E2397"/>
    <w:rsid w:val="004E2AC2"/>
    <w:rsid w:val="004E3242"/>
    <w:rsid w:val="004E3821"/>
    <w:rsid w:val="004E6F07"/>
    <w:rsid w:val="004F03D0"/>
    <w:rsid w:val="004F08DE"/>
    <w:rsid w:val="004F4659"/>
    <w:rsid w:val="004F47D0"/>
    <w:rsid w:val="004F5655"/>
    <w:rsid w:val="004F57F5"/>
    <w:rsid w:val="004F5969"/>
    <w:rsid w:val="004F5C59"/>
    <w:rsid w:val="004F7AB7"/>
    <w:rsid w:val="00501A38"/>
    <w:rsid w:val="005026C3"/>
    <w:rsid w:val="00503933"/>
    <w:rsid w:val="0050448F"/>
    <w:rsid w:val="00504B58"/>
    <w:rsid w:val="005051FB"/>
    <w:rsid w:val="00505B66"/>
    <w:rsid w:val="005068A9"/>
    <w:rsid w:val="00510991"/>
    <w:rsid w:val="005109D2"/>
    <w:rsid w:val="005112C9"/>
    <w:rsid w:val="00511F1D"/>
    <w:rsid w:val="0051266C"/>
    <w:rsid w:val="005160D5"/>
    <w:rsid w:val="0051720C"/>
    <w:rsid w:val="00517537"/>
    <w:rsid w:val="00517580"/>
    <w:rsid w:val="0052142D"/>
    <w:rsid w:val="00521A3E"/>
    <w:rsid w:val="005228C0"/>
    <w:rsid w:val="00522ABB"/>
    <w:rsid w:val="00522CC7"/>
    <w:rsid w:val="005269E9"/>
    <w:rsid w:val="005323B2"/>
    <w:rsid w:val="00532557"/>
    <w:rsid w:val="00532F96"/>
    <w:rsid w:val="005334BC"/>
    <w:rsid w:val="00533DAE"/>
    <w:rsid w:val="005425C4"/>
    <w:rsid w:val="00542B90"/>
    <w:rsid w:val="005436DB"/>
    <w:rsid w:val="00543B7C"/>
    <w:rsid w:val="00544428"/>
    <w:rsid w:val="00544533"/>
    <w:rsid w:val="0054740D"/>
    <w:rsid w:val="00550089"/>
    <w:rsid w:val="00550AC5"/>
    <w:rsid w:val="00550C4F"/>
    <w:rsid w:val="00552515"/>
    <w:rsid w:val="005532C5"/>
    <w:rsid w:val="005535C2"/>
    <w:rsid w:val="00562BF2"/>
    <w:rsid w:val="005662F7"/>
    <w:rsid w:val="005678BA"/>
    <w:rsid w:val="00570194"/>
    <w:rsid w:val="005725D1"/>
    <w:rsid w:val="00573644"/>
    <w:rsid w:val="00573714"/>
    <w:rsid w:val="00574ABD"/>
    <w:rsid w:val="0057601A"/>
    <w:rsid w:val="00580C15"/>
    <w:rsid w:val="00581065"/>
    <w:rsid w:val="0058138D"/>
    <w:rsid w:val="00583396"/>
    <w:rsid w:val="00584087"/>
    <w:rsid w:val="0058523D"/>
    <w:rsid w:val="00587D01"/>
    <w:rsid w:val="00590535"/>
    <w:rsid w:val="00590704"/>
    <w:rsid w:val="005915AC"/>
    <w:rsid w:val="005921FC"/>
    <w:rsid w:val="00592EBE"/>
    <w:rsid w:val="00595FA3"/>
    <w:rsid w:val="00596FBF"/>
    <w:rsid w:val="005A1BFB"/>
    <w:rsid w:val="005A1E00"/>
    <w:rsid w:val="005A2E2F"/>
    <w:rsid w:val="005A3182"/>
    <w:rsid w:val="005A57AB"/>
    <w:rsid w:val="005A6E70"/>
    <w:rsid w:val="005A78C5"/>
    <w:rsid w:val="005A7E35"/>
    <w:rsid w:val="005B11CF"/>
    <w:rsid w:val="005B1718"/>
    <w:rsid w:val="005B218E"/>
    <w:rsid w:val="005B2767"/>
    <w:rsid w:val="005B3A3A"/>
    <w:rsid w:val="005B5115"/>
    <w:rsid w:val="005C1942"/>
    <w:rsid w:val="005C2719"/>
    <w:rsid w:val="005C2FD6"/>
    <w:rsid w:val="005C5BB9"/>
    <w:rsid w:val="005C7C99"/>
    <w:rsid w:val="005D02C9"/>
    <w:rsid w:val="005D3220"/>
    <w:rsid w:val="005D3A70"/>
    <w:rsid w:val="005D67F1"/>
    <w:rsid w:val="005D7854"/>
    <w:rsid w:val="005D78EB"/>
    <w:rsid w:val="005E0238"/>
    <w:rsid w:val="005E0DB4"/>
    <w:rsid w:val="005E174D"/>
    <w:rsid w:val="005E177A"/>
    <w:rsid w:val="005E22E1"/>
    <w:rsid w:val="005E3FEE"/>
    <w:rsid w:val="005E5081"/>
    <w:rsid w:val="005E5E31"/>
    <w:rsid w:val="005E644E"/>
    <w:rsid w:val="005E7108"/>
    <w:rsid w:val="005F0B98"/>
    <w:rsid w:val="005F6552"/>
    <w:rsid w:val="005F6E1C"/>
    <w:rsid w:val="005F71AF"/>
    <w:rsid w:val="005F79BC"/>
    <w:rsid w:val="0060066E"/>
    <w:rsid w:val="00600E56"/>
    <w:rsid w:val="006011D5"/>
    <w:rsid w:val="00601AB9"/>
    <w:rsid w:val="00601BE8"/>
    <w:rsid w:val="00602420"/>
    <w:rsid w:val="006033DF"/>
    <w:rsid w:val="006038FB"/>
    <w:rsid w:val="00604264"/>
    <w:rsid w:val="00605DD2"/>
    <w:rsid w:val="0060652C"/>
    <w:rsid w:val="00606ABA"/>
    <w:rsid w:val="00607743"/>
    <w:rsid w:val="00607D8D"/>
    <w:rsid w:val="00612482"/>
    <w:rsid w:val="006128E2"/>
    <w:rsid w:val="006132F9"/>
    <w:rsid w:val="006139AE"/>
    <w:rsid w:val="00613A30"/>
    <w:rsid w:val="00613A8D"/>
    <w:rsid w:val="00613F12"/>
    <w:rsid w:val="00617239"/>
    <w:rsid w:val="00620484"/>
    <w:rsid w:val="0062098B"/>
    <w:rsid w:val="00621D5C"/>
    <w:rsid w:val="0062338C"/>
    <w:rsid w:val="0062359C"/>
    <w:rsid w:val="0062741C"/>
    <w:rsid w:val="00627C85"/>
    <w:rsid w:val="006330D8"/>
    <w:rsid w:val="00633F6A"/>
    <w:rsid w:val="00634BF7"/>
    <w:rsid w:val="006354E6"/>
    <w:rsid w:val="00635F79"/>
    <w:rsid w:val="00636108"/>
    <w:rsid w:val="00637B8B"/>
    <w:rsid w:val="00641649"/>
    <w:rsid w:val="0064285F"/>
    <w:rsid w:val="006451E1"/>
    <w:rsid w:val="00645757"/>
    <w:rsid w:val="006468BE"/>
    <w:rsid w:val="00646E39"/>
    <w:rsid w:val="006522D1"/>
    <w:rsid w:val="00652CC5"/>
    <w:rsid w:val="00654E52"/>
    <w:rsid w:val="00655B10"/>
    <w:rsid w:val="00656B43"/>
    <w:rsid w:val="00660164"/>
    <w:rsid w:val="00660B27"/>
    <w:rsid w:val="00661004"/>
    <w:rsid w:val="00661783"/>
    <w:rsid w:val="00661E73"/>
    <w:rsid w:val="00663504"/>
    <w:rsid w:val="00663F63"/>
    <w:rsid w:val="0066508F"/>
    <w:rsid w:val="00665ED2"/>
    <w:rsid w:val="00666592"/>
    <w:rsid w:val="0066676B"/>
    <w:rsid w:val="006725DA"/>
    <w:rsid w:val="006726D4"/>
    <w:rsid w:val="00674E14"/>
    <w:rsid w:val="00675871"/>
    <w:rsid w:val="00675F31"/>
    <w:rsid w:val="00680778"/>
    <w:rsid w:val="0068090C"/>
    <w:rsid w:val="00681014"/>
    <w:rsid w:val="00681EC0"/>
    <w:rsid w:val="00686738"/>
    <w:rsid w:val="00687651"/>
    <w:rsid w:val="0069052F"/>
    <w:rsid w:val="00690EB4"/>
    <w:rsid w:val="00691D8C"/>
    <w:rsid w:val="006942C5"/>
    <w:rsid w:val="0069652E"/>
    <w:rsid w:val="0069703B"/>
    <w:rsid w:val="006973D4"/>
    <w:rsid w:val="00697617"/>
    <w:rsid w:val="00697FA8"/>
    <w:rsid w:val="006A01E6"/>
    <w:rsid w:val="006A052D"/>
    <w:rsid w:val="006A1AE6"/>
    <w:rsid w:val="006A21C2"/>
    <w:rsid w:val="006A21E9"/>
    <w:rsid w:val="006A25F4"/>
    <w:rsid w:val="006A33EC"/>
    <w:rsid w:val="006A75F1"/>
    <w:rsid w:val="006B0D53"/>
    <w:rsid w:val="006B14E8"/>
    <w:rsid w:val="006B17F3"/>
    <w:rsid w:val="006B2B87"/>
    <w:rsid w:val="006B2DB9"/>
    <w:rsid w:val="006B40C5"/>
    <w:rsid w:val="006B4AA2"/>
    <w:rsid w:val="006B5B8C"/>
    <w:rsid w:val="006B5D1A"/>
    <w:rsid w:val="006B6329"/>
    <w:rsid w:val="006B6BD3"/>
    <w:rsid w:val="006B7769"/>
    <w:rsid w:val="006C205A"/>
    <w:rsid w:val="006C2213"/>
    <w:rsid w:val="006C3263"/>
    <w:rsid w:val="006C6A96"/>
    <w:rsid w:val="006D1D18"/>
    <w:rsid w:val="006D2135"/>
    <w:rsid w:val="006D3E2B"/>
    <w:rsid w:val="006D4460"/>
    <w:rsid w:val="006D5F5C"/>
    <w:rsid w:val="006E18D3"/>
    <w:rsid w:val="006E26B6"/>
    <w:rsid w:val="006E2A24"/>
    <w:rsid w:val="006E3D11"/>
    <w:rsid w:val="006E4886"/>
    <w:rsid w:val="006E53F0"/>
    <w:rsid w:val="006E541D"/>
    <w:rsid w:val="006E5FE0"/>
    <w:rsid w:val="006E6F2C"/>
    <w:rsid w:val="006E7EA8"/>
    <w:rsid w:val="006F0993"/>
    <w:rsid w:val="006F1D64"/>
    <w:rsid w:val="006F1E6B"/>
    <w:rsid w:val="006F21A2"/>
    <w:rsid w:val="006F3A5E"/>
    <w:rsid w:val="006F3EDE"/>
    <w:rsid w:val="006F4111"/>
    <w:rsid w:val="006F6705"/>
    <w:rsid w:val="006F683B"/>
    <w:rsid w:val="007009EE"/>
    <w:rsid w:val="007012F2"/>
    <w:rsid w:val="00701671"/>
    <w:rsid w:val="0070168D"/>
    <w:rsid w:val="007025FA"/>
    <w:rsid w:val="007030DF"/>
    <w:rsid w:val="00703354"/>
    <w:rsid w:val="00704D25"/>
    <w:rsid w:val="007069B7"/>
    <w:rsid w:val="00706E96"/>
    <w:rsid w:val="0070700C"/>
    <w:rsid w:val="0070704E"/>
    <w:rsid w:val="0071003D"/>
    <w:rsid w:val="00710F99"/>
    <w:rsid w:val="007120A9"/>
    <w:rsid w:val="00712EE9"/>
    <w:rsid w:val="00715789"/>
    <w:rsid w:val="007159AE"/>
    <w:rsid w:val="00716901"/>
    <w:rsid w:val="007203FC"/>
    <w:rsid w:val="00720E95"/>
    <w:rsid w:val="007249ED"/>
    <w:rsid w:val="007251E8"/>
    <w:rsid w:val="007268ED"/>
    <w:rsid w:val="00730DE9"/>
    <w:rsid w:val="007314F8"/>
    <w:rsid w:val="00731D64"/>
    <w:rsid w:val="0073257C"/>
    <w:rsid w:val="0073499C"/>
    <w:rsid w:val="007349BC"/>
    <w:rsid w:val="007356AA"/>
    <w:rsid w:val="007357B7"/>
    <w:rsid w:val="00735D2F"/>
    <w:rsid w:val="0073689F"/>
    <w:rsid w:val="00736F5D"/>
    <w:rsid w:val="00737077"/>
    <w:rsid w:val="007400EE"/>
    <w:rsid w:val="0074084E"/>
    <w:rsid w:val="007411FF"/>
    <w:rsid w:val="00741253"/>
    <w:rsid w:val="00742917"/>
    <w:rsid w:val="007436FC"/>
    <w:rsid w:val="007446E1"/>
    <w:rsid w:val="007456C5"/>
    <w:rsid w:val="00746A36"/>
    <w:rsid w:val="007478D7"/>
    <w:rsid w:val="0075111C"/>
    <w:rsid w:val="0075176F"/>
    <w:rsid w:val="007529F3"/>
    <w:rsid w:val="0075311D"/>
    <w:rsid w:val="007578C3"/>
    <w:rsid w:val="007601AE"/>
    <w:rsid w:val="0076097B"/>
    <w:rsid w:val="00763814"/>
    <w:rsid w:val="00763ED9"/>
    <w:rsid w:val="0076594E"/>
    <w:rsid w:val="00767AB0"/>
    <w:rsid w:val="00767D49"/>
    <w:rsid w:val="007712AD"/>
    <w:rsid w:val="00771F5E"/>
    <w:rsid w:val="00775002"/>
    <w:rsid w:val="00783F52"/>
    <w:rsid w:val="007848FF"/>
    <w:rsid w:val="00785AD2"/>
    <w:rsid w:val="00786E84"/>
    <w:rsid w:val="00787122"/>
    <w:rsid w:val="0078781A"/>
    <w:rsid w:val="0079058B"/>
    <w:rsid w:val="007932CB"/>
    <w:rsid w:val="0079402B"/>
    <w:rsid w:val="007941A9"/>
    <w:rsid w:val="00794949"/>
    <w:rsid w:val="00796FF4"/>
    <w:rsid w:val="007A0B9A"/>
    <w:rsid w:val="007A12CB"/>
    <w:rsid w:val="007A1581"/>
    <w:rsid w:val="007A4536"/>
    <w:rsid w:val="007A464A"/>
    <w:rsid w:val="007A47B8"/>
    <w:rsid w:val="007A6FAB"/>
    <w:rsid w:val="007B0381"/>
    <w:rsid w:val="007B1397"/>
    <w:rsid w:val="007B1C65"/>
    <w:rsid w:val="007B2044"/>
    <w:rsid w:val="007B63B7"/>
    <w:rsid w:val="007C028F"/>
    <w:rsid w:val="007C134E"/>
    <w:rsid w:val="007C240D"/>
    <w:rsid w:val="007C360F"/>
    <w:rsid w:val="007C3AA7"/>
    <w:rsid w:val="007C3CCD"/>
    <w:rsid w:val="007C3FCF"/>
    <w:rsid w:val="007C6621"/>
    <w:rsid w:val="007D0465"/>
    <w:rsid w:val="007D1CE7"/>
    <w:rsid w:val="007D3F55"/>
    <w:rsid w:val="007D44C4"/>
    <w:rsid w:val="007D457C"/>
    <w:rsid w:val="007D5D54"/>
    <w:rsid w:val="007D61A9"/>
    <w:rsid w:val="007D6A50"/>
    <w:rsid w:val="007D6AEA"/>
    <w:rsid w:val="007E0956"/>
    <w:rsid w:val="007E1A18"/>
    <w:rsid w:val="007E31E6"/>
    <w:rsid w:val="007E375B"/>
    <w:rsid w:val="007E3B79"/>
    <w:rsid w:val="007E45E3"/>
    <w:rsid w:val="007E5654"/>
    <w:rsid w:val="007E5FAC"/>
    <w:rsid w:val="007E60C8"/>
    <w:rsid w:val="007E74EA"/>
    <w:rsid w:val="007E76A5"/>
    <w:rsid w:val="007F03A2"/>
    <w:rsid w:val="007F45F2"/>
    <w:rsid w:val="007F4C9D"/>
    <w:rsid w:val="007F6137"/>
    <w:rsid w:val="007F6C54"/>
    <w:rsid w:val="00800003"/>
    <w:rsid w:val="00801C95"/>
    <w:rsid w:val="00801CEE"/>
    <w:rsid w:val="0080258D"/>
    <w:rsid w:val="0080287B"/>
    <w:rsid w:val="00806C9D"/>
    <w:rsid w:val="00806F4E"/>
    <w:rsid w:val="008075DA"/>
    <w:rsid w:val="00807713"/>
    <w:rsid w:val="0081199D"/>
    <w:rsid w:val="00812D4B"/>
    <w:rsid w:val="00813899"/>
    <w:rsid w:val="008139D0"/>
    <w:rsid w:val="00813B81"/>
    <w:rsid w:val="00814C40"/>
    <w:rsid w:val="008151B1"/>
    <w:rsid w:val="008151D9"/>
    <w:rsid w:val="0081644A"/>
    <w:rsid w:val="00816893"/>
    <w:rsid w:val="00816C41"/>
    <w:rsid w:val="008213E0"/>
    <w:rsid w:val="0082268C"/>
    <w:rsid w:val="008237E3"/>
    <w:rsid w:val="00823AB7"/>
    <w:rsid w:val="00824037"/>
    <w:rsid w:val="00824FE8"/>
    <w:rsid w:val="008274FD"/>
    <w:rsid w:val="00827C6A"/>
    <w:rsid w:val="0083147B"/>
    <w:rsid w:val="00832D12"/>
    <w:rsid w:val="00833492"/>
    <w:rsid w:val="00833644"/>
    <w:rsid w:val="00833680"/>
    <w:rsid w:val="00833D0E"/>
    <w:rsid w:val="0083528A"/>
    <w:rsid w:val="00835A10"/>
    <w:rsid w:val="0084156E"/>
    <w:rsid w:val="00841B62"/>
    <w:rsid w:val="00842D8A"/>
    <w:rsid w:val="00842FC1"/>
    <w:rsid w:val="008439D6"/>
    <w:rsid w:val="008440CA"/>
    <w:rsid w:val="008444A8"/>
    <w:rsid w:val="008454AE"/>
    <w:rsid w:val="008511BF"/>
    <w:rsid w:val="00851262"/>
    <w:rsid w:val="00852730"/>
    <w:rsid w:val="008527BF"/>
    <w:rsid w:val="008538EF"/>
    <w:rsid w:val="008551CC"/>
    <w:rsid w:val="008565A9"/>
    <w:rsid w:val="0086283F"/>
    <w:rsid w:val="00862AE0"/>
    <w:rsid w:val="00862E3A"/>
    <w:rsid w:val="00865AA7"/>
    <w:rsid w:val="00865BAF"/>
    <w:rsid w:val="00867433"/>
    <w:rsid w:val="00870B60"/>
    <w:rsid w:val="008723C3"/>
    <w:rsid w:val="00873FED"/>
    <w:rsid w:val="00874CD5"/>
    <w:rsid w:val="00874F8C"/>
    <w:rsid w:val="0087724E"/>
    <w:rsid w:val="00881457"/>
    <w:rsid w:val="0088324D"/>
    <w:rsid w:val="00883257"/>
    <w:rsid w:val="00883428"/>
    <w:rsid w:val="00887C47"/>
    <w:rsid w:val="0089116B"/>
    <w:rsid w:val="00893C36"/>
    <w:rsid w:val="00894241"/>
    <w:rsid w:val="00894B7F"/>
    <w:rsid w:val="00894DAA"/>
    <w:rsid w:val="0089574F"/>
    <w:rsid w:val="00896A76"/>
    <w:rsid w:val="00897999"/>
    <w:rsid w:val="008A0A66"/>
    <w:rsid w:val="008A1D97"/>
    <w:rsid w:val="008A349B"/>
    <w:rsid w:val="008A4200"/>
    <w:rsid w:val="008A54F2"/>
    <w:rsid w:val="008A5DDC"/>
    <w:rsid w:val="008B0D44"/>
    <w:rsid w:val="008B4BFF"/>
    <w:rsid w:val="008B7236"/>
    <w:rsid w:val="008B752F"/>
    <w:rsid w:val="008C0579"/>
    <w:rsid w:val="008C247E"/>
    <w:rsid w:val="008C2562"/>
    <w:rsid w:val="008C4030"/>
    <w:rsid w:val="008C4745"/>
    <w:rsid w:val="008C4811"/>
    <w:rsid w:val="008C529A"/>
    <w:rsid w:val="008C5C3F"/>
    <w:rsid w:val="008C6A0F"/>
    <w:rsid w:val="008D0075"/>
    <w:rsid w:val="008D0160"/>
    <w:rsid w:val="008D1571"/>
    <w:rsid w:val="008D2307"/>
    <w:rsid w:val="008D4898"/>
    <w:rsid w:val="008D6494"/>
    <w:rsid w:val="008D7057"/>
    <w:rsid w:val="008D789A"/>
    <w:rsid w:val="008E0428"/>
    <w:rsid w:val="008E052C"/>
    <w:rsid w:val="008E05E7"/>
    <w:rsid w:val="008E0BD8"/>
    <w:rsid w:val="008E1748"/>
    <w:rsid w:val="008E2ACD"/>
    <w:rsid w:val="008E2FC7"/>
    <w:rsid w:val="008E5FBC"/>
    <w:rsid w:val="008E6AD7"/>
    <w:rsid w:val="008E70A4"/>
    <w:rsid w:val="008E7533"/>
    <w:rsid w:val="008F08FF"/>
    <w:rsid w:val="008F092F"/>
    <w:rsid w:val="008F40D8"/>
    <w:rsid w:val="008F655A"/>
    <w:rsid w:val="008F6E5A"/>
    <w:rsid w:val="008F7063"/>
    <w:rsid w:val="008F71E1"/>
    <w:rsid w:val="0090006F"/>
    <w:rsid w:val="00900763"/>
    <w:rsid w:val="00900A9D"/>
    <w:rsid w:val="009010D5"/>
    <w:rsid w:val="00903814"/>
    <w:rsid w:val="00904C4C"/>
    <w:rsid w:val="009050D5"/>
    <w:rsid w:val="009058DE"/>
    <w:rsid w:val="00906CBB"/>
    <w:rsid w:val="0090732E"/>
    <w:rsid w:val="00910279"/>
    <w:rsid w:val="009109D5"/>
    <w:rsid w:val="00910CFA"/>
    <w:rsid w:val="009117AA"/>
    <w:rsid w:val="00913646"/>
    <w:rsid w:val="00915E53"/>
    <w:rsid w:val="0091687D"/>
    <w:rsid w:val="00916D36"/>
    <w:rsid w:val="00920C96"/>
    <w:rsid w:val="00921934"/>
    <w:rsid w:val="00922A9D"/>
    <w:rsid w:val="0092413B"/>
    <w:rsid w:val="00927238"/>
    <w:rsid w:val="00933B9E"/>
    <w:rsid w:val="0093412B"/>
    <w:rsid w:val="009369DD"/>
    <w:rsid w:val="009400C7"/>
    <w:rsid w:val="00941127"/>
    <w:rsid w:val="0094163C"/>
    <w:rsid w:val="00941DA2"/>
    <w:rsid w:val="00942484"/>
    <w:rsid w:val="00943649"/>
    <w:rsid w:val="00944BED"/>
    <w:rsid w:val="00944E56"/>
    <w:rsid w:val="00947140"/>
    <w:rsid w:val="00950C80"/>
    <w:rsid w:val="0095107C"/>
    <w:rsid w:val="009520D2"/>
    <w:rsid w:val="00952EB0"/>
    <w:rsid w:val="0095321B"/>
    <w:rsid w:val="00953F92"/>
    <w:rsid w:val="00954D1F"/>
    <w:rsid w:val="00955751"/>
    <w:rsid w:val="00956475"/>
    <w:rsid w:val="00956646"/>
    <w:rsid w:val="00956E71"/>
    <w:rsid w:val="00957645"/>
    <w:rsid w:val="00957BC2"/>
    <w:rsid w:val="00957C69"/>
    <w:rsid w:val="00957FE3"/>
    <w:rsid w:val="0096003D"/>
    <w:rsid w:val="00961054"/>
    <w:rsid w:val="009634DD"/>
    <w:rsid w:val="00963F9A"/>
    <w:rsid w:val="00964429"/>
    <w:rsid w:val="009671CD"/>
    <w:rsid w:val="00967BD9"/>
    <w:rsid w:val="0097036A"/>
    <w:rsid w:val="009708A5"/>
    <w:rsid w:val="009711D3"/>
    <w:rsid w:val="00971518"/>
    <w:rsid w:val="00972574"/>
    <w:rsid w:val="00972CCD"/>
    <w:rsid w:val="009740FB"/>
    <w:rsid w:val="0097433D"/>
    <w:rsid w:val="00974DAF"/>
    <w:rsid w:val="009767B0"/>
    <w:rsid w:val="00977953"/>
    <w:rsid w:val="00977B3D"/>
    <w:rsid w:val="00977FB5"/>
    <w:rsid w:val="00981DC6"/>
    <w:rsid w:val="0098201A"/>
    <w:rsid w:val="00982905"/>
    <w:rsid w:val="00984359"/>
    <w:rsid w:val="0098592B"/>
    <w:rsid w:val="00986C3C"/>
    <w:rsid w:val="00990BD1"/>
    <w:rsid w:val="00993110"/>
    <w:rsid w:val="00994475"/>
    <w:rsid w:val="00994862"/>
    <w:rsid w:val="009954E5"/>
    <w:rsid w:val="00995595"/>
    <w:rsid w:val="009964F2"/>
    <w:rsid w:val="009A0865"/>
    <w:rsid w:val="009A1AA4"/>
    <w:rsid w:val="009A1ACC"/>
    <w:rsid w:val="009A2357"/>
    <w:rsid w:val="009A2D43"/>
    <w:rsid w:val="009A2E3F"/>
    <w:rsid w:val="009A41ED"/>
    <w:rsid w:val="009A45E6"/>
    <w:rsid w:val="009A4B78"/>
    <w:rsid w:val="009A5897"/>
    <w:rsid w:val="009A5DB5"/>
    <w:rsid w:val="009B154D"/>
    <w:rsid w:val="009B26AC"/>
    <w:rsid w:val="009B50E4"/>
    <w:rsid w:val="009B5640"/>
    <w:rsid w:val="009B63BE"/>
    <w:rsid w:val="009C29D1"/>
    <w:rsid w:val="009C3563"/>
    <w:rsid w:val="009C512B"/>
    <w:rsid w:val="009C528C"/>
    <w:rsid w:val="009C52F1"/>
    <w:rsid w:val="009C666F"/>
    <w:rsid w:val="009D0A16"/>
    <w:rsid w:val="009D3468"/>
    <w:rsid w:val="009D36B3"/>
    <w:rsid w:val="009D52D4"/>
    <w:rsid w:val="009D724D"/>
    <w:rsid w:val="009E11C6"/>
    <w:rsid w:val="009E17F8"/>
    <w:rsid w:val="009E2219"/>
    <w:rsid w:val="009E2815"/>
    <w:rsid w:val="009E2FDE"/>
    <w:rsid w:val="009E409F"/>
    <w:rsid w:val="009E4144"/>
    <w:rsid w:val="009E6195"/>
    <w:rsid w:val="009E7D0E"/>
    <w:rsid w:val="009F0F8C"/>
    <w:rsid w:val="009F1398"/>
    <w:rsid w:val="009F2352"/>
    <w:rsid w:val="009F4DD3"/>
    <w:rsid w:val="009F611A"/>
    <w:rsid w:val="009F634D"/>
    <w:rsid w:val="009F639D"/>
    <w:rsid w:val="009F6594"/>
    <w:rsid w:val="009F7949"/>
    <w:rsid w:val="00A002EC"/>
    <w:rsid w:val="00A0127A"/>
    <w:rsid w:val="00A0248B"/>
    <w:rsid w:val="00A0288A"/>
    <w:rsid w:val="00A03562"/>
    <w:rsid w:val="00A03869"/>
    <w:rsid w:val="00A04E62"/>
    <w:rsid w:val="00A0503A"/>
    <w:rsid w:val="00A0513E"/>
    <w:rsid w:val="00A114D4"/>
    <w:rsid w:val="00A12F4A"/>
    <w:rsid w:val="00A132A2"/>
    <w:rsid w:val="00A16E4A"/>
    <w:rsid w:val="00A17348"/>
    <w:rsid w:val="00A206D7"/>
    <w:rsid w:val="00A2103B"/>
    <w:rsid w:val="00A22270"/>
    <w:rsid w:val="00A23E35"/>
    <w:rsid w:val="00A24F09"/>
    <w:rsid w:val="00A2607F"/>
    <w:rsid w:val="00A2695E"/>
    <w:rsid w:val="00A27CB8"/>
    <w:rsid w:val="00A30E48"/>
    <w:rsid w:val="00A32560"/>
    <w:rsid w:val="00A34225"/>
    <w:rsid w:val="00A342E0"/>
    <w:rsid w:val="00A4092C"/>
    <w:rsid w:val="00A419CF"/>
    <w:rsid w:val="00A4249E"/>
    <w:rsid w:val="00A44DEE"/>
    <w:rsid w:val="00A45096"/>
    <w:rsid w:val="00A45599"/>
    <w:rsid w:val="00A45B14"/>
    <w:rsid w:val="00A50060"/>
    <w:rsid w:val="00A50CED"/>
    <w:rsid w:val="00A52CAE"/>
    <w:rsid w:val="00A54350"/>
    <w:rsid w:val="00A54E80"/>
    <w:rsid w:val="00A56167"/>
    <w:rsid w:val="00A568F3"/>
    <w:rsid w:val="00A57508"/>
    <w:rsid w:val="00A57793"/>
    <w:rsid w:val="00A60C03"/>
    <w:rsid w:val="00A62E30"/>
    <w:rsid w:val="00A641B8"/>
    <w:rsid w:val="00A66080"/>
    <w:rsid w:val="00A66E54"/>
    <w:rsid w:val="00A67471"/>
    <w:rsid w:val="00A67DB7"/>
    <w:rsid w:val="00A713B1"/>
    <w:rsid w:val="00A714E9"/>
    <w:rsid w:val="00A715FE"/>
    <w:rsid w:val="00A71F03"/>
    <w:rsid w:val="00A7202D"/>
    <w:rsid w:val="00A73FDD"/>
    <w:rsid w:val="00A759EE"/>
    <w:rsid w:val="00A75EC1"/>
    <w:rsid w:val="00A76F89"/>
    <w:rsid w:val="00A812A7"/>
    <w:rsid w:val="00A81DF6"/>
    <w:rsid w:val="00A826BF"/>
    <w:rsid w:val="00A85DCC"/>
    <w:rsid w:val="00A85E5A"/>
    <w:rsid w:val="00A87BA8"/>
    <w:rsid w:val="00A87F74"/>
    <w:rsid w:val="00A929F6"/>
    <w:rsid w:val="00A92AD9"/>
    <w:rsid w:val="00A93B69"/>
    <w:rsid w:val="00A95E7D"/>
    <w:rsid w:val="00A96A66"/>
    <w:rsid w:val="00A96E1A"/>
    <w:rsid w:val="00A96F39"/>
    <w:rsid w:val="00A97345"/>
    <w:rsid w:val="00AA168F"/>
    <w:rsid w:val="00AA2449"/>
    <w:rsid w:val="00AA29AF"/>
    <w:rsid w:val="00AA3307"/>
    <w:rsid w:val="00AA3C9F"/>
    <w:rsid w:val="00AA4649"/>
    <w:rsid w:val="00AA7FCA"/>
    <w:rsid w:val="00AB0FF2"/>
    <w:rsid w:val="00AB2335"/>
    <w:rsid w:val="00AB329D"/>
    <w:rsid w:val="00AB3CD8"/>
    <w:rsid w:val="00AB6154"/>
    <w:rsid w:val="00AB6FD8"/>
    <w:rsid w:val="00AB7F93"/>
    <w:rsid w:val="00AC087F"/>
    <w:rsid w:val="00AC0B3D"/>
    <w:rsid w:val="00AC18EE"/>
    <w:rsid w:val="00AC41FD"/>
    <w:rsid w:val="00AC45B9"/>
    <w:rsid w:val="00AC523C"/>
    <w:rsid w:val="00AC539E"/>
    <w:rsid w:val="00AC5F9F"/>
    <w:rsid w:val="00AC7D55"/>
    <w:rsid w:val="00AD1C4A"/>
    <w:rsid w:val="00AD2F11"/>
    <w:rsid w:val="00AD32C2"/>
    <w:rsid w:val="00AD570C"/>
    <w:rsid w:val="00AD5A48"/>
    <w:rsid w:val="00AD7391"/>
    <w:rsid w:val="00AD74BF"/>
    <w:rsid w:val="00AE1DC1"/>
    <w:rsid w:val="00AE3533"/>
    <w:rsid w:val="00AE528F"/>
    <w:rsid w:val="00AE5324"/>
    <w:rsid w:val="00AE570E"/>
    <w:rsid w:val="00AE5D4F"/>
    <w:rsid w:val="00AE6100"/>
    <w:rsid w:val="00AE656E"/>
    <w:rsid w:val="00AE6DC4"/>
    <w:rsid w:val="00AE7570"/>
    <w:rsid w:val="00AF08B8"/>
    <w:rsid w:val="00AF0D34"/>
    <w:rsid w:val="00AF15AA"/>
    <w:rsid w:val="00AF2ABD"/>
    <w:rsid w:val="00AF3F4B"/>
    <w:rsid w:val="00AF4211"/>
    <w:rsid w:val="00AF4AA0"/>
    <w:rsid w:val="00AF4B9F"/>
    <w:rsid w:val="00AF6749"/>
    <w:rsid w:val="00AF68BD"/>
    <w:rsid w:val="00AF6D81"/>
    <w:rsid w:val="00B0037B"/>
    <w:rsid w:val="00B00899"/>
    <w:rsid w:val="00B0216D"/>
    <w:rsid w:val="00B02881"/>
    <w:rsid w:val="00B034AC"/>
    <w:rsid w:val="00B052C3"/>
    <w:rsid w:val="00B05D97"/>
    <w:rsid w:val="00B07CA0"/>
    <w:rsid w:val="00B11565"/>
    <w:rsid w:val="00B1179D"/>
    <w:rsid w:val="00B11988"/>
    <w:rsid w:val="00B1379A"/>
    <w:rsid w:val="00B13DB1"/>
    <w:rsid w:val="00B15FF8"/>
    <w:rsid w:val="00B17D03"/>
    <w:rsid w:val="00B209E3"/>
    <w:rsid w:val="00B2115D"/>
    <w:rsid w:val="00B21E5B"/>
    <w:rsid w:val="00B238BD"/>
    <w:rsid w:val="00B23B30"/>
    <w:rsid w:val="00B24774"/>
    <w:rsid w:val="00B248DD"/>
    <w:rsid w:val="00B2494E"/>
    <w:rsid w:val="00B25616"/>
    <w:rsid w:val="00B300E7"/>
    <w:rsid w:val="00B306DF"/>
    <w:rsid w:val="00B322F1"/>
    <w:rsid w:val="00B3370B"/>
    <w:rsid w:val="00B337E3"/>
    <w:rsid w:val="00B34272"/>
    <w:rsid w:val="00B34D03"/>
    <w:rsid w:val="00B37E7C"/>
    <w:rsid w:val="00B40822"/>
    <w:rsid w:val="00B41E99"/>
    <w:rsid w:val="00B42894"/>
    <w:rsid w:val="00B43988"/>
    <w:rsid w:val="00B44E0A"/>
    <w:rsid w:val="00B455A6"/>
    <w:rsid w:val="00B455BF"/>
    <w:rsid w:val="00B457CD"/>
    <w:rsid w:val="00B4674F"/>
    <w:rsid w:val="00B46C41"/>
    <w:rsid w:val="00B51E45"/>
    <w:rsid w:val="00B51EA8"/>
    <w:rsid w:val="00B52858"/>
    <w:rsid w:val="00B5297E"/>
    <w:rsid w:val="00B552ED"/>
    <w:rsid w:val="00B57D63"/>
    <w:rsid w:val="00B64BCA"/>
    <w:rsid w:val="00B72F51"/>
    <w:rsid w:val="00B734D0"/>
    <w:rsid w:val="00B74A95"/>
    <w:rsid w:val="00B75245"/>
    <w:rsid w:val="00B757AB"/>
    <w:rsid w:val="00B75B0C"/>
    <w:rsid w:val="00B76276"/>
    <w:rsid w:val="00B77ADD"/>
    <w:rsid w:val="00B77E4F"/>
    <w:rsid w:val="00B8378B"/>
    <w:rsid w:val="00B837B0"/>
    <w:rsid w:val="00B83DCA"/>
    <w:rsid w:val="00B84B88"/>
    <w:rsid w:val="00B90048"/>
    <w:rsid w:val="00B91A2E"/>
    <w:rsid w:val="00B92D15"/>
    <w:rsid w:val="00B92D9A"/>
    <w:rsid w:val="00B95A31"/>
    <w:rsid w:val="00B979A5"/>
    <w:rsid w:val="00B97BEB"/>
    <w:rsid w:val="00B97C94"/>
    <w:rsid w:val="00BA04BA"/>
    <w:rsid w:val="00BA1F5A"/>
    <w:rsid w:val="00BA268A"/>
    <w:rsid w:val="00BA4BA8"/>
    <w:rsid w:val="00BA4BC5"/>
    <w:rsid w:val="00BB0BCD"/>
    <w:rsid w:val="00BB2931"/>
    <w:rsid w:val="00BB5462"/>
    <w:rsid w:val="00BB7785"/>
    <w:rsid w:val="00BC05D4"/>
    <w:rsid w:val="00BC2449"/>
    <w:rsid w:val="00BC25A6"/>
    <w:rsid w:val="00BC2FBF"/>
    <w:rsid w:val="00BC4367"/>
    <w:rsid w:val="00BC4797"/>
    <w:rsid w:val="00BC6263"/>
    <w:rsid w:val="00BC6DDD"/>
    <w:rsid w:val="00BD1D25"/>
    <w:rsid w:val="00BD1EDE"/>
    <w:rsid w:val="00BD23CD"/>
    <w:rsid w:val="00BD28C1"/>
    <w:rsid w:val="00BD2941"/>
    <w:rsid w:val="00BD3126"/>
    <w:rsid w:val="00BD3E9D"/>
    <w:rsid w:val="00BD4880"/>
    <w:rsid w:val="00BD6195"/>
    <w:rsid w:val="00BD66C5"/>
    <w:rsid w:val="00BD6C67"/>
    <w:rsid w:val="00BE0E62"/>
    <w:rsid w:val="00BE1F09"/>
    <w:rsid w:val="00BE231E"/>
    <w:rsid w:val="00BE2D05"/>
    <w:rsid w:val="00BE39F7"/>
    <w:rsid w:val="00BE48CF"/>
    <w:rsid w:val="00BE4C93"/>
    <w:rsid w:val="00BE50B9"/>
    <w:rsid w:val="00BF0DEE"/>
    <w:rsid w:val="00BF0EC7"/>
    <w:rsid w:val="00BF110C"/>
    <w:rsid w:val="00BF1A5D"/>
    <w:rsid w:val="00BF23F6"/>
    <w:rsid w:val="00BF2B44"/>
    <w:rsid w:val="00BF3F28"/>
    <w:rsid w:val="00BF5EEB"/>
    <w:rsid w:val="00BF64DD"/>
    <w:rsid w:val="00BF7A2C"/>
    <w:rsid w:val="00BF7A93"/>
    <w:rsid w:val="00BF7B0B"/>
    <w:rsid w:val="00C00D5C"/>
    <w:rsid w:val="00C02486"/>
    <w:rsid w:val="00C04F90"/>
    <w:rsid w:val="00C05A4D"/>
    <w:rsid w:val="00C05C2F"/>
    <w:rsid w:val="00C07E7D"/>
    <w:rsid w:val="00C10318"/>
    <w:rsid w:val="00C10B98"/>
    <w:rsid w:val="00C10C67"/>
    <w:rsid w:val="00C1153A"/>
    <w:rsid w:val="00C119B7"/>
    <w:rsid w:val="00C120AF"/>
    <w:rsid w:val="00C126D9"/>
    <w:rsid w:val="00C127DF"/>
    <w:rsid w:val="00C138B3"/>
    <w:rsid w:val="00C15B04"/>
    <w:rsid w:val="00C170F7"/>
    <w:rsid w:val="00C2180A"/>
    <w:rsid w:val="00C23F48"/>
    <w:rsid w:val="00C24593"/>
    <w:rsid w:val="00C24D16"/>
    <w:rsid w:val="00C2569A"/>
    <w:rsid w:val="00C258FB"/>
    <w:rsid w:val="00C267C4"/>
    <w:rsid w:val="00C306E7"/>
    <w:rsid w:val="00C30778"/>
    <w:rsid w:val="00C31A9A"/>
    <w:rsid w:val="00C31F71"/>
    <w:rsid w:val="00C3203F"/>
    <w:rsid w:val="00C32803"/>
    <w:rsid w:val="00C32F38"/>
    <w:rsid w:val="00C425B0"/>
    <w:rsid w:val="00C4546B"/>
    <w:rsid w:val="00C45B7F"/>
    <w:rsid w:val="00C469F5"/>
    <w:rsid w:val="00C46DB0"/>
    <w:rsid w:val="00C500E6"/>
    <w:rsid w:val="00C5353C"/>
    <w:rsid w:val="00C54FED"/>
    <w:rsid w:val="00C565F8"/>
    <w:rsid w:val="00C578C6"/>
    <w:rsid w:val="00C60459"/>
    <w:rsid w:val="00C60BAB"/>
    <w:rsid w:val="00C610FA"/>
    <w:rsid w:val="00C613B4"/>
    <w:rsid w:val="00C61D83"/>
    <w:rsid w:val="00C62C44"/>
    <w:rsid w:val="00C632AB"/>
    <w:rsid w:val="00C634CA"/>
    <w:rsid w:val="00C644A8"/>
    <w:rsid w:val="00C65B1C"/>
    <w:rsid w:val="00C65C4D"/>
    <w:rsid w:val="00C663AC"/>
    <w:rsid w:val="00C66670"/>
    <w:rsid w:val="00C66EE1"/>
    <w:rsid w:val="00C7101B"/>
    <w:rsid w:val="00C7356D"/>
    <w:rsid w:val="00C73771"/>
    <w:rsid w:val="00C74557"/>
    <w:rsid w:val="00C75937"/>
    <w:rsid w:val="00C76C4B"/>
    <w:rsid w:val="00C77766"/>
    <w:rsid w:val="00C77883"/>
    <w:rsid w:val="00C806A3"/>
    <w:rsid w:val="00C81E19"/>
    <w:rsid w:val="00C845A6"/>
    <w:rsid w:val="00C85D23"/>
    <w:rsid w:val="00C863D5"/>
    <w:rsid w:val="00C92348"/>
    <w:rsid w:val="00C9239C"/>
    <w:rsid w:val="00C929EA"/>
    <w:rsid w:val="00C93756"/>
    <w:rsid w:val="00C93CD2"/>
    <w:rsid w:val="00C94B3C"/>
    <w:rsid w:val="00C96890"/>
    <w:rsid w:val="00C96BD7"/>
    <w:rsid w:val="00CA12B8"/>
    <w:rsid w:val="00CA1D7F"/>
    <w:rsid w:val="00CA2F68"/>
    <w:rsid w:val="00CA3A0E"/>
    <w:rsid w:val="00CA4149"/>
    <w:rsid w:val="00CA560C"/>
    <w:rsid w:val="00CA63AC"/>
    <w:rsid w:val="00CA6F4A"/>
    <w:rsid w:val="00CA7875"/>
    <w:rsid w:val="00CB11D3"/>
    <w:rsid w:val="00CB1CE8"/>
    <w:rsid w:val="00CB2237"/>
    <w:rsid w:val="00CB239A"/>
    <w:rsid w:val="00CB49C4"/>
    <w:rsid w:val="00CB4AE3"/>
    <w:rsid w:val="00CB5B47"/>
    <w:rsid w:val="00CB7E0F"/>
    <w:rsid w:val="00CC0197"/>
    <w:rsid w:val="00CC0ACC"/>
    <w:rsid w:val="00CC112F"/>
    <w:rsid w:val="00CC1168"/>
    <w:rsid w:val="00CC28E2"/>
    <w:rsid w:val="00CC297E"/>
    <w:rsid w:val="00CC2F4D"/>
    <w:rsid w:val="00CC348A"/>
    <w:rsid w:val="00CC3E4C"/>
    <w:rsid w:val="00CC3EA4"/>
    <w:rsid w:val="00CC5092"/>
    <w:rsid w:val="00CC5796"/>
    <w:rsid w:val="00CC5E53"/>
    <w:rsid w:val="00CC63BE"/>
    <w:rsid w:val="00CC6DC8"/>
    <w:rsid w:val="00CD0444"/>
    <w:rsid w:val="00CD059B"/>
    <w:rsid w:val="00CD18B5"/>
    <w:rsid w:val="00CD1DCE"/>
    <w:rsid w:val="00CD35C5"/>
    <w:rsid w:val="00CD461C"/>
    <w:rsid w:val="00CD4CC9"/>
    <w:rsid w:val="00CD602D"/>
    <w:rsid w:val="00CD7B2C"/>
    <w:rsid w:val="00CE07F7"/>
    <w:rsid w:val="00CE258D"/>
    <w:rsid w:val="00CE4033"/>
    <w:rsid w:val="00CE6167"/>
    <w:rsid w:val="00CE64F8"/>
    <w:rsid w:val="00CE79A3"/>
    <w:rsid w:val="00CE79EB"/>
    <w:rsid w:val="00CF0B46"/>
    <w:rsid w:val="00CF1204"/>
    <w:rsid w:val="00CF28E5"/>
    <w:rsid w:val="00CF2CFA"/>
    <w:rsid w:val="00CF6780"/>
    <w:rsid w:val="00D01F56"/>
    <w:rsid w:val="00D0341C"/>
    <w:rsid w:val="00D044EA"/>
    <w:rsid w:val="00D047ED"/>
    <w:rsid w:val="00D057BC"/>
    <w:rsid w:val="00D05D49"/>
    <w:rsid w:val="00D066B9"/>
    <w:rsid w:val="00D078EB"/>
    <w:rsid w:val="00D11A8A"/>
    <w:rsid w:val="00D11B49"/>
    <w:rsid w:val="00D13AE4"/>
    <w:rsid w:val="00D205E9"/>
    <w:rsid w:val="00D20F9F"/>
    <w:rsid w:val="00D221CA"/>
    <w:rsid w:val="00D235F4"/>
    <w:rsid w:val="00D240D1"/>
    <w:rsid w:val="00D24634"/>
    <w:rsid w:val="00D30AE9"/>
    <w:rsid w:val="00D30C76"/>
    <w:rsid w:val="00D31EB3"/>
    <w:rsid w:val="00D32643"/>
    <w:rsid w:val="00D32B95"/>
    <w:rsid w:val="00D337F1"/>
    <w:rsid w:val="00D35D1C"/>
    <w:rsid w:val="00D365AB"/>
    <w:rsid w:val="00D409E5"/>
    <w:rsid w:val="00D40FA3"/>
    <w:rsid w:val="00D415C6"/>
    <w:rsid w:val="00D42421"/>
    <w:rsid w:val="00D436D0"/>
    <w:rsid w:val="00D44C01"/>
    <w:rsid w:val="00D47E7C"/>
    <w:rsid w:val="00D526AD"/>
    <w:rsid w:val="00D539FB"/>
    <w:rsid w:val="00D542A7"/>
    <w:rsid w:val="00D54E5A"/>
    <w:rsid w:val="00D55452"/>
    <w:rsid w:val="00D55EAF"/>
    <w:rsid w:val="00D572A3"/>
    <w:rsid w:val="00D601BE"/>
    <w:rsid w:val="00D616FE"/>
    <w:rsid w:val="00D64024"/>
    <w:rsid w:val="00D6620B"/>
    <w:rsid w:val="00D66FCB"/>
    <w:rsid w:val="00D703D6"/>
    <w:rsid w:val="00D71509"/>
    <w:rsid w:val="00D720E2"/>
    <w:rsid w:val="00D72FA1"/>
    <w:rsid w:val="00D75A87"/>
    <w:rsid w:val="00D75E2E"/>
    <w:rsid w:val="00D776AA"/>
    <w:rsid w:val="00D77AF4"/>
    <w:rsid w:val="00D80EC1"/>
    <w:rsid w:val="00D8157E"/>
    <w:rsid w:val="00D81E72"/>
    <w:rsid w:val="00D82F78"/>
    <w:rsid w:val="00D8317D"/>
    <w:rsid w:val="00D83E92"/>
    <w:rsid w:val="00D86654"/>
    <w:rsid w:val="00D94B98"/>
    <w:rsid w:val="00D9606F"/>
    <w:rsid w:val="00D96341"/>
    <w:rsid w:val="00D96787"/>
    <w:rsid w:val="00D975FF"/>
    <w:rsid w:val="00DA488D"/>
    <w:rsid w:val="00DA4C68"/>
    <w:rsid w:val="00DA4FAA"/>
    <w:rsid w:val="00DA7577"/>
    <w:rsid w:val="00DA78C2"/>
    <w:rsid w:val="00DB17CE"/>
    <w:rsid w:val="00DB1C99"/>
    <w:rsid w:val="00DB1D78"/>
    <w:rsid w:val="00DB1FC0"/>
    <w:rsid w:val="00DB2A4E"/>
    <w:rsid w:val="00DB502A"/>
    <w:rsid w:val="00DB5699"/>
    <w:rsid w:val="00DB7BB6"/>
    <w:rsid w:val="00DB7FDF"/>
    <w:rsid w:val="00DC091F"/>
    <w:rsid w:val="00DC0C0A"/>
    <w:rsid w:val="00DC0EC5"/>
    <w:rsid w:val="00DC35F0"/>
    <w:rsid w:val="00DC5E6F"/>
    <w:rsid w:val="00DC5E85"/>
    <w:rsid w:val="00DD0362"/>
    <w:rsid w:val="00DD06D4"/>
    <w:rsid w:val="00DD2F12"/>
    <w:rsid w:val="00DD2F67"/>
    <w:rsid w:val="00DD30A7"/>
    <w:rsid w:val="00DD3112"/>
    <w:rsid w:val="00DD5776"/>
    <w:rsid w:val="00DD5E77"/>
    <w:rsid w:val="00DD7E75"/>
    <w:rsid w:val="00DE0B09"/>
    <w:rsid w:val="00DE0EFA"/>
    <w:rsid w:val="00DE2396"/>
    <w:rsid w:val="00DE2E2D"/>
    <w:rsid w:val="00DE364A"/>
    <w:rsid w:val="00DE5108"/>
    <w:rsid w:val="00DE6255"/>
    <w:rsid w:val="00DE6ED8"/>
    <w:rsid w:val="00DE7147"/>
    <w:rsid w:val="00DE7538"/>
    <w:rsid w:val="00DE7D27"/>
    <w:rsid w:val="00DF1310"/>
    <w:rsid w:val="00DF14F2"/>
    <w:rsid w:val="00DF1597"/>
    <w:rsid w:val="00DF1F45"/>
    <w:rsid w:val="00DF3AA2"/>
    <w:rsid w:val="00DF489C"/>
    <w:rsid w:val="00DF6756"/>
    <w:rsid w:val="00DF7F8D"/>
    <w:rsid w:val="00E02189"/>
    <w:rsid w:val="00E02272"/>
    <w:rsid w:val="00E02566"/>
    <w:rsid w:val="00E034F2"/>
    <w:rsid w:val="00E03BA0"/>
    <w:rsid w:val="00E042D5"/>
    <w:rsid w:val="00E0430A"/>
    <w:rsid w:val="00E049DC"/>
    <w:rsid w:val="00E07CD6"/>
    <w:rsid w:val="00E11E37"/>
    <w:rsid w:val="00E130CE"/>
    <w:rsid w:val="00E1311E"/>
    <w:rsid w:val="00E14B19"/>
    <w:rsid w:val="00E1536A"/>
    <w:rsid w:val="00E20377"/>
    <w:rsid w:val="00E205DD"/>
    <w:rsid w:val="00E20ABB"/>
    <w:rsid w:val="00E20D8D"/>
    <w:rsid w:val="00E20E04"/>
    <w:rsid w:val="00E21538"/>
    <w:rsid w:val="00E22504"/>
    <w:rsid w:val="00E24A79"/>
    <w:rsid w:val="00E2511C"/>
    <w:rsid w:val="00E30EE3"/>
    <w:rsid w:val="00E3147F"/>
    <w:rsid w:val="00E334E4"/>
    <w:rsid w:val="00E344A1"/>
    <w:rsid w:val="00E34885"/>
    <w:rsid w:val="00E356C1"/>
    <w:rsid w:val="00E37A3A"/>
    <w:rsid w:val="00E40BBA"/>
    <w:rsid w:val="00E40E46"/>
    <w:rsid w:val="00E41D52"/>
    <w:rsid w:val="00E42E9B"/>
    <w:rsid w:val="00E432F8"/>
    <w:rsid w:val="00E4363F"/>
    <w:rsid w:val="00E43684"/>
    <w:rsid w:val="00E45C03"/>
    <w:rsid w:val="00E47532"/>
    <w:rsid w:val="00E47DF5"/>
    <w:rsid w:val="00E50937"/>
    <w:rsid w:val="00E51B41"/>
    <w:rsid w:val="00E52BA6"/>
    <w:rsid w:val="00E54501"/>
    <w:rsid w:val="00E561AF"/>
    <w:rsid w:val="00E56B27"/>
    <w:rsid w:val="00E628FC"/>
    <w:rsid w:val="00E62971"/>
    <w:rsid w:val="00E63C58"/>
    <w:rsid w:val="00E6589A"/>
    <w:rsid w:val="00E67D79"/>
    <w:rsid w:val="00E7242F"/>
    <w:rsid w:val="00E727C7"/>
    <w:rsid w:val="00E72A9D"/>
    <w:rsid w:val="00E7731C"/>
    <w:rsid w:val="00E77D66"/>
    <w:rsid w:val="00E80BF6"/>
    <w:rsid w:val="00E81003"/>
    <w:rsid w:val="00E83180"/>
    <w:rsid w:val="00E84C17"/>
    <w:rsid w:val="00E858EB"/>
    <w:rsid w:val="00E90FDC"/>
    <w:rsid w:val="00E93137"/>
    <w:rsid w:val="00E93DC8"/>
    <w:rsid w:val="00E94B0D"/>
    <w:rsid w:val="00EA0948"/>
    <w:rsid w:val="00EA1203"/>
    <w:rsid w:val="00EA15CF"/>
    <w:rsid w:val="00EA19FC"/>
    <w:rsid w:val="00EA2897"/>
    <w:rsid w:val="00EA4222"/>
    <w:rsid w:val="00EA4F54"/>
    <w:rsid w:val="00EA5743"/>
    <w:rsid w:val="00EA62D8"/>
    <w:rsid w:val="00EB004E"/>
    <w:rsid w:val="00EB0054"/>
    <w:rsid w:val="00EB049D"/>
    <w:rsid w:val="00EB04C8"/>
    <w:rsid w:val="00EB0FFF"/>
    <w:rsid w:val="00EB1299"/>
    <w:rsid w:val="00EB141F"/>
    <w:rsid w:val="00EB1660"/>
    <w:rsid w:val="00EB18E2"/>
    <w:rsid w:val="00EB1A33"/>
    <w:rsid w:val="00EB21DD"/>
    <w:rsid w:val="00EB3FCC"/>
    <w:rsid w:val="00EB4B42"/>
    <w:rsid w:val="00EB52F1"/>
    <w:rsid w:val="00EB5368"/>
    <w:rsid w:val="00EB7969"/>
    <w:rsid w:val="00EC1ADE"/>
    <w:rsid w:val="00EC1D78"/>
    <w:rsid w:val="00EC334E"/>
    <w:rsid w:val="00EC3478"/>
    <w:rsid w:val="00EC34D3"/>
    <w:rsid w:val="00EC6A89"/>
    <w:rsid w:val="00ED11E4"/>
    <w:rsid w:val="00ED3390"/>
    <w:rsid w:val="00ED348F"/>
    <w:rsid w:val="00ED4EB9"/>
    <w:rsid w:val="00ED5F26"/>
    <w:rsid w:val="00ED6F13"/>
    <w:rsid w:val="00ED7E51"/>
    <w:rsid w:val="00EE05FC"/>
    <w:rsid w:val="00EE0785"/>
    <w:rsid w:val="00EE1257"/>
    <w:rsid w:val="00EE16CE"/>
    <w:rsid w:val="00EE17F2"/>
    <w:rsid w:val="00EE38AE"/>
    <w:rsid w:val="00EE4459"/>
    <w:rsid w:val="00EE50B4"/>
    <w:rsid w:val="00EE5734"/>
    <w:rsid w:val="00EE5A78"/>
    <w:rsid w:val="00EE660A"/>
    <w:rsid w:val="00EF1590"/>
    <w:rsid w:val="00EF21EF"/>
    <w:rsid w:val="00EF2AF0"/>
    <w:rsid w:val="00EF3AF2"/>
    <w:rsid w:val="00EF4ED8"/>
    <w:rsid w:val="00EF54D3"/>
    <w:rsid w:val="00EF5652"/>
    <w:rsid w:val="00EF5CA2"/>
    <w:rsid w:val="00EF6406"/>
    <w:rsid w:val="00EF6626"/>
    <w:rsid w:val="00EF6EEA"/>
    <w:rsid w:val="00EF7297"/>
    <w:rsid w:val="00EF72DD"/>
    <w:rsid w:val="00EF73B9"/>
    <w:rsid w:val="00EF7BF7"/>
    <w:rsid w:val="00F03B89"/>
    <w:rsid w:val="00F04E29"/>
    <w:rsid w:val="00F05426"/>
    <w:rsid w:val="00F05594"/>
    <w:rsid w:val="00F077B5"/>
    <w:rsid w:val="00F108B3"/>
    <w:rsid w:val="00F10D18"/>
    <w:rsid w:val="00F13006"/>
    <w:rsid w:val="00F13AC4"/>
    <w:rsid w:val="00F148DD"/>
    <w:rsid w:val="00F151A0"/>
    <w:rsid w:val="00F16E9D"/>
    <w:rsid w:val="00F17058"/>
    <w:rsid w:val="00F17150"/>
    <w:rsid w:val="00F2192E"/>
    <w:rsid w:val="00F21FD2"/>
    <w:rsid w:val="00F2231D"/>
    <w:rsid w:val="00F22E1A"/>
    <w:rsid w:val="00F24A70"/>
    <w:rsid w:val="00F24DB5"/>
    <w:rsid w:val="00F250BF"/>
    <w:rsid w:val="00F251E8"/>
    <w:rsid w:val="00F26ABF"/>
    <w:rsid w:val="00F27817"/>
    <w:rsid w:val="00F30E39"/>
    <w:rsid w:val="00F30FBE"/>
    <w:rsid w:val="00F31952"/>
    <w:rsid w:val="00F31D3C"/>
    <w:rsid w:val="00F32070"/>
    <w:rsid w:val="00F32217"/>
    <w:rsid w:val="00F33F2E"/>
    <w:rsid w:val="00F347F4"/>
    <w:rsid w:val="00F414F2"/>
    <w:rsid w:val="00F41A20"/>
    <w:rsid w:val="00F41E6A"/>
    <w:rsid w:val="00F42430"/>
    <w:rsid w:val="00F42A03"/>
    <w:rsid w:val="00F42FF3"/>
    <w:rsid w:val="00F43401"/>
    <w:rsid w:val="00F43DDE"/>
    <w:rsid w:val="00F43FE9"/>
    <w:rsid w:val="00F44180"/>
    <w:rsid w:val="00F44F67"/>
    <w:rsid w:val="00F45205"/>
    <w:rsid w:val="00F45911"/>
    <w:rsid w:val="00F51017"/>
    <w:rsid w:val="00F51901"/>
    <w:rsid w:val="00F52082"/>
    <w:rsid w:val="00F52784"/>
    <w:rsid w:val="00F54E86"/>
    <w:rsid w:val="00F54EBD"/>
    <w:rsid w:val="00F5508E"/>
    <w:rsid w:val="00F554FB"/>
    <w:rsid w:val="00F557B0"/>
    <w:rsid w:val="00F55E0C"/>
    <w:rsid w:val="00F5694E"/>
    <w:rsid w:val="00F56E96"/>
    <w:rsid w:val="00F572B2"/>
    <w:rsid w:val="00F605E4"/>
    <w:rsid w:val="00F60D96"/>
    <w:rsid w:val="00F612A4"/>
    <w:rsid w:val="00F62718"/>
    <w:rsid w:val="00F62CDB"/>
    <w:rsid w:val="00F6352E"/>
    <w:rsid w:val="00F63880"/>
    <w:rsid w:val="00F64D8F"/>
    <w:rsid w:val="00F65ABD"/>
    <w:rsid w:val="00F65B88"/>
    <w:rsid w:val="00F65DFE"/>
    <w:rsid w:val="00F663A3"/>
    <w:rsid w:val="00F677C3"/>
    <w:rsid w:val="00F700F4"/>
    <w:rsid w:val="00F7059D"/>
    <w:rsid w:val="00F71123"/>
    <w:rsid w:val="00F7155B"/>
    <w:rsid w:val="00F717EF"/>
    <w:rsid w:val="00F7338F"/>
    <w:rsid w:val="00F73B7B"/>
    <w:rsid w:val="00F7423B"/>
    <w:rsid w:val="00F74AF2"/>
    <w:rsid w:val="00F75115"/>
    <w:rsid w:val="00F752CF"/>
    <w:rsid w:val="00F76508"/>
    <w:rsid w:val="00F770EC"/>
    <w:rsid w:val="00F81615"/>
    <w:rsid w:val="00F81B58"/>
    <w:rsid w:val="00F82F75"/>
    <w:rsid w:val="00F835BC"/>
    <w:rsid w:val="00F847B7"/>
    <w:rsid w:val="00F8772A"/>
    <w:rsid w:val="00F90A1B"/>
    <w:rsid w:val="00F93020"/>
    <w:rsid w:val="00F93676"/>
    <w:rsid w:val="00F93A0C"/>
    <w:rsid w:val="00F948C0"/>
    <w:rsid w:val="00F94FCE"/>
    <w:rsid w:val="00F95520"/>
    <w:rsid w:val="00F976F3"/>
    <w:rsid w:val="00FA0517"/>
    <w:rsid w:val="00FA0FA4"/>
    <w:rsid w:val="00FA139D"/>
    <w:rsid w:val="00FA4EFB"/>
    <w:rsid w:val="00FA5818"/>
    <w:rsid w:val="00FA5C1D"/>
    <w:rsid w:val="00FA5D33"/>
    <w:rsid w:val="00FA6AB1"/>
    <w:rsid w:val="00FA6E1F"/>
    <w:rsid w:val="00FA6E6A"/>
    <w:rsid w:val="00FB021D"/>
    <w:rsid w:val="00FB3C4E"/>
    <w:rsid w:val="00FB4750"/>
    <w:rsid w:val="00FB47A2"/>
    <w:rsid w:val="00FB5564"/>
    <w:rsid w:val="00FB7028"/>
    <w:rsid w:val="00FB7093"/>
    <w:rsid w:val="00FB7F98"/>
    <w:rsid w:val="00FC1631"/>
    <w:rsid w:val="00FC242F"/>
    <w:rsid w:val="00FC2484"/>
    <w:rsid w:val="00FC2BD9"/>
    <w:rsid w:val="00FC2D0F"/>
    <w:rsid w:val="00FC4AA8"/>
    <w:rsid w:val="00FC6A46"/>
    <w:rsid w:val="00FC79DA"/>
    <w:rsid w:val="00FD08D9"/>
    <w:rsid w:val="00FD235F"/>
    <w:rsid w:val="00FD3402"/>
    <w:rsid w:val="00FD4D1D"/>
    <w:rsid w:val="00FD626E"/>
    <w:rsid w:val="00FD64F7"/>
    <w:rsid w:val="00FD7415"/>
    <w:rsid w:val="00FE0199"/>
    <w:rsid w:val="00FE0647"/>
    <w:rsid w:val="00FE0B6C"/>
    <w:rsid w:val="00FE1553"/>
    <w:rsid w:val="00FE3B9C"/>
    <w:rsid w:val="00FE42B0"/>
    <w:rsid w:val="00FE5A40"/>
    <w:rsid w:val="00FE79B5"/>
    <w:rsid w:val="00FF0094"/>
    <w:rsid w:val="00FF200D"/>
    <w:rsid w:val="00FF3417"/>
    <w:rsid w:val="00FF3842"/>
    <w:rsid w:val="00FF412F"/>
    <w:rsid w:val="00FF4200"/>
    <w:rsid w:val="00FF589A"/>
    <w:rsid w:val="00FF7E9E"/>
    <w:rsid w:val="0100390C"/>
    <w:rsid w:val="013A0E1B"/>
    <w:rsid w:val="01453498"/>
    <w:rsid w:val="01791910"/>
    <w:rsid w:val="018207C5"/>
    <w:rsid w:val="019D115B"/>
    <w:rsid w:val="01BA56C5"/>
    <w:rsid w:val="01C43648"/>
    <w:rsid w:val="01E557E7"/>
    <w:rsid w:val="021F7210"/>
    <w:rsid w:val="022E1C2A"/>
    <w:rsid w:val="02372857"/>
    <w:rsid w:val="025A2F9E"/>
    <w:rsid w:val="02954528"/>
    <w:rsid w:val="02B7624C"/>
    <w:rsid w:val="02BF2AD7"/>
    <w:rsid w:val="02BF331E"/>
    <w:rsid w:val="02C40969"/>
    <w:rsid w:val="02D63692"/>
    <w:rsid w:val="02F72AEC"/>
    <w:rsid w:val="02FC1AE4"/>
    <w:rsid w:val="031B6DD5"/>
    <w:rsid w:val="033435C8"/>
    <w:rsid w:val="03353A41"/>
    <w:rsid w:val="035B4C74"/>
    <w:rsid w:val="03882932"/>
    <w:rsid w:val="03923C39"/>
    <w:rsid w:val="03A95345"/>
    <w:rsid w:val="03D64DF8"/>
    <w:rsid w:val="03E24AD5"/>
    <w:rsid w:val="03E272F9"/>
    <w:rsid w:val="03F0652E"/>
    <w:rsid w:val="03FA6E50"/>
    <w:rsid w:val="043F0BEF"/>
    <w:rsid w:val="04441D61"/>
    <w:rsid w:val="04602913"/>
    <w:rsid w:val="046917C8"/>
    <w:rsid w:val="046948F3"/>
    <w:rsid w:val="047B2D9D"/>
    <w:rsid w:val="047F6EB1"/>
    <w:rsid w:val="04912ACD"/>
    <w:rsid w:val="04A95FD5"/>
    <w:rsid w:val="04B05EB6"/>
    <w:rsid w:val="04B143BA"/>
    <w:rsid w:val="04B74C29"/>
    <w:rsid w:val="04C66C1A"/>
    <w:rsid w:val="04D72BD5"/>
    <w:rsid w:val="04E90B5B"/>
    <w:rsid w:val="04E946B7"/>
    <w:rsid w:val="04F0495F"/>
    <w:rsid w:val="04FD384B"/>
    <w:rsid w:val="05066DF9"/>
    <w:rsid w:val="05767713"/>
    <w:rsid w:val="05A52CD4"/>
    <w:rsid w:val="05C23886"/>
    <w:rsid w:val="05D7202B"/>
    <w:rsid w:val="05E97064"/>
    <w:rsid w:val="05EA6938"/>
    <w:rsid w:val="05F477B7"/>
    <w:rsid w:val="06650974"/>
    <w:rsid w:val="067173C9"/>
    <w:rsid w:val="069F7723"/>
    <w:rsid w:val="06B60AB5"/>
    <w:rsid w:val="06D0125C"/>
    <w:rsid w:val="06E4782C"/>
    <w:rsid w:val="06EA0EFF"/>
    <w:rsid w:val="07061550"/>
    <w:rsid w:val="07262586"/>
    <w:rsid w:val="07287718"/>
    <w:rsid w:val="073666DA"/>
    <w:rsid w:val="07572125"/>
    <w:rsid w:val="076C0976"/>
    <w:rsid w:val="077539C2"/>
    <w:rsid w:val="078057A6"/>
    <w:rsid w:val="078864CD"/>
    <w:rsid w:val="07893F2F"/>
    <w:rsid w:val="07A87241"/>
    <w:rsid w:val="07AB3D12"/>
    <w:rsid w:val="07B45450"/>
    <w:rsid w:val="07C75183"/>
    <w:rsid w:val="07E017A1"/>
    <w:rsid w:val="07F43A9E"/>
    <w:rsid w:val="08144141"/>
    <w:rsid w:val="08186CD8"/>
    <w:rsid w:val="081E77A0"/>
    <w:rsid w:val="08274BAD"/>
    <w:rsid w:val="08470072"/>
    <w:rsid w:val="085E56AE"/>
    <w:rsid w:val="08687981"/>
    <w:rsid w:val="086F1B39"/>
    <w:rsid w:val="08766CE3"/>
    <w:rsid w:val="08874912"/>
    <w:rsid w:val="088D4241"/>
    <w:rsid w:val="088F37C7"/>
    <w:rsid w:val="08903B99"/>
    <w:rsid w:val="08932D2D"/>
    <w:rsid w:val="089E3A0A"/>
    <w:rsid w:val="08AE3F90"/>
    <w:rsid w:val="08B11C07"/>
    <w:rsid w:val="08B63438"/>
    <w:rsid w:val="08BD68A7"/>
    <w:rsid w:val="08E3371E"/>
    <w:rsid w:val="090D306A"/>
    <w:rsid w:val="092B34F0"/>
    <w:rsid w:val="094E673D"/>
    <w:rsid w:val="094F29F6"/>
    <w:rsid w:val="09581E0B"/>
    <w:rsid w:val="096C2B3B"/>
    <w:rsid w:val="097468F3"/>
    <w:rsid w:val="097A6225"/>
    <w:rsid w:val="09C15C02"/>
    <w:rsid w:val="09FA34EB"/>
    <w:rsid w:val="0A0873B6"/>
    <w:rsid w:val="0A132C02"/>
    <w:rsid w:val="0A1C72DC"/>
    <w:rsid w:val="0A287A2F"/>
    <w:rsid w:val="0A557BB7"/>
    <w:rsid w:val="0A5A32F8"/>
    <w:rsid w:val="0A652A31"/>
    <w:rsid w:val="0A692E7A"/>
    <w:rsid w:val="0A8A5D79"/>
    <w:rsid w:val="0AA25A34"/>
    <w:rsid w:val="0AB47859"/>
    <w:rsid w:val="0AD61B81"/>
    <w:rsid w:val="0B0A1F19"/>
    <w:rsid w:val="0B36617C"/>
    <w:rsid w:val="0B57681E"/>
    <w:rsid w:val="0B61144B"/>
    <w:rsid w:val="0BA73406"/>
    <w:rsid w:val="0BBA6DAD"/>
    <w:rsid w:val="0BC96FF0"/>
    <w:rsid w:val="0BD172B9"/>
    <w:rsid w:val="0BE45BD8"/>
    <w:rsid w:val="0BE93BEF"/>
    <w:rsid w:val="0BEB340A"/>
    <w:rsid w:val="0C0A1AE2"/>
    <w:rsid w:val="0C0E3F93"/>
    <w:rsid w:val="0C2506CA"/>
    <w:rsid w:val="0C364685"/>
    <w:rsid w:val="0C4A304C"/>
    <w:rsid w:val="0C4F5747"/>
    <w:rsid w:val="0C566AD6"/>
    <w:rsid w:val="0C5F2EAB"/>
    <w:rsid w:val="0C6D4AE3"/>
    <w:rsid w:val="0C9615C8"/>
    <w:rsid w:val="0CAD06C0"/>
    <w:rsid w:val="0CB0103F"/>
    <w:rsid w:val="0CBC5489"/>
    <w:rsid w:val="0CE2480D"/>
    <w:rsid w:val="0CE916F8"/>
    <w:rsid w:val="0D381061"/>
    <w:rsid w:val="0D4A7030"/>
    <w:rsid w:val="0D543BFA"/>
    <w:rsid w:val="0D870F11"/>
    <w:rsid w:val="0D8853B5"/>
    <w:rsid w:val="0D956B94"/>
    <w:rsid w:val="0D9D62C2"/>
    <w:rsid w:val="0D9E2637"/>
    <w:rsid w:val="0DA467D8"/>
    <w:rsid w:val="0DBD78FC"/>
    <w:rsid w:val="0DCE7D84"/>
    <w:rsid w:val="0DE43DD8"/>
    <w:rsid w:val="0DE843A2"/>
    <w:rsid w:val="0E1E7A30"/>
    <w:rsid w:val="0E2826F4"/>
    <w:rsid w:val="0E2C4F72"/>
    <w:rsid w:val="0E364E11"/>
    <w:rsid w:val="0E372937"/>
    <w:rsid w:val="0E4B312B"/>
    <w:rsid w:val="0E5D6CF2"/>
    <w:rsid w:val="0E7476E7"/>
    <w:rsid w:val="0E8611C8"/>
    <w:rsid w:val="0E8C4A31"/>
    <w:rsid w:val="0E917BF5"/>
    <w:rsid w:val="0E960DA4"/>
    <w:rsid w:val="0EB83A78"/>
    <w:rsid w:val="0EB97747"/>
    <w:rsid w:val="0ECC12D1"/>
    <w:rsid w:val="0ECC7523"/>
    <w:rsid w:val="0ED47CAB"/>
    <w:rsid w:val="0EDD528C"/>
    <w:rsid w:val="0EE02FCE"/>
    <w:rsid w:val="0EE06B2A"/>
    <w:rsid w:val="0EEA5BFB"/>
    <w:rsid w:val="0EF32D02"/>
    <w:rsid w:val="0EFE61C3"/>
    <w:rsid w:val="0F27226E"/>
    <w:rsid w:val="0F434C0A"/>
    <w:rsid w:val="0F4F60D6"/>
    <w:rsid w:val="0F5F1EEF"/>
    <w:rsid w:val="0F655282"/>
    <w:rsid w:val="0F7C2CF7"/>
    <w:rsid w:val="0F931DEF"/>
    <w:rsid w:val="0F977D7B"/>
    <w:rsid w:val="0F984030"/>
    <w:rsid w:val="0F9A13CF"/>
    <w:rsid w:val="0FAB26CD"/>
    <w:rsid w:val="0FB352D7"/>
    <w:rsid w:val="0FD536FB"/>
    <w:rsid w:val="102562D8"/>
    <w:rsid w:val="1026403A"/>
    <w:rsid w:val="104355C3"/>
    <w:rsid w:val="107C2883"/>
    <w:rsid w:val="10826892"/>
    <w:rsid w:val="10892F46"/>
    <w:rsid w:val="109B6D62"/>
    <w:rsid w:val="10B34A9A"/>
    <w:rsid w:val="110B17C6"/>
    <w:rsid w:val="112C24FB"/>
    <w:rsid w:val="11407D54"/>
    <w:rsid w:val="11603F18"/>
    <w:rsid w:val="1160532F"/>
    <w:rsid w:val="11717FD1"/>
    <w:rsid w:val="117B6FDE"/>
    <w:rsid w:val="118869FA"/>
    <w:rsid w:val="118E6D12"/>
    <w:rsid w:val="119B4F8B"/>
    <w:rsid w:val="11C646FD"/>
    <w:rsid w:val="11D5049D"/>
    <w:rsid w:val="12077DEA"/>
    <w:rsid w:val="120E7E53"/>
    <w:rsid w:val="1222745A"/>
    <w:rsid w:val="122B27B2"/>
    <w:rsid w:val="12301ADC"/>
    <w:rsid w:val="12371E69"/>
    <w:rsid w:val="123A700C"/>
    <w:rsid w:val="124D44D7"/>
    <w:rsid w:val="12661B7F"/>
    <w:rsid w:val="12850115"/>
    <w:rsid w:val="12B97DBE"/>
    <w:rsid w:val="12CA3D79"/>
    <w:rsid w:val="12CF4E33"/>
    <w:rsid w:val="12DA1AE3"/>
    <w:rsid w:val="131F3AA2"/>
    <w:rsid w:val="13B50586"/>
    <w:rsid w:val="13C84454"/>
    <w:rsid w:val="13EA5B55"/>
    <w:rsid w:val="13F20130"/>
    <w:rsid w:val="13F549F9"/>
    <w:rsid w:val="13F54E26"/>
    <w:rsid w:val="140426A2"/>
    <w:rsid w:val="143D67CD"/>
    <w:rsid w:val="144769FF"/>
    <w:rsid w:val="1457163D"/>
    <w:rsid w:val="146B333A"/>
    <w:rsid w:val="14A512BD"/>
    <w:rsid w:val="14B040EF"/>
    <w:rsid w:val="14CD28D8"/>
    <w:rsid w:val="14D013EF"/>
    <w:rsid w:val="15264D8E"/>
    <w:rsid w:val="15545B7C"/>
    <w:rsid w:val="15703044"/>
    <w:rsid w:val="15785D0F"/>
    <w:rsid w:val="15986A60"/>
    <w:rsid w:val="15A01BE5"/>
    <w:rsid w:val="15A23301"/>
    <w:rsid w:val="15A9411A"/>
    <w:rsid w:val="15B52ECF"/>
    <w:rsid w:val="15B91CD3"/>
    <w:rsid w:val="15DF38F8"/>
    <w:rsid w:val="15F5735F"/>
    <w:rsid w:val="16066474"/>
    <w:rsid w:val="16175528"/>
    <w:rsid w:val="164125A5"/>
    <w:rsid w:val="16571DC8"/>
    <w:rsid w:val="167B0653"/>
    <w:rsid w:val="169E46FD"/>
    <w:rsid w:val="16A94950"/>
    <w:rsid w:val="16AA0906"/>
    <w:rsid w:val="16B8213B"/>
    <w:rsid w:val="16D70F4D"/>
    <w:rsid w:val="16F6136F"/>
    <w:rsid w:val="16F92E7F"/>
    <w:rsid w:val="16FD0098"/>
    <w:rsid w:val="172D0D7B"/>
    <w:rsid w:val="17342109"/>
    <w:rsid w:val="173C5E4F"/>
    <w:rsid w:val="173E758D"/>
    <w:rsid w:val="174E431E"/>
    <w:rsid w:val="174E4322"/>
    <w:rsid w:val="17521617"/>
    <w:rsid w:val="17BD4979"/>
    <w:rsid w:val="17C012EF"/>
    <w:rsid w:val="17DB38DF"/>
    <w:rsid w:val="17F35B20"/>
    <w:rsid w:val="17F96393"/>
    <w:rsid w:val="18133ACD"/>
    <w:rsid w:val="18496726"/>
    <w:rsid w:val="185B5474"/>
    <w:rsid w:val="1862744F"/>
    <w:rsid w:val="18F953B8"/>
    <w:rsid w:val="192B08D4"/>
    <w:rsid w:val="193C2941"/>
    <w:rsid w:val="19605C43"/>
    <w:rsid w:val="197762DD"/>
    <w:rsid w:val="199131C9"/>
    <w:rsid w:val="19B4308D"/>
    <w:rsid w:val="19BF32D3"/>
    <w:rsid w:val="19CF2F48"/>
    <w:rsid w:val="19EB5772"/>
    <w:rsid w:val="1A240213"/>
    <w:rsid w:val="1A400DC5"/>
    <w:rsid w:val="1A472154"/>
    <w:rsid w:val="1A4F0751"/>
    <w:rsid w:val="1A580DF8"/>
    <w:rsid w:val="1A756CC1"/>
    <w:rsid w:val="1A782D25"/>
    <w:rsid w:val="1A914743"/>
    <w:rsid w:val="1AB77E0F"/>
    <w:rsid w:val="1ABB7E7A"/>
    <w:rsid w:val="1AD334BF"/>
    <w:rsid w:val="1AE950FA"/>
    <w:rsid w:val="1B000F42"/>
    <w:rsid w:val="1B035C89"/>
    <w:rsid w:val="1B3E12F9"/>
    <w:rsid w:val="1B6D1746"/>
    <w:rsid w:val="1B7032B1"/>
    <w:rsid w:val="1B711290"/>
    <w:rsid w:val="1BBE1FA1"/>
    <w:rsid w:val="1BDE0896"/>
    <w:rsid w:val="1BE7599C"/>
    <w:rsid w:val="1BE97440"/>
    <w:rsid w:val="1C071B9A"/>
    <w:rsid w:val="1C1F5136"/>
    <w:rsid w:val="1C2C1601"/>
    <w:rsid w:val="1C2E40E0"/>
    <w:rsid w:val="1C2F2E9F"/>
    <w:rsid w:val="1C427076"/>
    <w:rsid w:val="1C4C7CC3"/>
    <w:rsid w:val="1C8522C5"/>
    <w:rsid w:val="1C8A69E1"/>
    <w:rsid w:val="1CAB0EE1"/>
    <w:rsid w:val="1CB27711"/>
    <w:rsid w:val="1CBA28AA"/>
    <w:rsid w:val="1CD75A11"/>
    <w:rsid w:val="1CF15B94"/>
    <w:rsid w:val="1CF4044F"/>
    <w:rsid w:val="1D047E88"/>
    <w:rsid w:val="1D0D6086"/>
    <w:rsid w:val="1D156539"/>
    <w:rsid w:val="1D4A7C0F"/>
    <w:rsid w:val="1D61442A"/>
    <w:rsid w:val="1D623D91"/>
    <w:rsid w:val="1D6F55A4"/>
    <w:rsid w:val="1DA358F3"/>
    <w:rsid w:val="1DED20B4"/>
    <w:rsid w:val="1E077C8E"/>
    <w:rsid w:val="1E1423D7"/>
    <w:rsid w:val="1E26721A"/>
    <w:rsid w:val="1E307789"/>
    <w:rsid w:val="1E3231A6"/>
    <w:rsid w:val="1E452953"/>
    <w:rsid w:val="1E5352A7"/>
    <w:rsid w:val="1E5906A7"/>
    <w:rsid w:val="1E652BA8"/>
    <w:rsid w:val="1E6E088F"/>
    <w:rsid w:val="1EB3600A"/>
    <w:rsid w:val="1EC16A83"/>
    <w:rsid w:val="1F0028D1"/>
    <w:rsid w:val="1F02211F"/>
    <w:rsid w:val="1F126F73"/>
    <w:rsid w:val="1F170346"/>
    <w:rsid w:val="1F1A472F"/>
    <w:rsid w:val="1F1C0F96"/>
    <w:rsid w:val="1F4E5D32"/>
    <w:rsid w:val="1F725038"/>
    <w:rsid w:val="1F74219C"/>
    <w:rsid w:val="1F9A0F77"/>
    <w:rsid w:val="1FB9784D"/>
    <w:rsid w:val="1FBB33C8"/>
    <w:rsid w:val="1FCD30FB"/>
    <w:rsid w:val="1FCF7AFB"/>
    <w:rsid w:val="1FD11A8F"/>
    <w:rsid w:val="1FFB3446"/>
    <w:rsid w:val="1FFC753C"/>
    <w:rsid w:val="201A220D"/>
    <w:rsid w:val="20436F19"/>
    <w:rsid w:val="20474C5B"/>
    <w:rsid w:val="207B1149"/>
    <w:rsid w:val="208B6917"/>
    <w:rsid w:val="20B00359"/>
    <w:rsid w:val="20C067BC"/>
    <w:rsid w:val="20D61B3B"/>
    <w:rsid w:val="20EE1E40"/>
    <w:rsid w:val="20EE50D7"/>
    <w:rsid w:val="20F87D04"/>
    <w:rsid w:val="21303DC9"/>
    <w:rsid w:val="21310AEB"/>
    <w:rsid w:val="213276BA"/>
    <w:rsid w:val="21352D06"/>
    <w:rsid w:val="21475F62"/>
    <w:rsid w:val="21486EDD"/>
    <w:rsid w:val="215738CC"/>
    <w:rsid w:val="215A276C"/>
    <w:rsid w:val="216B4463"/>
    <w:rsid w:val="216C7565"/>
    <w:rsid w:val="21A41C3A"/>
    <w:rsid w:val="21B7296D"/>
    <w:rsid w:val="21EA368F"/>
    <w:rsid w:val="21F4671D"/>
    <w:rsid w:val="22145011"/>
    <w:rsid w:val="221B1EC0"/>
    <w:rsid w:val="222334A6"/>
    <w:rsid w:val="22245FA1"/>
    <w:rsid w:val="22266AF2"/>
    <w:rsid w:val="22456F79"/>
    <w:rsid w:val="224F3AF6"/>
    <w:rsid w:val="22511DC1"/>
    <w:rsid w:val="22AA51F5"/>
    <w:rsid w:val="22BD28C6"/>
    <w:rsid w:val="22CC112F"/>
    <w:rsid w:val="231862A6"/>
    <w:rsid w:val="236560AB"/>
    <w:rsid w:val="23713D9D"/>
    <w:rsid w:val="2381161B"/>
    <w:rsid w:val="2381693A"/>
    <w:rsid w:val="239006C7"/>
    <w:rsid w:val="2393640A"/>
    <w:rsid w:val="239857CE"/>
    <w:rsid w:val="23B9512F"/>
    <w:rsid w:val="23C228BF"/>
    <w:rsid w:val="23DF4CF4"/>
    <w:rsid w:val="23E65186"/>
    <w:rsid w:val="23F94AAB"/>
    <w:rsid w:val="24083164"/>
    <w:rsid w:val="24211926"/>
    <w:rsid w:val="243A0633"/>
    <w:rsid w:val="244F0582"/>
    <w:rsid w:val="24612064"/>
    <w:rsid w:val="2468168D"/>
    <w:rsid w:val="2472370F"/>
    <w:rsid w:val="247578BD"/>
    <w:rsid w:val="248C70E1"/>
    <w:rsid w:val="248D111F"/>
    <w:rsid w:val="249B37C8"/>
    <w:rsid w:val="24BE74B6"/>
    <w:rsid w:val="24DF5ADD"/>
    <w:rsid w:val="25107F16"/>
    <w:rsid w:val="254625F0"/>
    <w:rsid w:val="255C07D7"/>
    <w:rsid w:val="256B319A"/>
    <w:rsid w:val="256F74FA"/>
    <w:rsid w:val="2585493F"/>
    <w:rsid w:val="25866F31"/>
    <w:rsid w:val="25942519"/>
    <w:rsid w:val="25B7775A"/>
    <w:rsid w:val="261641B1"/>
    <w:rsid w:val="26191500"/>
    <w:rsid w:val="26343C96"/>
    <w:rsid w:val="264562B9"/>
    <w:rsid w:val="264E03C6"/>
    <w:rsid w:val="266F0A68"/>
    <w:rsid w:val="26795443"/>
    <w:rsid w:val="267C3185"/>
    <w:rsid w:val="267E1B60"/>
    <w:rsid w:val="267F3064"/>
    <w:rsid w:val="26A55E55"/>
    <w:rsid w:val="26AC0E40"/>
    <w:rsid w:val="26B24DF9"/>
    <w:rsid w:val="26C000EA"/>
    <w:rsid w:val="26C16DEA"/>
    <w:rsid w:val="26CD42AA"/>
    <w:rsid w:val="26EE3C38"/>
    <w:rsid w:val="26F31699"/>
    <w:rsid w:val="274F43F6"/>
    <w:rsid w:val="278843D0"/>
    <w:rsid w:val="278B7844"/>
    <w:rsid w:val="278C3449"/>
    <w:rsid w:val="27914A0E"/>
    <w:rsid w:val="27A97085"/>
    <w:rsid w:val="27AC17B9"/>
    <w:rsid w:val="27B92042"/>
    <w:rsid w:val="27BE67C9"/>
    <w:rsid w:val="27D305E4"/>
    <w:rsid w:val="27F31225"/>
    <w:rsid w:val="28090A48"/>
    <w:rsid w:val="28217234"/>
    <w:rsid w:val="2842532C"/>
    <w:rsid w:val="284B1574"/>
    <w:rsid w:val="285C326E"/>
    <w:rsid w:val="285C5F30"/>
    <w:rsid w:val="285C6DCA"/>
    <w:rsid w:val="28D23530"/>
    <w:rsid w:val="28F0207E"/>
    <w:rsid w:val="2929093D"/>
    <w:rsid w:val="29433BB0"/>
    <w:rsid w:val="294739C9"/>
    <w:rsid w:val="29546686"/>
    <w:rsid w:val="295E6B72"/>
    <w:rsid w:val="29695805"/>
    <w:rsid w:val="29BA6E37"/>
    <w:rsid w:val="29EE63C2"/>
    <w:rsid w:val="2A1F4553"/>
    <w:rsid w:val="2A7D3457"/>
    <w:rsid w:val="2AAF3B29"/>
    <w:rsid w:val="2ABC4E3A"/>
    <w:rsid w:val="2AD96DF8"/>
    <w:rsid w:val="2AF102F1"/>
    <w:rsid w:val="2B2F7F0F"/>
    <w:rsid w:val="2B4F0E68"/>
    <w:rsid w:val="2B6820A6"/>
    <w:rsid w:val="2B894ABF"/>
    <w:rsid w:val="2B991FF2"/>
    <w:rsid w:val="2BBA71F5"/>
    <w:rsid w:val="2BD3551E"/>
    <w:rsid w:val="2C0004FA"/>
    <w:rsid w:val="2C567FD4"/>
    <w:rsid w:val="2C8114F5"/>
    <w:rsid w:val="2CBE62A5"/>
    <w:rsid w:val="2CC82C80"/>
    <w:rsid w:val="2CF6099E"/>
    <w:rsid w:val="2D0B0DBF"/>
    <w:rsid w:val="2D2154E0"/>
    <w:rsid w:val="2D241E80"/>
    <w:rsid w:val="2D6F2652"/>
    <w:rsid w:val="2DB61363"/>
    <w:rsid w:val="2DC60756"/>
    <w:rsid w:val="2DD91921"/>
    <w:rsid w:val="2DD935D3"/>
    <w:rsid w:val="2DDD1A07"/>
    <w:rsid w:val="2DE66F76"/>
    <w:rsid w:val="2E001AD0"/>
    <w:rsid w:val="2E0B157A"/>
    <w:rsid w:val="2E126BCA"/>
    <w:rsid w:val="2E3010A6"/>
    <w:rsid w:val="2E36329E"/>
    <w:rsid w:val="2E383E35"/>
    <w:rsid w:val="2E3C1B78"/>
    <w:rsid w:val="2E3C1BBC"/>
    <w:rsid w:val="2E564673"/>
    <w:rsid w:val="2E627104"/>
    <w:rsid w:val="2E7310E3"/>
    <w:rsid w:val="2E7D5DE4"/>
    <w:rsid w:val="2EAA5CB6"/>
    <w:rsid w:val="2EB634D4"/>
    <w:rsid w:val="2EBA484A"/>
    <w:rsid w:val="2EBF4ACA"/>
    <w:rsid w:val="2EBF6305"/>
    <w:rsid w:val="2ECD5689"/>
    <w:rsid w:val="2EFC41EE"/>
    <w:rsid w:val="2F245597"/>
    <w:rsid w:val="2F366A04"/>
    <w:rsid w:val="2F3E5FCF"/>
    <w:rsid w:val="2F6055E3"/>
    <w:rsid w:val="2F6853E0"/>
    <w:rsid w:val="2F9360A5"/>
    <w:rsid w:val="2FC02334"/>
    <w:rsid w:val="2FD7142C"/>
    <w:rsid w:val="300114C0"/>
    <w:rsid w:val="30087265"/>
    <w:rsid w:val="30154375"/>
    <w:rsid w:val="30161F54"/>
    <w:rsid w:val="302477D8"/>
    <w:rsid w:val="30430644"/>
    <w:rsid w:val="304C7B53"/>
    <w:rsid w:val="3065199C"/>
    <w:rsid w:val="3078546E"/>
    <w:rsid w:val="309D61D2"/>
    <w:rsid w:val="30AD0B0B"/>
    <w:rsid w:val="30E62404"/>
    <w:rsid w:val="30E84725"/>
    <w:rsid w:val="30E91A28"/>
    <w:rsid w:val="30EE2159"/>
    <w:rsid w:val="30F1088E"/>
    <w:rsid w:val="310D2C36"/>
    <w:rsid w:val="31865A40"/>
    <w:rsid w:val="31AB491E"/>
    <w:rsid w:val="31B97E9E"/>
    <w:rsid w:val="3200767E"/>
    <w:rsid w:val="32396FA7"/>
    <w:rsid w:val="32470AEB"/>
    <w:rsid w:val="325B4596"/>
    <w:rsid w:val="325F5E35"/>
    <w:rsid w:val="329B78D9"/>
    <w:rsid w:val="32FD73FC"/>
    <w:rsid w:val="32FE389F"/>
    <w:rsid w:val="3301294A"/>
    <w:rsid w:val="330412E9"/>
    <w:rsid w:val="33114C55"/>
    <w:rsid w:val="33353039"/>
    <w:rsid w:val="335214F5"/>
    <w:rsid w:val="33545CD9"/>
    <w:rsid w:val="335F1E64"/>
    <w:rsid w:val="33615BDC"/>
    <w:rsid w:val="33624B1A"/>
    <w:rsid w:val="33686F6B"/>
    <w:rsid w:val="336A3155"/>
    <w:rsid w:val="33752122"/>
    <w:rsid w:val="33754FA3"/>
    <w:rsid w:val="339636B4"/>
    <w:rsid w:val="33E16D1D"/>
    <w:rsid w:val="341964B7"/>
    <w:rsid w:val="343706EB"/>
    <w:rsid w:val="34637732"/>
    <w:rsid w:val="346C2A8B"/>
    <w:rsid w:val="347F40F6"/>
    <w:rsid w:val="348C6C89"/>
    <w:rsid w:val="3495510D"/>
    <w:rsid w:val="34AE4E51"/>
    <w:rsid w:val="34B53812"/>
    <w:rsid w:val="34C74165"/>
    <w:rsid w:val="34C957E7"/>
    <w:rsid w:val="34CA209B"/>
    <w:rsid w:val="34FB7DE4"/>
    <w:rsid w:val="350B22A4"/>
    <w:rsid w:val="354B6B44"/>
    <w:rsid w:val="35703BE5"/>
    <w:rsid w:val="35771225"/>
    <w:rsid w:val="3598434D"/>
    <w:rsid w:val="35A74DBB"/>
    <w:rsid w:val="35CF6FF8"/>
    <w:rsid w:val="35ED589A"/>
    <w:rsid w:val="361D460D"/>
    <w:rsid w:val="362101EF"/>
    <w:rsid w:val="36211653"/>
    <w:rsid w:val="3629779E"/>
    <w:rsid w:val="366559E4"/>
    <w:rsid w:val="368C3850"/>
    <w:rsid w:val="369B1405"/>
    <w:rsid w:val="36A76752"/>
    <w:rsid w:val="36C579F2"/>
    <w:rsid w:val="36E92BF7"/>
    <w:rsid w:val="36F34D9D"/>
    <w:rsid w:val="36F52036"/>
    <w:rsid w:val="37014501"/>
    <w:rsid w:val="3703111F"/>
    <w:rsid w:val="370A0339"/>
    <w:rsid w:val="37394EDD"/>
    <w:rsid w:val="37624C68"/>
    <w:rsid w:val="376E2676"/>
    <w:rsid w:val="377834F5"/>
    <w:rsid w:val="37820C94"/>
    <w:rsid w:val="37B409D1"/>
    <w:rsid w:val="37CA01F4"/>
    <w:rsid w:val="37CE0538"/>
    <w:rsid w:val="37DA67DD"/>
    <w:rsid w:val="37E06C4E"/>
    <w:rsid w:val="37EF7C5B"/>
    <w:rsid w:val="3848736B"/>
    <w:rsid w:val="386F2B4A"/>
    <w:rsid w:val="387E7EAA"/>
    <w:rsid w:val="38A40A60"/>
    <w:rsid w:val="38A5581F"/>
    <w:rsid w:val="38D317F4"/>
    <w:rsid w:val="38D806EF"/>
    <w:rsid w:val="38E3051F"/>
    <w:rsid w:val="38FA7508"/>
    <w:rsid w:val="38FF77EE"/>
    <w:rsid w:val="392032FC"/>
    <w:rsid w:val="39567866"/>
    <w:rsid w:val="396708A0"/>
    <w:rsid w:val="398322DC"/>
    <w:rsid w:val="39B20F40"/>
    <w:rsid w:val="39D03040"/>
    <w:rsid w:val="39D30EAD"/>
    <w:rsid w:val="39E7174C"/>
    <w:rsid w:val="39F06BFD"/>
    <w:rsid w:val="39F318CA"/>
    <w:rsid w:val="3A080B60"/>
    <w:rsid w:val="3A103EB8"/>
    <w:rsid w:val="3A2B1428"/>
    <w:rsid w:val="3A322081"/>
    <w:rsid w:val="3A900F1E"/>
    <w:rsid w:val="3AC16F61"/>
    <w:rsid w:val="3AD34A1B"/>
    <w:rsid w:val="3B261CFB"/>
    <w:rsid w:val="3B3B26A9"/>
    <w:rsid w:val="3B3C4395"/>
    <w:rsid w:val="3B6F58DE"/>
    <w:rsid w:val="3B800BCA"/>
    <w:rsid w:val="3B882877"/>
    <w:rsid w:val="3B9D404A"/>
    <w:rsid w:val="3BB54DB0"/>
    <w:rsid w:val="3BB56AC5"/>
    <w:rsid w:val="3BCE7B87"/>
    <w:rsid w:val="3BD333EF"/>
    <w:rsid w:val="3C105A6B"/>
    <w:rsid w:val="3C125DCE"/>
    <w:rsid w:val="3C147B24"/>
    <w:rsid w:val="3C1852A6"/>
    <w:rsid w:val="3C364D98"/>
    <w:rsid w:val="3C3E4D0D"/>
    <w:rsid w:val="3C422F3E"/>
    <w:rsid w:val="3C4349DD"/>
    <w:rsid w:val="3C64519B"/>
    <w:rsid w:val="3C6504EB"/>
    <w:rsid w:val="3C700C3E"/>
    <w:rsid w:val="3C713683"/>
    <w:rsid w:val="3C744E98"/>
    <w:rsid w:val="3C746980"/>
    <w:rsid w:val="3C797AF3"/>
    <w:rsid w:val="3C8A61A4"/>
    <w:rsid w:val="3C8B52A9"/>
    <w:rsid w:val="3C8B6ACE"/>
    <w:rsid w:val="3C9568F7"/>
    <w:rsid w:val="3CAF039C"/>
    <w:rsid w:val="3CD25997"/>
    <w:rsid w:val="3CD94A35"/>
    <w:rsid w:val="3CE07B72"/>
    <w:rsid w:val="3CEA09F1"/>
    <w:rsid w:val="3D0870C9"/>
    <w:rsid w:val="3D3A1978"/>
    <w:rsid w:val="3D3B56F0"/>
    <w:rsid w:val="3D591958"/>
    <w:rsid w:val="3D5F318D"/>
    <w:rsid w:val="3D6320AE"/>
    <w:rsid w:val="3D632551"/>
    <w:rsid w:val="3D6B67D2"/>
    <w:rsid w:val="3D70539A"/>
    <w:rsid w:val="3D73032B"/>
    <w:rsid w:val="3D7F04B3"/>
    <w:rsid w:val="3D7F382F"/>
    <w:rsid w:val="3D887631"/>
    <w:rsid w:val="3DB039E8"/>
    <w:rsid w:val="3DD516A1"/>
    <w:rsid w:val="3DE418E4"/>
    <w:rsid w:val="3DFC4E7F"/>
    <w:rsid w:val="3E0856D8"/>
    <w:rsid w:val="3E186EBA"/>
    <w:rsid w:val="3E1D6BA4"/>
    <w:rsid w:val="3E3D1DE7"/>
    <w:rsid w:val="3E546A69"/>
    <w:rsid w:val="3E8E1705"/>
    <w:rsid w:val="3E96695C"/>
    <w:rsid w:val="3EE31B9B"/>
    <w:rsid w:val="3EE6168C"/>
    <w:rsid w:val="3F0C10F2"/>
    <w:rsid w:val="3F161F71"/>
    <w:rsid w:val="3F1F34F0"/>
    <w:rsid w:val="3F3C12AC"/>
    <w:rsid w:val="3F593C0C"/>
    <w:rsid w:val="3F634A8A"/>
    <w:rsid w:val="3F8E439A"/>
    <w:rsid w:val="3F8F762D"/>
    <w:rsid w:val="3F982986"/>
    <w:rsid w:val="3F984F0D"/>
    <w:rsid w:val="3FB56563"/>
    <w:rsid w:val="3FC813FA"/>
    <w:rsid w:val="3FCA4B09"/>
    <w:rsid w:val="3FE157CB"/>
    <w:rsid w:val="3FEE07F8"/>
    <w:rsid w:val="400224F5"/>
    <w:rsid w:val="400F3235"/>
    <w:rsid w:val="405C7E57"/>
    <w:rsid w:val="406867FC"/>
    <w:rsid w:val="40931A53"/>
    <w:rsid w:val="40B53071"/>
    <w:rsid w:val="40C52E0C"/>
    <w:rsid w:val="40E045E4"/>
    <w:rsid w:val="40F40090"/>
    <w:rsid w:val="41083B3B"/>
    <w:rsid w:val="414A7CB0"/>
    <w:rsid w:val="41742B91"/>
    <w:rsid w:val="41744230"/>
    <w:rsid w:val="41875415"/>
    <w:rsid w:val="418A5041"/>
    <w:rsid w:val="419D4283"/>
    <w:rsid w:val="41A265EF"/>
    <w:rsid w:val="41A5185F"/>
    <w:rsid w:val="41D016DB"/>
    <w:rsid w:val="41E40104"/>
    <w:rsid w:val="423B3E49"/>
    <w:rsid w:val="42497F67"/>
    <w:rsid w:val="42562684"/>
    <w:rsid w:val="4258464E"/>
    <w:rsid w:val="425D3A1A"/>
    <w:rsid w:val="42621029"/>
    <w:rsid w:val="427431DA"/>
    <w:rsid w:val="427521D5"/>
    <w:rsid w:val="427841F9"/>
    <w:rsid w:val="42800DA2"/>
    <w:rsid w:val="428B1C63"/>
    <w:rsid w:val="428B3394"/>
    <w:rsid w:val="429513FF"/>
    <w:rsid w:val="42954EF1"/>
    <w:rsid w:val="42A54AC6"/>
    <w:rsid w:val="42AF1AB8"/>
    <w:rsid w:val="42BD09E0"/>
    <w:rsid w:val="42C81D93"/>
    <w:rsid w:val="42E134BC"/>
    <w:rsid w:val="42F223AD"/>
    <w:rsid w:val="43010842"/>
    <w:rsid w:val="43056584"/>
    <w:rsid w:val="430D6FF5"/>
    <w:rsid w:val="43482915"/>
    <w:rsid w:val="434846C3"/>
    <w:rsid w:val="43496D97"/>
    <w:rsid w:val="43525542"/>
    <w:rsid w:val="43963F1E"/>
    <w:rsid w:val="43B92ECB"/>
    <w:rsid w:val="43CD2975"/>
    <w:rsid w:val="441822E7"/>
    <w:rsid w:val="44426629"/>
    <w:rsid w:val="444C03C6"/>
    <w:rsid w:val="44652ACA"/>
    <w:rsid w:val="446A436B"/>
    <w:rsid w:val="44936155"/>
    <w:rsid w:val="44A21BB1"/>
    <w:rsid w:val="44A44849"/>
    <w:rsid w:val="44A771C7"/>
    <w:rsid w:val="44A91191"/>
    <w:rsid w:val="45062425"/>
    <w:rsid w:val="450C60CA"/>
    <w:rsid w:val="451F76A5"/>
    <w:rsid w:val="452B615F"/>
    <w:rsid w:val="45917D94"/>
    <w:rsid w:val="459D3BC2"/>
    <w:rsid w:val="46184820"/>
    <w:rsid w:val="461E6DF1"/>
    <w:rsid w:val="46291A0F"/>
    <w:rsid w:val="46494FE1"/>
    <w:rsid w:val="464D0C32"/>
    <w:rsid w:val="466A4950"/>
    <w:rsid w:val="467557CF"/>
    <w:rsid w:val="467B0194"/>
    <w:rsid w:val="468E4AE3"/>
    <w:rsid w:val="46C61AAB"/>
    <w:rsid w:val="472114B3"/>
    <w:rsid w:val="47243A51"/>
    <w:rsid w:val="474004D4"/>
    <w:rsid w:val="47683462"/>
    <w:rsid w:val="476843AC"/>
    <w:rsid w:val="477F37B9"/>
    <w:rsid w:val="47971775"/>
    <w:rsid w:val="47AA2318"/>
    <w:rsid w:val="47BB2E28"/>
    <w:rsid w:val="47C167F2"/>
    <w:rsid w:val="47EE3067"/>
    <w:rsid w:val="48323EE8"/>
    <w:rsid w:val="48453261"/>
    <w:rsid w:val="48515DC8"/>
    <w:rsid w:val="486378A9"/>
    <w:rsid w:val="48931F3C"/>
    <w:rsid w:val="489B1B33"/>
    <w:rsid w:val="48AE03C2"/>
    <w:rsid w:val="48AE5485"/>
    <w:rsid w:val="48B578B7"/>
    <w:rsid w:val="48B60321"/>
    <w:rsid w:val="48EC1A58"/>
    <w:rsid w:val="49217E1E"/>
    <w:rsid w:val="49423962"/>
    <w:rsid w:val="496B110B"/>
    <w:rsid w:val="49706721"/>
    <w:rsid w:val="497E2BEC"/>
    <w:rsid w:val="49AD1724"/>
    <w:rsid w:val="49C02B87"/>
    <w:rsid w:val="49CD756B"/>
    <w:rsid w:val="49D433EE"/>
    <w:rsid w:val="4A0B3BCC"/>
    <w:rsid w:val="4A3B0ADD"/>
    <w:rsid w:val="4A4C2CEB"/>
    <w:rsid w:val="4A5E73C4"/>
    <w:rsid w:val="4A655C81"/>
    <w:rsid w:val="4A770517"/>
    <w:rsid w:val="4A8330FE"/>
    <w:rsid w:val="4A8C758B"/>
    <w:rsid w:val="4AB14E2D"/>
    <w:rsid w:val="4AB368C6"/>
    <w:rsid w:val="4AD50ED4"/>
    <w:rsid w:val="4AE05DDE"/>
    <w:rsid w:val="4AE747C1"/>
    <w:rsid w:val="4AF13892"/>
    <w:rsid w:val="4AF22945"/>
    <w:rsid w:val="4B0340A4"/>
    <w:rsid w:val="4B197B96"/>
    <w:rsid w:val="4BAF3531"/>
    <w:rsid w:val="4BC468B1"/>
    <w:rsid w:val="4BC77845"/>
    <w:rsid w:val="4BD44D46"/>
    <w:rsid w:val="4BD73BBC"/>
    <w:rsid w:val="4BDA4326"/>
    <w:rsid w:val="4BDE34A9"/>
    <w:rsid w:val="4BFC604B"/>
    <w:rsid w:val="4C2542C6"/>
    <w:rsid w:val="4C3B68AB"/>
    <w:rsid w:val="4C435E96"/>
    <w:rsid w:val="4C842195"/>
    <w:rsid w:val="4C8844D8"/>
    <w:rsid w:val="4C8A69D2"/>
    <w:rsid w:val="4C95594A"/>
    <w:rsid w:val="4CB07870"/>
    <w:rsid w:val="4CC21042"/>
    <w:rsid w:val="4CDC150E"/>
    <w:rsid w:val="4CFC448F"/>
    <w:rsid w:val="4D0E3563"/>
    <w:rsid w:val="4D217F10"/>
    <w:rsid w:val="4D2E4B65"/>
    <w:rsid w:val="4D657A67"/>
    <w:rsid w:val="4D7247FE"/>
    <w:rsid w:val="4DB36BDD"/>
    <w:rsid w:val="4DB85C9F"/>
    <w:rsid w:val="4DBE5CAD"/>
    <w:rsid w:val="4DD83BCC"/>
    <w:rsid w:val="4DEB6377"/>
    <w:rsid w:val="4DF1636E"/>
    <w:rsid w:val="4E016821"/>
    <w:rsid w:val="4E0765A5"/>
    <w:rsid w:val="4E1115CD"/>
    <w:rsid w:val="4E2E5373"/>
    <w:rsid w:val="4E54216E"/>
    <w:rsid w:val="4E745CB6"/>
    <w:rsid w:val="4E760D0B"/>
    <w:rsid w:val="4E8D0FEE"/>
    <w:rsid w:val="4EC5501F"/>
    <w:rsid w:val="4ED02686"/>
    <w:rsid w:val="4EE27577"/>
    <w:rsid w:val="4F191E40"/>
    <w:rsid w:val="4F2D2E36"/>
    <w:rsid w:val="4F4665CF"/>
    <w:rsid w:val="4F49480A"/>
    <w:rsid w:val="4F561D44"/>
    <w:rsid w:val="4F6D0752"/>
    <w:rsid w:val="4F714FA1"/>
    <w:rsid w:val="4F786D37"/>
    <w:rsid w:val="4F913A9A"/>
    <w:rsid w:val="4FD0705F"/>
    <w:rsid w:val="4FDE142C"/>
    <w:rsid w:val="4FEC44FB"/>
    <w:rsid w:val="5011774A"/>
    <w:rsid w:val="50146059"/>
    <w:rsid w:val="50395ABF"/>
    <w:rsid w:val="504D156B"/>
    <w:rsid w:val="505500A3"/>
    <w:rsid w:val="50583632"/>
    <w:rsid w:val="505C6EFD"/>
    <w:rsid w:val="50630D8E"/>
    <w:rsid w:val="506F736F"/>
    <w:rsid w:val="50722D7F"/>
    <w:rsid w:val="5080549C"/>
    <w:rsid w:val="509E5922"/>
    <w:rsid w:val="50BB2978"/>
    <w:rsid w:val="50DE6667"/>
    <w:rsid w:val="50FE4613"/>
    <w:rsid w:val="50FF2BEF"/>
    <w:rsid w:val="51022221"/>
    <w:rsid w:val="51044B29"/>
    <w:rsid w:val="515114EF"/>
    <w:rsid w:val="515A3F3F"/>
    <w:rsid w:val="515E7330"/>
    <w:rsid w:val="517514EA"/>
    <w:rsid w:val="51944BC6"/>
    <w:rsid w:val="51AB05F0"/>
    <w:rsid w:val="51AC0513"/>
    <w:rsid w:val="51B24883"/>
    <w:rsid w:val="51B6604B"/>
    <w:rsid w:val="520914C1"/>
    <w:rsid w:val="521F2A93"/>
    <w:rsid w:val="522E717A"/>
    <w:rsid w:val="523C1897"/>
    <w:rsid w:val="528C45CC"/>
    <w:rsid w:val="52943481"/>
    <w:rsid w:val="52B25C24"/>
    <w:rsid w:val="52C87D18"/>
    <w:rsid w:val="5325057D"/>
    <w:rsid w:val="534216DE"/>
    <w:rsid w:val="53427D34"/>
    <w:rsid w:val="534741B0"/>
    <w:rsid w:val="539B439B"/>
    <w:rsid w:val="539F20DD"/>
    <w:rsid w:val="53A30849"/>
    <w:rsid w:val="53B43B75"/>
    <w:rsid w:val="53DE5743"/>
    <w:rsid w:val="53E329CC"/>
    <w:rsid w:val="53FA7313"/>
    <w:rsid w:val="54040192"/>
    <w:rsid w:val="544773A1"/>
    <w:rsid w:val="545033D7"/>
    <w:rsid w:val="545C3887"/>
    <w:rsid w:val="545D78A2"/>
    <w:rsid w:val="549239F0"/>
    <w:rsid w:val="54CF07A0"/>
    <w:rsid w:val="54FC282C"/>
    <w:rsid w:val="55006BAB"/>
    <w:rsid w:val="551C775D"/>
    <w:rsid w:val="553D7E00"/>
    <w:rsid w:val="55525CA4"/>
    <w:rsid w:val="55545149"/>
    <w:rsid w:val="5560418C"/>
    <w:rsid w:val="559957C1"/>
    <w:rsid w:val="559D0BD6"/>
    <w:rsid w:val="55CE055B"/>
    <w:rsid w:val="55D32512"/>
    <w:rsid w:val="55FF023A"/>
    <w:rsid w:val="56091A90"/>
    <w:rsid w:val="561B17C3"/>
    <w:rsid w:val="561F5757"/>
    <w:rsid w:val="562D159C"/>
    <w:rsid w:val="563E212D"/>
    <w:rsid w:val="564A6822"/>
    <w:rsid w:val="56546D4A"/>
    <w:rsid w:val="56755DC2"/>
    <w:rsid w:val="56D022B5"/>
    <w:rsid w:val="56F52014"/>
    <w:rsid w:val="571C70F4"/>
    <w:rsid w:val="574511ED"/>
    <w:rsid w:val="57511940"/>
    <w:rsid w:val="575D0A64"/>
    <w:rsid w:val="57631674"/>
    <w:rsid w:val="57742E61"/>
    <w:rsid w:val="57792C45"/>
    <w:rsid w:val="578F06BB"/>
    <w:rsid w:val="578F7385"/>
    <w:rsid w:val="57A44166"/>
    <w:rsid w:val="57D85BBE"/>
    <w:rsid w:val="57DC6353"/>
    <w:rsid w:val="57F80965"/>
    <w:rsid w:val="58507E4A"/>
    <w:rsid w:val="586B07E0"/>
    <w:rsid w:val="587353B9"/>
    <w:rsid w:val="587578B0"/>
    <w:rsid w:val="588763EC"/>
    <w:rsid w:val="589C0C1E"/>
    <w:rsid w:val="58AC2BA6"/>
    <w:rsid w:val="58B303D9"/>
    <w:rsid w:val="58B46E15"/>
    <w:rsid w:val="58E67606"/>
    <w:rsid w:val="590609A6"/>
    <w:rsid w:val="59101387"/>
    <w:rsid w:val="59367672"/>
    <w:rsid w:val="5987789B"/>
    <w:rsid w:val="599876AE"/>
    <w:rsid w:val="599C08D7"/>
    <w:rsid w:val="599E6821"/>
    <w:rsid w:val="59AF3A4D"/>
    <w:rsid w:val="5A1B6236"/>
    <w:rsid w:val="5A204D11"/>
    <w:rsid w:val="5A271555"/>
    <w:rsid w:val="5A7501D5"/>
    <w:rsid w:val="5A8319A8"/>
    <w:rsid w:val="5A8453A2"/>
    <w:rsid w:val="5A9A35FE"/>
    <w:rsid w:val="5AA4622B"/>
    <w:rsid w:val="5AB04BD0"/>
    <w:rsid w:val="5ACD1013"/>
    <w:rsid w:val="5AD563E4"/>
    <w:rsid w:val="5AEB22A5"/>
    <w:rsid w:val="5B040A3C"/>
    <w:rsid w:val="5B3752F1"/>
    <w:rsid w:val="5B383448"/>
    <w:rsid w:val="5B597015"/>
    <w:rsid w:val="5B5F2152"/>
    <w:rsid w:val="5B6B166F"/>
    <w:rsid w:val="5B9E711E"/>
    <w:rsid w:val="5BB85C75"/>
    <w:rsid w:val="5BBA55DA"/>
    <w:rsid w:val="5BBB7CD0"/>
    <w:rsid w:val="5BBF7D40"/>
    <w:rsid w:val="5BDF0657"/>
    <w:rsid w:val="5BF46D3E"/>
    <w:rsid w:val="5C062BE6"/>
    <w:rsid w:val="5C1271C4"/>
    <w:rsid w:val="5C272C70"/>
    <w:rsid w:val="5C95407D"/>
    <w:rsid w:val="5C966568"/>
    <w:rsid w:val="5CBF10FA"/>
    <w:rsid w:val="5CDC569F"/>
    <w:rsid w:val="5D0E5BDE"/>
    <w:rsid w:val="5D1551BE"/>
    <w:rsid w:val="5D235B2D"/>
    <w:rsid w:val="5D504448"/>
    <w:rsid w:val="5D7111F5"/>
    <w:rsid w:val="5D7E0FB5"/>
    <w:rsid w:val="5DAD36A2"/>
    <w:rsid w:val="5DC25B98"/>
    <w:rsid w:val="5DD010E5"/>
    <w:rsid w:val="5DF433DA"/>
    <w:rsid w:val="5E062B6C"/>
    <w:rsid w:val="5E1216FE"/>
    <w:rsid w:val="5E2145D5"/>
    <w:rsid w:val="5E2532E6"/>
    <w:rsid w:val="5E37356E"/>
    <w:rsid w:val="5E624433"/>
    <w:rsid w:val="5E647C88"/>
    <w:rsid w:val="5E662E3D"/>
    <w:rsid w:val="5EA762EA"/>
    <w:rsid w:val="5EA8689A"/>
    <w:rsid w:val="5EB033F0"/>
    <w:rsid w:val="5ED668DC"/>
    <w:rsid w:val="5EE75279"/>
    <w:rsid w:val="5EFA0B0F"/>
    <w:rsid w:val="5F3670FF"/>
    <w:rsid w:val="5F3C14E7"/>
    <w:rsid w:val="5F43646F"/>
    <w:rsid w:val="5F531FCE"/>
    <w:rsid w:val="5F796DF2"/>
    <w:rsid w:val="5F830B05"/>
    <w:rsid w:val="5F8C7892"/>
    <w:rsid w:val="5F926F9A"/>
    <w:rsid w:val="5FA0070D"/>
    <w:rsid w:val="5FA7456C"/>
    <w:rsid w:val="5FA75A77"/>
    <w:rsid w:val="5FAD7C21"/>
    <w:rsid w:val="5FB567E4"/>
    <w:rsid w:val="5FCB425A"/>
    <w:rsid w:val="5FDC0215"/>
    <w:rsid w:val="5FE64BF0"/>
    <w:rsid w:val="60104850"/>
    <w:rsid w:val="60235E44"/>
    <w:rsid w:val="603142B4"/>
    <w:rsid w:val="606A75CF"/>
    <w:rsid w:val="60A71ADB"/>
    <w:rsid w:val="60C969EB"/>
    <w:rsid w:val="60D27197"/>
    <w:rsid w:val="60F26B13"/>
    <w:rsid w:val="60FE7C06"/>
    <w:rsid w:val="61137C66"/>
    <w:rsid w:val="61281925"/>
    <w:rsid w:val="612C6DB7"/>
    <w:rsid w:val="61573FF7"/>
    <w:rsid w:val="615763BF"/>
    <w:rsid w:val="618A0B45"/>
    <w:rsid w:val="619F599E"/>
    <w:rsid w:val="61A60ADB"/>
    <w:rsid w:val="61CB0541"/>
    <w:rsid w:val="61DB4C28"/>
    <w:rsid w:val="61E56882"/>
    <w:rsid w:val="61F1160C"/>
    <w:rsid w:val="622540F5"/>
    <w:rsid w:val="622A5268"/>
    <w:rsid w:val="62443927"/>
    <w:rsid w:val="6263240A"/>
    <w:rsid w:val="628A7090"/>
    <w:rsid w:val="628F77C1"/>
    <w:rsid w:val="6296758D"/>
    <w:rsid w:val="629E2047"/>
    <w:rsid w:val="62A852DD"/>
    <w:rsid w:val="62AA720C"/>
    <w:rsid w:val="62BF00A6"/>
    <w:rsid w:val="62C76F5B"/>
    <w:rsid w:val="62CD2097"/>
    <w:rsid w:val="62D43425"/>
    <w:rsid w:val="62DA64E4"/>
    <w:rsid w:val="62F34051"/>
    <w:rsid w:val="62F83A45"/>
    <w:rsid w:val="62FC1D6B"/>
    <w:rsid w:val="63100C30"/>
    <w:rsid w:val="63141A74"/>
    <w:rsid w:val="636369CE"/>
    <w:rsid w:val="63646678"/>
    <w:rsid w:val="636C365E"/>
    <w:rsid w:val="638C3D00"/>
    <w:rsid w:val="63952BB5"/>
    <w:rsid w:val="639E713F"/>
    <w:rsid w:val="63C67212"/>
    <w:rsid w:val="63CE5D8F"/>
    <w:rsid w:val="63D538F9"/>
    <w:rsid w:val="63E21F44"/>
    <w:rsid w:val="640F75CE"/>
    <w:rsid w:val="64121A53"/>
    <w:rsid w:val="642624E5"/>
    <w:rsid w:val="644833A9"/>
    <w:rsid w:val="644F7B8E"/>
    <w:rsid w:val="64836EB1"/>
    <w:rsid w:val="64850E7B"/>
    <w:rsid w:val="64C122D6"/>
    <w:rsid w:val="64C37BF6"/>
    <w:rsid w:val="64C43921"/>
    <w:rsid w:val="64D04E20"/>
    <w:rsid w:val="64E75692"/>
    <w:rsid w:val="64ED7F25"/>
    <w:rsid w:val="64F4744C"/>
    <w:rsid w:val="65075D34"/>
    <w:rsid w:val="650841B7"/>
    <w:rsid w:val="651B533C"/>
    <w:rsid w:val="652C579B"/>
    <w:rsid w:val="653C50AB"/>
    <w:rsid w:val="65534AD5"/>
    <w:rsid w:val="65644F35"/>
    <w:rsid w:val="656E5DB3"/>
    <w:rsid w:val="65744A4C"/>
    <w:rsid w:val="658253BB"/>
    <w:rsid w:val="658B078D"/>
    <w:rsid w:val="65A74E21"/>
    <w:rsid w:val="65C510A6"/>
    <w:rsid w:val="65D379C4"/>
    <w:rsid w:val="65DC0F6F"/>
    <w:rsid w:val="65DC606E"/>
    <w:rsid w:val="65E46529"/>
    <w:rsid w:val="65F52031"/>
    <w:rsid w:val="660364FC"/>
    <w:rsid w:val="66095E1A"/>
    <w:rsid w:val="66112985"/>
    <w:rsid w:val="66130F1E"/>
    <w:rsid w:val="66195D1F"/>
    <w:rsid w:val="661A55F3"/>
    <w:rsid w:val="66352F1F"/>
    <w:rsid w:val="664663E8"/>
    <w:rsid w:val="6654401A"/>
    <w:rsid w:val="66846F11"/>
    <w:rsid w:val="66871EA3"/>
    <w:rsid w:val="66B16CB1"/>
    <w:rsid w:val="66B75807"/>
    <w:rsid w:val="66BD7505"/>
    <w:rsid w:val="66D165D2"/>
    <w:rsid w:val="671539F5"/>
    <w:rsid w:val="67193AFD"/>
    <w:rsid w:val="67235FB8"/>
    <w:rsid w:val="67395F4D"/>
    <w:rsid w:val="67801483"/>
    <w:rsid w:val="67D85766"/>
    <w:rsid w:val="67DB403A"/>
    <w:rsid w:val="67DE0BD1"/>
    <w:rsid w:val="68055F4C"/>
    <w:rsid w:val="68057AA9"/>
    <w:rsid w:val="6818150B"/>
    <w:rsid w:val="68442EF0"/>
    <w:rsid w:val="684B5F38"/>
    <w:rsid w:val="68517B9D"/>
    <w:rsid w:val="685667C9"/>
    <w:rsid w:val="68792AA5"/>
    <w:rsid w:val="688A022F"/>
    <w:rsid w:val="68B166E3"/>
    <w:rsid w:val="68E90EE7"/>
    <w:rsid w:val="690B02EE"/>
    <w:rsid w:val="69272501"/>
    <w:rsid w:val="6942333C"/>
    <w:rsid w:val="69643F06"/>
    <w:rsid w:val="696D6542"/>
    <w:rsid w:val="69855479"/>
    <w:rsid w:val="69B12FFE"/>
    <w:rsid w:val="69C26753"/>
    <w:rsid w:val="69E14DA6"/>
    <w:rsid w:val="69F525FF"/>
    <w:rsid w:val="69F864CC"/>
    <w:rsid w:val="6A1360A0"/>
    <w:rsid w:val="6A1A0092"/>
    <w:rsid w:val="6A2151A2"/>
    <w:rsid w:val="6A260884"/>
    <w:rsid w:val="6A335EA2"/>
    <w:rsid w:val="6A470981"/>
    <w:rsid w:val="6A507835"/>
    <w:rsid w:val="6A6631B8"/>
    <w:rsid w:val="6A70612A"/>
    <w:rsid w:val="6A7554EE"/>
    <w:rsid w:val="6A780A53"/>
    <w:rsid w:val="6A7C062B"/>
    <w:rsid w:val="6A877238"/>
    <w:rsid w:val="6A95793E"/>
    <w:rsid w:val="6A9E3EEB"/>
    <w:rsid w:val="6AA778F8"/>
    <w:rsid w:val="6ABA1153"/>
    <w:rsid w:val="6ACD4FC1"/>
    <w:rsid w:val="6AD04302"/>
    <w:rsid w:val="6AD77F57"/>
    <w:rsid w:val="6B146AB5"/>
    <w:rsid w:val="6B163FCD"/>
    <w:rsid w:val="6B221EFB"/>
    <w:rsid w:val="6B8237AB"/>
    <w:rsid w:val="6B8C2AEF"/>
    <w:rsid w:val="6BAA0E8B"/>
    <w:rsid w:val="6BBB1626"/>
    <w:rsid w:val="6BC26511"/>
    <w:rsid w:val="6BFD01D8"/>
    <w:rsid w:val="6C2947E2"/>
    <w:rsid w:val="6C303DC2"/>
    <w:rsid w:val="6C325359"/>
    <w:rsid w:val="6C3D1C31"/>
    <w:rsid w:val="6C455FEF"/>
    <w:rsid w:val="6C5F4D83"/>
    <w:rsid w:val="6C6E48EB"/>
    <w:rsid w:val="6CBE1415"/>
    <w:rsid w:val="6CFA1CDB"/>
    <w:rsid w:val="6D3451EC"/>
    <w:rsid w:val="6D3F05F3"/>
    <w:rsid w:val="6D504DD9"/>
    <w:rsid w:val="6D560EAF"/>
    <w:rsid w:val="6D5C4743"/>
    <w:rsid w:val="6D604F27"/>
    <w:rsid w:val="6D7872BE"/>
    <w:rsid w:val="6D8C78FD"/>
    <w:rsid w:val="6DAC1227"/>
    <w:rsid w:val="6DDD5884"/>
    <w:rsid w:val="6DE8556D"/>
    <w:rsid w:val="6E11406C"/>
    <w:rsid w:val="6E151448"/>
    <w:rsid w:val="6E4A44E4"/>
    <w:rsid w:val="6E667195"/>
    <w:rsid w:val="6E730CC4"/>
    <w:rsid w:val="6E781A51"/>
    <w:rsid w:val="6E815015"/>
    <w:rsid w:val="6EB04D47"/>
    <w:rsid w:val="6EB80735"/>
    <w:rsid w:val="6EC4144C"/>
    <w:rsid w:val="6EC95E08"/>
    <w:rsid w:val="6EF410D7"/>
    <w:rsid w:val="6F072A92"/>
    <w:rsid w:val="6F1B0286"/>
    <w:rsid w:val="6F4D3531"/>
    <w:rsid w:val="6F4F13C4"/>
    <w:rsid w:val="6F571EE4"/>
    <w:rsid w:val="6F6C5073"/>
    <w:rsid w:val="6F752F0D"/>
    <w:rsid w:val="6F7C10CD"/>
    <w:rsid w:val="6FB70357"/>
    <w:rsid w:val="6FD92F65"/>
    <w:rsid w:val="6FEB08EB"/>
    <w:rsid w:val="70223A22"/>
    <w:rsid w:val="702B51F4"/>
    <w:rsid w:val="702C6118"/>
    <w:rsid w:val="7040034C"/>
    <w:rsid w:val="706A53C9"/>
    <w:rsid w:val="707B17AF"/>
    <w:rsid w:val="707C1572"/>
    <w:rsid w:val="707F70C6"/>
    <w:rsid w:val="70866D14"/>
    <w:rsid w:val="70C1148D"/>
    <w:rsid w:val="7105445C"/>
    <w:rsid w:val="71080E6A"/>
    <w:rsid w:val="71121CE9"/>
    <w:rsid w:val="711C24DA"/>
    <w:rsid w:val="713F0604"/>
    <w:rsid w:val="71520337"/>
    <w:rsid w:val="717E112C"/>
    <w:rsid w:val="71877772"/>
    <w:rsid w:val="71940C37"/>
    <w:rsid w:val="71A14E1B"/>
    <w:rsid w:val="71B903B6"/>
    <w:rsid w:val="71BA7C8A"/>
    <w:rsid w:val="71E644D0"/>
    <w:rsid w:val="720363C6"/>
    <w:rsid w:val="72054E52"/>
    <w:rsid w:val="7224305C"/>
    <w:rsid w:val="723B0DCB"/>
    <w:rsid w:val="72404633"/>
    <w:rsid w:val="724A7E11"/>
    <w:rsid w:val="72554F0C"/>
    <w:rsid w:val="72AD0E60"/>
    <w:rsid w:val="72AF1B77"/>
    <w:rsid w:val="72B821FC"/>
    <w:rsid w:val="72D651FD"/>
    <w:rsid w:val="72DD1906"/>
    <w:rsid w:val="72E923EA"/>
    <w:rsid w:val="72F91763"/>
    <w:rsid w:val="73027B3B"/>
    <w:rsid w:val="73124222"/>
    <w:rsid w:val="73165394"/>
    <w:rsid w:val="7317617A"/>
    <w:rsid w:val="733A5527"/>
    <w:rsid w:val="733F48EB"/>
    <w:rsid w:val="73470694"/>
    <w:rsid w:val="735040D2"/>
    <w:rsid w:val="73506AF8"/>
    <w:rsid w:val="73814580"/>
    <w:rsid w:val="73AD7AA7"/>
    <w:rsid w:val="73D541D6"/>
    <w:rsid w:val="73DC65DE"/>
    <w:rsid w:val="73FD152F"/>
    <w:rsid w:val="73FE47A6"/>
    <w:rsid w:val="74132B02"/>
    <w:rsid w:val="743B5D19"/>
    <w:rsid w:val="746B4DE1"/>
    <w:rsid w:val="748B1959"/>
    <w:rsid w:val="74980757"/>
    <w:rsid w:val="74CB28DA"/>
    <w:rsid w:val="74E474F8"/>
    <w:rsid w:val="74E55980"/>
    <w:rsid w:val="750A2CD7"/>
    <w:rsid w:val="7519750B"/>
    <w:rsid w:val="751C3136"/>
    <w:rsid w:val="751F2C26"/>
    <w:rsid w:val="75297059"/>
    <w:rsid w:val="7533222E"/>
    <w:rsid w:val="7537556F"/>
    <w:rsid w:val="754506F8"/>
    <w:rsid w:val="754B0FF5"/>
    <w:rsid w:val="756F4DCB"/>
    <w:rsid w:val="75842A89"/>
    <w:rsid w:val="75952EE8"/>
    <w:rsid w:val="75A650F5"/>
    <w:rsid w:val="75DB4288"/>
    <w:rsid w:val="762865F3"/>
    <w:rsid w:val="76297DEC"/>
    <w:rsid w:val="763B75EC"/>
    <w:rsid w:val="764E21C9"/>
    <w:rsid w:val="76531987"/>
    <w:rsid w:val="76763C9B"/>
    <w:rsid w:val="768C1C34"/>
    <w:rsid w:val="76AA190D"/>
    <w:rsid w:val="76B92C06"/>
    <w:rsid w:val="76B94B5B"/>
    <w:rsid w:val="76BD0317"/>
    <w:rsid w:val="76D57A40"/>
    <w:rsid w:val="76DD04B9"/>
    <w:rsid w:val="771B10EA"/>
    <w:rsid w:val="77512E3F"/>
    <w:rsid w:val="775E11DE"/>
    <w:rsid w:val="778803B6"/>
    <w:rsid w:val="77924BEB"/>
    <w:rsid w:val="77B57CE6"/>
    <w:rsid w:val="77CB2BF1"/>
    <w:rsid w:val="77DA2E34"/>
    <w:rsid w:val="77E45A61"/>
    <w:rsid w:val="782056FD"/>
    <w:rsid w:val="783B7D77"/>
    <w:rsid w:val="784F2557"/>
    <w:rsid w:val="78654DE1"/>
    <w:rsid w:val="78665094"/>
    <w:rsid w:val="78874D6A"/>
    <w:rsid w:val="78B35B5F"/>
    <w:rsid w:val="78C23FF4"/>
    <w:rsid w:val="78E24DCB"/>
    <w:rsid w:val="78F849C2"/>
    <w:rsid w:val="78FC310E"/>
    <w:rsid w:val="79045E32"/>
    <w:rsid w:val="79294073"/>
    <w:rsid w:val="792A0134"/>
    <w:rsid w:val="79623B35"/>
    <w:rsid w:val="79701CA2"/>
    <w:rsid w:val="79773031"/>
    <w:rsid w:val="797C0A9B"/>
    <w:rsid w:val="79AD6A52"/>
    <w:rsid w:val="79AE1324"/>
    <w:rsid w:val="79C478F8"/>
    <w:rsid w:val="79C73545"/>
    <w:rsid w:val="79CD225A"/>
    <w:rsid w:val="79CD432C"/>
    <w:rsid w:val="79E42B8D"/>
    <w:rsid w:val="79E57CFB"/>
    <w:rsid w:val="7A0B3779"/>
    <w:rsid w:val="7A392094"/>
    <w:rsid w:val="7A3E76AA"/>
    <w:rsid w:val="7A5E5F9F"/>
    <w:rsid w:val="7A61783D"/>
    <w:rsid w:val="7A7B13B1"/>
    <w:rsid w:val="7A831561"/>
    <w:rsid w:val="7A8F6158"/>
    <w:rsid w:val="7AAC4F5C"/>
    <w:rsid w:val="7ABB0CFB"/>
    <w:rsid w:val="7AEF309B"/>
    <w:rsid w:val="7AEF6BF7"/>
    <w:rsid w:val="7B2B1E08"/>
    <w:rsid w:val="7B56326B"/>
    <w:rsid w:val="7B592AEB"/>
    <w:rsid w:val="7B5C2E58"/>
    <w:rsid w:val="7B7D06A6"/>
    <w:rsid w:val="7B931C78"/>
    <w:rsid w:val="7B9854E0"/>
    <w:rsid w:val="7BB10350"/>
    <w:rsid w:val="7BB33D4C"/>
    <w:rsid w:val="7BBA2624"/>
    <w:rsid w:val="7BD06A28"/>
    <w:rsid w:val="7BF00D90"/>
    <w:rsid w:val="7C092C19"/>
    <w:rsid w:val="7C142DB9"/>
    <w:rsid w:val="7C1639FF"/>
    <w:rsid w:val="7C2C400E"/>
    <w:rsid w:val="7C3A6A8B"/>
    <w:rsid w:val="7C661068"/>
    <w:rsid w:val="7C720C48"/>
    <w:rsid w:val="7CCF49B2"/>
    <w:rsid w:val="7CF404F4"/>
    <w:rsid w:val="7CF43450"/>
    <w:rsid w:val="7D07647A"/>
    <w:rsid w:val="7D20217D"/>
    <w:rsid w:val="7D251E74"/>
    <w:rsid w:val="7D2C4132"/>
    <w:rsid w:val="7D2F59D0"/>
    <w:rsid w:val="7D311748"/>
    <w:rsid w:val="7D686039"/>
    <w:rsid w:val="7D795D1F"/>
    <w:rsid w:val="7D7D498E"/>
    <w:rsid w:val="7D8F09BA"/>
    <w:rsid w:val="7D93181C"/>
    <w:rsid w:val="7D9E69C0"/>
    <w:rsid w:val="7DE63B86"/>
    <w:rsid w:val="7DF03702"/>
    <w:rsid w:val="7E0B3D48"/>
    <w:rsid w:val="7E1075B0"/>
    <w:rsid w:val="7E1B02FF"/>
    <w:rsid w:val="7E2C4AFF"/>
    <w:rsid w:val="7E3A462D"/>
    <w:rsid w:val="7E413C0D"/>
    <w:rsid w:val="7E686E70"/>
    <w:rsid w:val="7E7429F4"/>
    <w:rsid w:val="7EC318B1"/>
    <w:rsid w:val="7ECD75C7"/>
    <w:rsid w:val="7EF02F3D"/>
    <w:rsid w:val="7F030EC3"/>
    <w:rsid w:val="7F1B6380"/>
    <w:rsid w:val="7F21759B"/>
    <w:rsid w:val="7F26481D"/>
    <w:rsid w:val="7F303FB0"/>
    <w:rsid w:val="7F460DAF"/>
    <w:rsid w:val="7F631C00"/>
    <w:rsid w:val="7F761695"/>
    <w:rsid w:val="7F7B569D"/>
    <w:rsid w:val="7F994B1D"/>
    <w:rsid w:val="7FBB5A6A"/>
    <w:rsid w:val="7FE162E8"/>
    <w:rsid w:val="7FF151BF"/>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nhideWhenUsed="0" w:uiPriority="0" w:semiHidden="0" w:name="Normal Indent"/>
    <w:lsdException w:qFormat="1" w:unhideWhenUsed="0" w:uiPriority="99" w:semiHidden="0" w:name="footnote text"/>
    <w:lsdException w:qFormat="1" w:unhideWhenUsed="0" w:uiPriority="0" w:name="annotation text"/>
    <w:lsdException w:qFormat="1" w:uiPriority="0" w:semiHidden="0" w:name="header"/>
    <w:lsdException w:qFormat="1" w:uiPriority="99"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qFormat="1" w:uiPriority="99" w:semiHidden="0" w:name="envelope return"/>
    <w:lsdException w:qFormat="1" w:unhideWhenUsed="0" w:uiPriority="99"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qFormat="1" w:unhideWhenUsed="0" w:uiPriority="99"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qFormat="1"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22" w:semiHidden="0" w:name="Strong"/>
    <w:lsdException w:qFormat="1" w:unhideWhenUsed="0" w:uiPriority="0" w:semiHidden="0" w:name="Emphasis"/>
    <w:lsdException w:qFormat="1" w:unhideWhenUsed="0" w:uiPriority="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qFormat="1" w:unhideWhenUsed="0" w:uiPriority="0" w:semiHidden="0" w:name="HTML Acronym"/>
    <w:lsdException w:unhideWhenUsed="0" w:uiPriority="0" w:semiHidden="0" w:name="HTML Address"/>
    <w:lsdException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nhideWhenUsed="0" w:uiPriority="0" w:semiHidden="0" w:name="HTML Preformatted"/>
    <w:lsdException w:qFormat="1"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qFormat="1" w:unhideWhenUsed="0" w:uiPriority="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name="Balloon Text"/>
    <w:lsdException w:qFormat="1"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64"/>
    <w:qFormat/>
    <w:uiPriority w:val="9"/>
    <w:pPr>
      <w:keepNext/>
      <w:keepLines/>
      <w:spacing w:before="340" w:beforeLines="0" w:after="330" w:afterLines="0" w:line="578" w:lineRule="auto"/>
      <w:outlineLvl w:val="0"/>
    </w:pPr>
    <w:rPr>
      <w:b/>
      <w:bCs/>
      <w:kern w:val="44"/>
      <w:sz w:val="44"/>
      <w:szCs w:val="44"/>
    </w:rPr>
  </w:style>
  <w:style w:type="paragraph" w:styleId="3">
    <w:name w:val="heading 2"/>
    <w:basedOn w:val="1"/>
    <w:next w:val="1"/>
    <w:link w:val="65"/>
    <w:qFormat/>
    <w:uiPriority w:val="9"/>
    <w:pPr>
      <w:keepNext/>
      <w:keepLines/>
      <w:spacing w:before="260" w:beforeLines="0" w:after="260" w:afterLines="0" w:line="416" w:lineRule="auto"/>
      <w:outlineLvl w:val="1"/>
    </w:pPr>
    <w:rPr>
      <w:rFonts w:ascii="Cambria" w:hAnsi="Cambria"/>
      <w:b/>
      <w:bCs/>
      <w:sz w:val="32"/>
      <w:szCs w:val="32"/>
    </w:rPr>
  </w:style>
  <w:style w:type="paragraph" w:styleId="4">
    <w:name w:val="heading 3"/>
    <w:basedOn w:val="1"/>
    <w:next w:val="1"/>
    <w:link w:val="91"/>
    <w:qFormat/>
    <w:uiPriority w:val="0"/>
    <w:pPr>
      <w:keepNext/>
      <w:keepLines/>
      <w:widowControl/>
      <w:snapToGrid w:val="0"/>
      <w:spacing w:line="360" w:lineRule="auto"/>
      <w:jc w:val="left"/>
      <w:outlineLvl w:val="2"/>
    </w:pPr>
    <w:rPr>
      <w:rFonts w:ascii="宋体" w:hAnsi="宋体"/>
      <w:b/>
      <w:bCs/>
      <w:kern w:val="0"/>
      <w:sz w:val="28"/>
      <w:lang w:eastAsia="en-US" w:bidi="en-US"/>
    </w:rPr>
  </w:style>
  <w:style w:type="paragraph" w:styleId="5">
    <w:name w:val="heading 4"/>
    <w:basedOn w:val="1"/>
    <w:next w:val="1"/>
    <w:link w:val="67"/>
    <w:qFormat/>
    <w:uiPriority w:val="0"/>
    <w:pPr>
      <w:keepNext/>
      <w:keepLines/>
      <w:widowControl/>
      <w:spacing w:beforeLines="0" w:line="276" w:lineRule="auto"/>
      <w:jc w:val="left"/>
      <w:outlineLvl w:val="3"/>
    </w:pPr>
    <w:rPr>
      <w:rFonts w:ascii="Cambria" w:hAnsi="Cambria" w:eastAsia="宋体"/>
      <w:b/>
      <w:bCs/>
      <w:iCs/>
      <w:color w:val="4F81BD"/>
      <w:kern w:val="0"/>
      <w:sz w:val="22"/>
      <w:lang w:eastAsia="en-US" w:bidi="en-US"/>
    </w:rPr>
  </w:style>
  <w:style w:type="paragraph" w:styleId="6">
    <w:name w:val="heading 5"/>
    <w:basedOn w:val="1"/>
    <w:next w:val="1"/>
    <w:link w:val="68"/>
    <w:qFormat/>
    <w:uiPriority w:val="0"/>
    <w:pPr>
      <w:keepNext/>
      <w:keepLines/>
      <w:widowControl/>
      <w:spacing w:before="200" w:beforeLines="0" w:line="276" w:lineRule="auto"/>
      <w:jc w:val="left"/>
      <w:outlineLvl w:val="4"/>
    </w:pPr>
    <w:rPr>
      <w:rFonts w:ascii="Cambria" w:hAnsi="Cambria"/>
      <w:color w:val="243F60"/>
      <w:kern w:val="0"/>
      <w:sz w:val="22"/>
      <w:lang w:eastAsia="en-US" w:bidi="en-US"/>
    </w:rPr>
  </w:style>
  <w:style w:type="paragraph" w:styleId="7">
    <w:name w:val="heading 6"/>
    <w:basedOn w:val="1"/>
    <w:next w:val="1"/>
    <w:link w:val="69"/>
    <w:qFormat/>
    <w:uiPriority w:val="0"/>
    <w:pPr>
      <w:keepNext/>
      <w:keepLines/>
      <w:adjustRightInd w:val="0"/>
      <w:spacing w:before="240" w:beforeLines="0" w:after="64" w:afterLines="0" w:line="320" w:lineRule="atLeast"/>
      <w:textAlignment w:val="baseline"/>
      <w:outlineLvl w:val="5"/>
    </w:pPr>
    <w:rPr>
      <w:rFonts w:ascii="Arial" w:hAnsi="Arial" w:eastAsia="黑体"/>
      <w:b/>
      <w:kern w:val="0"/>
      <w:sz w:val="24"/>
      <w:szCs w:val="20"/>
    </w:rPr>
  </w:style>
  <w:style w:type="paragraph" w:styleId="8">
    <w:name w:val="heading 7"/>
    <w:basedOn w:val="1"/>
    <w:next w:val="1"/>
    <w:link w:val="70"/>
    <w:qFormat/>
    <w:uiPriority w:val="0"/>
    <w:pPr>
      <w:keepNext/>
      <w:keepLines/>
      <w:adjustRightInd w:val="0"/>
      <w:spacing w:before="240" w:beforeLines="0" w:after="64" w:afterLines="0" w:line="320" w:lineRule="atLeast"/>
      <w:textAlignment w:val="baseline"/>
      <w:outlineLvl w:val="6"/>
    </w:pPr>
    <w:rPr>
      <w:b/>
      <w:kern w:val="0"/>
      <w:sz w:val="24"/>
      <w:szCs w:val="20"/>
    </w:rPr>
  </w:style>
  <w:style w:type="paragraph" w:styleId="9">
    <w:name w:val="heading 8"/>
    <w:basedOn w:val="1"/>
    <w:next w:val="1"/>
    <w:link w:val="71"/>
    <w:qFormat/>
    <w:uiPriority w:val="0"/>
    <w:pPr>
      <w:keepNext/>
      <w:keepLines/>
      <w:adjustRightInd w:val="0"/>
      <w:spacing w:before="240" w:beforeLines="0" w:after="64" w:afterLines="0" w:line="320" w:lineRule="atLeast"/>
      <w:textAlignment w:val="baseline"/>
      <w:outlineLvl w:val="7"/>
    </w:pPr>
    <w:rPr>
      <w:rFonts w:ascii="Arial" w:hAnsi="Arial" w:eastAsia="黑体"/>
      <w:kern w:val="0"/>
      <w:sz w:val="24"/>
      <w:szCs w:val="20"/>
    </w:rPr>
  </w:style>
  <w:style w:type="paragraph" w:styleId="10">
    <w:name w:val="heading 9"/>
    <w:basedOn w:val="1"/>
    <w:next w:val="1"/>
    <w:link w:val="72"/>
    <w:qFormat/>
    <w:uiPriority w:val="0"/>
    <w:pPr>
      <w:keepNext/>
      <w:keepLines/>
      <w:adjustRightInd w:val="0"/>
      <w:spacing w:before="240" w:beforeLines="0" w:after="64" w:afterLines="0" w:line="320" w:lineRule="atLeast"/>
      <w:textAlignment w:val="baseline"/>
      <w:outlineLvl w:val="8"/>
    </w:pPr>
    <w:rPr>
      <w:rFonts w:ascii="Arial" w:hAnsi="Arial" w:eastAsia="黑体"/>
      <w:kern w:val="0"/>
      <w:szCs w:val="20"/>
    </w:rPr>
  </w:style>
  <w:style w:type="character" w:default="1" w:styleId="50">
    <w:name w:val="Default Paragraph Font"/>
    <w:semiHidden/>
    <w:qFormat/>
    <w:uiPriority w:val="0"/>
  </w:style>
  <w:style w:type="table" w:default="1" w:styleId="48">
    <w:name w:val="Normal Table"/>
    <w:unhideWhenUsed/>
    <w:qFormat/>
    <w:uiPriority w:val="99"/>
    <w:pPr>
      <w:keepNext w:val="0"/>
      <w:keepLines w:val="0"/>
      <w:widowControl/>
      <w:suppressLineNumbers w:val="0"/>
      <w:spacing w:before="0" w:beforeAutospacing="0" w:after="0" w:afterAutospacing="0"/>
      <w:ind w:left="0" w:right="0"/>
    </w:pPr>
    <w:rPr>
      <w:rFonts w:hint="default" w:ascii="Calibri" w:hAnsi="Calibri" w:cs="Times New Roman"/>
      <w:sz w:val="20"/>
      <w:szCs w:val="20"/>
    </w:rPr>
    <w:tblPr>
      <w:tblCellMar>
        <w:top w:w="0" w:type="dxa"/>
        <w:left w:w="108" w:type="dxa"/>
        <w:bottom w:w="0" w:type="dxa"/>
        <w:right w:w="108" w:type="dxa"/>
      </w:tblCellMar>
    </w:tblPr>
  </w:style>
  <w:style w:type="paragraph" w:styleId="11">
    <w:name w:val="toc 7"/>
    <w:basedOn w:val="1"/>
    <w:next w:val="1"/>
    <w:unhideWhenUsed/>
    <w:qFormat/>
    <w:uiPriority w:val="39"/>
    <w:pPr>
      <w:ind w:left="1260"/>
      <w:jc w:val="left"/>
    </w:pPr>
    <w:rPr>
      <w:rFonts w:ascii="Calibri" w:hAnsi="Calibri"/>
      <w:sz w:val="18"/>
      <w:szCs w:val="18"/>
    </w:rPr>
  </w:style>
  <w:style w:type="paragraph" w:styleId="12">
    <w:name w:val="Normal Indent"/>
    <w:basedOn w:val="1"/>
    <w:qFormat/>
    <w:uiPriority w:val="0"/>
    <w:pPr>
      <w:ind w:firstLine="420" w:firstLineChars="200"/>
    </w:pPr>
  </w:style>
  <w:style w:type="paragraph" w:styleId="13">
    <w:name w:val="caption"/>
    <w:basedOn w:val="1"/>
    <w:next w:val="1"/>
    <w:qFormat/>
    <w:uiPriority w:val="0"/>
    <w:pPr>
      <w:adjustRightInd w:val="0"/>
      <w:spacing w:before="152" w:beforeLines="0" w:after="160" w:afterLines="0" w:line="360" w:lineRule="atLeast"/>
      <w:jc w:val="left"/>
      <w:textAlignment w:val="baseline"/>
    </w:pPr>
    <w:rPr>
      <w:rFonts w:ascii="Arial" w:hAnsi="Arial" w:eastAsia="黑体"/>
      <w:kern w:val="0"/>
      <w:sz w:val="24"/>
    </w:rPr>
  </w:style>
  <w:style w:type="paragraph" w:styleId="14">
    <w:name w:val="Document Map"/>
    <w:basedOn w:val="1"/>
    <w:link w:val="73"/>
    <w:semiHidden/>
    <w:qFormat/>
    <w:uiPriority w:val="0"/>
    <w:pPr>
      <w:shd w:val="clear" w:color="auto" w:fill="000080"/>
    </w:pPr>
  </w:style>
  <w:style w:type="paragraph" w:styleId="15">
    <w:name w:val="toa heading"/>
    <w:next w:val="1"/>
    <w:qFormat/>
    <w:uiPriority w:val="99"/>
    <w:pPr>
      <w:widowControl w:val="0"/>
      <w:autoSpaceDE w:val="0"/>
      <w:autoSpaceDN w:val="0"/>
      <w:adjustRightInd w:val="0"/>
      <w:spacing w:before="120"/>
    </w:pPr>
    <w:rPr>
      <w:rFonts w:ascii="Arial" w:hAnsi="Arial" w:eastAsia="宋体" w:cs="Times New Roman"/>
      <w:sz w:val="24"/>
      <w:lang w:val="en-US" w:eastAsia="zh-CN" w:bidi="ar-SA"/>
    </w:rPr>
  </w:style>
  <w:style w:type="paragraph" w:styleId="16">
    <w:name w:val="annotation text"/>
    <w:basedOn w:val="1"/>
    <w:link w:val="74"/>
    <w:semiHidden/>
    <w:qFormat/>
    <w:uiPriority w:val="0"/>
    <w:pPr>
      <w:jc w:val="left"/>
    </w:pPr>
  </w:style>
  <w:style w:type="paragraph" w:styleId="17">
    <w:name w:val="Body Text 3"/>
    <w:basedOn w:val="1"/>
    <w:link w:val="75"/>
    <w:qFormat/>
    <w:uiPriority w:val="0"/>
    <w:pPr>
      <w:spacing w:after="120" w:afterLines="0"/>
    </w:pPr>
    <w:rPr>
      <w:sz w:val="16"/>
      <w:szCs w:val="16"/>
    </w:rPr>
  </w:style>
  <w:style w:type="paragraph" w:styleId="18">
    <w:name w:val="Body Text"/>
    <w:basedOn w:val="1"/>
    <w:link w:val="76"/>
    <w:qFormat/>
    <w:uiPriority w:val="0"/>
    <w:rPr>
      <w:rFonts w:eastAsia="黑体"/>
      <w:sz w:val="36"/>
    </w:rPr>
  </w:style>
  <w:style w:type="paragraph" w:styleId="19">
    <w:name w:val="Body Text Indent"/>
    <w:basedOn w:val="1"/>
    <w:next w:val="20"/>
    <w:link w:val="77"/>
    <w:qFormat/>
    <w:uiPriority w:val="0"/>
    <w:pPr>
      <w:spacing w:after="120" w:afterLines="0"/>
      <w:ind w:left="420" w:leftChars="200"/>
    </w:pPr>
  </w:style>
  <w:style w:type="paragraph" w:styleId="20">
    <w:name w:val="envelope return"/>
    <w:basedOn w:val="1"/>
    <w:unhideWhenUsed/>
    <w:qFormat/>
    <w:uiPriority w:val="99"/>
    <w:pPr>
      <w:snapToGrid w:val="0"/>
    </w:pPr>
    <w:rPr>
      <w:rFonts w:ascii="Arial" w:hAnsi="Arial"/>
    </w:rPr>
  </w:style>
  <w:style w:type="paragraph" w:styleId="21">
    <w:name w:val="Block Text"/>
    <w:basedOn w:val="1"/>
    <w:qFormat/>
    <w:uiPriority w:val="0"/>
    <w:pPr>
      <w:spacing w:after="120" w:afterLines="0"/>
      <w:ind w:left="1440" w:leftChars="700" w:right="1440" w:rightChars="700"/>
    </w:pPr>
  </w:style>
  <w:style w:type="paragraph" w:styleId="22">
    <w:name w:val="List Bullet 2"/>
    <w:basedOn w:val="1"/>
    <w:qFormat/>
    <w:uiPriority w:val="0"/>
    <w:pPr>
      <w:numPr>
        <w:ilvl w:val="0"/>
        <w:numId w:val="1"/>
      </w:numPr>
    </w:pPr>
  </w:style>
  <w:style w:type="paragraph" w:styleId="23">
    <w:name w:val="toc 5"/>
    <w:basedOn w:val="1"/>
    <w:next w:val="1"/>
    <w:qFormat/>
    <w:uiPriority w:val="39"/>
    <w:pPr>
      <w:ind w:left="840"/>
      <w:jc w:val="left"/>
    </w:pPr>
    <w:rPr>
      <w:rFonts w:ascii="Calibri" w:hAnsi="Calibri"/>
      <w:sz w:val="18"/>
      <w:szCs w:val="18"/>
    </w:rPr>
  </w:style>
  <w:style w:type="paragraph" w:styleId="24">
    <w:name w:val="toc 3"/>
    <w:basedOn w:val="1"/>
    <w:next w:val="1"/>
    <w:qFormat/>
    <w:uiPriority w:val="39"/>
    <w:pPr>
      <w:ind w:left="420"/>
      <w:jc w:val="left"/>
    </w:pPr>
    <w:rPr>
      <w:rFonts w:ascii="Calibri" w:hAnsi="Calibri"/>
      <w:i/>
      <w:iCs/>
      <w:sz w:val="20"/>
      <w:szCs w:val="20"/>
    </w:rPr>
  </w:style>
  <w:style w:type="paragraph" w:styleId="25">
    <w:name w:val="Plain Text"/>
    <w:basedOn w:val="1"/>
    <w:link w:val="78"/>
    <w:qFormat/>
    <w:uiPriority w:val="0"/>
    <w:rPr>
      <w:rFonts w:ascii="宋体" w:hAnsi="Courier New"/>
      <w:szCs w:val="21"/>
    </w:rPr>
  </w:style>
  <w:style w:type="paragraph" w:styleId="26">
    <w:name w:val="toc 8"/>
    <w:basedOn w:val="1"/>
    <w:next w:val="1"/>
    <w:unhideWhenUsed/>
    <w:qFormat/>
    <w:uiPriority w:val="39"/>
    <w:pPr>
      <w:ind w:left="1470"/>
      <w:jc w:val="left"/>
    </w:pPr>
    <w:rPr>
      <w:rFonts w:ascii="Calibri" w:hAnsi="Calibri"/>
      <w:sz w:val="18"/>
      <w:szCs w:val="18"/>
    </w:rPr>
  </w:style>
  <w:style w:type="paragraph" w:styleId="27">
    <w:name w:val="Date"/>
    <w:basedOn w:val="1"/>
    <w:next w:val="1"/>
    <w:link w:val="79"/>
    <w:qFormat/>
    <w:uiPriority w:val="0"/>
    <w:pPr>
      <w:adjustRightInd w:val="0"/>
      <w:spacing w:line="360" w:lineRule="atLeast"/>
    </w:pPr>
    <w:rPr>
      <w:rFonts w:ascii="宋体"/>
      <w:kern w:val="0"/>
      <w:sz w:val="24"/>
      <w:szCs w:val="20"/>
    </w:rPr>
  </w:style>
  <w:style w:type="paragraph" w:styleId="28">
    <w:name w:val="Body Text Indent 2"/>
    <w:basedOn w:val="1"/>
    <w:link w:val="80"/>
    <w:qFormat/>
    <w:uiPriority w:val="0"/>
    <w:pPr>
      <w:spacing w:after="120" w:afterLines="0" w:line="480" w:lineRule="auto"/>
      <w:ind w:left="420" w:leftChars="200"/>
    </w:pPr>
  </w:style>
  <w:style w:type="paragraph" w:styleId="29">
    <w:name w:val="endnote text"/>
    <w:basedOn w:val="1"/>
    <w:link w:val="81"/>
    <w:qFormat/>
    <w:uiPriority w:val="0"/>
    <w:pPr>
      <w:snapToGrid w:val="0"/>
      <w:jc w:val="left"/>
    </w:pPr>
  </w:style>
  <w:style w:type="paragraph" w:styleId="30">
    <w:name w:val="Balloon Text"/>
    <w:basedOn w:val="1"/>
    <w:link w:val="82"/>
    <w:semiHidden/>
    <w:qFormat/>
    <w:uiPriority w:val="0"/>
    <w:rPr>
      <w:sz w:val="18"/>
      <w:szCs w:val="18"/>
    </w:rPr>
  </w:style>
  <w:style w:type="paragraph" w:styleId="31">
    <w:name w:val="footer"/>
    <w:basedOn w:val="1"/>
    <w:link w:val="83"/>
    <w:unhideWhenUsed/>
    <w:qFormat/>
    <w:uiPriority w:val="99"/>
    <w:pPr>
      <w:tabs>
        <w:tab w:val="center" w:pos="4153"/>
        <w:tab w:val="right" w:pos="8306"/>
      </w:tabs>
      <w:snapToGrid w:val="0"/>
      <w:jc w:val="left"/>
    </w:pPr>
    <w:rPr>
      <w:kern w:val="0"/>
      <w:sz w:val="18"/>
      <w:szCs w:val="18"/>
    </w:rPr>
  </w:style>
  <w:style w:type="paragraph" w:styleId="32">
    <w:name w:val="header"/>
    <w:basedOn w:val="1"/>
    <w:link w:val="84"/>
    <w:unhideWhenUsed/>
    <w:qFormat/>
    <w:uiPriority w:val="0"/>
    <w:pPr>
      <w:pBdr>
        <w:bottom w:val="single" w:color="auto" w:sz="6" w:space="1"/>
      </w:pBdr>
      <w:tabs>
        <w:tab w:val="center" w:pos="4153"/>
        <w:tab w:val="right" w:pos="8306"/>
      </w:tabs>
      <w:snapToGrid w:val="0"/>
      <w:jc w:val="center"/>
    </w:pPr>
    <w:rPr>
      <w:kern w:val="0"/>
      <w:sz w:val="18"/>
      <w:szCs w:val="18"/>
    </w:rPr>
  </w:style>
  <w:style w:type="paragraph" w:styleId="33">
    <w:name w:val="toc 1"/>
    <w:basedOn w:val="1"/>
    <w:next w:val="1"/>
    <w:qFormat/>
    <w:uiPriority w:val="39"/>
    <w:pPr>
      <w:spacing w:before="120" w:after="120"/>
      <w:jc w:val="left"/>
    </w:pPr>
    <w:rPr>
      <w:rFonts w:ascii="Calibri" w:hAnsi="Calibri"/>
      <w:b/>
      <w:bCs/>
      <w:caps/>
      <w:sz w:val="20"/>
      <w:szCs w:val="20"/>
    </w:rPr>
  </w:style>
  <w:style w:type="paragraph" w:styleId="34">
    <w:name w:val="toc 4"/>
    <w:basedOn w:val="1"/>
    <w:next w:val="1"/>
    <w:qFormat/>
    <w:uiPriority w:val="39"/>
    <w:pPr>
      <w:ind w:left="630"/>
      <w:jc w:val="left"/>
    </w:pPr>
    <w:rPr>
      <w:rFonts w:ascii="Calibri" w:hAnsi="Calibri"/>
      <w:sz w:val="18"/>
      <w:szCs w:val="18"/>
    </w:rPr>
  </w:style>
  <w:style w:type="paragraph" w:styleId="35">
    <w:name w:val="List"/>
    <w:basedOn w:val="1"/>
    <w:qFormat/>
    <w:uiPriority w:val="0"/>
    <w:pPr>
      <w:adjustRightInd w:val="0"/>
      <w:spacing w:line="360" w:lineRule="atLeast"/>
      <w:ind w:left="420" w:hanging="420"/>
      <w:jc w:val="left"/>
    </w:pPr>
    <w:rPr>
      <w:rFonts w:hint="eastAsia" w:ascii="宋体"/>
      <w:kern w:val="0"/>
      <w:sz w:val="24"/>
      <w:szCs w:val="20"/>
    </w:rPr>
  </w:style>
  <w:style w:type="paragraph" w:styleId="36">
    <w:name w:val="footnote text"/>
    <w:basedOn w:val="1"/>
    <w:link w:val="85"/>
    <w:qFormat/>
    <w:uiPriority w:val="99"/>
    <w:pPr>
      <w:snapToGrid w:val="0"/>
      <w:jc w:val="left"/>
    </w:pPr>
    <w:rPr>
      <w:sz w:val="18"/>
      <w:szCs w:val="18"/>
    </w:rPr>
  </w:style>
  <w:style w:type="paragraph" w:styleId="37">
    <w:name w:val="toc 6"/>
    <w:basedOn w:val="1"/>
    <w:next w:val="1"/>
    <w:unhideWhenUsed/>
    <w:qFormat/>
    <w:uiPriority w:val="39"/>
    <w:pPr>
      <w:ind w:left="1050"/>
      <w:jc w:val="left"/>
    </w:pPr>
    <w:rPr>
      <w:rFonts w:ascii="Calibri" w:hAnsi="Calibri"/>
      <w:sz w:val="18"/>
      <w:szCs w:val="18"/>
    </w:rPr>
  </w:style>
  <w:style w:type="paragraph" w:styleId="38">
    <w:name w:val="Body Text Indent 3"/>
    <w:basedOn w:val="1"/>
    <w:link w:val="86"/>
    <w:qFormat/>
    <w:uiPriority w:val="0"/>
    <w:pPr>
      <w:spacing w:after="120" w:afterLines="0"/>
      <w:ind w:left="420" w:leftChars="200"/>
    </w:pPr>
    <w:rPr>
      <w:sz w:val="16"/>
      <w:szCs w:val="16"/>
    </w:rPr>
  </w:style>
  <w:style w:type="paragraph" w:styleId="39">
    <w:name w:val="toc 2"/>
    <w:basedOn w:val="1"/>
    <w:next w:val="1"/>
    <w:qFormat/>
    <w:uiPriority w:val="39"/>
    <w:pPr>
      <w:ind w:left="210"/>
      <w:jc w:val="left"/>
    </w:pPr>
    <w:rPr>
      <w:rFonts w:ascii="Calibri" w:hAnsi="Calibri"/>
      <w:smallCaps/>
      <w:sz w:val="20"/>
      <w:szCs w:val="20"/>
    </w:rPr>
  </w:style>
  <w:style w:type="paragraph" w:styleId="40">
    <w:name w:val="toc 9"/>
    <w:basedOn w:val="1"/>
    <w:next w:val="1"/>
    <w:unhideWhenUsed/>
    <w:qFormat/>
    <w:uiPriority w:val="39"/>
    <w:pPr>
      <w:ind w:left="1680"/>
      <w:jc w:val="left"/>
    </w:pPr>
    <w:rPr>
      <w:rFonts w:ascii="Calibri" w:hAnsi="Calibri"/>
      <w:sz w:val="18"/>
      <w:szCs w:val="18"/>
    </w:rPr>
  </w:style>
  <w:style w:type="paragraph" w:styleId="41">
    <w:name w:val="Body Text 2"/>
    <w:basedOn w:val="1"/>
    <w:link w:val="87"/>
    <w:qFormat/>
    <w:uiPriority w:val="0"/>
    <w:pPr>
      <w:jc w:val="center"/>
    </w:pPr>
    <w:rPr>
      <w:rFonts w:eastAsia="黑体"/>
      <w:bCs/>
      <w:sz w:val="72"/>
    </w:rPr>
  </w:style>
  <w:style w:type="paragraph" w:styleId="42">
    <w:name w:val="Normal (Web)"/>
    <w:basedOn w:val="1"/>
    <w:qFormat/>
    <w:uiPriority w:val="99"/>
    <w:pPr>
      <w:widowControl/>
      <w:spacing w:before="100" w:beforeLines="0" w:beforeAutospacing="1" w:after="100" w:afterLines="0" w:afterAutospacing="1"/>
      <w:jc w:val="left"/>
    </w:pPr>
    <w:rPr>
      <w:rFonts w:ascii="宋体" w:hAnsi="宋体"/>
      <w:color w:val="000000"/>
      <w:kern w:val="0"/>
      <w:sz w:val="24"/>
    </w:rPr>
  </w:style>
  <w:style w:type="paragraph" w:styleId="43">
    <w:name w:val="index 1"/>
    <w:basedOn w:val="1"/>
    <w:next w:val="1"/>
    <w:semiHidden/>
    <w:qFormat/>
    <w:uiPriority w:val="0"/>
    <w:pPr>
      <w:spacing w:line="220" w:lineRule="exact"/>
      <w:jc w:val="center"/>
    </w:pPr>
    <w:rPr>
      <w:rFonts w:ascii="仿宋_GB2312" w:eastAsia="仿宋_GB2312"/>
      <w:szCs w:val="21"/>
    </w:rPr>
  </w:style>
  <w:style w:type="paragraph" w:styleId="44">
    <w:name w:val="Title"/>
    <w:basedOn w:val="1"/>
    <w:link w:val="88"/>
    <w:qFormat/>
    <w:uiPriority w:val="0"/>
    <w:pPr>
      <w:adjustRightInd w:val="0"/>
      <w:spacing w:before="240" w:beforeLines="0" w:after="60" w:afterLines="0" w:line="360" w:lineRule="atLeast"/>
      <w:jc w:val="center"/>
      <w:outlineLvl w:val="0"/>
    </w:pPr>
    <w:rPr>
      <w:rFonts w:ascii="Arial" w:hAnsi="Arial"/>
      <w:b/>
      <w:kern w:val="0"/>
      <w:sz w:val="32"/>
      <w:szCs w:val="20"/>
    </w:rPr>
  </w:style>
  <w:style w:type="paragraph" w:styleId="45">
    <w:name w:val="annotation subject"/>
    <w:basedOn w:val="16"/>
    <w:next w:val="16"/>
    <w:link w:val="89"/>
    <w:semiHidden/>
    <w:qFormat/>
    <w:uiPriority w:val="0"/>
    <w:rPr>
      <w:b/>
      <w:bCs/>
    </w:rPr>
  </w:style>
  <w:style w:type="paragraph" w:styleId="46">
    <w:name w:val="Body Text First Indent"/>
    <w:basedOn w:val="18"/>
    <w:link w:val="90"/>
    <w:qFormat/>
    <w:uiPriority w:val="0"/>
    <w:pPr>
      <w:tabs>
        <w:tab w:val="left" w:pos="1418"/>
      </w:tabs>
      <w:autoSpaceDE w:val="0"/>
      <w:autoSpaceDN w:val="0"/>
      <w:adjustRightInd w:val="0"/>
      <w:spacing w:before="120" w:beforeLines="0" w:after="120" w:afterLines="0"/>
      <w:ind w:left="1418" w:hanging="567"/>
      <w:jc w:val="left"/>
    </w:pPr>
    <w:rPr>
      <w:rFonts w:eastAsia="PMingLiU"/>
      <w:lang w:eastAsia="zh-TW"/>
    </w:rPr>
  </w:style>
  <w:style w:type="paragraph" w:styleId="47">
    <w:name w:val="Body Text First Indent 2"/>
    <w:basedOn w:val="19"/>
    <w:next w:val="1"/>
    <w:unhideWhenUsed/>
    <w:qFormat/>
    <w:uiPriority w:val="0"/>
    <w:pPr>
      <w:ind w:firstLine="420" w:firstLineChars="200"/>
    </w:pPr>
  </w:style>
  <w:style w:type="table" w:styleId="49">
    <w:name w:val="Table Grid"/>
    <w:basedOn w:val="48"/>
    <w:unhideWhenUsed/>
    <w:qFormat/>
    <w:uiPriority w:val="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51">
    <w:name w:val="Strong"/>
    <w:qFormat/>
    <w:uiPriority w:val="22"/>
    <w:rPr>
      <w:b/>
      <w:bCs/>
    </w:rPr>
  </w:style>
  <w:style w:type="character" w:styleId="52">
    <w:name w:val="endnote reference"/>
    <w:qFormat/>
    <w:uiPriority w:val="0"/>
    <w:rPr>
      <w:vertAlign w:val="superscript"/>
    </w:rPr>
  </w:style>
  <w:style w:type="character" w:styleId="53">
    <w:name w:val="page number"/>
    <w:qFormat/>
    <w:uiPriority w:val="0"/>
  </w:style>
  <w:style w:type="character" w:styleId="54">
    <w:name w:val="FollowedHyperlink"/>
    <w:qFormat/>
    <w:uiPriority w:val="0"/>
    <w:rPr>
      <w:color w:val="333333"/>
      <w:u w:val="none"/>
    </w:rPr>
  </w:style>
  <w:style w:type="character" w:styleId="55">
    <w:name w:val="Emphasis"/>
    <w:qFormat/>
    <w:uiPriority w:val="0"/>
    <w:rPr>
      <w:i/>
    </w:rPr>
  </w:style>
  <w:style w:type="character" w:styleId="56">
    <w:name w:val="HTML Definition"/>
    <w:qFormat/>
    <w:uiPriority w:val="0"/>
    <w:rPr>
      <w:i/>
      <w:iCs/>
    </w:rPr>
  </w:style>
  <w:style w:type="character" w:styleId="57">
    <w:name w:val="HTML Acronym"/>
    <w:qFormat/>
    <w:uiPriority w:val="0"/>
    <w:rPr>
      <w:color w:val="222E3A"/>
      <w:sz w:val="25"/>
      <w:szCs w:val="25"/>
    </w:rPr>
  </w:style>
  <w:style w:type="character" w:styleId="58">
    <w:name w:val="Hyperlink"/>
    <w:qFormat/>
    <w:uiPriority w:val="99"/>
    <w:rPr>
      <w:color w:val="333333"/>
      <w:u w:val="none"/>
    </w:rPr>
  </w:style>
  <w:style w:type="character" w:styleId="59">
    <w:name w:val="HTML Code"/>
    <w:qFormat/>
    <w:uiPriority w:val="0"/>
    <w:rPr>
      <w:rFonts w:hint="default" w:ascii="monospace" w:hAnsi="monospace" w:eastAsia="monospace" w:cs="monospace"/>
      <w:sz w:val="21"/>
      <w:szCs w:val="21"/>
    </w:rPr>
  </w:style>
  <w:style w:type="character" w:styleId="60">
    <w:name w:val="annotation reference"/>
    <w:qFormat/>
    <w:uiPriority w:val="0"/>
    <w:rPr>
      <w:sz w:val="21"/>
      <w:szCs w:val="21"/>
    </w:rPr>
  </w:style>
  <w:style w:type="character" w:styleId="61">
    <w:name w:val="footnote reference"/>
    <w:qFormat/>
    <w:uiPriority w:val="99"/>
    <w:rPr>
      <w:vertAlign w:val="superscript"/>
    </w:rPr>
  </w:style>
  <w:style w:type="character" w:styleId="62">
    <w:name w:val="HTML Keyboard"/>
    <w:qFormat/>
    <w:uiPriority w:val="0"/>
    <w:rPr>
      <w:rFonts w:ascii="monospace" w:hAnsi="monospace" w:eastAsia="monospace" w:cs="monospace"/>
      <w:sz w:val="21"/>
      <w:szCs w:val="21"/>
    </w:rPr>
  </w:style>
  <w:style w:type="character" w:styleId="63">
    <w:name w:val="HTML Sample"/>
    <w:qFormat/>
    <w:uiPriority w:val="0"/>
    <w:rPr>
      <w:rFonts w:hint="default" w:ascii="monospace" w:hAnsi="monospace" w:eastAsia="monospace" w:cs="monospace"/>
      <w:sz w:val="21"/>
      <w:szCs w:val="21"/>
    </w:rPr>
  </w:style>
  <w:style w:type="character" w:customStyle="1" w:styleId="64">
    <w:name w:val="标题 1 字符"/>
    <w:link w:val="2"/>
    <w:qFormat/>
    <w:uiPriority w:val="9"/>
    <w:rPr>
      <w:rFonts w:eastAsia="宋体"/>
      <w:b/>
      <w:bCs/>
      <w:kern w:val="44"/>
      <w:sz w:val="44"/>
      <w:szCs w:val="44"/>
      <w:lang w:val="en-US" w:eastAsia="zh-CN" w:bidi="ar-SA"/>
    </w:rPr>
  </w:style>
  <w:style w:type="character" w:customStyle="1" w:styleId="65">
    <w:name w:val="标题 2 字符"/>
    <w:link w:val="3"/>
    <w:qFormat/>
    <w:uiPriority w:val="9"/>
    <w:rPr>
      <w:rFonts w:ascii="Cambria" w:hAnsi="Cambria" w:eastAsia="宋体"/>
      <w:b/>
      <w:bCs/>
      <w:kern w:val="2"/>
      <w:sz w:val="32"/>
      <w:szCs w:val="32"/>
      <w:lang w:val="en-US" w:eastAsia="zh-CN" w:bidi="ar-SA"/>
    </w:rPr>
  </w:style>
  <w:style w:type="character" w:customStyle="1" w:styleId="66">
    <w:name w:val="标题 3 字符"/>
    <w:link w:val="4"/>
    <w:qFormat/>
    <w:uiPriority w:val="0"/>
    <w:rPr>
      <w:b/>
      <w:bCs/>
      <w:kern w:val="2"/>
      <w:sz w:val="32"/>
      <w:szCs w:val="32"/>
    </w:rPr>
  </w:style>
  <w:style w:type="character" w:customStyle="1" w:styleId="67">
    <w:name w:val="标题 4 字符"/>
    <w:link w:val="5"/>
    <w:qFormat/>
    <w:uiPriority w:val="0"/>
    <w:rPr>
      <w:rFonts w:ascii="Cambria" w:hAnsi="Cambria" w:eastAsia="宋体"/>
      <w:b/>
      <w:bCs/>
      <w:iCs/>
      <w:color w:val="4F81BD"/>
      <w:sz w:val="22"/>
      <w:szCs w:val="24"/>
      <w:lang w:val="en-US" w:eastAsia="en-US" w:bidi="en-US"/>
    </w:rPr>
  </w:style>
  <w:style w:type="character" w:customStyle="1" w:styleId="68">
    <w:name w:val="标题 5 字符"/>
    <w:link w:val="6"/>
    <w:qFormat/>
    <w:uiPriority w:val="0"/>
    <w:rPr>
      <w:rFonts w:ascii="Cambria" w:hAnsi="Cambria" w:eastAsia="宋体"/>
      <w:color w:val="243F60"/>
      <w:sz w:val="22"/>
      <w:szCs w:val="24"/>
      <w:lang w:val="en-US" w:eastAsia="en-US" w:bidi="en-US"/>
    </w:rPr>
  </w:style>
  <w:style w:type="character" w:customStyle="1" w:styleId="69">
    <w:name w:val="标题 6 字符"/>
    <w:link w:val="7"/>
    <w:qFormat/>
    <w:uiPriority w:val="0"/>
    <w:rPr>
      <w:rFonts w:ascii="Arial" w:hAnsi="Arial" w:eastAsia="黑体"/>
      <w:b/>
      <w:sz w:val="24"/>
      <w:lang w:val="en-US" w:eastAsia="zh-CN" w:bidi="ar-SA"/>
    </w:rPr>
  </w:style>
  <w:style w:type="character" w:customStyle="1" w:styleId="70">
    <w:name w:val="标题 7 字符"/>
    <w:link w:val="8"/>
    <w:qFormat/>
    <w:uiPriority w:val="0"/>
    <w:rPr>
      <w:rFonts w:eastAsia="宋体"/>
      <w:b/>
      <w:sz w:val="24"/>
      <w:lang w:val="en-US" w:eastAsia="zh-CN" w:bidi="ar-SA"/>
    </w:rPr>
  </w:style>
  <w:style w:type="character" w:customStyle="1" w:styleId="71">
    <w:name w:val="标题 8 字符"/>
    <w:link w:val="9"/>
    <w:qFormat/>
    <w:uiPriority w:val="0"/>
    <w:rPr>
      <w:rFonts w:ascii="Arial" w:hAnsi="Arial" w:eastAsia="黑体"/>
      <w:sz w:val="24"/>
      <w:lang w:val="en-US" w:eastAsia="zh-CN" w:bidi="ar-SA"/>
    </w:rPr>
  </w:style>
  <w:style w:type="character" w:customStyle="1" w:styleId="72">
    <w:name w:val="标题 9 字符"/>
    <w:link w:val="10"/>
    <w:qFormat/>
    <w:uiPriority w:val="0"/>
    <w:rPr>
      <w:rFonts w:ascii="Arial" w:hAnsi="Arial" w:eastAsia="黑体"/>
      <w:sz w:val="21"/>
      <w:lang w:val="en-US" w:eastAsia="zh-CN" w:bidi="ar-SA"/>
    </w:rPr>
  </w:style>
  <w:style w:type="character" w:customStyle="1" w:styleId="73">
    <w:name w:val="文档结构图 字符"/>
    <w:link w:val="14"/>
    <w:semiHidden/>
    <w:qFormat/>
    <w:uiPriority w:val="0"/>
    <w:rPr>
      <w:rFonts w:eastAsia="宋体"/>
      <w:kern w:val="2"/>
      <w:sz w:val="21"/>
      <w:szCs w:val="24"/>
      <w:lang w:val="en-US" w:eastAsia="zh-CN" w:bidi="ar-SA"/>
    </w:rPr>
  </w:style>
  <w:style w:type="character" w:customStyle="1" w:styleId="74">
    <w:name w:val="批注文字 字符"/>
    <w:link w:val="16"/>
    <w:semiHidden/>
    <w:qFormat/>
    <w:uiPriority w:val="0"/>
    <w:rPr>
      <w:rFonts w:eastAsia="宋体"/>
      <w:kern w:val="2"/>
      <w:sz w:val="21"/>
      <w:szCs w:val="24"/>
      <w:lang w:val="en-US" w:eastAsia="zh-CN" w:bidi="ar-SA"/>
    </w:rPr>
  </w:style>
  <w:style w:type="character" w:customStyle="1" w:styleId="75">
    <w:name w:val="正文文本 3 字符"/>
    <w:link w:val="17"/>
    <w:qFormat/>
    <w:uiPriority w:val="0"/>
    <w:rPr>
      <w:rFonts w:eastAsia="宋体"/>
      <w:kern w:val="2"/>
      <w:sz w:val="16"/>
      <w:szCs w:val="16"/>
      <w:lang w:val="en-US" w:eastAsia="zh-CN" w:bidi="ar-SA"/>
    </w:rPr>
  </w:style>
  <w:style w:type="character" w:customStyle="1" w:styleId="76">
    <w:name w:val="正文文本 字符"/>
    <w:link w:val="18"/>
    <w:qFormat/>
    <w:uiPriority w:val="0"/>
    <w:rPr>
      <w:rFonts w:eastAsia="黑体"/>
      <w:kern w:val="2"/>
      <w:sz w:val="36"/>
      <w:szCs w:val="24"/>
      <w:lang w:val="en-US" w:eastAsia="zh-CN" w:bidi="ar-SA"/>
    </w:rPr>
  </w:style>
  <w:style w:type="character" w:customStyle="1" w:styleId="77">
    <w:name w:val="正文文本缩进 字符"/>
    <w:link w:val="19"/>
    <w:qFormat/>
    <w:uiPriority w:val="0"/>
    <w:rPr>
      <w:rFonts w:eastAsia="宋体"/>
      <w:kern w:val="2"/>
      <w:sz w:val="21"/>
      <w:szCs w:val="24"/>
      <w:lang w:val="en-US" w:eastAsia="zh-CN" w:bidi="ar-SA"/>
    </w:rPr>
  </w:style>
  <w:style w:type="character" w:customStyle="1" w:styleId="78">
    <w:name w:val="纯文本 字符"/>
    <w:link w:val="25"/>
    <w:qFormat/>
    <w:uiPriority w:val="0"/>
    <w:rPr>
      <w:rFonts w:ascii="宋体" w:hAnsi="Courier New" w:eastAsia="宋体"/>
      <w:kern w:val="2"/>
      <w:sz w:val="21"/>
      <w:szCs w:val="21"/>
      <w:lang w:val="en-US" w:eastAsia="zh-CN" w:bidi="ar-SA"/>
    </w:rPr>
  </w:style>
  <w:style w:type="character" w:customStyle="1" w:styleId="79">
    <w:name w:val="日期 字符"/>
    <w:link w:val="27"/>
    <w:qFormat/>
    <w:uiPriority w:val="0"/>
    <w:rPr>
      <w:rFonts w:ascii="宋体" w:eastAsia="宋体"/>
      <w:sz w:val="24"/>
      <w:lang w:val="en-US" w:eastAsia="zh-CN" w:bidi="ar-SA"/>
    </w:rPr>
  </w:style>
  <w:style w:type="character" w:customStyle="1" w:styleId="80">
    <w:name w:val="正文文本缩进 2 字符"/>
    <w:link w:val="28"/>
    <w:qFormat/>
    <w:uiPriority w:val="0"/>
    <w:rPr>
      <w:rFonts w:eastAsia="宋体"/>
      <w:kern w:val="2"/>
      <w:sz w:val="21"/>
      <w:szCs w:val="24"/>
      <w:lang w:val="en-US" w:eastAsia="zh-CN" w:bidi="ar-SA"/>
    </w:rPr>
  </w:style>
  <w:style w:type="character" w:customStyle="1" w:styleId="81">
    <w:name w:val="尾注文本 字符"/>
    <w:link w:val="29"/>
    <w:qFormat/>
    <w:uiPriority w:val="0"/>
    <w:rPr>
      <w:kern w:val="2"/>
      <w:sz w:val="21"/>
      <w:szCs w:val="24"/>
    </w:rPr>
  </w:style>
  <w:style w:type="character" w:customStyle="1" w:styleId="82">
    <w:name w:val="批注框文本 字符"/>
    <w:link w:val="30"/>
    <w:semiHidden/>
    <w:qFormat/>
    <w:uiPriority w:val="0"/>
    <w:rPr>
      <w:rFonts w:eastAsia="宋体"/>
      <w:kern w:val="2"/>
      <w:sz w:val="18"/>
      <w:szCs w:val="18"/>
      <w:lang w:val="en-US" w:eastAsia="zh-CN" w:bidi="ar-SA"/>
    </w:rPr>
  </w:style>
  <w:style w:type="character" w:customStyle="1" w:styleId="83">
    <w:name w:val="页脚 字符"/>
    <w:link w:val="31"/>
    <w:qFormat/>
    <w:uiPriority w:val="99"/>
    <w:rPr>
      <w:rFonts w:eastAsia="宋体"/>
      <w:sz w:val="18"/>
      <w:szCs w:val="18"/>
      <w:lang w:val="en-US" w:eastAsia="zh-CN" w:bidi="ar-SA"/>
    </w:rPr>
  </w:style>
  <w:style w:type="character" w:customStyle="1" w:styleId="84">
    <w:name w:val="页眉 字符"/>
    <w:link w:val="32"/>
    <w:qFormat/>
    <w:uiPriority w:val="0"/>
    <w:rPr>
      <w:rFonts w:eastAsia="宋体"/>
      <w:sz w:val="18"/>
      <w:szCs w:val="18"/>
      <w:lang w:val="en-US" w:eastAsia="zh-CN" w:bidi="ar-SA"/>
    </w:rPr>
  </w:style>
  <w:style w:type="character" w:customStyle="1" w:styleId="85">
    <w:name w:val="脚注文本 字符"/>
    <w:link w:val="36"/>
    <w:qFormat/>
    <w:uiPriority w:val="99"/>
    <w:rPr>
      <w:kern w:val="2"/>
      <w:sz w:val="18"/>
      <w:szCs w:val="18"/>
    </w:rPr>
  </w:style>
  <w:style w:type="character" w:customStyle="1" w:styleId="86">
    <w:name w:val="正文文本缩进 3 字符"/>
    <w:link w:val="38"/>
    <w:qFormat/>
    <w:uiPriority w:val="0"/>
    <w:rPr>
      <w:rFonts w:eastAsia="宋体"/>
      <w:kern w:val="2"/>
      <w:sz w:val="16"/>
      <w:szCs w:val="16"/>
      <w:lang w:val="en-US" w:eastAsia="zh-CN" w:bidi="ar-SA"/>
    </w:rPr>
  </w:style>
  <w:style w:type="character" w:customStyle="1" w:styleId="87">
    <w:name w:val="正文文本 2 字符"/>
    <w:link w:val="41"/>
    <w:qFormat/>
    <w:uiPriority w:val="0"/>
    <w:rPr>
      <w:rFonts w:eastAsia="黑体"/>
      <w:bCs/>
      <w:kern w:val="2"/>
      <w:sz w:val="72"/>
      <w:szCs w:val="24"/>
      <w:lang w:val="en-US" w:eastAsia="zh-CN" w:bidi="ar-SA"/>
    </w:rPr>
  </w:style>
  <w:style w:type="character" w:customStyle="1" w:styleId="88">
    <w:name w:val="标题 字符"/>
    <w:link w:val="44"/>
    <w:qFormat/>
    <w:uiPriority w:val="0"/>
    <w:rPr>
      <w:rFonts w:ascii="Arial" w:hAnsi="Arial" w:eastAsia="宋体"/>
      <w:b/>
      <w:sz w:val="32"/>
      <w:lang w:val="en-US" w:eastAsia="zh-CN" w:bidi="ar-SA"/>
    </w:rPr>
  </w:style>
  <w:style w:type="character" w:customStyle="1" w:styleId="89">
    <w:name w:val="批注主题 字符"/>
    <w:link w:val="45"/>
    <w:semiHidden/>
    <w:qFormat/>
    <w:uiPriority w:val="0"/>
    <w:rPr>
      <w:rFonts w:eastAsia="宋体"/>
      <w:b/>
      <w:bCs/>
      <w:kern w:val="2"/>
      <w:sz w:val="21"/>
      <w:szCs w:val="24"/>
      <w:lang w:val="en-US" w:eastAsia="zh-CN" w:bidi="ar-SA"/>
    </w:rPr>
  </w:style>
  <w:style w:type="character" w:customStyle="1" w:styleId="90">
    <w:name w:val="正文首行缩进 字符"/>
    <w:link w:val="46"/>
    <w:qFormat/>
    <w:uiPriority w:val="0"/>
    <w:rPr>
      <w:rFonts w:eastAsia="PMingLiU"/>
      <w:kern w:val="2"/>
      <w:sz w:val="36"/>
      <w:szCs w:val="24"/>
      <w:lang w:val="en-US" w:eastAsia="zh-TW" w:bidi="ar-SA"/>
    </w:rPr>
  </w:style>
  <w:style w:type="character" w:customStyle="1" w:styleId="91">
    <w:name w:val="标题 3 字符1"/>
    <w:link w:val="4"/>
    <w:qFormat/>
    <w:uiPriority w:val="0"/>
    <w:rPr>
      <w:rFonts w:ascii="宋体" w:hAnsi="宋体"/>
      <w:b/>
      <w:bCs/>
      <w:sz w:val="28"/>
      <w:szCs w:val="24"/>
      <w:lang w:eastAsia="en-US" w:bidi="en-US"/>
    </w:rPr>
  </w:style>
  <w:style w:type="paragraph" w:customStyle="1" w:styleId="92">
    <w:name w:val="AONormal"/>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 w:type="paragraph" w:customStyle="1" w:styleId="93">
    <w:name w:val="列出段落1"/>
    <w:basedOn w:val="1"/>
    <w:qFormat/>
    <w:uiPriority w:val="0"/>
    <w:pPr>
      <w:ind w:firstLine="420" w:firstLineChars="200"/>
    </w:pPr>
  </w:style>
  <w:style w:type="character" w:customStyle="1" w:styleId="94">
    <w:name w:val="脚注文本 字符1"/>
    <w:qFormat/>
    <w:uiPriority w:val="0"/>
    <w:rPr>
      <w:kern w:val="2"/>
      <w:sz w:val="18"/>
      <w:szCs w:val="18"/>
    </w:rPr>
  </w:style>
  <w:style w:type="character" w:customStyle="1" w:styleId="95">
    <w:name w:val="font161"/>
    <w:qFormat/>
    <w:uiPriority w:val="0"/>
    <w:rPr>
      <w:b/>
      <w:bCs/>
      <w:sz w:val="32"/>
      <w:szCs w:val="32"/>
    </w:rPr>
  </w:style>
  <w:style w:type="character" w:customStyle="1" w:styleId="96">
    <w:name w:val="Char Char11"/>
    <w:qFormat/>
    <w:uiPriority w:val="0"/>
    <w:rPr>
      <w:rFonts w:ascii="宋体" w:eastAsia="宋体" w:cs="Times New Roman"/>
      <w:sz w:val="24"/>
      <w:lang w:val="en-US" w:eastAsia="zh-CN" w:bidi="ar-SA"/>
    </w:rPr>
  </w:style>
  <w:style w:type="character" w:customStyle="1" w:styleId="97">
    <w:name w:val="Heading 1 Char"/>
    <w:qFormat/>
    <w:locked/>
    <w:uiPriority w:val="0"/>
    <w:rPr>
      <w:rFonts w:ascii="Times New Roman" w:hAnsi="Times New Roman" w:eastAsia="宋体" w:cs="Times New Roman"/>
      <w:b/>
      <w:bCs/>
      <w:kern w:val="44"/>
      <w:sz w:val="44"/>
      <w:szCs w:val="44"/>
    </w:rPr>
  </w:style>
  <w:style w:type="character" w:customStyle="1" w:styleId="98">
    <w:name w:val="Footer Char"/>
    <w:qFormat/>
    <w:locked/>
    <w:uiPriority w:val="0"/>
    <w:rPr>
      <w:rFonts w:ascii="宋体" w:cs="Times New Roman"/>
      <w:sz w:val="24"/>
      <w:szCs w:val="24"/>
    </w:rPr>
  </w:style>
  <w:style w:type="character" w:customStyle="1" w:styleId="99">
    <w:name w:val="Char Char1"/>
    <w:qFormat/>
    <w:uiPriority w:val="0"/>
    <w:rPr>
      <w:rFonts w:eastAsia="宋体"/>
      <w:kern w:val="2"/>
      <w:sz w:val="24"/>
      <w:lang w:val="en-US" w:eastAsia="zh-CN" w:bidi="ar-SA"/>
    </w:rPr>
  </w:style>
  <w:style w:type="character" w:customStyle="1" w:styleId="100">
    <w:name w:val="f14b1"/>
    <w:qFormat/>
    <w:uiPriority w:val="0"/>
    <w:rPr>
      <w:rFonts w:cs="Times New Roman"/>
      <w:b/>
      <w:bCs/>
      <w:sz w:val="21"/>
      <w:szCs w:val="21"/>
    </w:rPr>
  </w:style>
  <w:style w:type="character" w:customStyle="1" w:styleId="101">
    <w:name w:val="Plain Text Char"/>
    <w:qFormat/>
    <w:locked/>
    <w:uiPriority w:val="0"/>
    <w:rPr>
      <w:rFonts w:ascii="宋体" w:hAnsi="宋体" w:eastAsia="宋体" w:cs="宋体"/>
      <w:kern w:val="0"/>
      <w:sz w:val="24"/>
      <w:szCs w:val="24"/>
    </w:rPr>
  </w:style>
  <w:style w:type="character" w:customStyle="1" w:styleId="102">
    <w:name w:val="apple-converted-space"/>
    <w:qFormat/>
    <w:uiPriority w:val="0"/>
  </w:style>
  <w:style w:type="character" w:customStyle="1" w:styleId="103">
    <w:name w:val="Heading 2 Char"/>
    <w:qFormat/>
    <w:locked/>
    <w:uiPriority w:val="0"/>
    <w:rPr>
      <w:rFonts w:ascii="宋体" w:hAnsi="宋体" w:eastAsia="宋体" w:cs="Times New Roman"/>
      <w:kern w:val="0"/>
      <w:sz w:val="20"/>
      <w:szCs w:val="20"/>
    </w:rPr>
  </w:style>
  <w:style w:type="character" w:customStyle="1" w:styleId="104">
    <w:name w:val="Char Char"/>
    <w:qFormat/>
    <w:uiPriority w:val="0"/>
    <w:rPr>
      <w:rFonts w:ascii="Arial" w:hAnsi="Arial" w:eastAsia="黑体"/>
      <w:b/>
      <w:bCs/>
      <w:kern w:val="2"/>
      <w:sz w:val="32"/>
      <w:szCs w:val="32"/>
      <w:lang w:val="en-US" w:eastAsia="zh-CN" w:bidi="ar-SA"/>
    </w:rPr>
  </w:style>
  <w:style w:type="character" w:customStyle="1" w:styleId="105">
    <w:name w:val="Date Char"/>
    <w:qFormat/>
    <w:locked/>
    <w:uiPriority w:val="0"/>
    <w:rPr>
      <w:rFonts w:eastAsia="宋体"/>
      <w:sz w:val="24"/>
    </w:rPr>
  </w:style>
  <w:style w:type="character" w:customStyle="1" w:styleId="106">
    <w:name w:val="样式 粉红"/>
    <w:qFormat/>
    <w:uiPriority w:val="0"/>
    <w:rPr>
      <w:color w:val="auto"/>
      <w:u w:val="none"/>
    </w:rPr>
  </w:style>
  <w:style w:type="character" w:customStyle="1" w:styleId="107">
    <w:name w:val="标题 2 Char Char"/>
    <w:qFormat/>
    <w:uiPriority w:val="0"/>
    <w:rPr>
      <w:rFonts w:ascii="Arial" w:hAnsi="Arial" w:eastAsia="黑体" w:cs="Times New Roman"/>
      <w:b/>
      <w:bCs/>
      <w:kern w:val="2"/>
      <w:sz w:val="32"/>
      <w:szCs w:val="32"/>
      <w:lang w:val="en-US" w:eastAsia="zh-CN" w:bidi="ar-SA"/>
    </w:rPr>
  </w:style>
  <w:style w:type="character" w:customStyle="1" w:styleId="108">
    <w:name w:val="缩进正文 Char"/>
    <w:link w:val="109"/>
    <w:qFormat/>
    <w:locked/>
    <w:uiPriority w:val="0"/>
    <w:rPr>
      <w:rFonts w:ascii="宋体" w:hAnsi="宋体"/>
      <w:spacing w:val="30"/>
      <w:sz w:val="24"/>
      <w:szCs w:val="24"/>
      <w:lang w:val="en-GB" w:eastAsia="zh-CN" w:bidi="ar-SA"/>
    </w:rPr>
  </w:style>
  <w:style w:type="paragraph" w:customStyle="1" w:styleId="109">
    <w:name w:val="缩进正文"/>
    <w:link w:val="108"/>
    <w:qFormat/>
    <w:uiPriority w:val="0"/>
    <w:pPr>
      <w:adjustRightInd w:val="0"/>
      <w:snapToGrid w:val="0"/>
      <w:spacing w:before="218" w:beforeLines="70" w:after="218" w:afterLines="70" w:line="360" w:lineRule="exact"/>
      <w:ind w:left="1021"/>
      <w:jc w:val="both"/>
      <w:textAlignment w:val="baseline"/>
    </w:pPr>
    <w:rPr>
      <w:rFonts w:ascii="宋体" w:hAnsi="宋体" w:eastAsia="宋体" w:cs="Times New Roman"/>
      <w:spacing w:val="30"/>
      <w:sz w:val="24"/>
      <w:szCs w:val="24"/>
      <w:lang w:val="en-GB" w:eastAsia="zh-CN" w:bidi="ar-SA"/>
    </w:rPr>
  </w:style>
  <w:style w:type="character" w:customStyle="1" w:styleId="110">
    <w:name w:val="样式3 Char Char"/>
    <w:link w:val="111"/>
    <w:qFormat/>
    <w:locked/>
    <w:uiPriority w:val="0"/>
    <w:rPr>
      <w:rFonts w:ascii="宋体" w:hAnsi="宋体" w:eastAsia="黑体"/>
      <w:sz w:val="36"/>
      <w:szCs w:val="36"/>
      <w:lang w:bidi="ar-SA"/>
    </w:rPr>
  </w:style>
  <w:style w:type="paragraph" w:customStyle="1" w:styleId="111">
    <w:name w:val="样式3"/>
    <w:basedOn w:val="1"/>
    <w:link w:val="110"/>
    <w:qFormat/>
    <w:uiPriority w:val="0"/>
    <w:pPr>
      <w:spacing w:line="940" w:lineRule="exact"/>
      <w:jc w:val="center"/>
    </w:pPr>
    <w:rPr>
      <w:rFonts w:ascii="宋体" w:hAnsi="宋体" w:eastAsia="黑体"/>
      <w:kern w:val="0"/>
      <w:sz w:val="36"/>
      <w:szCs w:val="36"/>
    </w:rPr>
  </w:style>
  <w:style w:type="character" w:customStyle="1" w:styleId="112">
    <w:name w:val="普通文字1 Char"/>
    <w:qFormat/>
    <w:uiPriority w:val="0"/>
    <w:rPr>
      <w:rFonts w:ascii="宋体" w:hAnsi="Courier New" w:eastAsia="宋体"/>
      <w:kern w:val="2"/>
      <w:sz w:val="21"/>
      <w:lang w:val="en-US" w:eastAsia="zh-CN" w:bidi="ar-SA"/>
    </w:rPr>
  </w:style>
  <w:style w:type="character" w:customStyle="1" w:styleId="113">
    <w:name w:val="Char Char6"/>
    <w:qFormat/>
    <w:uiPriority w:val="0"/>
    <w:rPr>
      <w:rFonts w:eastAsia="宋体"/>
      <w:b/>
      <w:bCs/>
      <w:kern w:val="2"/>
      <w:sz w:val="32"/>
      <w:szCs w:val="32"/>
      <w:lang w:val="en-US" w:eastAsia="zh-CN" w:bidi="ar-SA"/>
    </w:rPr>
  </w:style>
  <w:style w:type="character" w:customStyle="1" w:styleId="114">
    <w:name w:val="Heading 3 Char"/>
    <w:qFormat/>
    <w:locked/>
    <w:uiPriority w:val="0"/>
    <w:rPr>
      <w:rFonts w:ascii="Cambria" w:hAnsi="Cambria" w:eastAsia="宋体" w:cs="Times New Roman"/>
      <w:b/>
      <w:bCs/>
      <w:color w:val="4F81BD"/>
      <w:kern w:val="0"/>
      <w:sz w:val="22"/>
      <w:lang w:eastAsia="en-US"/>
    </w:rPr>
  </w:style>
  <w:style w:type="character" w:customStyle="1" w:styleId="115">
    <w:name w:val="Header Char"/>
    <w:qFormat/>
    <w:locked/>
    <w:uiPriority w:val="0"/>
    <w:rPr>
      <w:rFonts w:ascii="宋体" w:cs="Times New Roman"/>
      <w:sz w:val="24"/>
      <w:szCs w:val="24"/>
    </w:rPr>
  </w:style>
  <w:style w:type="paragraph" w:customStyle="1" w:styleId="116">
    <w:name w:val="2"/>
    <w:basedOn w:val="1"/>
    <w:next w:val="19"/>
    <w:qFormat/>
    <w:uiPriority w:val="0"/>
    <w:pPr>
      <w:ind w:left="432"/>
    </w:pPr>
    <w:rPr>
      <w:szCs w:val="20"/>
    </w:rPr>
  </w:style>
  <w:style w:type="paragraph" w:customStyle="1" w:styleId="117">
    <w:name w:val="样式 标题 2 + (西文) 方正书宋简体 (中文) 方正黑体简体 非加粗 黑色 段前: 0 磅 段后: 0 磅 行..."/>
    <w:basedOn w:val="3"/>
    <w:qFormat/>
    <w:uiPriority w:val="0"/>
    <w:pPr>
      <w:spacing w:before="0" w:beforeLines="0" w:after="0" w:afterLines="0" w:line="300" w:lineRule="exact"/>
      <w:jc w:val="left"/>
    </w:pPr>
    <w:rPr>
      <w:rFonts w:ascii="方正书宋简体" w:hAnsi="宋体" w:eastAsia="方正小标宋简体" w:cs="宋体"/>
      <w:b w:val="0"/>
      <w:bCs w:val="0"/>
      <w:color w:val="000000"/>
      <w:sz w:val="21"/>
      <w:szCs w:val="20"/>
    </w:rPr>
  </w:style>
  <w:style w:type="paragraph" w:customStyle="1" w:styleId="118">
    <w:name w:val="Char Char Char Char"/>
    <w:basedOn w:val="1"/>
    <w:qFormat/>
    <w:uiPriority w:val="0"/>
    <w:rPr>
      <w:rFonts w:ascii="Tahoma" w:hAnsi="Tahoma"/>
      <w:sz w:val="24"/>
      <w:szCs w:val="20"/>
    </w:rPr>
  </w:style>
  <w:style w:type="paragraph" w:customStyle="1" w:styleId="119">
    <w:name w:val="1"/>
    <w:basedOn w:val="1"/>
    <w:qFormat/>
    <w:uiPriority w:val="0"/>
  </w:style>
  <w:style w:type="paragraph" w:customStyle="1" w:styleId="120">
    <w:name w:val="样式 标题 2 + Times New Roman 四号 非加粗 段前: 5 磅 段后: 0 磅 行距: 固定值 20..."/>
    <w:basedOn w:val="3"/>
    <w:qFormat/>
    <w:uiPriority w:val="0"/>
    <w:pPr>
      <w:spacing w:before="100" w:beforeLines="0" w:after="0" w:afterLines="0" w:line="400" w:lineRule="exact"/>
    </w:pPr>
    <w:rPr>
      <w:rFonts w:ascii="Times New Roman" w:hAnsi="Times New Roman" w:eastAsia="黑体" w:cs="宋体"/>
      <w:b w:val="0"/>
      <w:bCs w:val="0"/>
      <w:sz w:val="28"/>
      <w:szCs w:val="20"/>
    </w:rPr>
  </w:style>
  <w:style w:type="paragraph" w:customStyle="1" w:styleId="121">
    <w:name w:val="3"/>
    <w:basedOn w:val="1"/>
    <w:next w:val="17"/>
    <w:qFormat/>
    <w:uiPriority w:val="0"/>
    <w:rPr>
      <w:rFonts w:ascii="宋体"/>
      <w:sz w:val="24"/>
      <w:szCs w:val="20"/>
    </w:rPr>
  </w:style>
  <w:style w:type="paragraph" w:customStyle="1" w:styleId="122">
    <w:name w:val="Char Char Char1"/>
    <w:basedOn w:val="1"/>
    <w:qFormat/>
    <w:uiPriority w:val="0"/>
    <w:rPr>
      <w:szCs w:val="20"/>
    </w:rPr>
  </w:style>
  <w:style w:type="paragraph" w:customStyle="1" w:styleId="123">
    <w:name w:val="。"/>
    <w:basedOn w:val="1"/>
    <w:qFormat/>
    <w:uiPriority w:val="0"/>
    <w:pPr>
      <w:adjustRightInd w:val="0"/>
      <w:spacing w:line="360" w:lineRule="atLeast"/>
      <w:ind w:right="679"/>
      <w:jc w:val="left"/>
      <w:textAlignment w:val="baseline"/>
    </w:pPr>
    <w:rPr>
      <w:rFonts w:ascii="宋体"/>
      <w:sz w:val="24"/>
    </w:rPr>
  </w:style>
  <w:style w:type="paragraph" w:customStyle="1" w:styleId="124">
    <w:name w:val="Char1"/>
    <w:basedOn w:val="1"/>
    <w:qFormat/>
    <w:uiPriority w:val="0"/>
    <w:rPr>
      <w:rFonts w:ascii="Tahoma" w:hAnsi="Tahoma"/>
      <w:sz w:val="24"/>
      <w:szCs w:val="20"/>
    </w:rPr>
  </w:style>
  <w:style w:type="paragraph" w:customStyle="1" w:styleId="125">
    <w:name w:val="p17"/>
    <w:basedOn w:val="1"/>
    <w:qFormat/>
    <w:uiPriority w:val="0"/>
    <w:pPr>
      <w:widowControl/>
    </w:pPr>
    <w:rPr>
      <w:kern w:val="0"/>
      <w:szCs w:val="21"/>
    </w:rPr>
  </w:style>
  <w:style w:type="paragraph" w:customStyle="1" w:styleId="126">
    <w:name w:val="5"/>
    <w:basedOn w:val="1"/>
    <w:qFormat/>
    <w:uiPriority w:val="0"/>
    <w:rPr>
      <w:rFonts w:ascii="Tahoma" w:hAnsi="Tahoma"/>
      <w:sz w:val="24"/>
      <w:szCs w:val="20"/>
    </w:rPr>
  </w:style>
  <w:style w:type="paragraph" w:customStyle="1" w:styleId="127">
    <w:name w:val="样式1"/>
    <w:basedOn w:val="1"/>
    <w:next w:val="12"/>
    <w:qFormat/>
    <w:uiPriority w:val="0"/>
    <w:rPr>
      <w:rFonts w:ascii="宋体" w:hAnsi="Arial Unicode MS"/>
      <w:color w:val="000000"/>
      <w:kern w:val="0"/>
      <w:sz w:val="24"/>
      <w:szCs w:val="36"/>
    </w:rPr>
  </w:style>
  <w:style w:type="paragraph" w:customStyle="1" w:styleId="128">
    <w:name w:val="列出段落2"/>
    <w:basedOn w:val="1"/>
    <w:qFormat/>
    <w:uiPriority w:val="0"/>
    <w:pPr>
      <w:ind w:firstLine="420" w:firstLineChars="200"/>
    </w:pPr>
  </w:style>
  <w:style w:type="paragraph" w:customStyle="1" w:styleId="129">
    <w:name w:val="Char Char Char"/>
    <w:basedOn w:val="1"/>
    <w:qFormat/>
    <w:uiPriority w:val="0"/>
    <w:rPr>
      <w:szCs w:val="20"/>
    </w:rPr>
  </w:style>
  <w:style w:type="paragraph" w:customStyle="1" w:styleId="130">
    <w:name w:val="表格"/>
    <w:basedOn w:val="1"/>
    <w:qFormat/>
    <w:uiPriority w:val="0"/>
    <w:pPr>
      <w:jc w:val="center"/>
      <w:textAlignment w:val="center"/>
    </w:pPr>
    <w:rPr>
      <w:rFonts w:ascii="华文细黑" w:hAnsi="华文细黑"/>
      <w:kern w:val="0"/>
      <w:szCs w:val="20"/>
    </w:rPr>
  </w:style>
  <w:style w:type="paragraph" w:customStyle="1" w:styleId="131">
    <w:name w:val="Char Char Char Char Char Char2 Char1"/>
    <w:basedOn w:val="1"/>
    <w:qFormat/>
    <w:uiPriority w:val="0"/>
    <w:pPr>
      <w:spacing w:line="360" w:lineRule="auto"/>
      <w:ind w:firstLine="200" w:firstLineChars="200"/>
    </w:pPr>
    <w:rPr>
      <w:rFonts w:ascii="宋体" w:hAnsi="宋体" w:cs="宋体"/>
      <w:sz w:val="24"/>
    </w:rPr>
  </w:style>
  <w:style w:type="paragraph" w:styleId="132">
    <w:name w:val="List Paragraph"/>
    <w:basedOn w:val="1"/>
    <w:qFormat/>
    <w:uiPriority w:val="34"/>
    <w:pPr>
      <w:ind w:firstLine="420" w:firstLineChars="200"/>
    </w:pPr>
  </w:style>
  <w:style w:type="paragraph" w:customStyle="1" w:styleId="133">
    <w:name w:val="样式 标题 2 + (西文) 方正书宋简体 (中文) 方正黑体简体 非加粗 黑色 行距: 固定值 15 磅1"/>
    <w:basedOn w:val="3"/>
    <w:qFormat/>
    <w:uiPriority w:val="0"/>
    <w:pPr>
      <w:spacing w:before="0" w:beforeLines="0" w:after="0" w:afterLines="0" w:line="300" w:lineRule="exact"/>
      <w:jc w:val="left"/>
    </w:pPr>
    <w:rPr>
      <w:rFonts w:ascii="方正书宋简体" w:hAnsi="宋体" w:eastAsia="方正小标宋简体" w:cs="宋体"/>
      <w:b w:val="0"/>
      <w:bCs w:val="0"/>
      <w:color w:val="000000"/>
      <w:sz w:val="21"/>
      <w:szCs w:val="20"/>
    </w:rPr>
  </w:style>
  <w:style w:type="paragraph" w:customStyle="1" w:styleId="134">
    <w:name w:val="xl24"/>
    <w:basedOn w:val="1"/>
    <w:qFormat/>
    <w:uiPriority w:val="0"/>
    <w:pPr>
      <w:widowControl/>
      <w:spacing w:before="100" w:beforeLines="0" w:after="100" w:afterLines="0"/>
      <w:jc w:val="center"/>
      <w:textAlignment w:val="center"/>
    </w:pPr>
    <w:rPr>
      <w:rFonts w:ascii="宋体" w:hAnsi="宋体"/>
      <w:kern w:val="0"/>
      <w:sz w:val="24"/>
      <w:szCs w:val="20"/>
    </w:rPr>
  </w:style>
  <w:style w:type="paragraph" w:customStyle="1" w:styleId="135">
    <w:name w:val="Char Char Char Char Char Char Char Char Char Char Char Char Char"/>
    <w:basedOn w:val="1"/>
    <w:qFormat/>
    <w:uiPriority w:val="0"/>
    <w:rPr>
      <w:rFonts w:ascii="仿宋_GB2312" w:eastAsia="仿宋_GB2312"/>
      <w:b/>
      <w:sz w:val="32"/>
      <w:szCs w:val="32"/>
    </w:rPr>
  </w:style>
  <w:style w:type="paragraph" w:customStyle="1" w:styleId="136">
    <w:name w:val="表格文字"/>
    <w:basedOn w:val="1"/>
    <w:qFormat/>
    <w:uiPriority w:val="0"/>
    <w:pPr>
      <w:adjustRightInd w:val="0"/>
      <w:spacing w:line="420" w:lineRule="atLeast"/>
      <w:jc w:val="left"/>
      <w:textAlignment w:val="baseline"/>
    </w:pPr>
    <w:rPr>
      <w:kern w:val="0"/>
      <w:szCs w:val="20"/>
    </w:rPr>
  </w:style>
  <w:style w:type="paragraph" w:customStyle="1" w:styleId="137">
    <w:name w:val="样式 标题 1 + 黑体 三号 非加粗 居中 段前: 6 磅 段后: 6 磅 行距: 固定值 20 磅"/>
    <w:basedOn w:val="2"/>
    <w:qFormat/>
    <w:uiPriority w:val="0"/>
    <w:pPr>
      <w:spacing w:before="120" w:beforeLines="0" w:after="120" w:afterLines="0" w:line="400" w:lineRule="exact"/>
      <w:jc w:val="center"/>
    </w:pPr>
    <w:rPr>
      <w:rFonts w:ascii="黑体" w:hAnsi="黑体" w:eastAsia="黑体" w:cs="宋体"/>
      <w:b w:val="0"/>
      <w:bCs w:val="0"/>
      <w:sz w:val="32"/>
      <w:szCs w:val="20"/>
    </w:rPr>
  </w:style>
  <w:style w:type="paragraph" w:customStyle="1" w:styleId="138">
    <w:name w:val="样式 标题 3 + (中文) 黑体 小四 非加粗 段前: 7.8 磅 段后: 0 磅 行距: 固定值 20 磅"/>
    <w:basedOn w:val="4"/>
    <w:qFormat/>
    <w:uiPriority w:val="0"/>
    <w:pPr>
      <w:widowControl w:val="0"/>
      <w:spacing w:before="0" w:beforeLines="0" w:line="400" w:lineRule="exact"/>
      <w:jc w:val="both"/>
    </w:pPr>
    <w:rPr>
      <w:rFonts w:ascii="Times New Roman" w:hAnsi="Times New Roman" w:eastAsia="黑体"/>
      <w:b w:val="0"/>
      <w:bCs w:val="0"/>
      <w:color w:val="auto"/>
      <w:kern w:val="2"/>
      <w:sz w:val="24"/>
      <w:szCs w:val="20"/>
      <w:lang w:bidi="ar-SA"/>
    </w:rPr>
  </w:style>
  <w:style w:type="paragraph" w:customStyle="1" w:styleId="139">
    <w:name w:val="Char1 Char Char Char Char Char Char1 Char Char Char1"/>
    <w:basedOn w:val="1"/>
    <w:qFormat/>
    <w:uiPriority w:val="0"/>
    <w:pPr>
      <w:spacing w:line="360" w:lineRule="auto"/>
      <w:ind w:firstLine="200" w:firstLineChars="200"/>
    </w:pPr>
    <w:rPr>
      <w:rFonts w:ascii="宋体" w:hAnsi="宋体" w:cs="宋体"/>
      <w:sz w:val="24"/>
    </w:rPr>
  </w:style>
  <w:style w:type="paragraph" w:customStyle="1" w:styleId="140">
    <w:name w:val="_Style 139"/>
    <w:basedOn w:val="2"/>
    <w:next w:val="1"/>
    <w:qFormat/>
    <w:uiPriority w:val="0"/>
    <w:pPr>
      <w:widowControl/>
      <w:spacing w:before="480" w:beforeLines="0" w:after="0" w:afterLines="0" w:line="276" w:lineRule="auto"/>
      <w:jc w:val="left"/>
      <w:outlineLvl w:val="9"/>
    </w:pPr>
    <w:rPr>
      <w:rFonts w:ascii="Cambria" w:hAnsi="Cambria"/>
      <w:color w:val="365F91"/>
      <w:kern w:val="0"/>
      <w:sz w:val="28"/>
      <w:szCs w:val="28"/>
    </w:rPr>
  </w:style>
  <w:style w:type="paragraph" w:customStyle="1" w:styleId="141">
    <w:name w:val="列出段落3"/>
    <w:basedOn w:val="1"/>
    <w:qFormat/>
    <w:uiPriority w:val="0"/>
    <w:pPr>
      <w:ind w:firstLine="420" w:firstLineChars="200"/>
    </w:pPr>
  </w:style>
  <w:style w:type="paragraph" w:customStyle="1" w:styleId="142">
    <w:name w:val="6'"/>
    <w:basedOn w:val="1"/>
    <w:qFormat/>
    <w:uiPriority w:val="0"/>
    <w:pPr>
      <w:autoSpaceDE w:val="0"/>
      <w:autoSpaceDN w:val="0"/>
      <w:adjustRightInd w:val="0"/>
      <w:snapToGrid w:val="0"/>
      <w:spacing w:line="320" w:lineRule="exact"/>
      <w:jc w:val="center"/>
      <w:textAlignment w:val="baseline"/>
    </w:pPr>
    <w:rPr>
      <w:spacing w:val="20"/>
      <w:kern w:val="28"/>
      <w:szCs w:val="20"/>
    </w:rPr>
  </w:style>
  <w:style w:type="paragraph" w:customStyle="1" w:styleId="143">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144">
    <w:name w:val="XW正文"/>
    <w:basedOn w:val="19"/>
    <w:qFormat/>
    <w:uiPriority w:val="0"/>
    <w:pPr>
      <w:adjustRightInd w:val="0"/>
      <w:snapToGrid w:val="0"/>
      <w:spacing w:after="0" w:afterLines="0" w:line="300" w:lineRule="auto"/>
      <w:ind w:left="0" w:leftChars="0" w:firstLine="520" w:firstLineChars="200"/>
      <w:jc w:val="left"/>
    </w:pPr>
    <w:rPr>
      <w:kern w:val="0"/>
    </w:rPr>
  </w:style>
  <w:style w:type="paragraph" w:customStyle="1" w:styleId="145">
    <w:name w:val="Blockquote"/>
    <w:basedOn w:val="1"/>
    <w:qFormat/>
    <w:uiPriority w:val="0"/>
    <w:pPr>
      <w:autoSpaceDE w:val="0"/>
      <w:autoSpaceDN w:val="0"/>
      <w:adjustRightInd w:val="0"/>
      <w:spacing w:before="100" w:beforeLines="0" w:after="100" w:afterLines="0"/>
      <w:ind w:left="360" w:right="360"/>
      <w:jc w:val="left"/>
    </w:pPr>
    <w:rPr>
      <w:kern w:val="0"/>
      <w:sz w:val="24"/>
      <w:szCs w:val="20"/>
    </w:rPr>
  </w:style>
  <w:style w:type="paragraph" w:customStyle="1" w:styleId="146">
    <w:name w:val="金安桥正文"/>
    <w:basedOn w:val="19"/>
    <w:qFormat/>
    <w:uiPriority w:val="0"/>
    <w:pPr>
      <w:adjustRightInd w:val="0"/>
      <w:spacing w:after="0" w:afterLines="0" w:line="300" w:lineRule="auto"/>
      <w:ind w:left="0" w:leftChars="0" w:firstLine="200" w:firstLineChars="200"/>
      <w:jc w:val="left"/>
    </w:pPr>
    <w:rPr>
      <w:kern w:val="0"/>
      <w:sz w:val="24"/>
      <w:szCs w:val="20"/>
    </w:rPr>
  </w:style>
  <w:style w:type="paragraph" w:customStyle="1" w:styleId="147">
    <w:name w:val="cntrt"/>
    <w:basedOn w:val="1"/>
    <w:qFormat/>
    <w:uiPriority w:val="0"/>
    <w:pPr>
      <w:widowControl/>
      <w:jc w:val="left"/>
    </w:pPr>
    <w:rPr>
      <w:rFonts w:ascii="Arial" w:hAnsi="Arial" w:cs="Arial"/>
      <w:kern w:val="0"/>
      <w:sz w:val="20"/>
      <w:szCs w:val="20"/>
      <w:lang w:val="en-AU"/>
    </w:rPr>
  </w:style>
  <w:style w:type="paragraph" w:customStyle="1" w:styleId="148">
    <w:name w:val="Char"/>
    <w:basedOn w:val="1"/>
    <w:qFormat/>
    <w:uiPriority w:val="0"/>
  </w:style>
  <w:style w:type="paragraph" w:customStyle="1" w:styleId="149">
    <w:name w:val="Char1 Char Char Char Char Char Char1 Char Char Char"/>
    <w:basedOn w:val="1"/>
    <w:qFormat/>
    <w:uiPriority w:val="0"/>
    <w:pPr>
      <w:spacing w:line="360" w:lineRule="auto"/>
      <w:ind w:firstLine="200" w:firstLineChars="200"/>
    </w:pPr>
    <w:rPr>
      <w:rFonts w:ascii="宋体" w:hAnsi="宋体" w:cs="宋体"/>
      <w:sz w:val="24"/>
    </w:rPr>
  </w:style>
  <w:style w:type="paragraph" w:customStyle="1" w:styleId="150">
    <w:name w:val="默认段落字体 Para Char"/>
    <w:basedOn w:val="1"/>
    <w:qFormat/>
    <w:uiPriority w:val="0"/>
    <w:rPr>
      <w:szCs w:val="20"/>
    </w:rPr>
  </w:style>
  <w:style w:type="paragraph" w:customStyle="1" w:styleId="151">
    <w:name w:val="Char Char Char Char Char Char2 Char"/>
    <w:basedOn w:val="1"/>
    <w:qFormat/>
    <w:uiPriority w:val="0"/>
    <w:pPr>
      <w:spacing w:line="360" w:lineRule="auto"/>
      <w:ind w:firstLine="200" w:firstLineChars="200"/>
    </w:pPr>
    <w:rPr>
      <w:rFonts w:ascii="宋体" w:hAnsi="宋体" w:cs="宋体"/>
      <w:sz w:val="24"/>
    </w:rPr>
  </w:style>
  <w:style w:type="paragraph" w:customStyle="1" w:styleId="152">
    <w:name w:val="4"/>
    <w:basedOn w:val="1"/>
    <w:qFormat/>
    <w:uiPriority w:val="0"/>
    <w:rPr>
      <w:rFonts w:ascii="Tahoma" w:hAnsi="Tahoma"/>
      <w:sz w:val="24"/>
      <w:szCs w:val="20"/>
    </w:rPr>
  </w:style>
  <w:style w:type="paragraph" w:customStyle="1" w:styleId="153">
    <w:name w:val="Char2"/>
    <w:basedOn w:val="1"/>
    <w:qFormat/>
    <w:uiPriority w:val="0"/>
    <w:rPr>
      <w:rFonts w:ascii="Tahoma" w:hAnsi="Tahoma"/>
      <w:sz w:val="24"/>
      <w:szCs w:val="20"/>
    </w:rPr>
  </w:style>
  <w:style w:type="paragraph" w:customStyle="1" w:styleId="154">
    <w:name w:val="List Paragraph1"/>
    <w:basedOn w:val="1"/>
    <w:qFormat/>
    <w:uiPriority w:val="0"/>
    <w:pPr>
      <w:ind w:firstLine="420" w:firstLineChars="200"/>
    </w:pPr>
  </w:style>
  <w:style w:type="paragraph" w:customStyle="1" w:styleId="155">
    <w:name w:val="正文_0_0"/>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56">
    <w:name w:val="p0"/>
    <w:basedOn w:val="1"/>
    <w:qFormat/>
    <w:uiPriority w:val="0"/>
    <w:pPr>
      <w:widowControl/>
    </w:pPr>
    <w:rPr>
      <w:kern w:val="0"/>
      <w:szCs w:val="21"/>
    </w:rPr>
  </w:style>
  <w:style w:type="paragraph" w:customStyle="1" w:styleId="157">
    <w:name w:val="p15"/>
    <w:basedOn w:val="1"/>
    <w:qFormat/>
    <w:uiPriority w:val="0"/>
    <w:pPr>
      <w:widowControl/>
      <w:spacing w:before="100" w:line="400" w:lineRule="atLeast"/>
    </w:pPr>
    <w:rPr>
      <w:kern w:val="0"/>
      <w:sz w:val="28"/>
      <w:szCs w:val="28"/>
    </w:rPr>
  </w:style>
  <w:style w:type="paragraph" w:customStyle="1" w:styleId="158">
    <w:name w:val="p18"/>
    <w:basedOn w:val="1"/>
    <w:qFormat/>
    <w:uiPriority w:val="0"/>
    <w:pPr>
      <w:widowControl/>
    </w:pPr>
    <w:rPr>
      <w:rFonts w:ascii="宋体" w:hAnsi="宋体" w:cs="宋体"/>
      <w:kern w:val="0"/>
      <w:szCs w:val="21"/>
    </w:rPr>
  </w:style>
  <w:style w:type="paragraph" w:customStyle="1" w:styleId="159">
    <w:name w:val="Default Paragraph Char Char Char Char"/>
    <w:basedOn w:val="1"/>
    <w:next w:val="1"/>
    <w:qFormat/>
    <w:uiPriority w:val="0"/>
    <w:pPr>
      <w:widowControl/>
      <w:spacing w:line="360" w:lineRule="auto"/>
      <w:jc w:val="left"/>
    </w:pPr>
    <w:rPr>
      <w:kern w:val="0"/>
      <w:szCs w:val="20"/>
      <w:lang w:eastAsia="en-US"/>
    </w:rPr>
  </w:style>
  <w:style w:type="character" w:customStyle="1" w:styleId="160">
    <w:name w:val="正文文本缩进 2 Char1"/>
    <w:semiHidden/>
    <w:qFormat/>
    <w:uiPriority w:val="99"/>
    <w:rPr>
      <w:kern w:val="2"/>
      <w:sz w:val="21"/>
      <w:szCs w:val="22"/>
    </w:rPr>
  </w:style>
  <w:style w:type="character" w:customStyle="1" w:styleId="161">
    <w:name w:val="页脚 Char1"/>
    <w:semiHidden/>
    <w:qFormat/>
    <w:uiPriority w:val="99"/>
    <w:rPr>
      <w:kern w:val="2"/>
      <w:sz w:val="18"/>
      <w:szCs w:val="18"/>
    </w:rPr>
  </w:style>
  <w:style w:type="character" w:customStyle="1" w:styleId="162">
    <w:name w:val="正文文本缩进 Char1"/>
    <w:semiHidden/>
    <w:qFormat/>
    <w:uiPriority w:val="99"/>
    <w:rPr>
      <w:kern w:val="2"/>
      <w:sz w:val="21"/>
      <w:szCs w:val="22"/>
    </w:rPr>
  </w:style>
  <w:style w:type="character" w:customStyle="1" w:styleId="163">
    <w:name w:val="正文文本 3 Char1"/>
    <w:semiHidden/>
    <w:qFormat/>
    <w:uiPriority w:val="99"/>
    <w:rPr>
      <w:kern w:val="2"/>
      <w:sz w:val="16"/>
      <w:szCs w:val="16"/>
    </w:rPr>
  </w:style>
  <w:style w:type="character" w:customStyle="1" w:styleId="164">
    <w:name w:val="批注文字 Char1"/>
    <w:semiHidden/>
    <w:qFormat/>
    <w:uiPriority w:val="0"/>
    <w:rPr>
      <w:rFonts w:ascii="Times New Roman" w:hAnsi="Times New Roman"/>
      <w:kern w:val="2"/>
      <w:sz w:val="21"/>
      <w:szCs w:val="24"/>
    </w:rPr>
  </w:style>
  <w:style w:type="character" w:customStyle="1" w:styleId="165">
    <w:name w:val="批注主题 Char1"/>
    <w:semiHidden/>
    <w:qFormat/>
    <w:uiPriority w:val="99"/>
    <w:rPr>
      <w:rFonts w:ascii="Times New Roman" w:hAnsi="Times New Roman"/>
      <w:b/>
      <w:bCs/>
      <w:kern w:val="2"/>
      <w:sz w:val="21"/>
      <w:szCs w:val="24"/>
    </w:rPr>
  </w:style>
  <w:style w:type="character" w:customStyle="1" w:styleId="166">
    <w:name w:val="正文文本缩进 3 Char1"/>
    <w:semiHidden/>
    <w:qFormat/>
    <w:uiPriority w:val="99"/>
    <w:rPr>
      <w:kern w:val="2"/>
      <w:sz w:val="16"/>
      <w:szCs w:val="16"/>
    </w:rPr>
  </w:style>
  <w:style w:type="character" w:customStyle="1" w:styleId="167">
    <w:name w:val="批注框文本 Char1"/>
    <w:semiHidden/>
    <w:qFormat/>
    <w:uiPriority w:val="99"/>
    <w:rPr>
      <w:kern w:val="2"/>
      <w:sz w:val="18"/>
      <w:szCs w:val="18"/>
    </w:rPr>
  </w:style>
  <w:style w:type="character" w:customStyle="1" w:styleId="168">
    <w:name w:val="正文文本 Char1"/>
    <w:semiHidden/>
    <w:qFormat/>
    <w:uiPriority w:val="99"/>
    <w:rPr>
      <w:kern w:val="2"/>
      <w:sz w:val="21"/>
      <w:szCs w:val="22"/>
    </w:rPr>
  </w:style>
  <w:style w:type="character" w:customStyle="1" w:styleId="169">
    <w:name w:val="文档结构图 Char1"/>
    <w:semiHidden/>
    <w:qFormat/>
    <w:uiPriority w:val="99"/>
    <w:rPr>
      <w:rFonts w:ascii="宋体"/>
      <w:kern w:val="2"/>
      <w:sz w:val="18"/>
      <w:szCs w:val="18"/>
    </w:rPr>
  </w:style>
  <w:style w:type="character" w:customStyle="1" w:styleId="170">
    <w:name w:val="页眉 Char1"/>
    <w:semiHidden/>
    <w:qFormat/>
    <w:uiPriority w:val="99"/>
    <w:rPr>
      <w:kern w:val="2"/>
      <w:sz w:val="18"/>
      <w:szCs w:val="18"/>
    </w:rPr>
  </w:style>
  <w:style w:type="character" w:customStyle="1" w:styleId="171">
    <w:name w:val="日期 Char1"/>
    <w:semiHidden/>
    <w:qFormat/>
    <w:uiPriority w:val="99"/>
    <w:rPr>
      <w:kern w:val="2"/>
      <w:sz w:val="21"/>
      <w:szCs w:val="22"/>
    </w:rPr>
  </w:style>
  <w:style w:type="character" w:customStyle="1" w:styleId="172">
    <w:name w:val="标题 Char1"/>
    <w:qFormat/>
    <w:uiPriority w:val="10"/>
    <w:rPr>
      <w:rFonts w:ascii="Cambria" w:hAnsi="Cambria" w:cs="Times New Roman"/>
      <w:b/>
      <w:bCs/>
      <w:kern w:val="2"/>
      <w:sz w:val="32"/>
      <w:szCs w:val="32"/>
    </w:rPr>
  </w:style>
  <w:style w:type="character" w:customStyle="1" w:styleId="173">
    <w:name w:val="纯文本 Char1"/>
    <w:semiHidden/>
    <w:qFormat/>
    <w:uiPriority w:val="99"/>
    <w:rPr>
      <w:rFonts w:ascii="宋体" w:hAnsi="Courier New" w:cs="Courier New"/>
      <w:kern w:val="2"/>
      <w:sz w:val="21"/>
      <w:szCs w:val="21"/>
    </w:rPr>
  </w:style>
  <w:style w:type="character" w:customStyle="1" w:styleId="174">
    <w:name w:val="正文首行缩进 Char1"/>
    <w:semiHidden/>
    <w:qFormat/>
    <w:uiPriority w:val="99"/>
  </w:style>
  <w:style w:type="character" w:customStyle="1" w:styleId="175">
    <w:name w:val="正文文本 2 Char1"/>
    <w:semiHidden/>
    <w:qFormat/>
    <w:uiPriority w:val="99"/>
    <w:rPr>
      <w:kern w:val="2"/>
      <w:sz w:val="21"/>
      <w:szCs w:val="22"/>
    </w:rPr>
  </w:style>
  <w:style w:type="paragraph" w:customStyle="1" w:styleId="176">
    <w:name w:val="paragraphindent"/>
    <w:basedOn w:val="1"/>
    <w:qFormat/>
    <w:uiPriority w:val="0"/>
    <w:pPr>
      <w:widowControl/>
      <w:spacing w:before="75" w:after="75"/>
      <w:jc w:val="left"/>
    </w:pPr>
    <w:rPr>
      <w:rFonts w:ascii="宋体" w:hAnsi="宋体" w:cs="宋体"/>
      <w:kern w:val="0"/>
      <w:sz w:val="24"/>
    </w:rPr>
  </w:style>
  <w:style w:type="character" w:customStyle="1" w:styleId="177">
    <w:name w:val="正文2 Char"/>
    <w:link w:val="178"/>
    <w:qFormat/>
    <w:uiPriority w:val="0"/>
    <w:rPr>
      <w:rFonts w:ascii="宋体" w:eastAsia="楷体"/>
      <w:b/>
      <w:color w:val="0000FF"/>
      <w:kern w:val="2"/>
      <w:sz w:val="21"/>
      <w:szCs w:val="22"/>
      <w:lang w:val="en-US" w:eastAsia="zh-CN" w:bidi="ar-SA"/>
    </w:rPr>
  </w:style>
  <w:style w:type="paragraph" w:customStyle="1" w:styleId="178">
    <w:name w:val="正文2"/>
    <w:link w:val="177"/>
    <w:qFormat/>
    <w:uiPriority w:val="0"/>
    <w:pPr>
      <w:widowControl w:val="0"/>
      <w:adjustRightInd w:val="0"/>
      <w:spacing w:line="312" w:lineRule="atLeast"/>
      <w:jc w:val="both"/>
      <w:textAlignment w:val="baseline"/>
    </w:pPr>
    <w:rPr>
      <w:rFonts w:ascii="宋体" w:hAnsi="Times New Roman" w:eastAsia="楷体" w:cs="Times New Roman"/>
      <w:b/>
      <w:color w:val="0000FF"/>
      <w:kern w:val="2"/>
      <w:sz w:val="21"/>
      <w:szCs w:val="22"/>
      <w:lang w:val="en-US" w:eastAsia="zh-CN" w:bidi="ar-SA"/>
    </w:rPr>
  </w:style>
  <w:style w:type="paragraph" w:customStyle="1" w:styleId="179">
    <w:name w:val="_Style 178"/>
    <w:unhideWhenUsed/>
    <w:qFormat/>
    <w:uiPriority w:val="99"/>
    <w:rPr>
      <w:rFonts w:ascii="Times New Roman" w:hAnsi="Times New Roman" w:eastAsia="宋体" w:cs="Times New Roman"/>
      <w:kern w:val="2"/>
      <w:sz w:val="21"/>
      <w:szCs w:val="24"/>
      <w:lang w:val="en-US" w:eastAsia="zh-CN" w:bidi="ar-SA"/>
    </w:rPr>
  </w:style>
  <w:style w:type="paragraph" w:customStyle="1" w:styleId="180">
    <w:name w:val="msolistparagraph"/>
    <w:basedOn w:val="1"/>
    <w:qFormat/>
    <w:uiPriority w:val="0"/>
    <w:pPr>
      <w:keepNext w:val="0"/>
      <w:keepLines w:val="0"/>
      <w:widowControl w:val="0"/>
      <w:suppressLineNumbers w:val="0"/>
      <w:autoSpaceDE w:val="0"/>
      <w:autoSpaceDN w:val="0"/>
      <w:spacing w:before="0" w:beforeAutospacing="0" w:after="0" w:afterAutospacing="0"/>
      <w:ind w:left="205" w:right="169" w:firstLine="655"/>
      <w:jc w:val="left"/>
    </w:pPr>
    <w:rPr>
      <w:rFonts w:hint="eastAsia" w:ascii="仿宋" w:hAnsi="仿宋" w:eastAsia="仿宋" w:cs="仿宋"/>
      <w:kern w:val="0"/>
      <w:sz w:val="22"/>
      <w:szCs w:val="22"/>
      <w:u w:val="single" w:color="000000"/>
      <w:lang w:val="en-US" w:eastAsia="zh-CN" w:bidi="ar"/>
    </w:rPr>
  </w:style>
  <w:style w:type="character" w:customStyle="1" w:styleId="181">
    <w:name w:val="button"/>
    <w:qFormat/>
    <w:uiPriority w:val="0"/>
  </w:style>
  <w:style w:type="paragraph" w:customStyle="1" w:styleId="182">
    <w:name w:val="D&amp;L"/>
    <w:basedOn w:val="32"/>
    <w:qFormat/>
    <w:uiPriority w:val="0"/>
    <w:pPr>
      <w:pBdr>
        <w:bottom w:val="thinThickSmallGap" w:color="auto" w:sz="18" w:space="1"/>
      </w:pBdr>
      <w:adjustRightInd w:val="0"/>
      <w:snapToGrid/>
      <w:spacing w:line="240" w:lineRule="atLeast"/>
      <w:textAlignment w:val="baseline"/>
    </w:pPr>
    <w:rPr>
      <w:kern w:val="0"/>
      <w:sz w:val="24"/>
      <w:szCs w:val="20"/>
    </w:rPr>
  </w:style>
  <w:style w:type="paragraph" w:customStyle="1" w:styleId="183">
    <w:name w:val="null3"/>
    <w:basedOn w:val="1"/>
    <w:qFormat/>
    <w:uiPriority w:val="0"/>
    <w:pPr>
      <w:keepNext w:val="0"/>
      <w:keepLines w:val="0"/>
      <w:widowControl/>
      <w:suppressLineNumbers w:val="0"/>
      <w:spacing w:before="0" w:beforeAutospacing="0" w:after="0" w:afterAutospacing="0"/>
      <w:ind w:left="0" w:right="0"/>
      <w:jc w:val="left"/>
    </w:pPr>
    <w:rPr>
      <w:rFonts w:hint="default" w:ascii="Calibri" w:hAnsi="Calibri" w:eastAsia="宋体" w:cs="Times New Roman"/>
      <w:kern w:val="0"/>
      <w:sz w:val="20"/>
      <w:szCs w:val="20"/>
      <w:lang w:val="en-US" w:eastAsia="zh-CN" w:bidi="ar"/>
    </w:rPr>
  </w:style>
  <w:style w:type="table" w:customStyle="1" w:styleId="184">
    <w:name w:val="Table Normal"/>
    <w:unhideWhenUsed/>
    <w:qFormat/>
    <w:uiPriority w:val="0"/>
    <w:rPr>
      <w:rFonts w:ascii="Calibri" w:hAnsi="Calibri" w:cs="Calibri"/>
      <w:lang w:val="en-US" w:eastAsia="zh-CN" w:bidi="ar-SA"/>
    </w:rPr>
    <w:tblPr>
      <w:tblCellMar>
        <w:top w:w="0" w:type="dxa"/>
        <w:left w:w="0" w:type="dxa"/>
        <w:bottom w:w="0" w:type="dxa"/>
        <w:right w:w="0" w:type="dxa"/>
      </w:tblCellMar>
    </w:tblPr>
  </w:style>
  <w:style w:type="table" w:customStyle="1" w:styleId="185">
    <w:name w:val="Table Normal1"/>
    <w:unhideWhenUsed/>
    <w:qFormat/>
    <w:uiPriority w:val="0"/>
    <w:rPr>
      <w:rFonts w:ascii="Calibri" w:hAnsi="Calibri" w:cs="Calibri"/>
      <w:lang w:val="en-US" w:eastAsia="zh-CN" w:bidi="ar-SA"/>
    </w:rPr>
    <w:tblPr>
      <w:tblCellMar>
        <w:top w:w="0" w:type="dxa"/>
        <w:left w:w="0" w:type="dxa"/>
        <w:bottom w:w="0" w:type="dxa"/>
        <w:right w:w="0" w:type="dxa"/>
      </w:tblCellMar>
    </w:tblPr>
  </w:style>
  <w:style w:type="character" w:customStyle="1" w:styleId="186">
    <w:name w:val="font11"/>
    <w:basedOn w:val="50"/>
    <w:qFormat/>
    <w:uiPriority w:val="0"/>
    <w:rPr>
      <w:rFonts w:hint="eastAsia" w:ascii="仿宋" w:hAnsi="仿宋" w:eastAsia="仿宋" w:cs="仿宋"/>
      <w:color w:val="000000"/>
      <w:sz w:val="24"/>
      <w:szCs w:val="24"/>
      <w:u w:val="none"/>
    </w:rPr>
  </w:style>
  <w:style w:type="character" w:customStyle="1" w:styleId="187">
    <w:name w:val="font21"/>
    <w:basedOn w:val="50"/>
    <w:qFormat/>
    <w:uiPriority w:val="0"/>
    <w:rPr>
      <w:rFonts w:hint="eastAsia" w:ascii="宋体" w:hAnsi="宋体" w:eastAsia="宋体" w:cs="宋体"/>
      <w:color w:val="000000"/>
      <w:sz w:val="24"/>
      <w:szCs w:val="24"/>
      <w:u w:val="none"/>
    </w:rPr>
  </w:style>
  <w:style w:type="character" w:customStyle="1" w:styleId="188">
    <w:name w:val="font51"/>
    <w:basedOn w:val="50"/>
    <w:qFormat/>
    <w:uiPriority w:val="0"/>
    <w:rPr>
      <w:rFonts w:hint="eastAsia" w:ascii="宋体" w:hAnsi="宋体" w:eastAsia="宋体" w:cs="宋体"/>
      <w:color w:val="000000"/>
      <w:sz w:val="24"/>
      <w:szCs w:val="24"/>
      <w:u w:val="none"/>
    </w:rPr>
  </w:style>
  <w:style w:type="character" w:customStyle="1" w:styleId="189">
    <w:name w:val="font61"/>
    <w:basedOn w:val="50"/>
    <w:qFormat/>
    <w:uiPriority w:val="0"/>
    <w:rPr>
      <w:rFonts w:hint="eastAsia" w:ascii="宋体" w:hAnsi="宋体" w:eastAsia="宋体" w:cs="宋体"/>
      <w:color w:val="161616"/>
      <w:sz w:val="24"/>
      <w:szCs w:val="24"/>
      <w:u w:val="none"/>
    </w:rPr>
  </w:style>
  <w:style w:type="character" w:customStyle="1" w:styleId="190">
    <w:name w:val="font122"/>
    <w:basedOn w:val="50"/>
    <w:qFormat/>
    <w:uiPriority w:val="0"/>
    <w:rPr>
      <w:rFonts w:hint="eastAsia" w:ascii="宋体" w:hAnsi="宋体" w:eastAsia="宋体" w:cs="宋体"/>
      <w:color w:val="000000"/>
      <w:sz w:val="24"/>
      <w:szCs w:val="24"/>
      <w:u w:val="none"/>
    </w:rPr>
  </w:style>
  <w:style w:type="character" w:customStyle="1" w:styleId="191">
    <w:name w:val="font101"/>
    <w:basedOn w:val="50"/>
    <w:qFormat/>
    <w:uiPriority w:val="0"/>
    <w:rPr>
      <w:rFonts w:hint="eastAsia" w:ascii="宋体" w:hAnsi="宋体" w:eastAsia="宋体" w:cs="宋体"/>
      <w:color w:val="000000"/>
      <w:sz w:val="24"/>
      <w:szCs w:val="24"/>
      <w:u w:val="none"/>
    </w:rPr>
  </w:style>
  <w:style w:type="character" w:customStyle="1" w:styleId="192">
    <w:name w:val="font81"/>
    <w:basedOn w:val="50"/>
    <w:qFormat/>
    <w:uiPriority w:val="0"/>
    <w:rPr>
      <w:rFonts w:hint="eastAsia" w:ascii="宋体" w:hAnsi="宋体" w:eastAsia="宋体" w:cs="宋体"/>
      <w:color w:val="161616"/>
      <w:sz w:val="21"/>
      <w:szCs w:val="21"/>
      <w:u w:val="none"/>
    </w:rPr>
  </w:style>
  <w:style w:type="character" w:customStyle="1" w:styleId="193">
    <w:name w:val="font71"/>
    <w:basedOn w:val="50"/>
    <w:qFormat/>
    <w:uiPriority w:val="0"/>
    <w:rPr>
      <w:rFonts w:hint="eastAsia" w:ascii="宋体" w:hAnsi="宋体" w:eastAsia="宋体" w:cs="宋体"/>
      <w:color w:val="000000"/>
      <w:sz w:val="24"/>
      <w:szCs w:val="24"/>
      <w:u w:val="none"/>
    </w:rPr>
  </w:style>
  <w:style w:type="character" w:customStyle="1" w:styleId="194">
    <w:name w:val="font131"/>
    <w:basedOn w:val="50"/>
    <w:qFormat/>
    <w:uiPriority w:val="0"/>
    <w:rPr>
      <w:rFonts w:hint="eastAsia" w:ascii="宋体" w:hAnsi="宋体" w:eastAsia="宋体" w:cs="宋体"/>
      <w:b/>
      <w:bCs/>
      <w:color w:val="000000"/>
      <w:sz w:val="24"/>
      <w:szCs w:val="24"/>
      <w:u w:val="none"/>
    </w:rPr>
  </w:style>
  <w:style w:type="character" w:customStyle="1" w:styleId="195">
    <w:name w:val="font91"/>
    <w:basedOn w:val="50"/>
    <w:qFormat/>
    <w:uiPriority w:val="0"/>
    <w:rPr>
      <w:rFonts w:hint="eastAsia" w:ascii="宋体" w:hAnsi="宋体" w:eastAsia="宋体" w:cs="宋体"/>
      <w:b/>
      <w:bCs/>
      <w:color w:val="000000"/>
      <w:sz w:val="21"/>
      <w:szCs w:val="21"/>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header" Target="header1.xml"/><Relationship Id="rId4" Type="http://schemas.openxmlformats.org/officeDocument/2006/relationships/footer" Target="footer1.xml"/><Relationship Id="rId3" Type="http://schemas.openxmlformats.org/officeDocument/2006/relationships/footnotes" Target="footnotes.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theme" Target="theme/theme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8" Type="http://schemas.openxmlformats.org/officeDocument/2006/relationships/font" Target="fonts/font18.odttf"/><Relationship Id="rId17" Type="http://schemas.openxmlformats.org/officeDocument/2006/relationships/font" Target="fonts/font17.odttf"/><Relationship Id="rId16" Type="http://schemas.openxmlformats.org/officeDocument/2006/relationships/font" Target="fonts/font16.odttf"/><Relationship Id="rId15" Type="http://schemas.openxmlformats.org/officeDocument/2006/relationships/font" Target="fonts/font15.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china</Company>
  <Pages>104</Pages>
  <Words>9137</Words>
  <Characters>10411</Characters>
  <Lines>495</Lines>
  <Paragraphs>139</Paragraphs>
  <TotalTime>38</TotalTime>
  <ScaleCrop>false</ScaleCrop>
  <LinksUpToDate>false</LinksUpToDate>
  <CharactersWithSpaces>10480</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2025-04-08T07:56:00Z</dcterms:created>
  <dc:creator>孟凡金</dc:creator>
  <cp:lastModifiedBy>Mouns-J</cp:lastModifiedBy>
  <cp:lastPrinted>2020-06-16T06:07:00Z</cp:lastPrinted>
  <dcterms:modified xsi:type="dcterms:W3CDTF">2025-12-02T11:55:24Z</dcterms:modified>
  <dc:title>项目名称</dc:title>
  <cp:revision>14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7544F4EA96E8410B9C61D0F06CA0ED7B_13</vt:lpwstr>
  </property>
  <property fmtid="{D5CDD505-2E9C-101B-9397-08002B2CF9AE}" pid="4" name="KSOTemplateDocerSaveRecord">
    <vt:lpwstr>eyJoZGlkIjoiYjhjMDk2ZTY1MjMyZmE3NjYxOWEwZDdiM2MyOGE1OGEiLCJ1c2VySWQiOiIzMjIxNTQ2MDAifQ==</vt:lpwstr>
  </property>
</Properties>
</file>