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宋体" w:hAnsi="宋体" w:eastAsia="宋体"/>
          <w:b/>
          <w:color w:val="auto"/>
          <w:sz w:val="28"/>
          <w:highlight w:val="none"/>
          <w:lang w:eastAsia="zh-CN"/>
        </w:rPr>
      </w:pPr>
      <w:bookmarkStart w:id="0" w:name="_Toc10891"/>
      <w:r>
        <w:rPr>
          <w:rFonts w:hint="eastAsia" w:ascii="宋体" w:hAnsi="宋体" w:eastAsia="宋体"/>
          <w:b/>
          <w:color w:val="auto"/>
          <w:sz w:val="28"/>
          <w:highlight w:val="none"/>
        </w:rPr>
        <w:t>第三章  采购需求</w:t>
      </w:r>
      <w:bookmarkEnd w:id="0"/>
    </w:p>
    <w:p w14:paraId="0D9E3639">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30B0ED33">
      <w:pPr>
        <w:spacing w:line="360" w:lineRule="auto"/>
        <w:ind w:firstLine="437"/>
        <w:outlineLvl w:val="1"/>
        <w:rPr>
          <w:rFonts w:ascii="宋体" w:hAnsi="宋体" w:eastAsia="宋体"/>
          <w:b/>
          <w:color w:val="auto"/>
          <w:sz w:val="24"/>
          <w:szCs w:val="18"/>
          <w:highlight w:val="none"/>
        </w:rPr>
      </w:pPr>
      <w:bookmarkStart w:id="1" w:name="_Toc2554"/>
      <w:bookmarkStart w:id="2" w:name="_Toc32151"/>
      <w:r>
        <w:rPr>
          <w:rFonts w:hint="eastAsia" w:ascii="宋体" w:hAnsi="宋体" w:eastAsia="宋体"/>
          <w:b/>
          <w:color w:val="auto"/>
          <w:sz w:val="24"/>
          <w:szCs w:val="18"/>
          <w:highlight w:val="none"/>
        </w:rPr>
        <w:t>一、采购需求前附表</w:t>
      </w:r>
      <w:bookmarkEnd w:id="1"/>
      <w:bookmarkEnd w:id="2"/>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5"/>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6"/>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验收合格后一次性付清</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6"/>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安徽职业技术大学</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6"/>
              <w:widowControl w:val="0"/>
              <w:spacing w:before="0" w:beforeAutospacing="0" w:after="0" w:afterAutospacing="0" w:line="360" w:lineRule="auto"/>
              <w:jc w:val="left"/>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90日历天</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6"/>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第一包</w:t>
            </w:r>
            <w:r>
              <w:rPr>
                <w:rFonts w:hint="eastAsia" w:ascii="宋体" w:hAnsi="宋体" w:eastAsia="宋体"/>
                <w:b w:val="0"/>
                <w:color w:val="auto"/>
                <w:sz w:val="24"/>
                <w:highlight w:val="none"/>
              </w:rPr>
              <w:t>验收合格之日起</w:t>
            </w:r>
            <w:r>
              <w:rPr>
                <w:rFonts w:hint="eastAsia" w:ascii="宋体" w:hAnsi="宋体" w:eastAsia="宋体"/>
                <w:b w:val="0"/>
                <w:color w:val="auto"/>
                <w:sz w:val="24"/>
                <w:highlight w:val="none"/>
                <w:lang w:val="en-US" w:eastAsia="zh-CN"/>
              </w:rPr>
              <w:t>3</w:t>
            </w:r>
            <w:r>
              <w:rPr>
                <w:rFonts w:hint="eastAsia" w:ascii="宋体" w:hAnsi="宋体" w:eastAsia="宋体"/>
                <w:b w:val="0"/>
                <w:color w:val="auto"/>
                <w:sz w:val="24"/>
                <w:highlight w:val="none"/>
              </w:rPr>
              <w:t>年</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第二包</w:t>
            </w:r>
            <w:r>
              <w:rPr>
                <w:rFonts w:hint="eastAsia" w:ascii="宋体" w:hAnsi="宋体" w:eastAsia="宋体"/>
                <w:b w:val="0"/>
                <w:color w:val="auto"/>
                <w:sz w:val="24"/>
                <w:highlight w:val="none"/>
              </w:rPr>
              <w:t>验收合格之日起</w:t>
            </w:r>
            <w:r>
              <w:rPr>
                <w:rFonts w:hint="eastAsia" w:ascii="宋体" w:hAnsi="宋体" w:eastAsia="宋体"/>
                <w:b w:val="0"/>
                <w:color w:val="auto"/>
                <w:sz w:val="24"/>
                <w:highlight w:val="none"/>
                <w:lang w:val="en-US" w:eastAsia="zh-CN"/>
              </w:rPr>
              <w:t>3</w:t>
            </w:r>
            <w:r>
              <w:rPr>
                <w:rFonts w:hint="eastAsia" w:ascii="宋体" w:hAnsi="宋体" w:eastAsia="宋体"/>
                <w:b w:val="0"/>
                <w:color w:val="auto"/>
                <w:sz w:val="24"/>
                <w:highlight w:val="none"/>
              </w:rPr>
              <w:t>年</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其中综合管理平台质保5年。</w:t>
            </w:r>
          </w:p>
        </w:tc>
      </w:tr>
    </w:tbl>
    <w:p w14:paraId="3E806DB2">
      <w:pPr>
        <w:numPr>
          <w:ilvl w:val="0"/>
          <w:numId w:val="1"/>
        </w:numPr>
        <w:spacing w:line="360" w:lineRule="auto"/>
        <w:ind w:firstLine="437"/>
        <w:outlineLvl w:val="1"/>
        <w:rPr>
          <w:rFonts w:hint="eastAsia" w:ascii="宋体" w:hAnsi="宋体" w:eastAsia="宋体"/>
          <w:b/>
          <w:bCs/>
          <w:color w:val="auto"/>
          <w:sz w:val="24"/>
          <w:szCs w:val="18"/>
          <w:highlight w:val="none"/>
        </w:rPr>
      </w:pPr>
      <w:bookmarkStart w:id="3" w:name="_Toc7671"/>
      <w:bookmarkStart w:id="4" w:name="_Toc5944"/>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p>
    <w:p w14:paraId="4BDF89D9">
      <w:pPr>
        <w:numPr>
          <w:ilvl w:val="0"/>
          <w:numId w:val="0"/>
        </w:numPr>
        <w:spacing w:line="360" w:lineRule="auto"/>
        <w:outlineLvl w:val="1"/>
        <w:rPr>
          <w:rFonts w:hint="default" w:ascii="宋体" w:hAnsi="宋体" w:eastAsia="宋体"/>
          <w:b/>
          <w:bCs/>
          <w:color w:val="auto"/>
          <w:sz w:val="24"/>
          <w:szCs w:val="18"/>
          <w:highlight w:val="none"/>
          <w:lang w:val="en-US" w:eastAsia="zh-CN"/>
        </w:rPr>
      </w:pPr>
      <w:r>
        <w:rPr>
          <w:rFonts w:hint="default" w:ascii="宋体" w:hAnsi="宋体" w:eastAsia="宋体"/>
          <w:b/>
          <w:bCs/>
          <w:color w:val="auto"/>
          <w:sz w:val="24"/>
          <w:szCs w:val="18"/>
          <w:highlight w:val="none"/>
          <w:lang w:val="en-US" w:eastAsia="zh-CN"/>
        </w:rPr>
        <w:t>（一）货物指标重要性表述</w:t>
      </w:r>
    </w:p>
    <w:tbl>
      <w:tblPr>
        <w:tblStyle w:val="3"/>
        <w:tblW w:w="52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6"/>
        <w:gridCol w:w="1406"/>
        <w:gridCol w:w="5648"/>
      </w:tblGrid>
      <w:tr w14:paraId="297A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0" w:type="pct"/>
            <w:vAlign w:val="center"/>
          </w:tcPr>
          <w:p w14:paraId="3A1C4CBF">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标识重要性</w:t>
            </w:r>
          </w:p>
        </w:tc>
        <w:tc>
          <w:tcPr>
            <w:tcW w:w="779" w:type="pct"/>
            <w:vAlign w:val="center"/>
          </w:tcPr>
          <w:p w14:paraId="3BA97731">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标识符号</w:t>
            </w:r>
          </w:p>
        </w:tc>
        <w:tc>
          <w:tcPr>
            <w:tcW w:w="3130" w:type="pct"/>
            <w:vAlign w:val="center"/>
          </w:tcPr>
          <w:p w14:paraId="43BBC7AE">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代表意思</w:t>
            </w:r>
          </w:p>
        </w:tc>
      </w:tr>
      <w:tr w14:paraId="3057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90" w:type="pct"/>
            <w:vAlign w:val="center"/>
          </w:tcPr>
          <w:p w14:paraId="3585DD00">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关键性指标项</w:t>
            </w:r>
          </w:p>
        </w:tc>
        <w:tc>
          <w:tcPr>
            <w:tcW w:w="779" w:type="pct"/>
            <w:vAlign w:val="center"/>
          </w:tcPr>
          <w:p w14:paraId="6ED50B54">
            <w:pPr>
              <w:numPr>
                <w:ilvl w:val="0"/>
                <w:numId w:val="0"/>
              </w:numPr>
              <w:spacing w:line="360" w:lineRule="auto"/>
              <w:jc w:val="center"/>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w:t>
            </w:r>
          </w:p>
        </w:tc>
        <w:tc>
          <w:tcPr>
            <w:tcW w:w="3130" w:type="pct"/>
            <w:vAlign w:val="center"/>
          </w:tcPr>
          <w:p w14:paraId="2501E733">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不满足该指标项将导致投标被拒绝</w:t>
            </w:r>
          </w:p>
        </w:tc>
      </w:tr>
      <w:tr w14:paraId="6354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0" w:type="pct"/>
            <w:vAlign w:val="center"/>
          </w:tcPr>
          <w:p w14:paraId="39966B40">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重要指标项</w:t>
            </w:r>
          </w:p>
        </w:tc>
        <w:tc>
          <w:tcPr>
            <w:tcW w:w="779" w:type="pct"/>
            <w:vAlign w:val="center"/>
          </w:tcPr>
          <w:p w14:paraId="5802E47E">
            <w:pPr>
              <w:numPr>
                <w:ilvl w:val="0"/>
                <w:numId w:val="0"/>
              </w:numPr>
              <w:spacing w:line="360" w:lineRule="auto"/>
              <w:jc w:val="center"/>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w:t>
            </w:r>
          </w:p>
        </w:tc>
        <w:tc>
          <w:tcPr>
            <w:tcW w:w="3130" w:type="pct"/>
            <w:vAlign w:val="center"/>
          </w:tcPr>
          <w:p w14:paraId="75A36189">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评分项</w:t>
            </w:r>
          </w:p>
        </w:tc>
      </w:tr>
      <w:tr w14:paraId="0C75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90" w:type="pct"/>
            <w:vAlign w:val="center"/>
          </w:tcPr>
          <w:p w14:paraId="1A0CD5BB">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一般指标项</w:t>
            </w:r>
          </w:p>
        </w:tc>
        <w:tc>
          <w:tcPr>
            <w:tcW w:w="779" w:type="pct"/>
            <w:vAlign w:val="center"/>
          </w:tcPr>
          <w:p w14:paraId="32938C8F">
            <w:pPr>
              <w:numPr>
                <w:ilvl w:val="0"/>
                <w:numId w:val="0"/>
              </w:numPr>
              <w:spacing w:line="360" w:lineRule="auto"/>
              <w:jc w:val="center"/>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w:t>
            </w:r>
          </w:p>
        </w:tc>
        <w:tc>
          <w:tcPr>
            <w:tcW w:w="3130" w:type="pct"/>
            <w:vAlign w:val="center"/>
          </w:tcPr>
          <w:p w14:paraId="58910BFC">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评分项</w:t>
            </w:r>
          </w:p>
        </w:tc>
      </w:tr>
      <w:tr w14:paraId="79E5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0" w:type="pct"/>
            <w:vAlign w:val="center"/>
          </w:tcPr>
          <w:p w14:paraId="40306A43">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无标识项</w:t>
            </w:r>
          </w:p>
        </w:tc>
        <w:tc>
          <w:tcPr>
            <w:tcW w:w="779" w:type="pct"/>
            <w:vAlign w:val="center"/>
          </w:tcPr>
          <w:p w14:paraId="6F117816">
            <w:pPr>
              <w:numPr>
                <w:ilvl w:val="0"/>
                <w:numId w:val="0"/>
              </w:numPr>
              <w:spacing w:line="360" w:lineRule="auto"/>
              <w:jc w:val="center"/>
              <w:outlineLvl w:val="1"/>
              <w:rPr>
                <w:rFonts w:hint="default" w:ascii="宋体" w:hAnsi="宋体" w:eastAsia="宋体"/>
                <w:b w:val="0"/>
                <w:bCs w:val="0"/>
                <w:color w:val="auto"/>
                <w:sz w:val="24"/>
                <w:szCs w:val="18"/>
                <w:highlight w:val="none"/>
                <w:lang w:val="en-US" w:eastAsia="zh-CN"/>
              </w:rPr>
            </w:pPr>
          </w:p>
        </w:tc>
        <w:tc>
          <w:tcPr>
            <w:tcW w:w="3130" w:type="pct"/>
            <w:vAlign w:val="center"/>
          </w:tcPr>
          <w:p w14:paraId="691929D5">
            <w:pPr>
              <w:numPr>
                <w:ilvl w:val="0"/>
                <w:numId w:val="0"/>
              </w:numPr>
              <w:spacing w:line="360" w:lineRule="auto"/>
              <w:outlineLvl w:val="1"/>
              <w:rPr>
                <w:rFonts w:hint="default" w:ascii="宋体" w:hAnsi="宋体" w:eastAsia="宋体"/>
                <w:b w:val="0"/>
                <w:bCs w:val="0"/>
                <w:color w:val="auto"/>
                <w:sz w:val="24"/>
                <w:szCs w:val="18"/>
                <w:highlight w:val="none"/>
                <w:lang w:val="en-US" w:eastAsia="zh-CN"/>
              </w:rPr>
            </w:pPr>
            <w:r>
              <w:rPr>
                <w:rFonts w:hint="default" w:ascii="宋体" w:hAnsi="宋体" w:eastAsia="宋体"/>
                <w:b w:val="0"/>
                <w:bCs w:val="0"/>
                <w:color w:val="auto"/>
                <w:sz w:val="24"/>
                <w:szCs w:val="18"/>
                <w:highlight w:val="none"/>
                <w:lang w:val="en-US" w:eastAsia="zh-CN"/>
              </w:rPr>
              <w:t>不作为评审项，投标文件（响应文件）中无需列明</w:t>
            </w:r>
          </w:p>
        </w:tc>
      </w:tr>
    </w:tbl>
    <w:p w14:paraId="40DD09CC">
      <w:pPr>
        <w:numPr>
          <w:ilvl w:val="0"/>
          <w:numId w:val="0"/>
        </w:numPr>
        <w:spacing w:line="360" w:lineRule="auto"/>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（二）货物指标要求</w:t>
      </w:r>
    </w:p>
    <w:p w14:paraId="54122B15">
      <w:pPr>
        <w:numPr>
          <w:ilvl w:val="0"/>
          <w:numId w:val="0"/>
        </w:numPr>
        <w:spacing w:line="360" w:lineRule="auto"/>
        <w:outlineLvl w:val="2"/>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第1包：</w:t>
      </w:r>
    </w:p>
    <w:tbl>
      <w:tblPr>
        <w:tblStyle w:val="3"/>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116"/>
        <w:gridCol w:w="3301"/>
        <w:gridCol w:w="803"/>
        <w:gridCol w:w="870"/>
        <w:gridCol w:w="783"/>
        <w:gridCol w:w="907"/>
      </w:tblGrid>
      <w:tr w14:paraId="53A3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67B4F73">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656" w:type="pct"/>
            <w:vAlign w:val="center"/>
          </w:tcPr>
          <w:p w14:paraId="5F31DA5C">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1940" w:type="pct"/>
            <w:vAlign w:val="center"/>
          </w:tcPr>
          <w:p w14:paraId="6102B780">
            <w:pPr>
              <w:spacing w:line="360" w:lineRule="auto"/>
              <w:jc w:val="both"/>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472" w:type="pct"/>
            <w:vAlign w:val="center"/>
          </w:tcPr>
          <w:p w14:paraId="4469B55E">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数量（单位）</w:t>
            </w:r>
          </w:p>
        </w:tc>
        <w:tc>
          <w:tcPr>
            <w:tcW w:w="511" w:type="pct"/>
            <w:vAlign w:val="center"/>
          </w:tcPr>
          <w:p w14:paraId="732EB27B">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所属行业</w:t>
            </w:r>
          </w:p>
        </w:tc>
        <w:tc>
          <w:tcPr>
            <w:tcW w:w="460" w:type="pct"/>
            <w:vAlign w:val="center"/>
          </w:tcPr>
          <w:p w14:paraId="5D58B70C">
            <w:pPr>
              <w:spacing w:line="360" w:lineRule="auto"/>
              <w:jc w:val="center"/>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是否为核心产品</w:t>
            </w:r>
          </w:p>
        </w:tc>
        <w:tc>
          <w:tcPr>
            <w:tcW w:w="533" w:type="pct"/>
            <w:vAlign w:val="center"/>
          </w:tcPr>
          <w:p w14:paraId="2FFBEBFD">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107A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25" w:type="pct"/>
            <w:vAlign w:val="center"/>
          </w:tcPr>
          <w:p w14:paraId="3946058B">
            <w:pPr>
              <w:spacing w:line="360" w:lineRule="auto"/>
              <w:jc w:val="center"/>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lang w:val="en-US" w:eastAsia="zh-CN"/>
              </w:rPr>
              <w:t>1</w:t>
            </w:r>
          </w:p>
        </w:tc>
        <w:tc>
          <w:tcPr>
            <w:tcW w:w="656" w:type="pct"/>
            <w:vAlign w:val="center"/>
          </w:tcPr>
          <w:p w14:paraId="0F93411B">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球机（含支架）</w:t>
            </w:r>
          </w:p>
          <w:p w14:paraId="5A06F5C6">
            <w:pPr>
              <w:spacing w:line="360" w:lineRule="auto"/>
              <w:jc w:val="center"/>
              <w:rPr>
                <w:rFonts w:ascii="宋体" w:hAnsi="宋体" w:eastAsia="宋体"/>
                <w:bCs/>
                <w:color w:val="auto"/>
                <w:sz w:val="24"/>
                <w:szCs w:val="18"/>
                <w:highlight w:val="none"/>
              </w:rPr>
            </w:pPr>
          </w:p>
        </w:tc>
        <w:tc>
          <w:tcPr>
            <w:tcW w:w="1940" w:type="pct"/>
            <w:vAlign w:val="center"/>
          </w:tcPr>
          <w:p w14:paraId="49590C7B">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1、不低于400万像素CMOS传感器；</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2、最低照度需满足：彩色≤0.002Lux，黑白≤0.0001Lux；</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3、支持不低于25倍光学变焦，16倍数字变焦；</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4、内置红外补光灯，补光距离不小于200米；</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5、具有两种滤光片，在白天、夜晚及有雾情况下可自动切换不同的滤光片进行成像。透过率不小于96%；</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6、●水平手控速度应不小于160°/s，垂直手控速度不小于120°/s，云台定位准确度≤0.1°；</w:t>
            </w:r>
            <w:r>
              <w:rPr>
                <w:rFonts w:hint="eastAsia" w:ascii="宋体" w:hAnsi="宋体" w:eastAsia="宋体"/>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441E5F8E">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052C1ADB">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14A5077F">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204FCA38">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cs="@仿宋_GB2312"/>
                <w:b/>
                <w:bCs w:val="0"/>
                <w:color w:val="auto"/>
                <w:sz w:val="24"/>
                <w:szCs w:val="18"/>
                <w:highlight w:val="none"/>
                <w:lang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7、支持五码流技术，可通过IE浏览器同时输4路分辨率为2560x1440和1路分辨率为704x576的视频图像；</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8、■支持同时检测监控单场景内出现的不少于60张人脸图片，并支持面部框选跟踪及抓拍；</w:t>
            </w:r>
            <w:r>
              <w:rPr>
                <w:rFonts w:hint="eastAsia" w:ascii="宋体" w:hAnsi="宋体" w:eastAsia="宋体"/>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563B3737">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1014B6FE">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2B319444">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43A7285A">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
                <w:bCs w:val="0"/>
                <w:color w:val="auto"/>
                <w:sz w:val="24"/>
                <w:szCs w:val="18"/>
                <w:highlight w:val="none"/>
                <w:lang w:val="en-US"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9、支持人脸抓拍功能，可对经过设定区域的行人进行人脸检测和人脸跟踪，当检测到人脸后，可抓拍人脸图片，联动聚焦、联动目标跟踪、报警上传，上传FTP，发送邮件，联动录像，辅助输出，抓拍图片数量可设；</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10、■支持对绊线入侵、区域入侵、进入/离开区域越界入侵、穿越围栏、快速移动、物品搬移、物品遗留、停车检测、人员聚集、徘徊、逆行行为分析目标方向规则进行设置，可通过IE浏览器或客户端软件设置触发方向为A-B、B-&gt;A、A&lt;-&gt;B三种规则；（</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77544AA3">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26EDC21A">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0A372863">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12AEBC54">
            <w:pPr>
              <w:adjustRightInd w:val="0"/>
              <w:snapToGrid w:val="0"/>
              <w:spacing w:line="360" w:lineRule="auto"/>
              <w:jc w:val="left"/>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11、具有不少于1个RJ45网络接口、1个音频输入接口、1个音频输出接口、1个硬件恢复默认按键、2个报警输入接口、1个报警输出接口、1个SD卡槽；</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12、支持DC12V±10%宽电压输入；</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13、支持不低于IP66防护等级。</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支架：</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承重≥5kg；</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安装方式：壁装；</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执行标准：Q/DXJ 064-2018；</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材质：铝合金。</w:t>
            </w:r>
          </w:p>
          <w:p w14:paraId="3FBA72B2">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14、材料费：</w:t>
            </w:r>
          </w:p>
          <w:p w14:paraId="5756190D">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此包内所有采购设备的安装调试维修材料：包括光纤、网线、电源线、尾纤、跳线、软管、弱电箱、熔纤盒、插排、水晶头等。</w:t>
            </w:r>
          </w:p>
          <w:p w14:paraId="5D3294B1">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施工结束后提供详细的清单。</w:t>
            </w:r>
          </w:p>
          <w:p w14:paraId="2C197F73">
            <w:pPr>
              <w:numPr>
                <w:ilvl w:val="-1"/>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此项为整合后全部恢复上线，并达到正常使用要求，不得出现明显卡顿，模糊等影响监控录制的问题，必要时增加设备。</w:t>
            </w:r>
            <w:r>
              <w:rPr>
                <w:rFonts w:hint="eastAsia" w:ascii="宋体" w:hAnsi="宋体" w:eastAsia="宋体"/>
                <w:b/>
                <w:bCs w:val="0"/>
                <w:color w:val="auto"/>
                <w:sz w:val="24"/>
                <w:szCs w:val="18"/>
                <w:highlight w:val="none"/>
                <w:lang w:val="en-US" w:eastAsia="zh-CN"/>
              </w:rPr>
              <w:t>供应商需在“第六章 投标文件格式”中“五、投标分项报价表”中“5-2服务部分”填写相应报价。</w:t>
            </w:r>
          </w:p>
          <w:p w14:paraId="761660B8">
            <w:pPr>
              <w:numPr>
                <w:ilvl w:val="-1"/>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15、人工技术费：</w:t>
            </w:r>
          </w:p>
          <w:p w14:paraId="28412918">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此包内所有采购设备安装、布线、调试、及路面及绿化带开挖恢复等。施工结束后提供详细的清单。</w:t>
            </w:r>
            <w:r>
              <w:rPr>
                <w:rFonts w:hint="eastAsia" w:ascii="宋体" w:hAnsi="宋体" w:eastAsia="宋体"/>
                <w:b/>
                <w:bCs w:val="0"/>
                <w:color w:val="auto"/>
                <w:sz w:val="24"/>
                <w:szCs w:val="18"/>
                <w:highlight w:val="none"/>
                <w:lang w:val="en-US" w:eastAsia="zh-CN"/>
              </w:rPr>
              <w:t>供应商需在“第六章 投标文件格式”中“五、投标分项报价表”中“5-2服务部分”填写相应报价。</w:t>
            </w:r>
          </w:p>
          <w:p w14:paraId="465A2936">
            <w:pPr>
              <w:numPr>
                <w:ilvl w:val="-1"/>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
                <w:bCs w:val="0"/>
                <w:color w:val="auto"/>
                <w:sz w:val="24"/>
                <w:szCs w:val="18"/>
                <w:highlight w:val="none"/>
                <w:lang w:val="en-US" w:eastAsia="zh-CN"/>
              </w:rPr>
              <w:t>16、★新采购设备和维修时更换的设备需质保三年，特殊要求的除外，自验收通过之日起计算。（此项为必须满足项，需提供承诺函，格式自拟，未提供视为无效响应。）</w:t>
            </w:r>
          </w:p>
        </w:tc>
        <w:tc>
          <w:tcPr>
            <w:tcW w:w="472" w:type="pct"/>
            <w:vAlign w:val="center"/>
          </w:tcPr>
          <w:p w14:paraId="04589FD8">
            <w:pPr>
              <w:spacing w:line="360" w:lineRule="auto"/>
              <w:jc w:val="center"/>
              <w:rPr>
                <w:color w:val="auto"/>
                <w:highlight w:val="none"/>
              </w:rPr>
            </w:pPr>
            <w:r>
              <w:rPr>
                <w:rFonts w:hint="eastAsia" w:ascii="宋体" w:hAnsi="宋体" w:eastAsia="宋体"/>
                <w:bCs/>
                <w:color w:val="auto"/>
                <w:sz w:val="24"/>
                <w:szCs w:val="18"/>
                <w:highlight w:val="none"/>
                <w:lang w:val="en-US" w:eastAsia="zh-CN"/>
              </w:rPr>
              <w:t>18台</w:t>
            </w:r>
          </w:p>
        </w:tc>
        <w:tc>
          <w:tcPr>
            <w:tcW w:w="511" w:type="pct"/>
            <w:vAlign w:val="center"/>
          </w:tcPr>
          <w:p w14:paraId="71F6158A">
            <w:pPr>
              <w:adjustRightInd w:val="0"/>
              <w:snapToGrid w:val="0"/>
              <w:spacing w:line="240" w:lineRule="auto"/>
              <w:jc w:val="left"/>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460" w:type="pct"/>
            <w:vAlign w:val="center"/>
          </w:tcPr>
          <w:p w14:paraId="6C130D67">
            <w:pPr>
              <w:adjustRightInd w:val="0"/>
              <w:snapToGrid w:val="0"/>
              <w:spacing w:line="240" w:lineRule="auto"/>
              <w:jc w:val="left"/>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否</w:t>
            </w:r>
          </w:p>
        </w:tc>
        <w:tc>
          <w:tcPr>
            <w:tcW w:w="533" w:type="pct"/>
            <w:vAlign w:val="center"/>
          </w:tcPr>
          <w:p w14:paraId="735B0288">
            <w:pPr>
              <w:spacing w:line="360" w:lineRule="auto"/>
              <w:jc w:val="center"/>
              <w:rPr>
                <w:rFonts w:ascii="宋体" w:hAnsi="宋体" w:eastAsia="宋体"/>
                <w:bCs/>
                <w:color w:val="auto"/>
                <w:sz w:val="24"/>
                <w:szCs w:val="18"/>
                <w:highlight w:val="none"/>
              </w:rPr>
            </w:pPr>
          </w:p>
        </w:tc>
      </w:tr>
      <w:tr w14:paraId="3944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BE84AF3">
            <w:pPr>
              <w:spacing w:line="360" w:lineRule="auto"/>
              <w:jc w:val="center"/>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lang w:val="en-US" w:eastAsia="zh-CN"/>
              </w:rPr>
              <w:t>2</w:t>
            </w:r>
          </w:p>
        </w:tc>
        <w:tc>
          <w:tcPr>
            <w:tcW w:w="656" w:type="pct"/>
            <w:vAlign w:val="center"/>
          </w:tcPr>
          <w:p w14:paraId="4AD4D181">
            <w:pPr>
              <w:spacing w:line="360" w:lineRule="auto"/>
              <w:jc w:val="left"/>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室外枪机（含支架）</w:t>
            </w:r>
          </w:p>
        </w:tc>
        <w:tc>
          <w:tcPr>
            <w:tcW w:w="1940" w:type="pct"/>
            <w:vAlign w:val="center"/>
          </w:tcPr>
          <w:p w14:paraId="3CA215E5">
            <w:pPr>
              <w:numPr>
                <w:ilvl w:val="0"/>
                <w:numId w:val="2"/>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采用400万像素1/3英寸CMOS图像传感器；</w:t>
            </w:r>
          </w:p>
          <w:p w14:paraId="07058BC1">
            <w:pPr>
              <w:numPr>
                <w:ilvl w:val="0"/>
                <w:numId w:val="2"/>
              </w:numPr>
              <w:spacing w:line="360" w:lineRule="auto"/>
              <w:ind w:left="0" w:leftChars="0" w:firstLine="0" w:firstLine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可输出2560×1440@25fps；</w:t>
            </w:r>
          </w:p>
          <w:p w14:paraId="267DC0B7">
            <w:pPr>
              <w:numPr>
                <w:ilvl w:val="0"/>
                <w:numId w:val="2"/>
              </w:numPr>
              <w:spacing w:line="360" w:lineRule="auto"/>
              <w:ind w:left="0" w:leftChars="0" w:firstLine="0" w:firstLine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支持H.265编码，压缩比高，超低码流；</w:t>
            </w:r>
          </w:p>
          <w:p w14:paraId="738977FC">
            <w:pPr>
              <w:numPr>
                <w:ilvl w:val="0"/>
                <w:numId w:val="2"/>
              </w:numPr>
              <w:spacing w:line="360" w:lineRule="auto"/>
              <w:ind w:left="0" w:leftChars="0" w:firstLine="0" w:firstLine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内置高效红外补光灯，红外监控距离≥50米；</w:t>
            </w:r>
          </w:p>
          <w:p w14:paraId="0C061315">
            <w:pPr>
              <w:numPr>
                <w:ilvl w:val="0"/>
                <w:numId w:val="2"/>
              </w:numPr>
              <w:spacing w:line="360" w:lineRule="auto"/>
              <w:ind w:left="0" w:leftChars="0" w:firstLine="0" w:firstLine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支持ROI，SMARTH.264+/H.265+，灵活编码，适用不同带宽和存储环境；</w:t>
            </w:r>
          </w:p>
          <w:p w14:paraId="600BE6E5">
            <w:pPr>
              <w:numPr>
                <w:ilvl w:val="0"/>
                <w:numId w:val="2"/>
              </w:numPr>
              <w:spacing w:line="360" w:lineRule="auto"/>
              <w:ind w:left="0" w:leftChars="0" w:firstLine="0" w:firstLine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支持数字宽动态，3D降噪，强光抑制，背光补偿，数字水印，适用不同监控环境；</w:t>
            </w:r>
          </w:p>
          <w:p w14:paraId="2ECD11A2">
            <w:pPr>
              <w:numPr>
                <w:ilvl w:val="0"/>
                <w:numId w:val="2"/>
              </w:numPr>
              <w:spacing w:line="360" w:lineRule="auto"/>
              <w:ind w:left="0" w:leftChars="0" w:firstLine="0" w:firstLine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支持多种异常检测：动态检测，视频遮挡，网络断开，IP冲突，音频异常侦测，非法访问；</w:t>
            </w:r>
          </w:p>
          <w:p w14:paraId="1D233AD3">
            <w:pPr>
              <w:numPr>
                <w:ilvl w:val="0"/>
                <w:numId w:val="2"/>
              </w:numPr>
              <w:spacing w:line="360" w:lineRule="auto"/>
              <w:ind w:left="0" w:leftChars="0" w:firstLine="0" w:firstLine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内置MIC；</w:t>
            </w:r>
          </w:p>
          <w:p w14:paraId="17AF2908">
            <w:pPr>
              <w:numPr>
                <w:ilvl w:val="0"/>
                <w:numId w:val="2"/>
              </w:numPr>
              <w:spacing w:line="360" w:lineRule="auto"/>
              <w:ind w:left="0" w:leftChars="0" w:firstLine="0" w:firstLine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支持DC12V供电方式；</w:t>
            </w:r>
          </w:p>
          <w:p w14:paraId="24A2A83B">
            <w:pPr>
              <w:numPr>
                <w:ilvl w:val="0"/>
                <w:numId w:val="0"/>
              </w:numPr>
              <w:spacing w:line="360" w:lineRule="auto"/>
              <w:ind w:left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10、支持不低于IP67防护等级。</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支架：</w:t>
            </w:r>
          </w:p>
          <w:p w14:paraId="0B3F51E1">
            <w:pPr>
              <w:numPr>
                <w:ilvl w:val="0"/>
                <w:numId w:val="0"/>
              </w:numPr>
              <w:spacing w:line="360" w:lineRule="auto"/>
              <w:ind w:left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11、外观颜色：白色；</w:t>
            </w:r>
          </w:p>
          <w:p w14:paraId="0EFB29E6">
            <w:pPr>
              <w:numPr>
                <w:ilvl w:val="0"/>
                <w:numId w:val="0"/>
              </w:numPr>
              <w:spacing w:line="360" w:lineRule="auto"/>
              <w:ind w:left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12、承重≥1.0kg；</w:t>
            </w:r>
          </w:p>
          <w:p w14:paraId="10159E5A">
            <w:pPr>
              <w:numPr>
                <w:ilvl w:val="0"/>
                <w:numId w:val="0"/>
              </w:numPr>
              <w:spacing w:line="360" w:lineRule="auto"/>
              <w:ind w:left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13、安装方式：壁装-60°～0°；</w:t>
            </w:r>
          </w:p>
          <w:p w14:paraId="14789805">
            <w:pPr>
              <w:numPr>
                <w:ilvl w:val="0"/>
                <w:numId w:val="0"/>
              </w:numPr>
              <w:spacing w:line="360" w:lineRule="auto"/>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14、旋转角度：水平0°～360°。</w:t>
            </w:r>
          </w:p>
        </w:tc>
        <w:tc>
          <w:tcPr>
            <w:tcW w:w="472" w:type="pct"/>
            <w:vAlign w:val="center"/>
          </w:tcPr>
          <w:p w14:paraId="7660999B">
            <w:pPr>
              <w:spacing w:line="360" w:lineRule="auto"/>
              <w:jc w:val="center"/>
              <w:rPr>
                <w:color w:val="auto"/>
                <w:highlight w:val="none"/>
              </w:rPr>
            </w:pPr>
            <w:r>
              <w:rPr>
                <w:rFonts w:hint="eastAsia" w:ascii="宋体" w:hAnsi="宋体" w:eastAsia="宋体"/>
                <w:bCs/>
                <w:color w:val="auto"/>
                <w:sz w:val="24"/>
                <w:szCs w:val="18"/>
                <w:highlight w:val="none"/>
                <w:lang w:val="en-US" w:eastAsia="zh-CN"/>
              </w:rPr>
              <w:t>10台</w:t>
            </w:r>
          </w:p>
        </w:tc>
        <w:tc>
          <w:tcPr>
            <w:tcW w:w="511" w:type="pct"/>
            <w:vAlign w:val="center"/>
          </w:tcPr>
          <w:p w14:paraId="27623770">
            <w:pPr>
              <w:numPr>
                <w:ilvl w:val="0"/>
                <w:numId w:val="0"/>
              </w:numPr>
              <w:spacing w:line="360" w:lineRule="auto"/>
              <w:ind w:leftChars="0"/>
              <w:jc w:val="both"/>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工业</w:t>
            </w:r>
          </w:p>
        </w:tc>
        <w:tc>
          <w:tcPr>
            <w:tcW w:w="460" w:type="pct"/>
            <w:vAlign w:val="center"/>
          </w:tcPr>
          <w:p w14:paraId="26FDAB36">
            <w:pPr>
              <w:numPr>
                <w:ilvl w:val="0"/>
                <w:numId w:val="0"/>
              </w:numPr>
              <w:spacing w:line="360" w:lineRule="auto"/>
              <w:ind w:leftChars="0"/>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否</w:t>
            </w:r>
          </w:p>
        </w:tc>
        <w:tc>
          <w:tcPr>
            <w:tcW w:w="533" w:type="pct"/>
            <w:vAlign w:val="center"/>
          </w:tcPr>
          <w:p w14:paraId="0DD9C8E4">
            <w:pPr>
              <w:spacing w:line="360" w:lineRule="auto"/>
              <w:jc w:val="center"/>
              <w:rPr>
                <w:rFonts w:ascii="宋体" w:hAnsi="宋体" w:eastAsia="宋体"/>
                <w:bCs/>
                <w:color w:val="auto"/>
                <w:sz w:val="24"/>
                <w:szCs w:val="18"/>
                <w:highlight w:val="none"/>
              </w:rPr>
            </w:pPr>
          </w:p>
        </w:tc>
      </w:tr>
      <w:tr w14:paraId="4018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25" w:type="pct"/>
            <w:vAlign w:val="center"/>
          </w:tcPr>
          <w:p w14:paraId="114C975C">
            <w:pPr>
              <w:spacing w:line="360" w:lineRule="auto"/>
              <w:jc w:val="center"/>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lang w:val="en-US" w:eastAsia="zh-CN"/>
              </w:rPr>
              <w:t>3</w:t>
            </w:r>
          </w:p>
        </w:tc>
        <w:tc>
          <w:tcPr>
            <w:tcW w:w="656" w:type="pct"/>
            <w:vAlign w:val="center"/>
          </w:tcPr>
          <w:p w14:paraId="2FD50C5F">
            <w:pPr>
              <w:spacing w:line="360" w:lineRule="auto"/>
              <w:jc w:val="center"/>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企业级硬盘</w:t>
            </w:r>
          </w:p>
        </w:tc>
        <w:tc>
          <w:tcPr>
            <w:tcW w:w="1940" w:type="pct"/>
            <w:vAlign w:val="center"/>
          </w:tcPr>
          <w:p w14:paraId="26FFBB9C">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★16T企业级硬盘，单盘容量：16TB；</w:t>
            </w:r>
          </w:p>
          <w:p w14:paraId="51604189">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缓存：512MB；</w:t>
            </w:r>
          </w:p>
          <w:p w14:paraId="0FD8B9BD">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转速：7200RPM；</w:t>
            </w:r>
          </w:p>
          <w:p w14:paraId="58088325">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硬盘接口：SATA；</w:t>
            </w:r>
          </w:p>
          <w:p w14:paraId="0FDAE4A3">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硬盘尺寸：3.5英寸。</w:t>
            </w:r>
          </w:p>
          <w:p w14:paraId="7ECD5412">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5FA1B939">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1624039F">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58386C78">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4349BC5E">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p>
          <w:p w14:paraId="6042D589">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此项需同时满足以下要求，否则视为无效响应。</w:t>
            </w:r>
          </w:p>
          <w:p w14:paraId="527470F2">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一、故障恢复</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1.东园学生宿舍楼共计275路监控，掉线约60路。</w:t>
            </w:r>
          </w:p>
          <w:p w14:paraId="280C822C">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2.至复楼、至兴楼、东风楼、复兴楼、和谐楼，共约375路，掉线约145路。</w:t>
            </w:r>
          </w:p>
          <w:p w14:paraId="121B2BD5">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3.室外共46路监控，掉线约25路。</w:t>
            </w:r>
          </w:p>
          <w:p w14:paraId="5944D1BC">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4.西园共580路，掉线约10路。</w:t>
            </w:r>
          </w:p>
          <w:p w14:paraId="42B320DA">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5.北园掉线约20路。</w:t>
            </w:r>
          </w:p>
          <w:p w14:paraId="7A2E1F92">
            <w:pPr>
              <w:spacing w:line="360" w:lineRule="auto"/>
              <w:jc w:val="both"/>
              <w:rPr>
                <w:rFonts w:hint="default" w:ascii="宋体" w:hAnsi="宋体" w:eastAsia="宋体"/>
                <w:b/>
                <w:bCs w:val="0"/>
                <w:color w:val="auto"/>
                <w:sz w:val="24"/>
                <w:szCs w:val="18"/>
                <w:highlight w:val="none"/>
                <w:lang w:val="en-US" w:eastAsia="zh-CN"/>
              </w:rPr>
            </w:pPr>
            <w:r>
              <w:rPr>
                <w:rFonts w:hint="eastAsia" w:ascii="宋体" w:hAnsi="宋体" w:eastAsia="宋体"/>
                <w:bCs/>
                <w:color w:val="auto"/>
                <w:sz w:val="24"/>
                <w:szCs w:val="18"/>
                <w:highlight w:val="none"/>
                <w:lang w:val="en-US" w:eastAsia="zh-CN"/>
              </w:rPr>
              <w:t>以上共掉线约260路。以上设备故障原因有前端设备损坏约150路左右、电源适配器损坏约30路左右、线路损坏约80路左右、交换机故障约5台左右、存储异常约3套等。</w:t>
            </w:r>
            <w:r>
              <w:rPr>
                <w:rFonts w:hint="eastAsia" w:ascii="宋体" w:hAnsi="宋体" w:eastAsia="宋体"/>
                <w:bCs/>
                <w:color w:val="auto"/>
                <w:sz w:val="24"/>
                <w:szCs w:val="18"/>
                <w:highlight w:val="none"/>
                <w:lang w:val="en-US" w:eastAsia="zh-CN"/>
              </w:rPr>
              <w:br w:type="textWrapping"/>
            </w:r>
            <w:r>
              <w:rPr>
                <w:rFonts w:hint="eastAsia" w:ascii="宋体" w:hAnsi="宋体" w:eastAsia="宋体"/>
                <w:b/>
                <w:bCs w:val="0"/>
                <w:color w:val="auto"/>
                <w:sz w:val="24"/>
                <w:szCs w:val="18"/>
                <w:highlight w:val="none"/>
                <w:lang w:val="en-US" w:eastAsia="zh-CN"/>
              </w:rPr>
              <w:t>★故障恢复为必须满足项，需提供承诺函，格式自拟，未提供视为无效响应。</w:t>
            </w:r>
          </w:p>
          <w:p w14:paraId="4FEC0274">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此次故障恢复，需根据现场实际掉线数量及情况进行修复，实际数量可能会超过统计数量，掉线监控应修尽修，必要时设备返厂维修，更换设备(更换的设备提供三年质保服务)，重铺线路等，包含所需设备、材料、维修及人工费，不再额外增加费用。所维修设备需达到画面清晰、录制稳定，且需保证所有设备均可以接入至现有存储设备和综合管理平台，实现统一管理。</w:t>
            </w:r>
            <w:r>
              <w:rPr>
                <w:rFonts w:hint="eastAsia" w:ascii="宋体" w:hAnsi="宋体" w:eastAsia="宋体"/>
                <w:b/>
                <w:bCs w:val="0"/>
                <w:color w:val="auto"/>
                <w:sz w:val="24"/>
                <w:szCs w:val="18"/>
                <w:highlight w:val="none"/>
                <w:lang w:val="en-US" w:eastAsia="zh-CN"/>
              </w:rPr>
              <w:t>供应商需在“第六章 投标文件格式”中“五、投标分项报价表”中“5-2服务部分”填写相应报价。</w:t>
            </w:r>
          </w:p>
          <w:p w14:paraId="7EBDE43F">
            <w:pPr>
              <w:numPr>
                <w:ilvl w:val="0"/>
                <w:numId w:val="0"/>
              </w:numPr>
              <w:spacing w:line="360" w:lineRule="auto"/>
              <w:ind w:left="0" w:leftChars="0" w:firstLine="0" w:firstLineChars="0"/>
              <w:jc w:val="both"/>
              <w:rPr>
                <w:rFonts w:hint="eastAsia" w:ascii="宋体" w:hAnsi="宋体" w:eastAsia="宋体" w:cs="@仿宋_GB2312"/>
                <w:b/>
                <w:bCs/>
                <w:color w:val="auto"/>
                <w:kern w:val="2"/>
                <w:sz w:val="24"/>
                <w:szCs w:val="18"/>
                <w:highlight w:val="none"/>
                <w:lang w:val="en-US" w:eastAsia="zh-CN" w:bidi="ar-SA"/>
              </w:rPr>
            </w:pPr>
            <w:r>
              <w:rPr>
                <w:rFonts w:hint="eastAsia" w:ascii="宋体" w:hAnsi="宋体" w:eastAsia="宋体" w:cs="@仿宋_GB2312"/>
                <w:b/>
                <w:bCs/>
                <w:color w:val="auto"/>
                <w:kern w:val="2"/>
                <w:sz w:val="24"/>
                <w:szCs w:val="18"/>
                <w:highlight w:val="none"/>
                <w:lang w:val="en-US" w:eastAsia="zh-CN" w:bidi="ar-SA"/>
              </w:rPr>
              <w:t>二、汇聚整合</w:t>
            </w:r>
          </w:p>
          <w:p w14:paraId="55CF28F5">
            <w:pPr>
              <w:numPr>
                <w:ilvl w:val="0"/>
                <w:numId w:val="0"/>
              </w:numPr>
              <w:spacing w:line="360" w:lineRule="auto"/>
              <w:ind w:leftChars="0"/>
              <w:jc w:val="both"/>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东园学生宿舍楼至和东楼、至和西楼、至谐楼存储相互独立，现存放于一楼弱电井。</w:t>
            </w:r>
          </w:p>
          <w:p w14:paraId="5A7B28C7">
            <w:pPr>
              <w:numPr>
                <w:ilvl w:val="0"/>
                <w:numId w:val="0"/>
              </w:numPr>
              <w:spacing w:line="360" w:lineRule="auto"/>
              <w:ind w:leftChars="0"/>
              <w:jc w:val="both"/>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至复楼、至兴楼、东风楼、复兴楼、和谐楼存储集中存放在至复楼一楼。</w:t>
            </w:r>
          </w:p>
          <w:p w14:paraId="7721975E">
            <w:pPr>
              <w:numPr>
                <w:ilvl w:val="0"/>
                <w:numId w:val="0"/>
              </w:numPr>
              <w:spacing w:line="360" w:lineRule="auto"/>
              <w:ind w:leftChars="0"/>
              <w:jc w:val="both"/>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室外监控大门位置监控和校园内监控是两套平台，后台均存放在东园大门位置。</w:t>
            </w:r>
          </w:p>
          <w:p w14:paraId="2FEB5944">
            <w:pPr>
              <w:numPr>
                <w:ilvl w:val="0"/>
                <w:numId w:val="0"/>
              </w:numPr>
              <w:spacing w:line="360" w:lineRule="auto"/>
              <w:ind w:leftChars="0"/>
              <w:jc w:val="both"/>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西园监控后台存放在西园机房。西园北门人脸识别通道为双通道双向识别（4个面板机）。</w:t>
            </w:r>
          </w:p>
          <w:p w14:paraId="5D2809D8">
            <w:pPr>
              <w:numPr>
                <w:ilvl w:val="0"/>
                <w:numId w:val="0"/>
              </w:numPr>
              <w:spacing w:line="360" w:lineRule="auto"/>
              <w:ind w:leftChars="0"/>
              <w:jc w:val="both"/>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北园产教融合中心、志高体育馆监控存放在至高体育馆机房。</w:t>
            </w:r>
          </w:p>
          <w:p w14:paraId="7745D9FB">
            <w:pPr>
              <w:numPr>
                <w:ilvl w:val="0"/>
                <w:numId w:val="0"/>
              </w:numPr>
              <w:spacing w:line="360" w:lineRule="auto"/>
              <w:ind w:leftChars="0"/>
              <w:jc w:val="both"/>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★此次整合要求如下：</w:t>
            </w:r>
            <w:r>
              <w:rPr>
                <w:rFonts w:hint="eastAsia" w:ascii="宋体" w:hAnsi="宋体" w:eastAsia="宋体" w:cs="@仿宋_GB2312"/>
                <w:b/>
                <w:bCs/>
                <w:color w:val="auto"/>
                <w:kern w:val="2"/>
                <w:sz w:val="24"/>
                <w:szCs w:val="18"/>
                <w:highlight w:val="none"/>
                <w:lang w:val="en-US" w:eastAsia="zh-CN" w:bidi="ar-SA"/>
              </w:rPr>
              <w:t>（投标时须提供响应承诺函，否则视为无效响应）</w:t>
            </w:r>
          </w:p>
          <w:p w14:paraId="12599E3C">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val="0"/>
                <w:bCs w:val="0"/>
                <w:color w:val="auto"/>
                <w:kern w:val="2"/>
                <w:sz w:val="24"/>
                <w:szCs w:val="18"/>
                <w:highlight w:val="none"/>
                <w:lang w:val="en-US" w:eastAsia="zh-CN" w:bidi="ar-SA"/>
              </w:rPr>
              <w:t>1、至和东楼、至和西楼、至谐楼三栋宿舍楼现有存储移至至复楼一楼，三栋宿舍楼互联互通后，接入北园监控机房存储上，新旧存储统一接入此次升级采购的综合管理平台实现统一管理。东园大门处监控接入北园监控机房。</w:t>
            </w:r>
          </w:p>
        </w:tc>
        <w:tc>
          <w:tcPr>
            <w:tcW w:w="472" w:type="pct"/>
            <w:vAlign w:val="center"/>
          </w:tcPr>
          <w:p w14:paraId="27C2E840">
            <w:pPr>
              <w:spacing w:line="360" w:lineRule="auto"/>
              <w:jc w:val="center"/>
              <w:rPr>
                <w:color w:val="auto"/>
                <w:highlight w:val="none"/>
              </w:rPr>
            </w:pPr>
            <w:r>
              <w:rPr>
                <w:rFonts w:hint="eastAsia" w:ascii="宋体" w:hAnsi="宋体" w:eastAsia="宋体"/>
                <w:bCs/>
                <w:color w:val="auto"/>
                <w:sz w:val="24"/>
                <w:szCs w:val="18"/>
                <w:highlight w:val="none"/>
                <w:lang w:val="en-US" w:eastAsia="zh-CN"/>
              </w:rPr>
              <w:t>144个</w:t>
            </w:r>
          </w:p>
        </w:tc>
        <w:tc>
          <w:tcPr>
            <w:tcW w:w="511" w:type="pct"/>
            <w:vAlign w:val="center"/>
          </w:tcPr>
          <w:p w14:paraId="6EF975F3">
            <w:pPr>
              <w:spacing w:line="360" w:lineRule="auto"/>
              <w:jc w:val="center"/>
              <w:rPr>
                <w:color w:val="auto"/>
                <w:highlight w:val="none"/>
              </w:rPr>
            </w:pPr>
            <w:r>
              <w:rPr>
                <w:rFonts w:hint="eastAsia" w:ascii="宋体" w:hAnsi="宋体" w:eastAsia="宋体"/>
                <w:bCs/>
                <w:color w:val="auto"/>
                <w:sz w:val="24"/>
                <w:szCs w:val="18"/>
                <w:highlight w:val="none"/>
                <w:lang w:val="en-US" w:eastAsia="zh-CN"/>
              </w:rPr>
              <w:t>工业</w:t>
            </w:r>
          </w:p>
        </w:tc>
        <w:tc>
          <w:tcPr>
            <w:tcW w:w="460" w:type="pct"/>
            <w:vAlign w:val="center"/>
          </w:tcPr>
          <w:p w14:paraId="1687BDD7">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是</w:t>
            </w:r>
          </w:p>
        </w:tc>
        <w:tc>
          <w:tcPr>
            <w:tcW w:w="533" w:type="pct"/>
            <w:vAlign w:val="center"/>
          </w:tcPr>
          <w:p w14:paraId="7D952047">
            <w:pPr>
              <w:spacing w:line="360" w:lineRule="auto"/>
              <w:jc w:val="center"/>
              <w:rPr>
                <w:rFonts w:ascii="宋体" w:hAnsi="宋体" w:eastAsia="宋体"/>
                <w:bCs/>
                <w:color w:val="auto"/>
                <w:sz w:val="24"/>
                <w:szCs w:val="18"/>
                <w:highlight w:val="none"/>
              </w:rPr>
            </w:pPr>
          </w:p>
        </w:tc>
      </w:tr>
      <w:tr w14:paraId="4251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9568012">
            <w:pPr>
              <w:spacing w:line="360" w:lineRule="auto"/>
              <w:jc w:val="center"/>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lang w:val="en-US" w:eastAsia="zh-CN"/>
              </w:rPr>
              <w:t>4</w:t>
            </w:r>
          </w:p>
        </w:tc>
        <w:tc>
          <w:tcPr>
            <w:tcW w:w="656" w:type="pct"/>
            <w:vAlign w:val="center"/>
          </w:tcPr>
          <w:p w14:paraId="74F7AFD5">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交换机</w:t>
            </w:r>
          </w:p>
        </w:tc>
        <w:tc>
          <w:tcPr>
            <w:tcW w:w="1940" w:type="pct"/>
            <w:vAlign w:val="center"/>
          </w:tcPr>
          <w:p w14:paraId="5C2CA011">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东园、西园、北园志高体育馆、产教融合中心，全部整合此次采购的核心交换机上，接入此次采购的综合管理平台。根据现场接入情况，投标方自行提供必要的接入设备（包括所需接入交换机、光模块、光纤收发器及其它必要配件），需达到全部接入并不存在卡顿的既定要求，不额外增加费用。</w:t>
            </w:r>
            <w:r>
              <w:rPr>
                <w:rFonts w:hint="eastAsia" w:ascii="宋体" w:hAnsi="宋体" w:eastAsia="宋体" w:cs="@仿宋_GB2312"/>
                <w:b/>
                <w:bCs/>
                <w:color w:val="auto"/>
                <w:kern w:val="2"/>
                <w:sz w:val="24"/>
                <w:szCs w:val="18"/>
                <w:highlight w:val="none"/>
                <w:lang w:val="en-US" w:eastAsia="zh-CN" w:bidi="ar-SA"/>
              </w:rPr>
              <w:t>（投标时须提供响应承诺函，否则视为无效响应）</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1、●交换容量≥336Tbps，包转发性能≥57600Mpps；（</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453264A7">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768DA874">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45775341">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14998E49">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p>
          <w:p w14:paraId="1E3288D8">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2、主控引擎与业务板卡完全物理分离,采用全分布式转发处理架构，独立主控引擎插槽≥2个，独立业务插槽数≥6个；主控引擎故障情况下，不能影响整机转发能力；</w:t>
            </w:r>
          </w:p>
          <w:p w14:paraId="0353436F">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3、■要求所投产品支持单张线卡/单槽位可用物理端口≥52个；（</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19B2A38F">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0762C2F7">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7E5F2CA3">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007C8BDB">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p>
          <w:p w14:paraId="73648740">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4、■符合机柜的尺寸（600mm*600mm）要求；（</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32A84305">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7CD5A3AA">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7A77046C">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24D4F9D1">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p>
          <w:p w14:paraId="16CB5FFB">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5、支持静态路由、RIP、RIPng、OSPF、OSPFv3、BGP、BGP4+、ISIS、ISISv6，支持路由协议多实例，支持GR for OSPF/IS-IS/BGP，支持策略路由；</w:t>
            </w:r>
          </w:p>
          <w:p w14:paraId="03D28262">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6、支持ERPS功能检测到故障并启用备份链路的断流时间≤50ms；</w:t>
            </w:r>
          </w:p>
          <w:p w14:paraId="5B0C9FD6">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7、支持基于GRPC的Telemetry技术，实现对CPU、内存等信息的周期性采集；</w:t>
            </w:r>
          </w:p>
          <w:p w14:paraId="1C708A4E">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8、支持1+1冗余的硬件监控系统，可以集中监控板卡、风扇、电源、环境等状态参数；</w:t>
            </w:r>
          </w:p>
          <w:p w14:paraId="6C96FC16">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9、支持N:1虚拟化：可将2台物理设备虚拟化为1台逻辑设备，虚拟组内设备具备统一的二层及三层转发表项，统一的管理界面，并可实现跨设备链路聚合；</w:t>
            </w:r>
          </w:p>
          <w:p w14:paraId="237306A5">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10、为保证SDN的可部署性和应用性，所投交换机需支持OpenFlow 1.3协议；</w:t>
            </w:r>
          </w:p>
          <w:p w14:paraId="2900F216">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11、■支持针对CPU保护机制的功能，可将送CPU的报文，如ARP报文的速率进行限制，使CPU的使用率降低到10%以内，保障了CPU安全；（</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1C03C628">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0D84D8CB">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2DE3D106">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1261AD25">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p>
          <w:p w14:paraId="081056DC">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12、■支持故障隔离技术，用于监测光模块状态，一旦出现故障，可将故障模块隔离，确保不影响其它端口和整机的正常运行，更换模块后该端口也可马上恢复正常工作；（</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24435198">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23F043D4">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427CE777">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67A32F70">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p>
          <w:p w14:paraId="71C0D4B7">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配置要求：</w:t>
            </w:r>
          </w:p>
          <w:p w14:paraId="17BF8E07">
            <w:p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1、每台配置主控引擎≥2个、电源≥2个；</w:t>
            </w:r>
          </w:p>
          <w:p w14:paraId="4D8F3F7D">
            <w:pPr>
              <w:spacing w:line="360" w:lineRule="auto"/>
              <w:jc w:val="both"/>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2、每台配置千兆电接口≥48个、千兆光接口≥48个、SFP+万兆光接口≥8个台配置千兆电接口≥48个、千兆光接口≥48个、SFP+万兆光接口≥8个</w:t>
            </w:r>
          </w:p>
        </w:tc>
        <w:tc>
          <w:tcPr>
            <w:tcW w:w="472" w:type="pct"/>
            <w:vAlign w:val="center"/>
          </w:tcPr>
          <w:p w14:paraId="20459A5B">
            <w:pPr>
              <w:spacing w:line="360" w:lineRule="auto"/>
              <w:jc w:val="center"/>
              <w:rPr>
                <w:color w:val="auto"/>
                <w:highlight w:val="none"/>
              </w:rPr>
            </w:pPr>
            <w:r>
              <w:rPr>
                <w:rFonts w:hint="eastAsia" w:ascii="宋体" w:hAnsi="宋体" w:eastAsia="宋体"/>
                <w:bCs/>
                <w:color w:val="auto"/>
                <w:sz w:val="24"/>
                <w:szCs w:val="18"/>
                <w:highlight w:val="none"/>
                <w:lang w:val="en-US" w:eastAsia="zh-CN"/>
              </w:rPr>
              <w:t>1台</w:t>
            </w:r>
          </w:p>
        </w:tc>
        <w:tc>
          <w:tcPr>
            <w:tcW w:w="511" w:type="pct"/>
            <w:vAlign w:val="center"/>
          </w:tcPr>
          <w:p w14:paraId="51D3535B">
            <w:pPr>
              <w:spacing w:line="360" w:lineRule="auto"/>
              <w:jc w:val="center"/>
              <w:rPr>
                <w:color w:val="auto"/>
                <w:highlight w:val="none"/>
              </w:rPr>
            </w:pPr>
            <w:r>
              <w:rPr>
                <w:rFonts w:hint="eastAsia" w:ascii="宋体" w:hAnsi="宋体" w:eastAsia="宋体"/>
                <w:bCs/>
                <w:color w:val="auto"/>
                <w:sz w:val="24"/>
                <w:szCs w:val="18"/>
                <w:highlight w:val="none"/>
                <w:lang w:val="en-US" w:eastAsia="zh-CN"/>
              </w:rPr>
              <w:t>工业</w:t>
            </w:r>
          </w:p>
        </w:tc>
        <w:tc>
          <w:tcPr>
            <w:tcW w:w="460" w:type="pct"/>
            <w:vAlign w:val="center"/>
          </w:tcPr>
          <w:p w14:paraId="034009C2">
            <w:pPr>
              <w:spacing w:line="360" w:lineRule="auto"/>
              <w:jc w:val="center"/>
              <w:rPr>
                <w:rFonts w:hint="eastAsia" w:ascii="宋体" w:hAnsi="宋体" w:eastAsia="@仿宋_GB2312"/>
                <w:bCs/>
                <w:color w:val="auto"/>
                <w:sz w:val="24"/>
                <w:szCs w:val="18"/>
                <w:highlight w:val="none"/>
                <w:lang w:val="en-US" w:eastAsia="zh-CN"/>
              </w:rPr>
            </w:pPr>
            <w:r>
              <w:rPr>
                <w:rFonts w:hint="eastAsia" w:ascii="宋体" w:hAnsi="宋体" w:eastAsia="宋体"/>
                <w:bCs/>
                <w:color w:val="auto"/>
                <w:sz w:val="24"/>
                <w:szCs w:val="18"/>
                <w:highlight w:val="none"/>
                <w:lang w:val="en-US" w:eastAsia="zh-CN"/>
              </w:rPr>
              <w:t>否</w:t>
            </w:r>
          </w:p>
        </w:tc>
        <w:tc>
          <w:tcPr>
            <w:tcW w:w="533" w:type="pct"/>
            <w:vAlign w:val="center"/>
          </w:tcPr>
          <w:p w14:paraId="4C647C96">
            <w:pPr>
              <w:spacing w:line="360" w:lineRule="auto"/>
              <w:jc w:val="center"/>
              <w:rPr>
                <w:rFonts w:ascii="宋体" w:hAnsi="宋体" w:eastAsia="宋体"/>
                <w:bCs/>
                <w:color w:val="auto"/>
                <w:sz w:val="24"/>
                <w:szCs w:val="18"/>
                <w:highlight w:val="none"/>
              </w:rPr>
            </w:pPr>
          </w:p>
        </w:tc>
      </w:tr>
    </w:tbl>
    <w:p w14:paraId="10B0A950">
      <w:pPr>
        <w:rPr>
          <w:rFonts w:hint="eastAsia" w:ascii="宋体" w:hAnsi="宋体" w:eastAsia="宋体"/>
          <w:b/>
          <w:bCs/>
          <w:color w:val="auto"/>
          <w:sz w:val="24"/>
          <w:szCs w:val="18"/>
          <w:highlight w:val="none"/>
          <w:lang w:val="en-US" w:eastAsia="zh-CN"/>
        </w:rPr>
      </w:pPr>
      <w:bookmarkStart w:id="5" w:name="_Toc4843"/>
      <w:bookmarkStart w:id="6" w:name="_Toc7421"/>
      <w:r>
        <w:rPr>
          <w:rFonts w:hint="eastAsia" w:ascii="宋体" w:hAnsi="宋体" w:eastAsia="宋体"/>
          <w:b/>
          <w:bCs/>
          <w:color w:val="auto"/>
          <w:sz w:val="24"/>
          <w:szCs w:val="18"/>
          <w:highlight w:val="none"/>
          <w:lang w:val="en-US" w:eastAsia="zh-CN"/>
        </w:rPr>
        <w:br w:type="page"/>
      </w:r>
    </w:p>
    <w:p w14:paraId="62822A60">
      <w:pPr>
        <w:numPr>
          <w:ilvl w:val="0"/>
          <w:numId w:val="0"/>
        </w:numPr>
        <w:spacing w:line="360" w:lineRule="auto"/>
        <w:outlineLvl w:val="2"/>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第2包：</w:t>
      </w:r>
    </w:p>
    <w:tbl>
      <w:tblPr>
        <w:tblStyle w:val="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117"/>
        <w:gridCol w:w="3300"/>
        <w:gridCol w:w="806"/>
        <w:gridCol w:w="872"/>
        <w:gridCol w:w="785"/>
        <w:gridCol w:w="908"/>
      </w:tblGrid>
      <w:tr w14:paraId="3F2D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B7E8A16">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656" w:type="pct"/>
            <w:vAlign w:val="center"/>
          </w:tcPr>
          <w:p w14:paraId="2479D195">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1938" w:type="pct"/>
            <w:vAlign w:val="center"/>
          </w:tcPr>
          <w:p w14:paraId="65AD242C">
            <w:pPr>
              <w:spacing w:line="360" w:lineRule="auto"/>
              <w:jc w:val="both"/>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473" w:type="pct"/>
            <w:vAlign w:val="center"/>
          </w:tcPr>
          <w:p w14:paraId="5F85AC2B">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数量（单位）</w:t>
            </w:r>
          </w:p>
        </w:tc>
        <w:tc>
          <w:tcPr>
            <w:tcW w:w="512" w:type="pct"/>
            <w:vAlign w:val="center"/>
          </w:tcPr>
          <w:p w14:paraId="3C5DC50E">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所属行业</w:t>
            </w:r>
          </w:p>
        </w:tc>
        <w:tc>
          <w:tcPr>
            <w:tcW w:w="461" w:type="pct"/>
            <w:vAlign w:val="center"/>
          </w:tcPr>
          <w:p w14:paraId="46B9D6CA">
            <w:pPr>
              <w:spacing w:line="360" w:lineRule="auto"/>
              <w:jc w:val="center"/>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是否为核心产品</w:t>
            </w:r>
          </w:p>
        </w:tc>
        <w:tc>
          <w:tcPr>
            <w:tcW w:w="533" w:type="pct"/>
            <w:vAlign w:val="center"/>
          </w:tcPr>
          <w:p w14:paraId="543B8E2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173D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25" w:type="pct"/>
            <w:vAlign w:val="center"/>
          </w:tcPr>
          <w:p w14:paraId="5F43B681">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656" w:type="pct"/>
            <w:vAlign w:val="center"/>
          </w:tcPr>
          <w:p w14:paraId="3493FDFD">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安防管理平台服务器和综合管理平台</w:t>
            </w:r>
          </w:p>
        </w:tc>
        <w:tc>
          <w:tcPr>
            <w:tcW w:w="1938" w:type="pct"/>
            <w:vAlign w:val="center"/>
          </w:tcPr>
          <w:p w14:paraId="445EBF0A">
            <w:pPr>
              <w:spacing w:line="360" w:lineRule="auto"/>
              <w:jc w:val="both"/>
              <w:rPr>
                <w:rFonts w:hint="eastAsia" w:ascii="宋体" w:hAnsi="宋体" w:eastAsia="宋体"/>
                <w:b/>
                <w:bCs w:val="0"/>
                <w:color w:val="auto"/>
                <w:sz w:val="24"/>
                <w:szCs w:val="18"/>
                <w:highlight w:val="none"/>
                <w:lang w:val="en-US" w:eastAsia="zh-CN"/>
              </w:rPr>
            </w:pPr>
            <w:r>
              <w:rPr>
                <w:rFonts w:hint="eastAsia" w:ascii="宋体" w:hAnsi="宋体" w:eastAsia="宋体"/>
                <w:b/>
                <w:bCs w:val="0"/>
                <w:color w:val="auto"/>
                <w:sz w:val="24"/>
                <w:szCs w:val="18"/>
                <w:highlight w:val="none"/>
                <w:lang w:val="en-US" w:eastAsia="zh-CN"/>
              </w:rPr>
              <w:t>服务器参数：</w:t>
            </w:r>
          </w:p>
          <w:p w14:paraId="2231F062">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处理器采用1颗hygon国产化X86 CPU，性能满足16核，2.2GHz；</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2、配置64G内存（2根32GB DDR4 RDIMM ECC 内存条）内存槽位数16个，最大单根支持：64GB，最大支持内存1024GB支持 UDIMM/RDIMM；</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3、硬盘配置2块2T 3.5英寸 SATA热插拔机械硬盘最大支持12块3.5英寸/2.5英寸SSD/SAS/SATA硬盘；</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4、电源：2个550W交流电源模块，支持热插拔，支持1+1冗余100–240VAC，50/60Hz，7.0-3.5A支持240V直流输入；</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5、风扇：4 个热插拔N+1冗余风扇模组；</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6、RAID卡支持LSI 3008 SAS卡，支持RAID 0/1/10/1E；</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7、具有CCC、节能认证。</w:t>
            </w:r>
            <w:r>
              <w:rPr>
                <w:rFonts w:hint="eastAsia" w:ascii="宋体" w:hAnsi="宋体" w:eastAsia="宋体"/>
                <w:bCs/>
                <w:color w:val="auto"/>
                <w:sz w:val="24"/>
                <w:szCs w:val="18"/>
                <w:highlight w:val="none"/>
                <w:lang w:val="en-US" w:eastAsia="zh-CN"/>
              </w:rPr>
              <w:br w:type="textWrapping"/>
            </w:r>
            <w:r>
              <w:rPr>
                <w:rFonts w:hint="eastAsia" w:ascii="宋体" w:hAnsi="宋体" w:eastAsia="宋体"/>
                <w:b/>
                <w:bCs w:val="0"/>
                <w:color w:val="auto"/>
                <w:sz w:val="24"/>
                <w:szCs w:val="18"/>
                <w:highlight w:val="none"/>
                <w:lang w:val="en-US" w:eastAsia="zh-CN"/>
              </w:rPr>
              <w:t>综合管理平台参数：</w:t>
            </w:r>
            <w:r>
              <w:rPr>
                <w:rFonts w:hint="eastAsia" w:ascii="宋体" w:hAnsi="宋体" w:eastAsia="宋体"/>
                <w:b/>
                <w:bCs w:val="0"/>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★支持最多10000路监控视频同时接入，本次采购需包含除东园室外监控之外的，所有维修、整合、及新购的监控接入平台的授权。</w:t>
            </w:r>
            <w:r>
              <w:rPr>
                <w:rFonts w:hint="eastAsia" w:ascii="宋体" w:hAnsi="宋体" w:eastAsia="宋体"/>
                <w:b/>
                <w:bCs w:val="0"/>
                <w:color w:val="auto"/>
                <w:sz w:val="24"/>
                <w:szCs w:val="18"/>
                <w:highlight w:val="none"/>
                <w:lang w:val="en-US" w:eastAsia="zh-CN"/>
              </w:rPr>
              <w:t>（必须满足项，需提供承诺函，格式自拟，未提供视为无效响应）</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★此次新增及维修整合的北园、东园、西园等监控摄像机及存储设备须无缝接入平台，实现同一平台统一管控。平台单独提供五年质保。</w:t>
            </w:r>
            <w:r>
              <w:rPr>
                <w:rFonts w:hint="eastAsia" w:ascii="宋体" w:hAnsi="宋体" w:eastAsia="宋体"/>
                <w:b/>
                <w:bCs w:val="0"/>
                <w:color w:val="auto"/>
                <w:sz w:val="24"/>
                <w:szCs w:val="18"/>
                <w:highlight w:val="none"/>
                <w:lang w:val="en-US" w:eastAsia="zh-CN"/>
              </w:rPr>
              <w:t>（必须满足项，需提供承诺函，格式自拟，未提供视为无效响应）</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开通门禁模块功能，东园有4个大华的门禁，统一接入的新的平台，学校人脸库对接，实时抓取西园学生及教师信息，可以手动添加管理第三方人员信息。</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1、支持基础资源（组织、设备、人、卡、车等信息）管理，提供事件中心、数据存储、电子地图、日志记录等基础功能；</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2、支持实时视频、录像回放、录像下载、电视墙、雷球联动，热成像。</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3、支持与车载单兵等移动设备的对接，提供车载单兵设备GPS信息接收服务；</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4、支持手机移动客户端进行实时视频监控，音频播放，本地截图，本地录像，云台控制，远程视频回放；</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5、录像支持1/2、1/4、1/8、1/16、1/32、1/64、2、4、8、16、32、64倍速快/慢放；</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6、</w:t>
            </w:r>
            <w:r>
              <w:rPr>
                <w:rFonts w:hint="eastAsia" w:ascii="宋体" w:hAnsi="宋体" w:eastAsia="宋体"/>
                <w:bCs/>
                <w:color w:val="auto"/>
                <w:sz w:val="24"/>
                <w:szCs w:val="18"/>
                <w:highlight w:val="none"/>
              </w:rPr>
              <w:t>●</w:t>
            </w:r>
            <w:r>
              <w:rPr>
                <w:rFonts w:hint="eastAsia" w:ascii="宋体" w:hAnsi="宋体" w:eastAsia="宋体"/>
                <w:bCs/>
                <w:color w:val="auto"/>
                <w:sz w:val="24"/>
                <w:szCs w:val="18"/>
                <w:highlight w:val="none"/>
                <w:lang w:val="en-US" w:eastAsia="zh-CN"/>
              </w:rPr>
              <w:t>支持在浏览器中进行多路无插件视频预览；支持设备对讲、抓图、本地录像、声音控制、窗口分割、全屏、自适应、云台控制、预置点、点间巡航等功能；支持在浏览器中进行多路无插件录像回放，可自动查找存储位置；支持设备抓图、本地录像、声音控制、窗口分割、全屏、自适应、倍速、精确定位等功能；支持25路多路数并发，支持软/硬解码。（</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54ACADC1">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05B999D4">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5D0613C1">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123FB014">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p>
          <w:p w14:paraId="7B381FAB">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7、■支持客户端全局水印配置功能，支持配置客户端水印的启用/停用、水印内容、水印方向、水印密度、水印透明度参数。水印内容支持使用姓名、证件号码后6位、人员编号后6位、用户名任意一个或者两个字段组合显示；（</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2BED36AA">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3189D6F7">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7148A963">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094F5E0A">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8、■支持动环报警配置，具有联动视频、录像、上墙、短信、邮件、广播、抓图和门禁设置选项；（</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20E03CEF">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29F562F6">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7F29FAD2">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6CEDD396">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9、支持多终端（C/S客户端、移动APP、WEB、公众号、微信小程序等）运行、接入；</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10、支持资源分类管理；支持自动定义分类的新增、删除、修改、查询；最多支持3级分类设置；</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11、■支持报警弹窗后，查看设备所在位置的联动视频，可查看报警设备所在平面图、GIS图的位置，可在图层上展示该报警的设备点位闪烁；（</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78988CFF">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37A2C974">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3455192D">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1AEB34ED">
            <w:pPr>
              <w:numPr>
                <w:ilvl w:val="0"/>
                <w:numId w:val="0"/>
              </w:numPr>
              <w:spacing w:line="360" w:lineRule="auto"/>
              <w:jc w:val="both"/>
              <w:rPr>
                <w:rFonts w:ascii="宋体" w:hAnsi="宋体" w:eastAsia="宋体"/>
                <w:bCs/>
                <w:color w:val="auto"/>
                <w:sz w:val="24"/>
                <w:szCs w:val="18"/>
                <w:highlight w:val="none"/>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12、支持报警弹窗后，查看设备所在位置的联动视频，可查看报警设备所在平面图、GIS图的位置，可在图层上展示该报警的设备点位闪烁；</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13、支持对导入、导出平台Excel业务数据进行密码加密；</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14、支持在市面上主流的国产化服务器部署平台，例如X86（海光）、ARM（鲲鹏）等；支持适配市面上主流的国产化操作系统，例如欧拉、银河麒麟、统信UOS等；支持提供API接口满足三方系统对接需求；</w:t>
            </w:r>
          </w:p>
        </w:tc>
        <w:tc>
          <w:tcPr>
            <w:tcW w:w="473" w:type="pct"/>
            <w:vAlign w:val="center"/>
          </w:tcPr>
          <w:p w14:paraId="4B3494C5">
            <w:pPr>
              <w:spacing w:line="360" w:lineRule="auto"/>
              <w:jc w:val="center"/>
              <w:rPr>
                <w:color w:val="auto"/>
                <w:highlight w:val="none"/>
              </w:rPr>
            </w:pPr>
            <w:r>
              <w:rPr>
                <w:rFonts w:hint="eastAsia" w:ascii="宋体" w:hAnsi="宋体" w:eastAsia="宋体"/>
                <w:bCs/>
                <w:color w:val="auto"/>
                <w:sz w:val="24"/>
                <w:szCs w:val="18"/>
                <w:highlight w:val="none"/>
                <w:lang w:val="en-US" w:eastAsia="zh-CN"/>
              </w:rPr>
              <w:t>1套</w:t>
            </w:r>
          </w:p>
        </w:tc>
        <w:tc>
          <w:tcPr>
            <w:tcW w:w="512" w:type="pct"/>
            <w:vAlign w:val="center"/>
          </w:tcPr>
          <w:p w14:paraId="6102A39F">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工业</w:t>
            </w:r>
          </w:p>
        </w:tc>
        <w:tc>
          <w:tcPr>
            <w:tcW w:w="461" w:type="pct"/>
            <w:vAlign w:val="center"/>
          </w:tcPr>
          <w:p w14:paraId="4DD5B8B6">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是</w:t>
            </w:r>
          </w:p>
        </w:tc>
        <w:tc>
          <w:tcPr>
            <w:tcW w:w="533" w:type="pct"/>
            <w:vAlign w:val="center"/>
          </w:tcPr>
          <w:p w14:paraId="394B89CE">
            <w:pPr>
              <w:spacing w:line="360" w:lineRule="auto"/>
              <w:jc w:val="center"/>
              <w:rPr>
                <w:rFonts w:ascii="宋体" w:hAnsi="宋体" w:eastAsia="宋体"/>
                <w:bCs/>
                <w:color w:val="auto"/>
                <w:sz w:val="24"/>
                <w:szCs w:val="18"/>
                <w:highlight w:val="none"/>
              </w:rPr>
            </w:pPr>
          </w:p>
        </w:tc>
      </w:tr>
      <w:tr w14:paraId="2A2D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25" w:type="pct"/>
            <w:vAlign w:val="center"/>
          </w:tcPr>
          <w:p w14:paraId="5DAB640F">
            <w:pPr>
              <w:spacing w:line="360" w:lineRule="auto"/>
              <w:jc w:val="center"/>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w:t>
            </w:r>
          </w:p>
        </w:tc>
        <w:tc>
          <w:tcPr>
            <w:tcW w:w="656" w:type="pct"/>
            <w:vAlign w:val="center"/>
          </w:tcPr>
          <w:p w14:paraId="401D1873">
            <w:pPr>
              <w:spacing w:line="360" w:lineRule="auto"/>
              <w:jc w:val="center"/>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存储服务器</w:t>
            </w:r>
          </w:p>
        </w:tc>
        <w:tc>
          <w:tcPr>
            <w:tcW w:w="1938" w:type="pct"/>
            <w:vAlign w:val="center"/>
          </w:tcPr>
          <w:p w14:paraId="7B2721E8">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★须无缝接入现有东园宿舍区域的监控摄像机及其它重点区域监控摄像机，提供五年质保；</w:t>
            </w:r>
            <w:r>
              <w:rPr>
                <w:rFonts w:hint="eastAsia" w:ascii="宋体" w:hAnsi="宋体" w:eastAsia="宋体"/>
                <w:b/>
                <w:bCs w:val="0"/>
                <w:color w:val="auto"/>
                <w:sz w:val="24"/>
                <w:szCs w:val="18"/>
                <w:highlight w:val="none"/>
                <w:lang w:val="en-US" w:eastAsia="zh-CN"/>
              </w:rPr>
              <w:t>（投标时须提供响应承诺函，虚假响应后果自负）</w:t>
            </w:r>
          </w:p>
          <w:p w14:paraId="5EDBB4E0">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★1、盘位具备48盘位；（</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0B691795">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4B6118F8">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1B9FFFA7">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2A8AA345">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p>
          <w:p w14:paraId="4D83DCEA">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bCs/>
                <w:color w:val="auto"/>
                <w:sz w:val="24"/>
                <w:szCs w:val="18"/>
                <w:highlight w:val="none"/>
                <w:lang w:val="en-US" w:eastAsia="zh-CN"/>
              </w:rPr>
              <w:t>2、采用LINUX操作系统，具有1个控制单元，1个64位六核处理器，8GB内存，可扩展至128GB，可扩展至2个512GB SSD固态硬盘，可扩展1个2.5英寸SATA硬盘；</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3、具备不少于5个RJ45网络口，1个RS232接口、1个eSATA、2个USB 3.0接口、2个USB2.0接口、1个HDMI接口、1个VGA、2个PCI-E 3.0接口，外部接口可再扩展8个RJ45网络接口或4个RJ45网络接口及4个光纤接口，2个Mini SAS HD接口；</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4、■设备可接入双音轨，可同时或分别播放左右音轨；（</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3D757116">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3229EEA4">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0416B749">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4713C26C">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5、支持接入容量为1TB、2TB、3TB、4TB、5TB、6TB、8TB、10TB、12TB、14TB、16TB的磁盘，支持接入SMR硬盘，混合支持SATA磁盘、SSD磁盘，在工作状态下，可支持磁盘热插拔，磁盘可自动识别，接入过程中有提示信息；</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6、具有包括RAID0、RAID1、RAID3、RAID4、RAID5、RAID6、RAID10、RAID50、RAID60、超级RAID、JBOD、RAID5EE的RAID功能设置选项，具有同步优先、业务优先、I/O均衡及自适应四种RAID同步方式设置选项，支持全局热备和局部热备，支持RAID即建即用，可通过浏览器在线扩展客户端逻辑卷的存储空间，支持逻辑卷的动态在线扩展；</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7、■主机支持专用的存储硬盘，可升级专用硬盘固件，支持实时监测专用硬盘的健康状态；（</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20F97D57">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3EDFFF53">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6B984DF5">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5C0FBA58">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8、支持同时进行1900Mbps视（音）频码流存储，1900Mbps视（音）频码流转发、390Mbps视（音）频码流回放，在转发模式下，可支持4096Mbps视（音）频码流的转发，IPSAN工作模式下，存储带宽不小于8Gbps；</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9、■支持纠删码技术，最多可以支持8个盘掉线或者损坏，数据仍然有效，保留的硬盘中的数据可正常读出，且新数据可正常写入.创建RAID后即为同步完成状态；（</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0766EB67">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3F4F3BAD">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73A46DBC">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34CFEE52">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eastAsia="zh-CN"/>
              </w:rPr>
              <w:br w:type="textWrapping"/>
            </w:r>
            <w:r>
              <w:rPr>
                <w:rFonts w:hint="eastAsia" w:ascii="宋体" w:hAnsi="宋体" w:eastAsia="宋体"/>
                <w:bCs/>
                <w:color w:val="auto"/>
                <w:sz w:val="24"/>
                <w:szCs w:val="18"/>
                <w:highlight w:val="none"/>
                <w:lang w:val="en-US" w:eastAsia="zh-CN"/>
              </w:rPr>
              <w:t>10、■支持将第三方业务平台整体嵌入在一个控制器中，同时运行；（</w:t>
            </w:r>
            <w:r>
              <w:rPr>
                <w:rFonts w:hint="eastAsia" w:ascii="宋体" w:hAnsi="宋体" w:eastAsia="宋体" w:cs="@仿宋_GB2312"/>
                <w:b/>
                <w:bCs w:val="0"/>
                <w:color w:val="auto"/>
                <w:sz w:val="24"/>
                <w:szCs w:val="18"/>
                <w:highlight w:val="none"/>
                <w:lang w:val="en-US" w:eastAsia="zh-CN"/>
              </w:rPr>
              <w:t>①</w:t>
            </w:r>
            <w:r>
              <w:rPr>
                <w:rFonts w:hint="eastAsia" w:ascii="宋体" w:hAnsi="宋体" w:eastAsia="宋体" w:cs="@仿宋_GB2312"/>
                <w:b/>
                <w:bCs w:val="0"/>
                <w:color w:val="auto"/>
                <w:sz w:val="24"/>
                <w:szCs w:val="18"/>
                <w:highlight w:val="none"/>
              </w:rPr>
              <w:t>技术白皮书(Data Sheet)；</w:t>
            </w:r>
          </w:p>
          <w:p w14:paraId="1742380C">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②</w:t>
            </w:r>
            <w:r>
              <w:rPr>
                <w:rFonts w:hint="eastAsia" w:ascii="宋体" w:hAnsi="宋体" w:eastAsia="宋体" w:cs="@仿宋_GB2312"/>
                <w:b/>
                <w:bCs w:val="0"/>
                <w:color w:val="auto"/>
                <w:sz w:val="24"/>
                <w:szCs w:val="18"/>
                <w:highlight w:val="none"/>
                <w:lang w:eastAsia="zh-CN"/>
              </w:rPr>
              <w:t>具有CMA/CNAS标志的检测报告；</w:t>
            </w:r>
          </w:p>
          <w:p w14:paraId="75943DC9">
            <w:pPr>
              <w:adjustRightInd w:val="0"/>
              <w:snapToGrid w:val="0"/>
              <w:spacing w:line="360" w:lineRule="auto"/>
              <w:jc w:val="left"/>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③</w:t>
            </w:r>
            <w:r>
              <w:rPr>
                <w:rFonts w:hint="eastAsia" w:ascii="宋体" w:hAnsi="宋体" w:eastAsia="宋体" w:cs="@仿宋_GB2312"/>
                <w:b/>
                <w:bCs w:val="0"/>
                <w:color w:val="auto"/>
                <w:sz w:val="24"/>
                <w:szCs w:val="18"/>
                <w:highlight w:val="none"/>
              </w:rPr>
              <w:t>产品使用说明书等；</w:t>
            </w:r>
          </w:p>
          <w:p w14:paraId="71C468D6">
            <w:pPr>
              <w:adjustRightInd w:val="0"/>
              <w:snapToGrid w:val="0"/>
              <w:spacing w:line="360" w:lineRule="auto"/>
              <w:jc w:val="left"/>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④</w:t>
            </w:r>
            <w:r>
              <w:rPr>
                <w:rFonts w:hint="eastAsia" w:ascii="宋体" w:hAnsi="宋体" w:eastAsia="宋体" w:cs="@仿宋_GB2312"/>
                <w:b/>
                <w:bCs w:val="0"/>
                <w:color w:val="auto"/>
                <w:sz w:val="24"/>
                <w:szCs w:val="18"/>
                <w:highlight w:val="none"/>
              </w:rPr>
              <w:t>产品彩页</w:t>
            </w:r>
            <w:r>
              <w:rPr>
                <w:rFonts w:hint="eastAsia" w:ascii="宋体" w:hAnsi="宋体" w:eastAsia="宋体" w:cs="@仿宋_GB2312"/>
                <w:b/>
                <w:bCs w:val="0"/>
                <w:color w:val="auto"/>
                <w:sz w:val="24"/>
                <w:szCs w:val="18"/>
                <w:highlight w:val="none"/>
                <w:lang w:val="en-US" w:eastAsia="zh-CN"/>
              </w:rPr>
              <w:t>或</w:t>
            </w:r>
            <w:r>
              <w:rPr>
                <w:rFonts w:hint="eastAsia" w:ascii="宋体" w:hAnsi="宋体" w:eastAsia="宋体" w:cs="@仿宋_GB2312"/>
                <w:b/>
                <w:bCs w:val="0"/>
                <w:color w:val="auto"/>
                <w:sz w:val="24"/>
                <w:szCs w:val="18"/>
                <w:highlight w:val="none"/>
              </w:rPr>
              <w:t>官网截图</w:t>
            </w:r>
            <w:r>
              <w:rPr>
                <w:rFonts w:hint="eastAsia" w:ascii="宋体" w:hAnsi="宋体" w:eastAsia="宋体" w:cs="@仿宋_GB2312"/>
                <w:b/>
                <w:bCs w:val="0"/>
                <w:color w:val="auto"/>
                <w:sz w:val="24"/>
                <w:szCs w:val="18"/>
                <w:highlight w:val="none"/>
                <w:lang w:eastAsia="zh-CN"/>
              </w:rPr>
              <w:t>；</w:t>
            </w:r>
          </w:p>
          <w:p w14:paraId="0593BFED">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⑤</w:t>
            </w:r>
            <w:r>
              <w:rPr>
                <w:rFonts w:hint="eastAsia" w:ascii="宋体" w:hAnsi="宋体" w:eastAsia="宋体" w:cs="@仿宋_GB2312"/>
                <w:b/>
                <w:bCs w:val="0"/>
                <w:color w:val="auto"/>
                <w:sz w:val="24"/>
                <w:szCs w:val="18"/>
                <w:highlight w:val="none"/>
              </w:rPr>
              <w:t>以及</w:t>
            </w:r>
            <w:r>
              <w:rPr>
                <w:rFonts w:hint="eastAsia" w:ascii="宋体" w:hAnsi="宋体" w:eastAsia="宋体" w:cs="@仿宋_GB2312"/>
                <w:b/>
                <w:bCs w:val="0"/>
                <w:color w:val="auto"/>
                <w:sz w:val="24"/>
                <w:szCs w:val="18"/>
                <w:highlight w:val="none"/>
                <w:lang w:val="en-US" w:eastAsia="zh-CN"/>
              </w:rPr>
              <w:t>评审小组</w:t>
            </w:r>
            <w:r>
              <w:rPr>
                <w:rFonts w:hint="eastAsia" w:ascii="宋体" w:hAnsi="宋体" w:eastAsia="宋体" w:cs="@仿宋_GB2312"/>
                <w:b/>
                <w:bCs w:val="0"/>
                <w:color w:val="auto"/>
                <w:sz w:val="24"/>
                <w:szCs w:val="18"/>
                <w:highlight w:val="none"/>
              </w:rPr>
              <w:t>认可的其它资料。</w:t>
            </w:r>
            <w:r>
              <w:rPr>
                <w:rFonts w:hint="eastAsia" w:ascii="宋体" w:hAnsi="宋体" w:eastAsia="宋体" w:cs="@仿宋_GB2312"/>
                <w:b/>
                <w:bCs w:val="0"/>
                <w:color w:val="auto"/>
                <w:sz w:val="24"/>
                <w:szCs w:val="18"/>
                <w:highlight w:val="none"/>
                <w:lang w:val="en-US" w:eastAsia="zh-CN"/>
              </w:rPr>
              <w:t>提供以上材料其中之一即可</w:t>
            </w:r>
            <w:r>
              <w:rPr>
                <w:rFonts w:hint="eastAsia" w:ascii="宋体" w:hAnsi="宋体" w:eastAsia="宋体"/>
                <w:bCs/>
                <w:color w:val="auto"/>
                <w:sz w:val="24"/>
                <w:szCs w:val="18"/>
                <w:highlight w:val="none"/>
                <w:lang w:val="en-US" w:eastAsia="zh-CN"/>
              </w:rPr>
              <w:t>）</w:t>
            </w:r>
          </w:p>
        </w:tc>
        <w:tc>
          <w:tcPr>
            <w:tcW w:w="473" w:type="pct"/>
            <w:vAlign w:val="center"/>
          </w:tcPr>
          <w:p w14:paraId="49069970">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3台</w:t>
            </w:r>
          </w:p>
        </w:tc>
        <w:tc>
          <w:tcPr>
            <w:tcW w:w="512" w:type="pct"/>
            <w:vAlign w:val="center"/>
          </w:tcPr>
          <w:p w14:paraId="4A01CA81">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工业</w:t>
            </w:r>
          </w:p>
        </w:tc>
        <w:tc>
          <w:tcPr>
            <w:tcW w:w="461" w:type="pct"/>
            <w:vAlign w:val="center"/>
          </w:tcPr>
          <w:p w14:paraId="14C358CA">
            <w:pPr>
              <w:numPr>
                <w:ilvl w:val="0"/>
                <w:numId w:val="0"/>
              </w:numPr>
              <w:spacing w:line="360" w:lineRule="auto"/>
              <w:jc w:val="both"/>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是</w:t>
            </w:r>
          </w:p>
        </w:tc>
        <w:tc>
          <w:tcPr>
            <w:tcW w:w="533" w:type="pct"/>
            <w:vAlign w:val="center"/>
          </w:tcPr>
          <w:p w14:paraId="7BBC6807">
            <w:pPr>
              <w:spacing w:line="360" w:lineRule="auto"/>
              <w:jc w:val="center"/>
              <w:rPr>
                <w:rFonts w:ascii="宋体" w:hAnsi="宋体" w:eastAsia="宋体"/>
                <w:bCs/>
                <w:color w:val="auto"/>
                <w:sz w:val="24"/>
                <w:szCs w:val="18"/>
                <w:highlight w:val="none"/>
              </w:rPr>
            </w:pPr>
          </w:p>
        </w:tc>
      </w:tr>
    </w:tbl>
    <w:p w14:paraId="7211EA8A">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三、报价要求</w:t>
      </w:r>
      <w:bookmarkEnd w:id="5"/>
      <w:bookmarkEnd w:id="6"/>
    </w:p>
    <w:p w14:paraId="3F230808">
      <w:pPr>
        <w:spacing w:line="360" w:lineRule="auto"/>
        <w:ind w:firstLine="437"/>
        <w:rPr>
          <w:rFonts w:hint="eastAsia" w:ascii="宋体" w:hAnsi="宋体" w:eastAsia="宋体"/>
          <w:bCs/>
          <w:color w:val="auto"/>
          <w:sz w:val="24"/>
          <w:szCs w:val="18"/>
          <w:highlight w:val="none"/>
          <w:lang w:val="en-US"/>
        </w:rPr>
      </w:pPr>
      <w:r>
        <w:rPr>
          <w:rFonts w:hint="eastAsia" w:ascii="宋体" w:hAnsi="宋体" w:eastAsia="宋体"/>
          <w:bCs/>
          <w:color w:val="auto"/>
          <w:sz w:val="24"/>
          <w:szCs w:val="18"/>
          <w:highlight w:val="none"/>
          <w:lang w:val="en-US"/>
        </w:rPr>
        <w:t>本项目报投标总价</w:t>
      </w:r>
      <w:r>
        <w:rPr>
          <w:rFonts w:hint="eastAsia" w:ascii="宋体" w:hAnsi="宋体" w:eastAsia="宋体"/>
          <w:bCs/>
          <w:color w:val="auto"/>
          <w:sz w:val="24"/>
          <w:szCs w:val="18"/>
          <w:highlight w:val="none"/>
          <w:lang w:val="en-US" w:eastAsia="zh-CN"/>
        </w:rPr>
        <w:t>，</w:t>
      </w:r>
      <w:r>
        <w:rPr>
          <w:rFonts w:hint="eastAsia" w:ascii="宋体" w:hAnsi="宋体" w:eastAsia="宋体"/>
          <w:bCs/>
          <w:color w:val="auto"/>
          <w:sz w:val="24"/>
          <w:szCs w:val="18"/>
          <w:highlight w:val="none"/>
          <w:lang w:val="en-US"/>
        </w:rPr>
        <w:t>报价包含实施本项目过程中所需要的所有设施设备的采购、运输、保险、安装、调试、培训、税费等一切内容。</w:t>
      </w:r>
    </w:p>
    <w:p w14:paraId="01262022">
      <w:pPr>
        <w:spacing w:line="360" w:lineRule="auto"/>
        <w:ind w:firstLine="437"/>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四、验收要求</w:t>
      </w:r>
    </w:p>
    <w:p w14:paraId="74438C17">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包装和运输要求：中标人交付的全部货物，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中标人承担。</w:t>
      </w:r>
    </w:p>
    <w:p w14:paraId="7E11770F">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2、验收要求：</w:t>
      </w:r>
    </w:p>
    <w:p w14:paraId="0F839828">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1）货物交付前，中标人应对货物的质量、数量等方面进行详细、全面的检验，并向甲方出具证明货物符合合同约定的文件；货物交付时，中标人在约定时间内组织验收，并可依法邀请相关方参加，验收应出具验收书。</w:t>
      </w:r>
    </w:p>
    <w:p w14:paraId="64482FE4">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2）合同期满或者履行完毕后，采购人有权组织（包括依法邀请国家认可的质量检测机构参加）对中标人履约的验收，即：按照合同约定的技术、服务、安全标准，组织对每一项技术、服务、安全标准的履约情况的验收，并出具验收书。</w:t>
      </w:r>
    </w:p>
    <w:p w14:paraId="11174FF1">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3、知识产权要求：中标人应保证采购人在使用该货物或其任何一部分时不受任何第三方提出的侵犯其著作权、商标权、专利权等知识产权方面的起诉；如果任何第三方提出侵权指控，那么乙方须与该第三方交涉并承担由此发生的一切责任、费用和赔偿。</w:t>
      </w:r>
    </w:p>
    <w:p w14:paraId="733FFA20">
      <w:pPr>
        <w:spacing w:line="360" w:lineRule="auto"/>
        <w:ind w:firstLine="437"/>
        <w:rPr>
          <w:rFonts w:hint="default" w:ascii="宋体" w:hAnsi="宋体" w:eastAsia="宋体"/>
          <w:bCs/>
          <w:color w:val="auto"/>
          <w:sz w:val="24"/>
          <w:szCs w:val="18"/>
          <w:highlight w:val="none"/>
          <w:lang w:val="en-US" w:eastAsia="zh-CN"/>
        </w:rPr>
      </w:pPr>
      <w:r>
        <w:rPr>
          <w:rFonts w:hint="default" w:ascii="宋体" w:hAnsi="宋体" w:eastAsia="宋体"/>
          <w:bCs/>
          <w:color w:val="auto"/>
          <w:sz w:val="24"/>
          <w:szCs w:val="18"/>
          <w:highlight w:val="none"/>
          <w:lang w:val="en-US" w:eastAsia="zh-CN"/>
        </w:rPr>
        <w:t>4、合同签订后供货前，如采购人有要求，中标人在接采购人通知后3个工作日提供实物到学校进行功能逐项验证，验证内容须与其投标文件响应内容一致，如在规定时间内不提供验证或验证不满足要求的，采购人有权拒绝验货，同时追究中标人相应责任。</w:t>
      </w:r>
    </w:p>
    <w:p w14:paraId="0C00EC5F">
      <w:pPr>
        <w:spacing w:line="360" w:lineRule="auto"/>
        <w:ind w:firstLine="437"/>
        <w:outlineLvl w:val="1"/>
        <w:rPr>
          <w:rFonts w:ascii="宋体" w:hAnsi="宋体" w:eastAsia="宋体"/>
          <w:b/>
          <w:bCs/>
          <w:color w:val="auto"/>
          <w:sz w:val="24"/>
          <w:szCs w:val="18"/>
          <w:highlight w:val="none"/>
        </w:rPr>
      </w:pPr>
      <w:bookmarkStart w:id="7" w:name="_Toc14698"/>
      <w:bookmarkStart w:id="8" w:name="_Toc15293"/>
      <w:r>
        <w:rPr>
          <w:rFonts w:hint="eastAsia" w:ascii="宋体" w:hAnsi="宋体" w:eastAsia="宋体"/>
          <w:b/>
          <w:bCs/>
          <w:color w:val="auto"/>
          <w:sz w:val="24"/>
          <w:szCs w:val="18"/>
          <w:highlight w:val="none"/>
          <w:lang w:val="en-US" w:eastAsia="zh-CN"/>
        </w:rPr>
        <w:t>五</w:t>
      </w:r>
      <w:r>
        <w:rPr>
          <w:rFonts w:hint="eastAsia" w:ascii="宋体" w:hAnsi="宋体" w:eastAsia="宋体"/>
          <w:b/>
          <w:bCs/>
          <w:color w:val="auto"/>
          <w:sz w:val="24"/>
          <w:szCs w:val="18"/>
          <w:highlight w:val="none"/>
        </w:rPr>
        <w:t>、其他要求</w:t>
      </w:r>
      <w:bookmarkEnd w:id="7"/>
      <w:bookmarkEnd w:id="8"/>
    </w:p>
    <w:p w14:paraId="1F55D443">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1、安装调试要求：所有设备均应按出厂标准及国家有关要求进行包装及运输，送货至采购人指定的交货地点，由中标人负责派人负责设备的现场安装和调试。</w:t>
      </w:r>
    </w:p>
    <w:p w14:paraId="7AD8DFB3">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2、售后服务要求：</w:t>
      </w:r>
    </w:p>
    <w:p w14:paraId="7B84E052">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rPr>
        <w:t>（1）</w:t>
      </w:r>
      <w:r>
        <w:rPr>
          <w:rFonts w:hint="eastAsia" w:ascii="宋体" w:hAnsi="宋体" w:eastAsia="宋体"/>
          <w:b/>
          <w:bCs w:val="0"/>
          <w:color w:val="auto"/>
          <w:sz w:val="24"/>
          <w:szCs w:val="18"/>
          <w:highlight w:val="none"/>
        </w:rPr>
        <w:t>中标人对合同货物的质量保修期为：自项目终验合格之日起3年。</w:t>
      </w:r>
      <w:r>
        <w:rPr>
          <w:rFonts w:hint="eastAsia" w:ascii="宋体" w:hAnsi="宋体" w:eastAsia="宋体"/>
          <w:b/>
          <w:bCs w:val="0"/>
          <w:color w:val="auto"/>
          <w:sz w:val="24"/>
          <w:szCs w:val="18"/>
          <w:highlight w:val="none"/>
          <w:lang w:val="en-US" w:eastAsia="zh-CN"/>
        </w:rPr>
        <w:t>其中软件平台要求质保期为5年。</w:t>
      </w:r>
    </w:p>
    <w:p w14:paraId="19B67317">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（2）中标人在合同货物的质量保修期内，免费为采购人提供合同货物的技术指导和维修服务，服务</w:t>
      </w:r>
      <w:r>
        <w:rPr>
          <w:rFonts w:hint="eastAsia" w:ascii="宋体" w:hAnsi="宋体" w:eastAsia="宋体"/>
          <w:bCs/>
          <w:color w:val="auto"/>
          <w:sz w:val="24"/>
          <w:szCs w:val="18"/>
          <w:highlight w:val="none"/>
          <w:lang w:val="en-US" w:eastAsia="zh-CN"/>
        </w:rPr>
        <w:t>响应</w:t>
      </w:r>
      <w:r>
        <w:rPr>
          <w:rFonts w:hint="eastAsia" w:ascii="宋体" w:hAnsi="宋体" w:eastAsia="宋体"/>
          <w:bCs/>
          <w:color w:val="auto"/>
          <w:sz w:val="24"/>
          <w:szCs w:val="18"/>
          <w:highlight w:val="none"/>
        </w:rPr>
        <w:t>间是：每周7天×24小时。</w:t>
      </w:r>
    </w:p>
    <w:p w14:paraId="28F7B2BA">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3）中标人在质保期内合同货物出现故障和缺陷时，或接到采购人提出的技术服务要求后1小时内予以答复，如采购人有要求或必要时，中标人应在接到采购人通知后24小时内派员至采购人处免费维修和提供现场指导。</w:t>
      </w:r>
    </w:p>
    <w:p w14:paraId="57A6D843">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（4）如中标人在接到采购人维修通知后24小时仍不能修复有关货物，中标人应提供与该货物同一型号的备用货物。</w:t>
      </w:r>
    </w:p>
    <w:p w14:paraId="25805871">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5）如中标人在接到采购人提出的技术服务要求或维修通知后2小时内没有响应、拒绝或没有派员到达采购人提供技术服务、修理或退换货物，采购人有权委托第三方对合同货物进行维修或提供技术服务，因此产生的相关费用由中标人承担。</w:t>
      </w:r>
    </w:p>
    <w:p w14:paraId="73FC76FA">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（6）在合同货物保修期届满后，如果因合同货物硬件或软件的固有缺陷和瑕疵出现紧急故障和事故，中标人应在接到采购人通知之后24小时内到达现场。</w:t>
      </w:r>
    </w:p>
    <w:p w14:paraId="3364DAC1">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（7）项目验收后，根据采购人的请求，中标人应当为采购人指定的人员提供培训，并向采购人提供培训相关资料。</w:t>
      </w:r>
    </w:p>
    <w:p w14:paraId="1341BC97">
      <w:pPr>
        <w:spacing w:line="360" w:lineRule="auto"/>
        <w:ind w:firstLine="437"/>
        <w:outlineLvl w:val="1"/>
        <w:rPr>
          <w:rFonts w:hint="eastAsia" w:ascii="宋体" w:hAnsi="宋体" w:eastAsia="宋体"/>
          <w:b/>
          <w:bCs/>
          <w:color w:val="auto"/>
          <w:sz w:val="24"/>
          <w:szCs w:val="18"/>
          <w:highlight w:val="none"/>
          <w:lang w:eastAsia="zh-CN"/>
        </w:rPr>
      </w:pPr>
      <w:bookmarkStart w:id="9" w:name="_Toc6897"/>
      <w:bookmarkStart w:id="10" w:name="_Toc10710"/>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、样品</w:t>
      </w:r>
      <w:r>
        <w:rPr>
          <w:rFonts w:hint="eastAsia" w:ascii="宋体" w:hAnsi="宋体" w:eastAsia="宋体"/>
          <w:b/>
          <w:color w:val="auto"/>
          <w:sz w:val="24"/>
          <w:szCs w:val="18"/>
          <w:highlight w:val="none"/>
        </w:rPr>
        <w:t>要求</w:t>
      </w:r>
      <w:bookmarkEnd w:id="9"/>
      <w:r>
        <w:rPr>
          <w:rFonts w:hint="eastAsia" w:ascii="宋体" w:hAnsi="宋体" w:eastAsia="宋体"/>
          <w:b/>
          <w:color w:val="auto"/>
          <w:sz w:val="24"/>
          <w:szCs w:val="18"/>
          <w:highlight w:val="none"/>
          <w:lang w:eastAsia="zh-CN"/>
        </w:rPr>
        <w:t>（</w:t>
      </w:r>
      <w:r>
        <w:rPr>
          <w:rFonts w:hint="eastAsia" w:ascii="宋体" w:hAnsi="宋体" w:eastAsia="宋体"/>
          <w:b/>
          <w:i/>
          <w:iCs/>
          <w:color w:val="auto"/>
          <w:sz w:val="24"/>
          <w:szCs w:val="18"/>
          <w:highlight w:val="none"/>
          <w:lang w:val="en-US" w:eastAsia="zh-CN"/>
        </w:rPr>
        <w:t>如有</w:t>
      </w:r>
      <w:r>
        <w:rPr>
          <w:rFonts w:hint="eastAsia" w:ascii="宋体" w:hAnsi="宋体" w:eastAsia="宋体"/>
          <w:b/>
          <w:color w:val="auto"/>
          <w:sz w:val="24"/>
          <w:szCs w:val="18"/>
          <w:highlight w:val="none"/>
          <w:lang w:eastAsia="zh-CN"/>
        </w:rPr>
        <w:t>）</w:t>
      </w:r>
      <w:bookmarkEnd w:id="10"/>
    </w:p>
    <w:p w14:paraId="02697DAE">
      <w:pPr>
        <w:spacing w:line="360" w:lineRule="auto"/>
        <w:ind w:firstLine="480" w:firstLineChars="200"/>
      </w:pPr>
      <w:r>
        <w:rPr>
          <w:rFonts w:hint="eastAsia" w:ascii="宋体" w:hAnsi="宋体" w:eastAsia="宋体"/>
          <w:color w:val="auto"/>
          <w:sz w:val="24"/>
          <w:highlight w:val="none"/>
          <w:lang w:val="en-US" w:eastAsia="zh-CN"/>
        </w:rPr>
        <w:t>无</w:t>
      </w:r>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5"/>
    <w:multiLevelType w:val="singleLevel"/>
    <w:tmpl w:val="00000005"/>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FB6C4F"/>
    <w:rsid w:val="5BFB6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2026-04-21T08:27:00Z</dcterms:created>
  <dc:creator>省招-黄奇</dc:creator>
  <cp:lastModifiedBy>省招-黄奇</cp:lastModifiedBy>
  <dcterms:modified xsi:type="dcterms:W3CDTF">2026-04-21T08:29:05Z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1CF7684A593F428A9F944A3C5F8842D7_11</vt:lpwstr>
  </property>
  <property fmtid="{D5CDD505-2E9C-101B-9397-08002B2CF9AE}" pid="4" name="KSOTemplateDocerSaveRecord">
    <vt:lpwstr>eyJoZGlkIjoiYzUzMzEzNGExYTU2OTVkOWJmMjVmYTVlYWUwNDg2MzgiLCJ1c2VySWQiOiIyNDA1MDA1MDgifQ==</vt:lpwstr>
  </property>
</Properties>
</file>