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6E288">
      <w:pPr>
        <w:numPr>
          <w:ilvl w:val="0"/>
          <w:numId w:val="1"/>
        </w:numPr>
        <w:spacing w:line="360" w:lineRule="auto"/>
        <w:jc w:val="center"/>
        <w:outlineLvl w:val="0"/>
        <w:rPr>
          <w:rFonts w:hint="eastAsia" w:ascii="宋体" w:hAnsi="宋体" w:eastAsia="宋体"/>
          <w:b/>
          <w:sz w:val="28"/>
        </w:rPr>
      </w:pPr>
      <w:r>
        <w:rPr>
          <w:rFonts w:hint="eastAsia" w:ascii="宋体" w:hAnsi="宋体" w:eastAsia="宋体"/>
          <w:b/>
          <w:sz w:val="28"/>
        </w:rPr>
        <w:t>采购需求</w:t>
      </w:r>
    </w:p>
    <w:p w14:paraId="30B4CE52">
      <w:pPr>
        <w:adjustRightInd w:val="0"/>
        <w:snapToGrid w:val="0"/>
        <w:spacing w:line="360" w:lineRule="auto"/>
        <w:rPr>
          <w:rFonts w:hint="eastAsia" w:ascii="宋体" w:hAnsi="宋体" w:eastAsia="宋体"/>
          <w:b/>
          <w:szCs w:val="21"/>
        </w:rPr>
      </w:pPr>
      <w:r>
        <w:rPr>
          <w:rFonts w:hint="eastAsia" w:ascii="宋体" w:hAnsi="宋体" w:eastAsia="宋体"/>
          <w:b/>
          <w:szCs w:val="21"/>
        </w:rPr>
        <w:t>前注：</w:t>
      </w:r>
    </w:p>
    <w:p w14:paraId="473B43D5">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1.本采购需求中提出的服务方案仅为参考，如无明确限制，投标人可以进行优化，提供满足采购人实际需要的更优（或者性能实质上不低于的）服务方案，且此方案须经评标委员会评审认可。</w:t>
      </w:r>
    </w:p>
    <w:p w14:paraId="4B9816B6">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政府采购政策（包括但不限于下列具体政策要求</w:t>
      </w:r>
      <w:r>
        <w:rPr>
          <w:rFonts w:hint="eastAsia" w:ascii="宋体" w:hAnsi="宋体" w:eastAsia="宋体" w:cs="宋体"/>
          <w:szCs w:val="21"/>
        </w:rPr>
        <w:t>）：</w:t>
      </w:r>
    </w:p>
    <w:p w14:paraId="35890E7F">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F1DD846">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721A85A">
      <w:pPr>
        <w:adjustRightInd w:val="0"/>
        <w:snapToGrid w:val="0"/>
        <w:spacing w:line="360" w:lineRule="auto"/>
        <w:ind w:firstLine="420" w:firstLineChars="200"/>
        <w:rPr>
          <w:rFonts w:hint="eastAsia" w:ascii="宋体" w:hAnsi="宋体" w:eastAsia="宋体"/>
          <w:bCs/>
          <w:szCs w:val="21"/>
        </w:rPr>
      </w:pPr>
      <w:r>
        <w:rPr>
          <w:rFonts w:hint="eastAsia" w:ascii="宋体" w:hAnsi="宋体" w:eastAsia="宋体" w:cs="宋体"/>
          <w:szCs w:val="21"/>
        </w:rPr>
        <w:t>3.如采购人允许采用分包方式履行合同的，应当明确可以分包履行的相关内容（本项目不允许分包）。</w:t>
      </w:r>
    </w:p>
    <w:p w14:paraId="73FD1990">
      <w:pPr>
        <w:adjustRightInd w:val="0"/>
        <w:snapToGrid w:val="0"/>
        <w:spacing w:line="360" w:lineRule="auto"/>
        <w:ind w:firstLine="437"/>
        <w:outlineLvl w:val="1"/>
        <w:rPr>
          <w:rFonts w:hint="eastAsia" w:ascii="宋体" w:hAnsi="宋体" w:eastAsia="宋体"/>
          <w:b/>
          <w:szCs w:val="21"/>
        </w:rPr>
      </w:pPr>
      <w:bookmarkStart w:id="0" w:name="_Toc21798"/>
      <w:bookmarkStart w:id="1" w:name="_Toc173275127"/>
      <w:bookmarkStart w:id="2" w:name="_Toc4148"/>
      <w:bookmarkStart w:id="3" w:name="_Hlk23621890"/>
      <w:r>
        <w:rPr>
          <w:rFonts w:hint="eastAsia" w:ascii="宋体" w:hAnsi="宋体" w:eastAsia="宋体"/>
          <w:b/>
          <w:szCs w:val="21"/>
        </w:rPr>
        <w:t>一、采购需求前附表</w:t>
      </w:r>
      <w:bookmarkEnd w:id="0"/>
      <w:bookmarkEnd w:id="1"/>
      <w:bookmarkEnd w:id="2"/>
    </w:p>
    <w:tbl>
      <w:tblPr>
        <w:tblStyle w:val="5"/>
        <w:tblW w:w="49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799"/>
        <w:gridCol w:w="5915"/>
      </w:tblGrid>
      <w:tr w14:paraId="62DF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noWrap w:val="0"/>
            <w:vAlign w:val="center"/>
          </w:tcPr>
          <w:p w14:paraId="08591B4B">
            <w:pPr>
              <w:pStyle w:val="7"/>
              <w:rPr>
                <w:rFonts w:hint="eastAsia" w:cs="@仿宋_GB2312"/>
                <w:kern w:val="2"/>
                <w:lang w:val="en-US" w:eastAsia="zh-CN"/>
              </w:rPr>
            </w:pPr>
            <w:r>
              <w:rPr>
                <w:rFonts w:hint="eastAsia" w:cs="@仿宋_GB2312"/>
                <w:b/>
                <w:bCs w:val="0"/>
                <w:kern w:val="2"/>
                <w:lang w:val="en-US" w:eastAsia="zh-CN"/>
              </w:rPr>
              <w:t>序号</w:t>
            </w:r>
          </w:p>
        </w:tc>
        <w:tc>
          <w:tcPr>
            <w:tcW w:w="1062" w:type="pct"/>
            <w:noWrap w:val="0"/>
            <w:vAlign w:val="center"/>
          </w:tcPr>
          <w:p w14:paraId="297EF97C">
            <w:pPr>
              <w:pStyle w:val="8"/>
              <w:adjustRightInd w:val="0"/>
              <w:snapToGrid w:val="0"/>
              <w:spacing w:line="300" w:lineRule="auto"/>
              <w:jc w:val="center"/>
              <w:rPr>
                <w:rFonts w:hint="eastAsia"/>
                <w:b/>
                <w:sz w:val="21"/>
                <w:szCs w:val="21"/>
              </w:rPr>
            </w:pPr>
            <w:r>
              <w:rPr>
                <w:rFonts w:hint="eastAsia"/>
                <w:b/>
                <w:sz w:val="21"/>
                <w:szCs w:val="21"/>
              </w:rPr>
              <w:t>条款名称</w:t>
            </w:r>
          </w:p>
        </w:tc>
        <w:tc>
          <w:tcPr>
            <w:tcW w:w="3492" w:type="pct"/>
            <w:noWrap w:val="0"/>
            <w:vAlign w:val="center"/>
          </w:tcPr>
          <w:p w14:paraId="7445AB75">
            <w:pPr>
              <w:pStyle w:val="8"/>
              <w:adjustRightInd w:val="0"/>
              <w:snapToGrid w:val="0"/>
              <w:spacing w:line="300" w:lineRule="auto"/>
              <w:jc w:val="center"/>
              <w:rPr>
                <w:rFonts w:hint="eastAsia"/>
                <w:b/>
                <w:sz w:val="21"/>
                <w:szCs w:val="21"/>
              </w:rPr>
            </w:pPr>
            <w:r>
              <w:rPr>
                <w:rFonts w:hint="eastAsia"/>
                <w:b/>
                <w:sz w:val="21"/>
                <w:szCs w:val="21"/>
              </w:rPr>
              <w:t>内容、说明与要求</w:t>
            </w:r>
          </w:p>
        </w:tc>
      </w:tr>
      <w:tr w14:paraId="4308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 w:type="pct"/>
            <w:noWrap w:val="0"/>
            <w:vAlign w:val="center"/>
          </w:tcPr>
          <w:p w14:paraId="5F748740">
            <w:pPr>
              <w:pStyle w:val="7"/>
              <w:rPr>
                <w:rFonts w:hint="eastAsia" w:cs="@仿宋_GB2312"/>
                <w:kern w:val="2"/>
                <w:lang w:val="en-US" w:eastAsia="zh-CN"/>
              </w:rPr>
            </w:pPr>
            <w:r>
              <w:rPr>
                <w:rFonts w:hint="eastAsia" w:cs="@仿宋_GB2312"/>
                <w:kern w:val="2"/>
                <w:lang w:val="en-US" w:eastAsia="zh-CN"/>
              </w:rPr>
              <w:t>1</w:t>
            </w:r>
          </w:p>
        </w:tc>
        <w:tc>
          <w:tcPr>
            <w:tcW w:w="1062" w:type="pct"/>
            <w:noWrap w:val="0"/>
            <w:vAlign w:val="center"/>
          </w:tcPr>
          <w:p w14:paraId="0ED626BF">
            <w:pPr>
              <w:pStyle w:val="8"/>
              <w:adjustRightInd w:val="0"/>
              <w:snapToGrid w:val="0"/>
              <w:spacing w:line="300" w:lineRule="auto"/>
              <w:rPr>
                <w:rFonts w:hint="eastAsia"/>
                <w:sz w:val="21"/>
                <w:szCs w:val="21"/>
              </w:rPr>
            </w:pPr>
            <w:r>
              <w:rPr>
                <w:rFonts w:hint="eastAsia"/>
                <w:sz w:val="21"/>
                <w:szCs w:val="21"/>
              </w:rPr>
              <w:t>付款方式</w:t>
            </w:r>
          </w:p>
        </w:tc>
        <w:tc>
          <w:tcPr>
            <w:tcW w:w="3492" w:type="pct"/>
            <w:noWrap w:val="0"/>
            <w:vAlign w:val="center"/>
          </w:tcPr>
          <w:p w14:paraId="3B22FD33">
            <w:pPr>
              <w:pStyle w:val="8"/>
              <w:adjustRightInd w:val="0"/>
              <w:snapToGrid w:val="0"/>
              <w:spacing w:line="300" w:lineRule="auto"/>
              <w:rPr>
                <w:rFonts w:hint="eastAsia"/>
                <w:sz w:val="21"/>
                <w:szCs w:val="21"/>
              </w:rPr>
            </w:pPr>
            <w:r>
              <w:rPr>
                <w:rFonts w:hint="eastAsia"/>
                <w:sz w:val="21"/>
                <w:szCs w:val="21"/>
              </w:rPr>
              <w:t>合同生效后，支付合同价款的70%，合同期满后经采购人验收合格后支付合同剩余价款。</w:t>
            </w:r>
          </w:p>
        </w:tc>
      </w:tr>
      <w:tr w14:paraId="163A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noWrap w:val="0"/>
            <w:vAlign w:val="center"/>
          </w:tcPr>
          <w:p w14:paraId="419D00A5">
            <w:pPr>
              <w:pStyle w:val="7"/>
              <w:rPr>
                <w:rFonts w:hint="eastAsia" w:cs="@仿宋_GB2312"/>
                <w:kern w:val="2"/>
                <w:lang w:val="en-US" w:eastAsia="zh-CN"/>
              </w:rPr>
            </w:pPr>
            <w:r>
              <w:rPr>
                <w:rFonts w:hint="eastAsia" w:cs="@仿宋_GB2312"/>
                <w:kern w:val="2"/>
                <w:lang w:val="en-US" w:eastAsia="zh-CN"/>
              </w:rPr>
              <w:t>2</w:t>
            </w:r>
          </w:p>
        </w:tc>
        <w:tc>
          <w:tcPr>
            <w:tcW w:w="1062" w:type="pct"/>
            <w:noWrap w:val="0"/>
            <w:vAlign w:val="center"/>
          </w:tcPr>
          <w:p w14:paraId="51F0B1A3">
            <w:pPr>
              <w:pStyle w:val="8"/>
              <w:adjustRightInd w:val="0"/>
              <w:snapToGrid w:val="0"/>
              <w:spacing w:line="300" w:lineRule="auto"/>
              <w:rPr>
                <w:rFonts w:hint="eastAsia"/>
                <w:sz w:val="21"/>
                <w:szCs w:val="21"/>
              </w:rPr>
            </w:pPr>
            <w:r>
              <w:rPr>
                <w:rFonts w:hint="eastAsia"/>
                <w:sz w:val="21"/>
                <w:szCs w:val="21"/>
              </w:rPr>
              <w:t>服务地点</w:t>
            </w:r>
          </w:p>
        </w:tc>
        <w:tc>
          <w:tcPr>
            <w:tcW w:w="3492" w:type="pct"/>
            <w:noWrap w:val="0"/>
            <w:vAlign w:val="center"/>
          </w:tcPr>
          <w:p w14:paraId="37144E49">
            <w:pPr>
              <w:pStyle w:val="8"/>
              <w:adjustRightInd w:val="0"/>
              <w:snapToGrid w:val="0"/>
              <w:spacing w:line="300" w:lineRule="auto"/>
              <w:rPr>
                <w:rFonts w:hint="eastAsia"/>
                <w:sz w:val="21"/>
                <w:szCs w:val="21"/>
              </w:rPr>
            </w:pPr>
            <w:r>
              <w:rPr>
                <w:rFonts w:hint="eastAsia"/>
                <w:sz w:val="21"/>
                <w:szCs w:val="21"/>
              </w:rPr>
              <w:t>安徽省内，具体按采购人指定。</w:t>
            </w:r>
          </w:p>
        </w:tc>
      </w:tr>
      <w:tr w14:paraId="60AE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noWrap w:val="0"/>
            <w:vAlign w:val="center"/>
          </w:tcPr>
          <w:p w14:paraId="67495895">
            <w:pPr>
              <w:pStyle w:val="7"/>
              <w:rPr>
                <w:rFonts w:hint="eastAsia" w:cs="@仿宋_GB2312"/>
                <w:kern w:val="2"/>
                <w:lang w:val="en-US" w:eastAsia="zh-CN"/>
              </w:rPr>
            </w:pPr>
            <w:r>
              <w:rPr>
                <w:rFonts w:hint="eastAsia" w:cs="@仿宋_GB2312"/>
                <w:kern w:val="2"/>
                <w:lang w:val="en-US" w:eastAsia="zh-CN"/>
              </w:rPr>
              <w:t>3</w:t>
            </w:r>
          </w:p>
        </w:tc>
        <w:tc>
          <w:tcPr>
            <w:tcW w:w="1062" w:type="pct"/>
            <w:noWrap w:val="0"/>
            <w:vAlign w:val="center"/>
          </w:tcPr>
          <w:p w14:paraId="234E76CF">
            <w:pPr>
              <w:pStyle w:val="8"/>
              <w:adjustRightInd w:val="0"/>
              <w:snapToGrid w:val="0"/>
              <w:spacing w:line="300" w:lineRule="auto"/>
              <w:rPr>
                <w:rFonts w:hint="eastAsia"/>
                <w:sz w:val="21"/>
                <w:szCs w:val="21"/>
              </w:rPr>
            </w:pPr>
            <w:r>
              <w:rPr>
                <w:rFonts w:hint="eastAsia"/>
                <w:sz w:val="21"/>
                <w:szCs w:val="21"/>
              </w:rPr>
              <w:t>服务期限</w:t>
            </w:r>
          </w:p>
        </w:tc>
        <w:tc>
          <w:tcPr>
            <w:tcW w:w="3492" w:type="pct"/>
            <w:noWrap w:val="0"/>
            <w:vAlign w:val="center"/>
          </w:tcPr>
          <w:p w14:paraId="01F8721B">
            <w:pPr>
              <w:pStyle w:val="8"/>
              <w:adjustRightInd w:val="0"/>
              <w:snapToGrid w:val="0"/>
              <w:spacing w:line="300" w:lineRule="auto"/>
              <w:rPr>
                <w:rFonts w:hint="eastAsia" w:eastAsia="宋体"/>
                <w:sz w:val="21"/>
                <w:szCs w:val="21"/>
                <w:lang w:eastAsia="zh-CN"/>
              </w:rPr>
            </w:pPr>
            <w:r>
              <w:rPr>
                <w:rFonts w:hint="eastAsia"/>
                <w:sz w:val="21"/>
                <w:szCs w:val="21"/>
                <w:lang w:eastAsia="zh-CN"/>
              </w:rPr>
              <w:t>自合同生效之日起至2025年12月30日。</w:t>
            </w:r>
          </w:p>
        </w:tc>
      </w:tr>
      <w:tr w14:paraId="4CFC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noWrap w:val="0"/>
            <w:vAlign w:val="center"/>
          </w:tcPr>
          <w:p w14:paraId="62F5B518">
            <w:pPr>
              <w:pStyle w:val="7"/>
              <w:rPr>
                <w:rFonts w:hint="eastAsia" w:cs="@仿宋_GB2312"/>
                <w:kern w:val="2"/>
                <w:lang w:val="en-US" w:eastAsia="zh-CN"/>
              </w:rPr>
            </w:pPr>
            <w:r>
              <w:rPr>
                <w:rFonts w:hint="eastAsia" w:cs="@仿宋_GB2312"/>
                <w:kern w:val="2"/>
                <w:lang w:val="en-US" w:eastAsia="zh-CN"/>
              </w:rPr>
              <w:t>4</w:t>
            </w:r>
          </w:p>
        </w:tc>
        <w:tc>
          <w:tcPr>
            <w:tcW w:w="1062" w:type="pct"/>
            <w:noWrap w:val="0"/>
            <w:vAlign w:val="center"/>
          </w:tcPr>
          <w:p w14:paraId="05688547">
            <w:pPr>
              <w:pStyle w:val="8"/>
              <w:adjustRightInd w:val="0"/>
              <w:snapToGrid w:val="0"/>
              <w:spacing w:line="300" w:lineRule="auto"/>
              <w:rPr>
                <w:rFonts w:hint="eastAsia"/>
                <w:b/>
                <w:sz w:val="21"/>
                <w:szCs w:val="21"/>
              </w:rPr>
            </w:pPr>
            <w:r>
              <w:rPr>
                <w:rFonts w:hint="eastAsia"/>
                <w:sz w:val="21"/>
                <w:szCs w:val="21"/>
              </w:rPr>
              <w:t>本项目采购标的名称及所属行业</w:t>
            </w:r>
          </w:p>
        </w:tc>
        <w:tc>
          <w:tcPr>
            <w:tcW w:w="3492" w:type="pct"/>
            <w:noWrap w:val="0"/>
            <w:vAlign w:val="center"/>
          </w:tcPr>
          <w:p w14:paraId="697C60D6">
            <w:pPr>
              <w:adjustRightInd w:val="0"/>
              <w:snapToGrid w:val="0"/>
              <w:spacing w:line="300" w:lineRule="auto"/>
              <w:jc w:val="left"/>
              <w:rPr>
                <w:rFonts w:hint="eastAsia" w:ascii="宋体" w:hAnsi="宋体" w:eastAsia="宋体"/>
                <w:b w:val="0"/>
                <w:bCs/>
                <w:szCs w:val="21"/>
              </w:rPr>
            </w:pPr>
            <w:r>
              <w:rPr>
                <w:rFonts w:hint="eastAsia" w:ascii="宋体" w:hAnsi="宋体" w:eastAsia="宋体"/>
                <w:b w:val="0"/>
                <w:bCs/>
                <w:szCs w:val="21"/>
              </w:rPr>
              <w:t>标的名称：安徽省文化馆赶大集项目</w:t>
            </w:r>
          </w:p>
          <w:p w14:paraId="69968EC7">
            <w:pPr>
              <w:adjustRightInd w:val="0"/>
              <w:snapToGrid w:val="0"/>
              <w:spacing w:line="300" w:lineRule="auto"/>
              <w:jc w:val="left"/>
              <w:rPr>
                <w:rFonts w:hint="eastAsia" w:ascii="宋体" w:hAnsi="宋体" w:eastAsia="宋体"/>
                <w:szCs w:val="21"/>
              </w:rPr>
            </w:pPr>
            <w:r>
              <w:rPr>
                <w:rFonts w:hint="eastAsia" w:ascii="宋体" w:hAnsi="宋体" w:eastAsia="宋体"/>
                <w:b w:val="0"/>
                <w:bCs/>
                <w:szCs w:val="21"/>
              </w:rPr>
              <w:t>所属行业：其他未列明行业</w:t>
            </w:r>
          </w:p>
        </w:tc>
      </w:tr>
    </w:tbl>
    <w:p w14:paraId="260B6E7D">
      <w:pPr>
        <w:adjustRightInd w:val="0"/>
        <w:snapToGrid w:val="0"/>
        <w:spacing w:line="360" w:lineRule="auto"/>
        <w:ind w:firstLine="437"/>
        <w:outlineLvl w:val="1"/>
        <w:rPr>
          <w:rFonts w:hint="eastAsia" w:ascii="宋体" w:hAnsi="宋体" w:eastAsia="宋体"/>
          <w:b/>
          <w:szCs w:val="21"/>
        </w:rPr>
      </w:pPr>
      <w:bookmarkStart w:id="4" w:name="_Toc8753"/>
      <w:bookmarkStart w:id="5" w:name="_Toc173275128"/>
      <w:bookmarkStart w:id="6" w:name="_Toc16543"/>
      <w:bookmarkStart w:id="7" w:name="_Hlk16461016"/>
    </w:p>
    <w:p w14:paraId="22E4FFB6">
      <w:pPr>
        <w:adjustRightInd w:val="0"/>
        <w:snapToGrid w:val="0"/>
        <w:spacing w:line="360" w:lineRule="auto"/>
        <w:ind w:firstLine="437"/>
        <w:outlineLvl w:val="1"/>
        <w:rPr>
          <w:rFonts w:hint="eastAsia" w:ascii="宋体" w:hAnsi="宋体" w:eastAsia="宋体"/>
          <w:b/>
          <w:szCs w:val="21"/>
        </w:rPr>
      </w:pPr>
      <w:r>
        <w:rPr>
          <w:rFonts w:hint="eastAsia" w:ascii="宋体" w:hAnsi="宋体" w:eastAsia="宋体"/>
          <w:b/>
          <w:szCs w:val="21"/>
        </w:rPr>
        <w:t>二、</w:t>
      </w:r>
      <w:bookmarkEnd w:id="4"/>
      <w:bookmarkEnd w:id="5"/>
      <w:bookmarkEnd w:id="6"/>
      <w:r>
        <w:rPr>
          <w:rFonts w:hint="eastAsia" w:ascii="宋体" w:hAnsi="宋体" w:eastAsia="宋体"/>
          <w:b/>
          <w:szCs w:val="21"/>
        </w:rPr>
        <w:t>项目概况</w:t>
      </w:r>
    </w:p>
    <w:bookmarkEnd w:id="3"/>
    <w:bookmarkEnd w:id="7"/>
    <w:p w14:paraId="6EA8B18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文化和旅游部公共服务司、财务司《关于做好2025年全国智慧图书馆体系建设项目、公共文化云建设项目实施工作的通知》要求，在安徽省文化和旅游厅指导下，安徽省文化馆开展2025年“赶大集”项目工作。建设内容有：建设与运营赶大集专区，举办云上文采会活动，上线发布供需机构信息、产品和需求信息，同步组织走播带看、好物推介、图片直播等线上活动，开展文采会相关专题研究、人员培训；推介文创产品，支持不少于10个资源突出、条件成熟的文化馆或文化机构在国家公共文化云、安徽公共文化云“赶大集”板块开设店铺并运营，上线不少于100个特色文创产品，做好平台入驻、艺术普及类文创产品开发、业务骨干培养培训等工作。</w:t>
      </w:r>
    </w:p>
    <w:p w14:paraId="6169009B">
      <w:pPr>
        <w:adjustRightInd w:val="0"/>
        <w:snapToGrid w:val="0"/>
        <w:spacing w:line="360" w:lineRule="auto"/>
        <w:ind w:left="437"/>
        <w:outlineLvl w:val="1"/>
        <w:rPr>
          <w:rFonts w:hint="eastAsia" w:ascii="宋体" w:hAnsi="宋体" w:eastAsia="宋体"/>
          <w:b/>
          <w:szCs w:val="21"/>
        </w:rPr>
      </w:pPr>
      <w:r>
        <w:rPr>
          <w:rFonts w:hint="eastAsia" w:ascii="宋体" w:hAnsi="宋体" w:eastAsia="宋体"/>
          <w:b/>
          <w:szCs w:val="21"/>
        </w:rPr>
        <w:t>三、服务需求</w:t>
      </w:r>
    </w:p>
    <w:p w14:paraId="0406B765">
      <w:pPr>
        <w:widowControl/>
        <w:spacing w:line="360" w:lineRule="auto"/>
        <w:ind w:firstLine="422" w:firstLineChars="200"/>
        <w:jc w:val="left"/>
        <w:rPr>
          <w:rFonts w:hint="eastAsia" w:ascii="宋体" w:hAnsi="宋体" w:eastAsia="宋体" w:cs="宋体"/>
          <w:b/>
          <w:bCs/>
          <w:kern w:val="0"/>
          <w:szCs w:val="21"/>
          <w:lang w:val="zh-TW" w:eastAsia="zh-TW"/>
        </w:rPr>
      </w:pPr>
      <w:r>
        <w:rPr>
          <w:rFonts w:hint="eastAsia" w:ascii="宋体" w:hAnsi="宋体" w:eastAsia="宋体" w:cs="宋体"/>
          <w:b/>
          <w:bCs/>
          <w:kern w:val="0"/>
          <w:szCs w:val="21"/>
        </w:rPr>
        <w:t>（一）文采会</w:t>
      </w:r>
    </w:p>
    <w:p w14:paraId="13F3ADF5">
      <w:pPr>
        <w:pStyle w:val="9"/>
        <w:framePr w:wrap="auto" w:vAnchor="margin" w:hAnchor="text" w:yAlign="inline"/>
        <w:spacing w:line="360" w:lineRule="auto"/>
        <w:ind w:firstLine="422" w:firstLineChars="200"/>
        <w:jc w:val="both"/>
        <w:rPr>
          <w:rFonts w:ascii="宋体" w:hAnsi="宋体" w:eastAsia="宋体" w:cs="宋体"/>
          <w:b/>
          <w:bCs/>
          <w:color w:val="auto"/>
          <w:sz w:val="21"/>
          <w:szCs w:val="21"/>
          <w:lang w:val="en-US" w:eastAsia="zh-CN"/>
        </w:rPr>
      </w:pPr>
      <w:r>
        <w:rPr>
          <w:rFonts w:ascii="宋体" w:hAnsi="宋体" w:eastAsia="宋体" w:cs="宋体"/>
          <w:b/>
          <w:bCs/>
          <w:color w:val="auto"/>
          <w:sz w:val="21"/>
          <w:szCs w:val="21"/>
          <w:lang w:val="en-US" w:eastAsia="zh-CN"/>
        </w:rPr>
        <w:t>1.支持范围</w:t>
      </w:r>
    </w:p>
    <w:p w14:paraId="2B325D62">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以促进我省各地公共文化产品和服务供需有效对接为目标，遴选全省公共文化产品和服务优质资源（包括供需双方机构信息、产品及服务信息、供需交易信息等），举办线上线下相结合的区域性及地方性文采会活动，并汇总到安徽公共文化云“赶大集”专区及国家公共文化云“汇文采”板块。</w:t>
      </w:r>
    </w:p>
    <w:p w14:paraId="569B8A62">
      <w:pPr>
        <w:widowControl/>
        <w:spacing w:line="360" w:lineRule="auto"/>
        <w:ind w:firstLine="422" w:firstLineChars="200"/>
        <w:jc w:val="left"/>
        <w:rPr>
          <w:rFonts w:hint="eastAsia" w:ascii="宋体" w:hAnsi="宋体" w:eastAsia="宋体" w:cs="宋体"/>
          <w:b/>
          <w:bCs/>
          <w:kern w:val="0"/>
          <w:szCs w:val="21"/>
        </w:rPr>
      </w:pPr>
      <w:r>
        <w:rPr>
          <w:rFonts w:hint="eastAsia" w:ascii="宋体" w:hAnsi="宋体" w:eastAsia="宋体" w:cs="宋体"/>
          <w:b/>
          <w:bCs/>
          <w:kern w:val="0"/>
          <w:szCs w:val="21"/>
        </w:rPr>
        <w:t>2.建设标准</w:t>
      </w:r>
    </w:p>
    <w:p w14:paraId="6168016D">
      <w:pPr>
        <w:widowControl/>
        <w:spacing w:line="360" w:lineRule="auto"/>
        <w:ind w:firstLine="422" w:firstLineChars="200"/>
        <w:jc w:val="left"/>
        <w:rPr>
          <w:rFonts w:hint="eastAsia" w:ascii="宋体" w:hAnsi="宋体" w:eastAsia="宋体" w:cs="宋体"/>
          <w:b/>
          <w:bCs/>
          <w:kern w:val="0"/>
          <w:szCs w:val="21"/>
        </w:rPr>
      </w:pPr>
      <w:r>
        <w:rPr>
          <w:rFonts w:hint="eastAsia" w:ascii="宋体" w:hAnsi="宋体" w:eastAsia="宋体" w:cs="宋体"/>
          <w:b/>
          <w:bCs/>
          <w:kern w:val="0"/>
          <w:szCs w:val="21"/>
        </w:rPr>
        <w:t>（1）遴选产品和服务，采集供需信息</w:t>
      </w:r>
    </w:p>
    <w:p w14:paraId="1A7583A7">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遴选本省公共文化产品和服务优质资源，重点推出国家公共文化体系示范区和中国民间文化艺术之乡的内容。对供需双方机构信息、产品及服务信息、供需交易信息等，进行采集、加工、审核、更新、维护。</w:t>
      </w:r>
    </w:p>
    <w:p w14:paraId="44807705">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①品类</w:t>
      </w:r>
    </w:p>
    <w:p w14:paraId="2D242E49">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公共文化产品和服务资源所涵盖行业及产品品类如下表所示：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277"/>
        <w:gridCol w:w="5380"/>
      </w:tblGrid>
      <w:tr w14:paraId="19B5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noWrap w:val="0"/>
            <w:vAlign w:val="center"/>
          </w:tcPr>
          <w:p w14:paraId="7F221C23">
            <w:pPr>
              <w:pStyle w:val="9"/>
              <w:framePr w:wrap="auto" w:vAnchor="margin" w:hAnchor="text" w:yAlign="inline"/>
              <w:jc w:val="center"/>
              <w:rPr>
                <w:rFonts w:ascii="宋体" w:hAnsi="宋体" w:eastAsia="宋体" w:cs="宋体"/>
                <w:b/>
                <w:bCs/>
                <w:color w:val="auto"/>
                <w:kern w:val="2"/>
                <w:sz w:val="21"/>
                <w:szCs w:val="21"/>
                <w:lang w:val="en-US" w:eastAsia="zh-CN"/>
              </w:rPr>
            </w:pPr>
            <w:r>
              <w:rPr>
                <w:rFonts w:ascii="宋体" w:hAnsi="宋体" w:eastAsia="宋体" w:cs="宋体"/>
                <w:b/>
                <w:bCs/>
                <w:color w:val="auto"/>
                <w:kern w:val="2"/>
                <w:sz w:val="21"/>
                <w:szCs w:val="21"/>
                <w:lang w:val="en-US" w:eastAsia="zh-CN"/>
              </w:rPr>
              <w:t>序号</w:t>
            </w:r>
          </w:p>
        </w:tc>
        <w:tc>
          <w:tcPr>
            <w:tcW w:w="2277" w:type="dxa"/>
            <w:noWrap w:val="0"/>
            <w:vAlign w:val="center"/>
          </w:tcPr>
          <w:p w14:paraId="665E4F95">
            <w:pPr>
              <w:widowControl/>
              <w:jc w:val="center"/>
              <w:rPr>
                <w:rFonts w:hint="eastAsia" w:ascii="宋体" w:hAnsi="宋体" w:eastAsia="宋体" w:cs="宋体"/>
                <w:b/>
                <w:bCs/>
                <w:kern w:val="0"/>
                <w:szCs w:val="21"/>
              </w:rPr>
            </w:pPr>
            <w:r>
              <w:rPr>
                <w:rFonts w:hint="eastAsia" w:ascii="宋体" w:hAnsi="宋体" w:eastAsia="宋体" w:cs="宋体"/>
                <w:b/>
                <w:bCs/>
                <w:kern w:val="0"/>
                <w:szCs w:val="21"/>
              </w:rPr>
              <w:t>一级分类</w:t>
            </w:r>
          </w:p>
        </w:tc>
        <w:tc>
          <w:tcPr>
            <w:tcW w:w="5380" w:type="dxa"/>
            <w:noWrap w:val="0"/>
            <w:vAlign w:val="center"/>
          </w:tcPr>
          <w:p w14:paraId="62FDC728">
            <w:pPr>
              <w:pStyle w:val="9"/>
              <w:framePr w:wrap="auto" w:vAnchor="margin" w:hAnchor="text" w:yAlign="inline"/>
              <w:jc w:val="center"/>
              <w:rPr>
                <w:rFonts w:ascii="宋体" w:hAnsi="宋体" w:eastAsia="宋体" w:cs="宋体"/>
                <w:b/>
                <w:bCs/>
                <w:color w:val="auto"/>
                <w:kern w:val="2"/>
                <w:sz w:val="21"/>
                <w:szCs w:val="21"/>
                <w:lang w:val="en-US" w:eastAsia="zh-CN"/>
              </w:rPr>
            </w:pPr>
            <w:r>
              <w:rPr>
                <w:rFonts w:ascii="宋体" w:hAnsi="宋体" w:eastAsia="宋体" w:cs="宋体"/>
                <w:b/>
                <w:bCs/>
                <w:color w:val="auto"/>
                <w:kern w:val="2"/>
                <w:sz w:val="21"/>
                <w:szCs w:val="21"/>
                <w:lang w:val="en-US" w:eastAsia="zh-CN"/>
              </w:rPr>
              <w:t>二级分类</w:t>
            </w:r>
          </w:p>
        </w:tc>
      </w:tr>
      <w:tr w14:paraId="3ADE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5" w:type="dxa"/>
            <w:noWrap w:val="0"/>
            <w:vAlign w:val="center"/>
          </w:tcPr>
          <w:p w14:paraId="03971328">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1</w:t>
            </w:r>
          </w:p>
        </w:tc>
        <w:tc>
          <w:tcPr>
            <w:tcW w:w="2277" w:type="dxa"/>
            <w:noWrap w:val="0"/>
            <w:vAlign w:val="center"/>
          </w:tcPr>
          <w:p w14:paraId="3A5178DD">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文化内容</w:t>
            </w:r>
          </w:p>
        </w:tc>
        <w:tc>
          <w:tcPr>
            <w:tcW w:w="5380" w:type="dxa"/>
            <w:noWrap w:val="0"/>
            <w:vAlign w:val="center"/>
          </w:tcPr>
          <w:p w14:paraId="4B937C73">
            <w:pPr>
              <w:widowControl/>
              <w:jc w:val="center"/>
              <w:rPr>
                <w:rFonts w:hint="eastAsia" w:ascii="宋体" w:hAnsi="宋体" w:eastAsia="宋体" w:cs="宋体"/>
                <w:kern w:val="0"/>
                <w:szCs w:val="21"/>
              </w:rPr>
            </w:pPr>
            <w:r>
              <w:rPr>
                <w:rFonts w:hint="eastAsia" w:ascii="宋体" w:hAnsi="宋体" w:eastAsia="宋体" w:cs="宋体"/>
                <w:kern w:val="0"/>
                <w:szCs w:val="21"/>
              </w:rPr>
              <w:t>文艺演出、艺术导赏、展览展示、特色活动、志愿服务、基层活动、文化交流、内部培训、文化传承、文化扶贫、公益活动</w:t>
            </w:r>
          </w:p>
        </w:tc>
      </w:tr>
      <w:tr w14:paraId="76ED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5" w:type="dxa"/>
            <w:noWrap w:val="0"/>
            <w:vAlign w:val="center"/>
          </w:tcPr>
          <w:p w14:paraId="58268E21">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2</w:t>
            </w:r>
          </w:p>
        </w:tc>
        <w:tc>
          <w:tcPr>
            <w:tcW w:w="2277" w:type="dxa"/>
            <w:noWrap w:val="0"/>
            <w:vAlign w:val="center"/>
          </w:tcPr>
          <w:p w14:paraId="2279FAE8">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科技融合</w:t>
            </w:r>
          </w:p>
        </w:tc>
        <w:tc>
          <w:tcPr>
            <w:tcW w:w="5380" w:type="dxa"/>
            <w:noWrap w:val="0"/>
            <w:vAlign w:val="center"/>
          </w:tcPr>
          <w:p w14:paraId="53D6587B">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新媒体应用、人工智能、智慧旅游、平台软件</w:t>
            </w:r>
          </w:p>
        </w:tc>
      </w:tr>
      <w:tr w14:paraId="7D99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5" w:type="dxa"/>
            <w:noWrap w:val="0"/>
            <w:vAlign w:val="center"/>
          </w:tcPr>
          <w:p w14:paraId="6B87EA74">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3</w:t>
            </w:r>
          </w:p>
        </w:tc>
        <w:tc>
          <w:tcPr>
            <w:tcW w:w="2277" w:type="dxa"/>
            <w:noWrap w:val="0"/>
            <w:vAlign w:val="center"/>
          </w:tcPr>
          <w:p w14:paraId="1CE19548">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设施运营</w:t>
            </w:r>
          </w:p>
        </w:tc>
        <w:tc>
          <w:tcPr>
            <w:tcW w:w="5380" w:type="dxa"/>
            <w:noWrap w:val="0"/>
            <w:vAlign w:val="center"/>
          </w:tcPr>
          <w:p w14:paraId="129B55B5">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空间设计、委托管理、设施委托</w:t>
            </w:r>
          </w:p>
        </w:tc>
      </w:tr>
      <w:tr w14:paraId="5A64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5" w:type="dxa"/>
            <w:noWrap w:val="0"/>
            <w:vAlign w:val="center"/>
          </w:tcPr>
          <w:p w14:paraId="5807C416">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4</w:t>
            </w:r>
          </w:p>
        </w:tc>
        <w:tc>
          <w:tcPr>
            <w:tcW w:w="2277" w:type="dxa"/>
            <w:noWrap w:val="0"/>
            <w:vAlign w:val="center"/>
          </w:tcPr>
          <w:p w14:paraId="5A8D5258">
            <w:pPr>
              <w:widowControl/>
              <w:jc w:val="center"/>
              <w:rPr>
                <w:rFonts w:hint="eastAsia" w:ascii="宋体" w:hAnsi="宋体" w:eastAsia="宋体" w:cs="宋体"/>
                <w:kern w:val="0"/>
                <w:szCs w:val="21"/>
              </w:rPr>
            </w:pPr>
            <w:r>
              <w:rPr>
                <w:rFonts w:hint="eastAsia" w:ascii="宋体" w:hAnsi="宋体" w:eastAsia="宋体" w:cs="宋体"/>
                <w:kern w:val="0"/>
                <w:szCs w:val="21"/>
              </w:rPr>
              <w:t>旅游服务(公共服务)</w:t>
            </w:r>
          </w:p>
        </w:tc>
        <w:tc>
          <w:tcPr>
            <w:tcW w:w="5380" w:type="dxa"/>
            <w:noWrap w:val="0"/>
            <w:vAlign w:val="center"/>
          </w:tcPr>
          <w:p w14:paraId="34911A5A">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智慧景区、智慧软件、智慧硬件、服务监管</w:t>
            </w:r>
          </w:p>
        </w:tc>
      </w:tr>
      <w:tr w14:paraId="6FB8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5" w:type="dxa"/>
            <w:noWrap w:val="0"/>
            <w:vAlign w:val="center"/>
          </w:tcPr>
          <w:p w14:paraId="1642730C">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5</w:t>
            </w:r>
          </w:p>
        </w:tc>
        <w:tc>
          <w:tcPr>
            <w:tcW w:w="2277" w:type="dxa"/>
            <w:noWrap w:val="0"/>
            <w:vAlign w:val="center"/>
          </w:tcPr>
          <w:p w14:paraId="1749C707">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决策咨询</w:t>
            </w:r>
          </w:p>
        </w:tc>
        <w:tc>
          <w:tcPr>
            <w:tcW w:w="5380" w:type="dxa"/>
            <w:noWrap w:val="0"/>
            <w:vAlign w:val="center"/>
          </w:tcPr>
          <w:p w14:paraId="15369F33">
            <w:pPr>
              <w:widowControl/>
              <w:jc w:val="center"/>
              <w:rPr>
                <w:rFonts w:hint="eastAsia" w:ascii="宋体" w:hAnsi="宋体" w:eastAsia="宋体" w:cs="宋体"/>
                <w:szCs w:val="21"/>
              </w:rPr>
            </w:pPr>
            <w:r>
              <w:rPr>
                <w:rFonts w:hint="eastAsia" w:ascii="宋体" w:hAnsi="宋体" w:eastAsia="宋体" w:cs="宋体"/>
                <w:kern w:val="0"/>
                <w:szCs w:val="21"/>
              </w:rPr>
              <w:t>政策咨询、活动策划、文旅培训、第三方绩效评价</w:t>
            </w:r>
          </w:p>
        </w:tc>
      </w:tr>
      <w:tr w14:paraId="5AC9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5" w:type="dxa"/>
            <w:noWrap w:val="0"/>
            <w:vAlign w:val="center"/>
          </w:tcPr>
          <w:p w14:paraId="21CD7FEE">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6</w:t>
            </w:r>
          </w:p>
        </w:tc>
        <w:tc>
          <w:tcPr>
            <w:tcW w:w="2277" w:type="dxa"/>
            <w:noWrap w:val="0"/>
            <w:vAlign w:val="center"/>
          </w:tcPr>
          <w:p w14:paraId="2A7DC70C">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文创产品</w:t>
            </w:r>
          </w:p>
        </w:tc>
        <w:tc>
          <w:tcPr>
            <w:tcW w:w="5380" w:type="dxa"/>
            <w:noWrap w:val="0"/>
            <w:vAlign w:val="center"/>
          </w:tcPr>
          <w:p w14:paraId="6B6C7A4B">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数字资源、艺术培训、非遗产品、其他文创产品</w:t>
            </w:r>
          </w:p>
        </w:tc>
      </w:tr>
      <w:tr w14:paraId="60A2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5" w:type="dxa"/>
            <w:noWrap w:val="0"/>
            <w:vAlign w:val="center"/>
          </w:tcPr>
          <w:p w14:paraId="58BFE3FF">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7</w:t>
            </w:r>
          </w:p>
        </w:tc>
        <w:tc>
          <w:tcPr>
            <w:tcW w:w="2277" w:type="dxa"/>
            <w:noWrap w:val="0"/>
            <w:vAlign w:val="center"/>
          </w:tcPr>
          <w:p w14:paraId="714883F8">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其他</w:t>
            </w:r>
          </w:p>
        </w:tc>
        <w:tc>
          <w:tcPr>
            <w:tcW w:w="5380" w:type="dxa"/>
            <w:noWrap w:val="0"/>
            <w:vAlign w:val="center"/>
          </w:tcPr>
          <w:p w14:paraId="6D248B99">
            <w:pPr>
              <w:pStyle w:val="9"/>
              <w:framePr w:wrap="auto" w:vAnchor="margin" w:hAnchor="text" w:yAlign="inline"/>
              <w:jc w:val="center"/>
              <w:rPr>
                <w:rFonts w:ascii="宋体" w:hAnsi="宋体" w:eastAsia="宋体" w:cs="宋体"/>
                <w:color w:val="auto"/>
                <w:kern w:val="2"/>
                <w:sz w:val="21"/>
                <w:szCs w:val="21"/>
                <w:lang w:val="en-US" w:eastAsia="zh-CN"/>
              </w:rPr>
            </w:pPr>
            <w:r>
              <w:rPr>
                <w:rFonts w:ascii="宋体" w:hAnsi="宋体" w:eastAsia="宋体" w:cs="宋体"/>
                <w:color w:val="auto"/>
                <w:kern w:val="2"/>
                <w:sz w:val="21"/>
                <w:szCs w:val="21"/>
                <w:lang w:val="en-US" w:eastAsia="zh-CN"/>
              </w:rPr>
              <w:t>与公共文化和旅游行业相关的其他外延领域</w:t>
            </w:r>
          </w:p>
        </w:tc>
      </w:tr>
    </w:tbl>
    <w:p w14:paraId="43FFBAD6">
      <w:pPr>
        <w:pStyle w:val="9"/>
        <w:framePr w:wrap="auto" w:vAnchor="margin" w:hAnchor="text" w:yAlign="inline"/>
        <w:spacing w:line="360" w:lineRule="auto"/>
        <w:ind w:firstLine="420" w:firstLineChars="200"/>
        <w:jc w:val="both"/>
        <w:rPr>
          <w:rFonts w:ascii="宋体" w:hAnsi="宋体" w:eastAsia="宋体" w:cs="宋体"/>
          <w:color w:val="auto"/>
          <w:sz w:val="21"/>
          <w:szCs w:val="21"/>
          <w:lang w:val="en-US" w:eastAsia="zh-CN"/>
        </w:rPr>
      </w:pPr>
      <w:r>
        <w:rPr>
          <w:rFonts w:ascii="宋体" w:hAnsi="宋体" w:eastAsia="宋体" w:cs="宋体"/>
          <w:color w:val="auto"/>
          <w:sz w:val="21"/>
          <w:szCs w:val="21"/>
          <w:lang w:val="en-US" w:eastAsia="zh-CN"/>
        </w:rPr>
        <w:t>②机构信息</w:t>
      </w:r>
    </w:p>
    <w:p w14:paraId="562C63E2">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供应方：机构基本信息，包括机构名称、地址、机构标识、联系人和联系方式等，业务简介等；参展信息，包括线上展区、服务对象、展示方案等。</w:t>
      </w:r>
    </w:p>
    <w:p w14:paraId="77A82E1C">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需求方：机构基本信息，包括机构名称、地址、机构标识、联系人和联系方式等，业务简介等；参展信息，包括采购意向、机构展示视频等。</w:t>
      </w:r>
    </w:p>
    <w:p w14:paraId="6BF866BF">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③产品信息</w:t>
      </w:r>
    </w:p>
    <w:p w14:paraId="228F5468">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产品基本信息，包括产品或服务名称、展示图片、宣传视频、文字介绍等；销售信息包括联系方式、报价、支付方式等。</w:t>
      </w:r>
    </w:p>
    <w:p w14:paraId="43AD3789">
      <w:pPr>
        <w:pStyle w:val="4"/>
        <w:spacing w:after="0" w:line="360" w:lineRule="auto"/>
        <w:ind w:left="0" w:leftChars="0" w:firstLine="422"/>
        <w:rPr>
          <w:rFonts w:hint="eastAsia" w:ascii="宋体" w:hAnsi="宋体" w:eastAsia="宋体" w:cs="宋体"/>
          <w:b/>
          <w:bCs/>
          <w:kern w:val="0"/>
          <w:szCs w:val="21"/>
        </w:rPr>
      </w:pPr>
      <w:r>
        <w:rPr>
          <w:rFonts w:hint="eastAsia" w:ascii="宋体" w:hAnsi="宋体" w:eastAsia="宋体" w:cs="宋体"/>
          <w:b/>
          <w:bCs/>
          <w:kern w:val="0"/>
          <w:szCs w:val="21"/>
        </w:rPr>
        <w:t>（2）举办区域性及地方性文采会</w:t>
      </w:r>
    </w:p>
    <w:p w14:paraId="76B85B5D">
      <w:pPr>
        <w:pStyle w:val="4"/>
        <w:spacing w:after="0" w:line="360" w:lineRule="auto"/>
        <w:ind w:left="0" w:leftChars="0"/>
        <w:rPr>
          <w:rFonts w:hint="eastAsia" w:ascii="宋体" w:hAnsi="宋体" w:eastAsia="宋体" w:cs="宋体"/>
          <w:kern w:val="0"/>
          <w:szCs w:val="21"/>
        </w:rPr>
      </w:pPr>
      <w:r>
        <w:rPr>
          <w:rFonts w:hint="eastAsia" w:ascii="宋体" w:hAnsi="宋体" w:eastAsia="宋体" w:cs="宋体"/>
          <w:kern w:val="0"/>
          <w:szCs w:val="21"/>
        </w:rPr>
        <w:t>支持举办线上线下相结合的区域性及地方性文采会，参加全国性文采会展览展示和“云上文采会”，注册参会、发布产品和服务信息、需求信息、登记采购意向，开展文采会相关专题研究等，并</w:t>
      </w:r>
      <w:r>
        <w:rPr>
          <w:rFonts w:hint="eastAsia" w:ascii="宋体" w:hAnsi="宋体" w:eastAsia="宋体" w:cs="宋体"/>
          <w:szCs w:val="21"/>
        </w:rPr>
        <w:t>同步组织走播带看、好物推介、图片直播等线上活动。</w:t>
      </w:r>
    </w:p>
    <w:p w14:paraId="3E5299A7">
      <w:pPr>
        <w:widowControl/>
        <w:spacing w:line="360" w:lineRule="auto"/>
        <w:ind w:firstLine="422" w:firstLineChars="200"/>
        <w:jc w:val="left"/>
        <w:rPr>
          <w:rFonts w:hint="eastAsia" w:ascii="宋体" w:hAnsi="宋体" w:eastAsia="宋体" w:cs="宋体"/>
          <w:kern w:val="0"/>
          <w:szCs w:val="21"/>
        </w:rPr>
      </w:pPr>
      <w:r>
        <w:rPr>
          <w:rFonts w:hint="eastAsia" w:ascii="宋体" w:hAnsi="宋体" w:eastAsia="宋体" w:cs="宋体"/>
          <w:b/>
          <w:bCs/>
          <w:kern w:val="0"/>
          <w:szCs w:val="21"/>
        </w:rPr>
        <w:t>（3）日常维护“赶大集”专区</w:t>
      </w:r>
    </w:p>
    <w:p w14:paraId="75D166FE">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szCs w:val="21"/>
        </w:rPr>
        <w:t>建设与运营安徽公共文化云“赶大集”专区</w:t>
      </w:r>
      <w:r>
        <w:rPr>
          <w:rFonts w:hint="eastAsia" w:ascii="宋体" w:hAnsi="宋体" w:eastAsia="宋体" w:cs="宋体"/>
          <w:kern w:val="0"/>
          <w:szCs w:val="21"/>
        </w:rPr>
        <w:t>，对发布信息进行动态更新。在文采会举办期间，推出举办供应方机构及产品路演活动，拍摄制作对有关活动、供需机构以及产品服务的宣传视频、产品推荐海报等。</w:t>
      </w:r>
    </w:p>
    <w:p w14:paraId="3F098513">
      <w:pPr>
        <w:widowControl/>
        <w:spacing w:line="360" w:lineRule="auto"/>
        <w:ind w:firstLine="422" w:firstLineChars="200"/>
        <w:jc w:val="left"/>
        <w:rPr>
          <w:rFonts w:hint="eastAsia" w:ascii="宋体" w:hAnsi="宋体" w:eastAsia="宋体" w:cs="宋体"/>
          <w:b/>
          <w:bCs/>
          <w:kern w:val="0"/>
          <w:szCs w:val="21"/>
        </w:rPr>
      </w:pPr>
      <w:r>
        <w:rPr>
          <w:rFonts w:hint="eastAsia" w:ascii="宋体" w:hAnsi="宋体" w:eastAsia="宋体" w:cs="宋体"/>
          <w:b/>
          <w:bCs/>
          <w:kern w:val="0"/>
          <w:szCs w:val="21"/>
        </w:rPr>
        <w:t>3.成果提交</w:t>
      </w:r>
    </w:p>
    <w:p w14:paraId="319C9D6E">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按照发展中心</w:t>
      </w:r>
      <w:r>
        <w:rPr>
          <w:rFonts w:hint="eastAsia" w:ascii="宋体" w:hAnsi="宋体" w:eastAsia="宋体" w:cs="宋体"/>
          <w:szCs w:val="21"/>
        </w:rPr>
        <w:t>要求，通过国家公共文化云“汇文采”板块完成数据录入和日常维护。将开展专题研究和人员培训情况及时同步提交到公共文化云项目跟踪管理系统。</w:t>
      </w:r>
    </w:p>
    <w:p w14:paraId="72E8EBD9">
      <w:pPr>
        <w:widowControl/>
        <w:spacing w:line="360" w:lineRule="auto"/>
        <w:ind w:firstLine="422" w:firstLineChars="200"/>
        <w:jc w:val="left"/>
        <w:rPr>
          <w:rFonts w:hint="eastAsia" w:ascii="宋体" w:hAnsi="宋体" w:eastAsia="宋体" w:cs="宋体"/>
          <w:b/>
          <w:bCs/>
          <w:szCs w:val="21"/>
          <w:lang w:val="zh-TW" w:eastAsia="zh-TW"/>
        </w:rPr>
      </w:pPr>
      <w:r>
        <w:rPr>
          <w:rFonts w:hint="eastAsia" w:ascii="宋体" w:hAnsi="宋体" w:eastAsia="宋体" w:cs="宋体"/>
          <w:b/>
          <w:bCs/>
          <w:szCs w:val="21"/>
        </w:rPr>
        <w:t>（二）文创店铺与产品</w:t>
      </w:r>
    </w:p>
    <w:p w14:paraId="06E74834">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开展我省赶大集专区建设与运营，重点推介文创产品，促进艺术普及文创消费。</w:t>
      </w:r>
    </w:p>
    <w:p w14:paraId="76C94F5A">
      <w:pPr>
        <w:widowControl/>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1.支持范围</w:t>
      </w:r>
    </w:p>
    <w:p w14:paraId="17D4318B">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支持不少于10个资源突出、条件成熟的文化馆或文化机构在国家公共文化云、安徽公共文化云“赶大集”板块开设店铺并运营，上线不少于100个特色文创产品，做好平台入驻、艺术普及类文创产品开发、业务骨干培养培训等工作。</w:t>
      </w:r>
    </w:p>
    <w:p w14:paraId="148B646C">
      <w:pPr>
        <w:pStyle w:val="4"/>
        <w:spacing w:after="0" w:line="360" w:lineRule="auto"/>
        <w:ind w:left="0" w:leftChars="0" w:firstLine="42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2.建设标准</w:t>
      </w:r>
    </w:p>
    <w:p w14:paraId="6BE22E47">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支持各地在安徽公共文化云“赶大集”板块开设店铺，在店铺内加载各类文创产品。支持文化馆、各类文化机构及个人根据自身文化资源的特点，挖掘文创要素，开展艺术普及文创开发，主要包括依托数字资源和实体馆藏开发的文创产品；利用非物质文化遗产资源开发的文创产品；艺术普及培训的文创产品。在文创产品开发中，配合做好文创资源的确权工作，并根据“赶大集”相关工作需要，开展相关培训。</w:t>
      </w:r>
    </w:p>
    <w:p w14:paraId="0C15955F">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总计开设店铺不少于10个，加载文创产品不少于100种（已有产品或新开发产品均可），从业人员参与文创培训不少于50人/天。</w:t>
      </w:r>
    </w:p>
    <w:p w14:paraId="5BCD2125">
      <w:pPr>
        <w:widowControl/>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3.成果提交</w:t>
      </w:r>
    </w:p>
    <w:p w14:paraId="7F56F2E2">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开设店铺：在安徽公共文化云注册机构用户，提交资质认证文件，填报开设店铺相关字段，完成线上店铺开设，同步至国家公共文化云的安徽专区。</w:t>
      </w:r>
    </w:p>
    <w:p w14:paraId="3C2D5C00">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文创产品：填报文创产品相关字段，完成不少于100种产品加载。每种产品提交1份创意设计方案、1套产品图册及1份版权文件，同步至国家公共文化云的安徽专区。</w:t>
      </w:r>
    </w:p>
    <w:p w14:paraId="575D0AAC">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通过公共文化云项目跟踪管理系统或以网盘方式提交成果电子版，方案、版权文件等、培训证明材料须提交盖章扫描件。</w:t>
      </w:r>
    </w:p>
    <w:p w14:paraId="7B887BC0">
      <w:pPr>
        <w:spacing w:line="360" w:lineRule="auto"/>
        <w:ind w:firstLine="422" w:firstLineChars="200"/>
        <w:rPr>
          <w:rFonts w:hint="eastAsia" w:ascii="宋体" w:hAnsi="宋体" w:eastAsia="宋体" w:cs="宋体"/>
          <w:b/>
          <w:bCs/>
          <w:szCs w:val="21"/>
        </w:rPr>
      </w:pPr>
    </w:p>
    <w:p w14:paraId="40B66B95">
      <w:pPr>
        <w:spacing w:line="360" w:lineRule="auto"/>
        <w:rPr>
          <w:rFonts w:hint="eastAsia" w:ascii="宋体" w:hAnsi="宋体" w:eastAsia="宋体" w:cs="宋体"/>
          <w:b/>
          <w:szCs w:val="21"/>
        </w:rPr>
      </w:pPr>
      <w:r>
        <w:rPr>
          <w:rFonts w:hint="eastAsia" w:ascii="宋体" w:hAnsi="宋体" w:eastAsia="宋体" w:cs="宋体"/>
          <w:b/>
          <w:szCs w:val="21"/>
        </w:rPr>
        <w:t>四、报价要求</w:t>
      </w:r>
    </w:p>
    <w:p w14:paraId="7BCDCD6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bookmarkStart w:id="8" w:name="_GoBack"/>
      <w:r>
        <w:rPr>
          <w:rFonts w:hint="eastAsia" w:ascii="宋体" w:hAnsi="宋体" w:eastAsia="宋体" w:cs="宋体"/>
          <w:szCs w:val="21"/>
        </w:rPr>
        <w:t>本项目采用总价包干方式，报价包含但不限于项目管理、方案评审、项目建设、项目运营等完成本项目所需一切费用。采购人后期不再另行追加费用。</w:t>
      </w:r>
    </w:p>
    <w:bookmarkEnd w:i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E7714"/>
    <w:rsid w:val="7B1E7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0"/>
    <w:pPr>
      <w:ind w:firstLine="645"/>
    </w:pPr>
    <w:rPr>
      <w:sz w:val="32"/>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4">
    <w:name w:val="Body Text First Indent 2"/>
    <w:basedOn w:val="2"/>
    <w:qFormat/>
    <w:uiPriority w:val="99"/>
    <w:pPr>
      <w:spacing w:after="120"/>
      <w:ind w:left="420" w:leftChars="200" w:firstLine="420" w:firstLineChars="200"/>
    </w:pPr>
    <w:rPr>
      <w:rFonts w:cs="Times New Roman"/>
      <w:sz w:val="21"/>
    </w:rPr>
  </w:style>
  <w:style w:type="paragraph" w:customStyle="1" w:styleId="7">
    <w:name w:val="D&amp;L"/>
    <w:basedOn w:val="3"/>
    <w:qFormat/>
    <w:uiPriority w:val="0"/>
    <w:pPr>
      <w:pBdr>
        <w:bottom w:val="none" w:color="auto" w:sz="0" w:space="0"/>
      </w:pBdr>
      <w:adjustRightInd w:val="0"/>
      <w:spacing w:line="300" w:lineRule="auto"/>
    </w:pPr>
    <w:rPr>
      <w:rFonts w:ascii="宋体" w:hAnsi="宋体" w:eastAsia="宋体"/>
      <w:bCs/>
      <w:sz w:val="21"/>
      <w:szCs w:val="21"/>
    </w:rPr>
  </w:style>
  <w:style w:type="paragraph" w:customStyle="1" w:styleId="8">
    <w:name w:val="xl31"/>
    <w:basedOn w:val="1"/>
    <w:qFormat/>
    <w:uiPriority w:val="0"/>
    <w:pPr>
      <w:spacing w:line="360" w:lineRule="auto"/>
    </w:pPr>
    <w:rPr>
      <w:rFonts w:ascii="宋体" w:hAnsi="宋体" w:eastAsia="宋体"/>
      <w:bCs/>
      <w:kern w:val="0"/>
      <w:sz w:val="24"/>
      <w:szCs w:val="28"/>
    </w:rPr>
  </w:style>
  <w:style w:type="paragraph" w:customStyle="1" w:styleId="9">
    <w:name w:val="默认"/>
    <w:qFormat/>
    <w:uiPriority w:val="0"/>
    <w:pPr>
      <w:framePr w:wrap="around" w:vAnchor="margin" w:hAnchor="text" w:y="1"/>
    </w:pPr>
    <w:rPr>
      <w:rFonts w:hint="eastAsia" w:ascii="Arial Unicode MS" w:hAnsi="Arial Unicode MS" w:eastAsia="Helvetica"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2025-04-10T12:02:00Z</dcterms:created>
  <dc:creator>初审-李真</dc:creator>
  <cp:lastModifiedBy>初审-李真</cp:lastModifiedBy>
  <dcterms:modified xsi:type="dcterms:W3CDTF">2025-04-10T12:03:38Z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8588494A88B04C7C83BACB946164CED0_11</vt:lpwstr>
  </property>
  <property fmtid="{D5CDD505-2E9C-101B-9397-08002B2CF9AE}" pid="4" name="KSOTemplateDocerSaveRecord">
    <vt:lpwstr>eyJoZGlkIjoiNjQ4Y2ExNzI3NTAxYWY2Njk0NmNhOWFlOWQ3ZmYzYTQiLCJ1c2VySWQiOiIzMjQ4MTEwODkifQ==</vt:lpwstr>
  </property>
</Properties>
</file>