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12BDC">
      <w:pPr>
        <w:tabs>
          <w:tab w:val="left" w:pos="315"/>
          <w:tab w:val="left" w:pos="8820"/>
        </w:tabs>
        <w:spacing w:before="240" w:beforeLines="100" w:after="120" w:afterLines="50" w:line="500" w:lineRule="exact"/>
        <w:ind w:right="254" w:rightChars="127"/>
        <w:jc w:val="center"/>
        <w:rPr>
          <w:rFonts w:hint="eastAsia" w:eastAsia="宋体"/>
          <w:b/>
          <w:bCs/>
          <w:sz w:val="52"/>
          <w:szCs w:val="52"/>
          <w:highlight w:val="none"/>
          <w:vertAlign w:val="superscript"/>
          <w:lang w:val="en-US" w:eastAsia="zh-CN"/>
        </w:rPr>
      </w:pPr>
      <w:r>
        <w:rPr>
          <w:rFonts w:hint="eastAsia"/>
          <w:b/>
          <w:bCs/>
          <w:sz w:val="52"/>
          <w:szCs w:val="52"/>
          <w:highlight w:val="none"/>
          <w:vertAlign w:val="superscript"/>
          <w:lang w:val="en-US" w:eastAsia="zh-CN"/>
        </w:rPr>
        <w:tab/>
      </w:r>
    </w:p>
    <w:p w14:paraId="7A4C2C56">
      <w:pPr>
        <w:tabs>
          <w:tab w:val="left" w:pos="315"/>
          <w:tab w:val="left" w:pos="8820"/>
        </w:tabs>
        <w:spacing w:before="240" w:beforeLines="100" w:after="120" w:afterLines="50" w:line="500" w:lineRule="exact"/>
        <w:ind w:right="254" w:rightChars="127"/>
        <w:jc w:val="center"/>
        <w:rPr>
          <w:b/>
          <w:bCs/>
          <w:sz w:val="52"/>
          <w:szCs w:val="52"/>
          <w:highlight w:val="none"/>
        </w:rPr>
      </w:pPr>
    </w:p>
    <w:p w14:paraId="34781B26">
      <w:pPr>
        <w:tabs>
          <w:tab w:val="left" w:pos="315"/>
          <w:tab w:val="left" w:pos="8820"/>
        </w:tabs>
        <w:spacing w:before="240" w:beforeLines="100" w:after="120" w:afterLines="50" w:line="500" w:lineRule="exact"/>
        <w:ind w:right="254" w:rightChars="127"/>
        <w:jc w:val="center"/>
        <w:rPr>
          <w:b/>
          <w:bCs/>
          <w:sz w:val="52"/>
          <w:szCs w:val="52"/>
          <w:highlight w:val="none"/>
        </w:rPr>
      </w:pPr>
      <w:bookmarkStart w:id="0" w:name="_Hlk9544796"/>
      <w:r>
        <w:rPr>
          <w:rFonts w:hint="eastAsia"/>
          <w:b/>
          <w:bCs/>
          <w:sz w:val="52"/>
          <w:szCs w:val="52"/>
          <w:highlight w:val="none"/>
        </w:rPr>
        <w:t>安徽省政府采购项目</w:t>
      </w:r>
    </w:p>
    <w:p w14:paraId="1EC47F2A">
      <w:pPr>
        <w:tabs>
          <w:tab w:val="left" w:pos="315"/>
          <w:tab w:val="left" w:pos="8820"/>
        </w:tabs>
        <w:spacing w:before="240" w:beforeLines="100" w:after="120" w:afterLines="50" w:line="500" w:lineRule="exact"/>
        <w:ind w:right="254" w:rightChars="127"/>
        <w:jc w:val="center"/>
        <w:rPr>
          <w:b/>
          <w:bCs/>
          <w:sz w:val="52"/>
          <w:szCs w:val="52"/>
          <w:highlight w:val="none"/>
        </w:rPr>
      </w:pPr>
      <w:r>
        <w:rPr>
          <w:rFonts w:hint="eastAsia"/>
          <w:b/>
          <w:bCs/>
          <w:sz w:val="52"/>
          <w:szCs w:val="52"/>
          <w:highlight w:val="none"/>
        </w:rPr>
        <w:t>竞争性磋商文件示范文本（工程类）</w:t>
      </w:r>
    </w:p>
    <w:p w14:paraId="0BBDFA08">
      <w:pPr>
        <w:tabs>
          <w:tab w:val="left" w:pos="315"/>
          <w:tab w:val="left" w:pos="8820"/>
        </w:tabs>
        <w:spacing w:before="240" w:beforeLines="100" w:after="120" w:afterLines="50" w:line="500" w:lineRule="exact"/>
        <w:ind w:right="254" w:rightChars="127"/>
        <w:jc w:val="center"/>
        <w:rPr>
          <w:b/>
          <w:bCs/>
          <w:sz w:val="52"/>
          <w:szCs w:val="52"/>
          <w:highlight w:val="none"/>
        </w:rPr>
      </w:pPr>
      <w:r>
        <w:rPr>
          <w:rFonts w:hint="eastAsia"/>
          <w:b/>
          <w:bCs/>
          <w:sz w:val="52"/>
          <w:szCs w:val="52"/>
          <w:highlight w:val="none"/>
        </w:rPr>
        <w:t>（2026版本）</w:t>
      </w:r>
    </w:p>
    <w:bookmarkEnd w:id="0"/>
    <w:p w14:paraId="16373393">
      <w:pPr>
        <w:tabs>
          <w:tab w:val="left" w:pos="315"/>
          <w:tab w:val="left" w:pos="8820"/>
        </w:tabs>
        <w:spacing w:before="240" w:beforeLines="100" w:after="120" w:afterLines="50" w:line="500" w:lineRule="exact"/>
        <w:ind w:right="254" w:rightChars="127"/>
        <w:jc w:val="center"/>
        <w:rPr>
          <w:bCs/>
          <w:sz w:val="44"/>
          <w:szCs w:val="44"/>
          <w:highlight w:val="none"/>
        </w:rPr>
      </w:pPr>
    </w:p>
    <w:p w14:paraId="25BEE4F4">
      <w:pPr>
        <w:tabs>
          <w:tab w:val="left" w:pos="315"/>
          <w:tab w:val="left" w:pos="8820"/>
        </w:tabs>
        <w:spacing w:before="240" w:beforeLines="100" w:after="120" w:afterLines="50" w:line="500" w:lineRule="exact"/>
        <w:ind w:right="254" w:rightChars="127"/>
        <w:jc w:val="center"/>
        <w:rPr>
          <w:b/>
          <w:bCs/>
          <w:sz w:val="44"/>
          <w:szCs w:val="44"/>
          <w:highlight w:val="none"/>
        </w:rPr>
      </w:pPr>
    </w:p>
    <w:p w14:paraId="3409F517">
      <w:pPr>
        <w:tabs>
          <w:tab w:val="left" w:pos="315"/>
          <w:tab w:val="left" w:pos="8820"/>
        </w:tabs>
        <w:spacing w:before="240" w:beforeLines="100" w:after="120" w:afterLines="50" w:line="500" w:lineRule="exact"/>
        <w:ind w:right="254" w:rightChars="127"/>
        <w:jc w:val="center"/>
        <w:rPr>
          <w:b/>
          <w:bCs/>
          <w:sz w:val="44"/>
          <w:szCs w:val="44"/>
          <w:highlight w:val="none"/>
        </w:rPr>
      </w:pPr>
    </w:p>
    <w:p w14:paraId="2C0BBEB0">
      <w:pPr>
        <w:tabs>
          <w:tab w:val="left" w:pos="315"/>
          <w:tab w:val="left" w:pos="8820"/>
        </w:tabs>
        <w:spacing w:before="240" w:beforeLines="100" w:after="120" w:afterLines="50" w:line="500" w:lineRule="exact"/>
        <w:ind w:right="254" w:rightChars="127"/>
        <w:jc w:val="center"/>
        <w:rPr>
          <w:b/>
          <w:bCs/>
          <w:sz w:val="44"/>
          <w:szCs w:val="44"/>
          <w:highlight w:val="none"/>
        </w:rPr>
      </w:pPr>
    </w:p>
    <w:p w14:paraId="25DB6F9B">
      <w:pPr>
        <w:tabs>
          <w:tab w:val="left" w:pos="315"/>
          <w:tab w:val="left" w:pos="8820"/>
        </w:tabs>
        <w:spacing w:before="240" w:beforeLines="100" w:after="120" w:afterLines="50" w:line="500" w:lineRule="exact"/>
        <w:ind w:right="254" w:rightChars="127"/>
        <w:jc w:val="center"/>
        <w:rPr>
          <w:b/>
          <w:bCs/>
          <w:sz w:val="44"/>
          <w:szCs w:val="44"/>
          <w:highlight w:val="none"/>
        </w:rPr>
      </w:pPr>
    </w:p>
    <w:p w14:paraId="4707B9D2">
      <w:pPr>
        <w:tabs>
          <w:tab w:val="left" w:pos="315"/>
          <w:tab w:val="left" w:pos="8820"/>
        </w:tabs>
        <w:spacing w:before="240" w:beforeLines="100" w:after="120" w:afterLines="50" w:line="500" w:lineRule="exact"/>
        <w:ind w:right="254" w:rightChars="127"/>
        <w:jc w:val="center"/>
        <w:rPr>
          <w:b/>
          <w:bCs/>
          <w:sz w:val="44"/>
          <w:szCs w:val="44"/>
          <w:highlight w:val="none"/>
        </w:rPr>
      </w:pPr>
    </w:p>
    <w:p w14:paraId="3FF16CC0">
      <w:pPr>
        <w:tabs>
          <w:tab w:val="left" w:pos="2410"/>
        </w:tabs>
        <w:autoSpaceDE w:val="0"/>
        <w:autoSpaceDN w:val="0"/>
        <w:adjustRightInd w:val="0"/>
        <w:snapToGrid w:val="0"/>
        <w:spacing w:line="360" w:lineRule="auto"/>
        <w:rPr>
          <w:rFonts w:hint="eastAsia" w:eastAsia="宋体"/>
          <w:b/>
          <w:spacing w:val="20"/>
          <w:sz w:val="32"/>
          <w:szCs w:val="32"/>
          <w:highlight w:val="none"/>
          <w:lang w:eastAsia="zh-CN"/>
        </w:rPr>
      </w:pPr>
      <w:r>
        <w:rPr>
          <w:rFonts w:hint="eastAsia"/>
          <w:b/>
          <w:spacing w:val="20"/>
          <w:sz w:val="32"/>
          <w:szCs w:val="32"/>
          <w:highlight w:val="none"/>
        </w:rPr>
        <w:t>项目名称：</w:t>
      </w:r>
      <w:r>
        <w:rPr>
          <w:rFonts w:hint="eastAsia"/>
          <w:b/>
          <w:spacing w:val="20"/>
          <w:sz w:val="32"/>
          <w:szCs w:val="32"/>
          <w:highlight w:val="none"/>
          <w:u w:val="single"/>
          <w:lang w:eastAsia="zh-CN"/>
        </w:rPr>
        <w:t>安徽职业技术大学2026年公共区域卫生间维修项目（二次）</w:t>
      </w:r>
    </w:p>
    <w:p w14:paraId="0B15F9DC">
      <w:pPr>
        <w:tabs>
          <w:tab w:val="left" w:pos="2410"/>
        </w:tabs>
        <w:autoSpaceDE w:val="0"/>
        <w:autoSpaceDN w:val="0"/>
        <w:adjustRightInd w:val="0"/>
        <w:snapToGrid w:val="0"/>
        <w:spacing w:line="360" w:lineRule="auto"/>
        <w:rPr>
          <w:rFonts w:hint="eastAsia" w:eastAsia="宋体"/>
          <w:b/>
          <w:spacing w:val="20"/>
          <w:sz w:val="32"/>
          <w:szCs w:val="32"/>
          <w:highlight w:val="none"/>
          <w:lang w:eastAsia="zh-CN"/>
        </w:rPr>
      </w:pPr>
      <w:r>
        <w:rPr>
          <w:rFonts w:hint="eastAsia"/>
          <w:b/>
          <w:spacing w:val="20"/>
          <w:sz w:val="32"/>
          <w:szCs w:val="32"/>
          <w:highlight w:val="none"/>
        </w:rPr>
        <w:t>项目编号：</w:t>
      </w:r>
      <w:r>
        <w:rPr>
          <w:rFonts w:hint="eastAsia"/>
          <w:b/>
          <w:spacing w:val="20"/>
          <w:sz w:val="32"/>
          <w:szCs w:val="32"/>
          <w:highlight w:val="none"/>
          <w:u w:val="single"/>
          <w:lang w:eastAsia="zh-CN"/>
        </w:rPr>
        <w:t>ZF2026-08-0618</w:t>
      </w:r>
    </w:p>
    <w:p w14:paraId="41B1BFE2">
      <w:pPr>
        <w:tabs>
          <w:tab w:val="left" w:pos="2410"/>
        </w:tabs>
        <w:autoSpaceDE w:val="0"/>
        <w:autoSpaceDN w:val="0"/>
        <w:adjustRightInd w:val="0"/>
        <w:snapToGrid w:val="0"/>
        <w:spacing w:line="360" w:lineRule="auto"/>
        <w:rPr>
          <w:b/>
          <w:spacing w:val="20"/>
          <w:sz w:val="32"/>
          <w:szCs w:val="32"/>
          <w:highlight w:val="none"/>
        </w:rPr>
      </w:pPr>
      <w:r>
        <w:rPr>
          <w:rFonts w:hint="eastAsia"/>
          <w:b/>
          <w:spacing w:val="20"/>
          <w:sz w:val="32"/>
          <w:szCs w:val="32"/>
          <w:highlight w:val="none"/>
        </w:rPr>
        <w:t>采 购 人：</w:t>
      </w:r>
      <w:r>
        <w:rPr>
          <w:rFonts w:hint="eastAsia"/>
          <w:b/>
          <w:spacing w:val="20"/>
          <w:sz w:val="32"/>
          <w:szCs w:val="32"/>
          <w:highlight w:val="none"/>
          <w:u w:val="single"/>
        </w:rPr>
        <w:t>安徽职业技术大学</w:t>
      </w:r>
    </w:p>
    <w:p w14:paraId="07066D73">
      <w:pPr>
        <w:tabs>
          <w:tab w:val="left" w:pos="2410"/>
        </w:tabs>
        <w:autoSpaceDE w:val="0"/>
        <w:autoSpaceDN w:val="0"/>
        <w:adjustRightInd w:val="0"/>
        <w:snapToGrid w:val="0"/>
        <w:spacing w:line="360" w:lineRule="auto"/>
        <w:rPr>
          <w:b/>
          <w:spacing w:val="20"/>
          <w:sz w:val="32"/>
          <w:szCs w:val="32"/>
          <w:highlight w:val="none"/>
        </w:rPr>
      </w:pPr>
      <w:r>
        <w:rPr>
          <w:rFonts w:hint="eastAsia"/>
          <w:b/>
          <w:spacing w:val="20"/>
          <w:sz w:val="32"/>
          <w:szCs w:val="32"/>
          <w:highlight w:val="none"/>
        </w:rPr>
        <w:t>采购代理机构：</w:t>
      </w:r>
      <w:r>
        <w:rPr>
          <w:rFonts w:hint="eastAsia"/>
          <w:b/>
          <w:spacing w:val="20"/>
          <w:sz w:val="32"/>
          <w:szCs w:val="32"/>
          <w:highlight w:val="none"/>
          <w:u w:val="single"/>
        </w:rPr>
        <w:t>安徽省招标集团股份有限公司</w:t>
      </w:r>
    </w:p>
    <w:p w14:paraId="3DF94C27">
      <w:pPr>
        <w:tabs>
          <w:tab w:val="left" w:pos="315"/>
          <w:tab w:val="left" w:pos="8820"/>
        </w:tabs>
        <w:spacing w:before="240" w:beforeLines="100" w:after="120" w:afterLines="50" w:line="500" w:lineRule="exact"/>
        <w:ind w:right="254" w:rightChars="127"/>
        <w:jc w:val="center"/>
        <w:rPr>
          <w:b/>
          <w:bCs/>
          <w:sz w:val="44"/>
          <w:szCs w:val="44"/>
          <w:highlight w:val="none"/>
        </w:rPr>
      </w:pPr>
    </w:p>
    <w:p w14:paraId="25C98B44">
      <w:pPr>
        <w:tabs>
          <w:tab w:val="left" w:pos="2410"/>
        </w:tabs>
        <w:autoSpaceDE w:val="0"/>
        <w:autoSpaceDN w:val="0"/>
        <w:adjustRightInd w:val="0"/>
        <w:snapToGrid w:val="0"/>
        <w:spacing w:line="360" w:lineRule="auto"/>
        <w:jc w:val="center"/>
        <w:rPr>
          <w:b/>
          <w:sz w:val="36"/>
          <w:highlight w:val="none"/>
        </w:rPr>
      </w:pPr>
    </w:p>
    <w:p w14:paraId="63934739">
      <w:pPr>
        <w:tabs>
          <w:tab w:val="left" w:pos="2410"/>
        </w:tabs>
        <w:autoSpaceDE w:val="0"/>
        <w:autoSpaceDN w:val="0"/>
        <w:adjustRightInd w:val="0"/>
        <w:snapToGrid w:val="0"/>
        <w:spacing w:line="360" w:lineRule="auto"/>
        <w:jc w:val="center"/>
        <w:rPr>
          <w:b/>
          <w:sz w:val="36"/>
          <w:highlight w:val="none"/>
        </w:rPr>
      </w:pPr>
      <w:r>
        <w:rPr>
          <w:rFonts w:hint="eastAsia"/>
          <w:b/>
          <w:sz w:val="36"/>
          <w:highlight w:val="none"/>
          <w:u w:val="single"/>
        </w:rPr>
        <w:t>2026</w:t>
      </w:r>
      <w:r>
        <w:rPr>
          <w:rFonts w:hint="eastAsia"/>
          <w:b/>
          <w:sz w:val="36"/>
          <w:highlight w:val="none"/>
        </w:rPr>
        <w:t>年</w:t>
      </w:r>
      <w:r>
        <w:rPr>
          <w:rFonts w:hint="eastAsia"/>
          <w:b/>
          <w:sz w:val="36"/>
          <w:highlight w:val="none"/>
          <w:u w:val="single"/>
          <w:lang w:val="en-US" w:eastAsia="zh-CN"/>
        </w:rPr>
        <w:t>6</w:t>
      </w:r>
      <w:r>
        <w:rPr>
          <w:rFonts w:hint="eastAsia"/>
          <w:b/>
          <w:sz w:val="36"/>
          <w:highlight w:val="none"/>
        </w:rPr>
        <w:t>月</w:t>
      </w:r>
      <w:r>
        <w:rPr>
          <w:b/>
          <w:sz w:val="36"/>
          <w:highlight w:val="none"/>
        </w:rPr>
        <w:br w:type="page"/>
      </w:r>
    </w:p>
    <w:p w14:paraId="26DA3FEA">
      <w:pPr>
        <w:tabs>
          <w:tab w:val="left" w:pos="2410"/>
        </w:tabs>
        <w:autoSpaceDE w:val="0"/>
        <w:autoSpaceDN w:val="0"/>
        <w:adjustRightInd w:val="0"/>
        <w:snapToGrid w:val="0"/>
        <w:spacing w:line="360" w:lineRule="auto"/>
        <w:jc w:val="center"/>
        <w:rPr>
          <w:b/>
          <w:sz w:val="28"/>
          <w:highlight w:val="none"/>
        </w:rPr>
      </w:pPr>
      <w:r>
        <w:rPr>
          <w:rFonts w:hint="eastAsia"/>
          <w:b/>
          <w:sz w:val="28"/>
          <w:highlight w:val="none"/>
        </w:rPr>
        <w:t>目  录</w:t>
      </w:r>
    </w:p>
    <w:p w14:paraId="51FC2901">
      <w:pPr>
        <w:tabs>
          <w:tab w:val="left" w:pos="2410"/>
        </w:tabs>
        <w:autoSpaceDE w:val="0"/>
        <w:autoSpaceDN w:val="0"/>
        <w:adjustRightInd w:val="0"/>
        <w:snapToGrid w:val="0"/>
        <w:spacing w:line="360" w:lineRule="auto"/>
        <w:jc w:val="center"/>
        <w:rPr>
          <w:b/>
          <w:sz w:val="28"/>
          <w:highlight w:val="none"/>
        </w:rPr>
      </w:pPr>
    </w:p>
    <w:p w14:paraId="0B13B8D6">
      <w:pPr>
        <w:pStyle w:val="34"/>
        <w:tabs>
          <w:tab w:val="right" w:leader="dot" w:pos="8279"/>
        </w:tabs>
        <w:rPr>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"_Toc11403" </w:instrText>
      </w:r>
      <w:r>
        <w:rPr>
          <w:highlight w:val="none"/>
        </w:rPr>
        <w:fldChar w:fldCharType="separate"/>
      </w:r>
      <w:r>
        <w:rPr>
          <w:rFonts w:hint="eastAsia" w:asciiTheme="minorEastAsia" w:hAnsiTheme="minorEastAsia"/>
          <w:highlight w:val="none"/>
        </w:rPr>
        <w:t xml:space="preserve">第一章 </w:t>
      </w:r>
      <w:r>
        <w:rPr>
          <w:rFonts w:asciiTheme="minorEastAsia" w:hAnsiTheme="minorEastAsia"/>
          <w:highlight w:val="none"/>
        </w:rPr>
        <w:t xml:space="preserve"> </w:t>
      </w:r>
      <w:r>
        <w:rPr>
          <w:rFonts w:hint="eastAsia" w:asciiTheme="minorEastAsia" w:hAnsiTheme="minorEastAsia"/>
          <w:highlight w:val="none"/>
        </w:rPr>
        <w:t>磋商邀请</w:t>
      </w:r>
      <w:r>
        <w:rPr>
          <w:highlight w:val="none"/>
        </w:rPr>
        <w:tab/>
      </w:r>
      <w:r>
        <w:rPr>
          <w:highlight w:val="none"/>
        </w:rPr>
        <w:fldChar w:fldCharType="begin"/>
      </w:r>
      <w:r>
        <w:rPr>
          <w:highlight w:val="none"/>
        </w:rPr>
        <w:instrText xml:space="preserve"> PAGEREF _Toc11403 \h </w:instrText>
      </w:r>
      <w:r>
        <w:rPr>
          <w:highlight w:val="none"/>
        </w:rPr>
        <w:fldChar w:fldCharType="separate"/>
      </w:r>
      <w:r>
        <w:rPr>
          <w:highlight w:val="none"/>
        </w:rPr>
        <w:t>1</w:t>
      </w:r>
      <w:r>
        <w:rPr>
          <w:highlight w:val="none"/>
        </w:rPr>
        <w:fldChar w:fldCharType="end"/>
      </w:r>
      <w:r>
        <w:rPr>
          <w:highlight w:val="none"/>
        </w:rPr>
        <w:fldChar w:fldCharType="end"/>
      </w:r>
    </w:p>
    <w:p w14:paraId="618E599E">
      <w:pPr>
        <w:pStyle w:val="34"/>
        <w:tabs>
          <w:tab w:val="right" w:leader="dot" w:pos="8279"/>
        </w:tabs>
        <w:rPr>
          <w:highlight w:val="none"/>
        </w:rPr>
      </w:pPr>
      <w:r>
        <w:rPr>
          <w:highlight w:val="none"/>
        </w:rPr>
        <w:fldChar w:fldCharType="begin"/>
      </w:r>
      <w:r>
        <w:rPr>
          <w:highlight w:val="none"/>
        </w:rPr>
        <w:instrText xml:space="preserve"> HYPERLINK \l "_Toc28080" </w:instrText>
      </w:r>
      <w:r>
        <w:rPr>
          <w:highlight w:val="none"/>
        </w:rPr>
        <w:fldChar w:fldCharType="separate"/>
      </w:r>
      <w:r>
        <w:rPr>
          <w:rFonts w:hint="eastAsia" w:asciiTheme="minorEastAsia" w:hAnsiTheme="minorEastAsia"/>
          <w:highlight w:val="none"/>
        </w:rPr>
        <w:t>第二章</w:t>
      </w:r>
      <w:r>
        <w:rPr>
          <w:rFonts w:asciiTheme="minorEastAsia" w:hAnsiTheme="minorEastAsia"/>
          <w:highlight w:val="none"/>
        </w:rPr>
        <w:t xml:space="preserve"> </w:t>
      </w:r>
      <w:r>
        <w:rPr>
          <w:rFonts w:hint="eastAsia" w:asciiTheme="minorEastAsia" w:hAnsiTheme="minorEastAsia"/>
          <w:highlight w:val="none"/>
        </w:rPr>
        <w:t xml:space="preserve"> 供应商</w:t>
      </w:r>
      <w:r>
        <w:rPr>
          <w:rFonts w:asciiTheme="minorEastAsia" w:hAnsiTheme="minorEastAsia"/>
          <w:highlight w:val="none"/>
        </w:rPr>
        <w:t>须知</w:t>
      </w:r>
      <w:r>
        <w:rPr>
          <w:highlight w:val="none"/>
        </w:rPr>
        <w:tab/>
      </w:r>
      <w:r>
        <w:rPr>
          <w:highlight w:val="none"/>
        </w:rPr>
        <w:fldChar w:fldCharType="begin"/>
      </w:r>
      <w:r>
        <w:rPr>
          <w:highlight w:val="none"/>
        </w:rPr>
        <w:instrText xml:space="preserve"> PAGEREF _Toc28080 \h </w:instrText>
      </w:r>
      <w:r>
        <w:rPr>
          <w:highlight w:val="none"/>
        </w:rPr>
        <w:fldChar w:fldCharType="separate"/>
      </w:r>
      <w:r>
        <w:rPr>
          <w:highlight w:val="none"/>
        </w:rPr>
        <w:t>5</w:t>
      </w:r>
      <w:r>
        <w:rPr>
          <w:highlight w:val="none"/>
        </w:rPr>
        <w:fldChar w:fldCharType="end"/>
      </w:r>
      <w:r>
        <w:rPr>
          <w:highlight w:val="none"/>
        </w:rPr>
        <w:fldChar w:fldCharType="end"/>
      </w:r>
    </w:p>
    <w:p w14:paraId="1935DF00">
      <w:pPr>
        <w:pStyle w:val="34"/>
        <w:tabs>
          <w:tab w:val="right" w:leader="dot" w:pos="8279"/>
        </w:tabs>
        <w:rPr>
          <w:highlight w:val="none"/>
        </w:rPr>
      </w:pPr>
      <w:r>
        <w:rPr>
          <w:highlight w:val="none"/>
        </w:rPr>
        <w:fldChar w:fldCharType="begin"/>
      </w:r>
      <w:r>
        <w:rPr>
          <w:highlight w:val="none"/>
        </w:rPr>
        <w:instrText xml:space="preserve"> HYPERLINK \l "_Toc30873" </w:instrText>
      </w:r>
      <w:r>
        <w:rPr>
          <w:highlight w:val="none"/>
        </w:rPr>
        <w:fldChar w:fldCharType="separate"/>
      </w:r>
      <w:r>
        <w:rPr>
          <w:rFonts w:hint="eastAsia" w:asciiTheme="minorEastAsia" w:hAnsiTheme="minorEastAsia"/>
          <w:highlight w:val="none"/>
        </w:rPr>
        <w:t>第三章  采购需求</w:t>
      </w:r>
      <w:r>
        <w:rPr>
          <w:highlight w:val="none"/>
        </w:rPr>
        <w:tab/>
      </w:r>
      <w:r>
        <w:rPr>
          <w:highlight w:val="none"/>
        </w:rPr>
        <w:fldChar w:fldCharType="begin"/>
      </w:r>
      <w:r>
        <w:rPr>
          <w:highlight w:val="none"/>
        </w:rPr>
        <w:instrText xml:space="preserve"> PAGEREF _Toc30873 \h </w:instrText>
      </w:r>
      <w:r>
        <w:rPr>
          <w:highlight w:val="none"/>
        </w:rPr>
        <w:fldChar w:fldCharType="separate"/>
      </w:r>
      <w:r>
        <w:rPr>
          <w:highlight w:val="none"/>
        </w:rPr>
        <w:t>21</w:t>
      </w:r>
      <w:r>
        <w:rPr>
          <w:highlight w:val="none"/>
        </w:rPr>
        <w:fldChar w:fldCharType="end"/>
      </w:r>
      <w:r>
        <w:rPr>
          <w:highlight w:val="none"/>
        </w:rPr>
        <w:fldChar w:fldCharType="end"/>
      </w:r>
    </w:p>
    <w:p w14:paraId="3F226B1A">
      <w:pPr>
        <w:pStyle w:val="34"/>
        <w:tabs>
          <w:tab w:val="right" w:leader="dot" w:pos="8279"/>
        </w:tabs>
        <w:rPr>
          <w:highlight w:val="none"/>
        </w:rPr>
      </w:pPr>
      <w:r>
        <w:rPr>
          <w:highlight w:val="none"/>
        </w:rPr>
        <w:fldChar w:fldCharType="begin"/>
      </w:r>
      <w:r>
        <w:rPr>
          <w:highlight w:val="none"/>
        </w:rPr>
        <w:instrText xml:space="preserve"> HYPERLINK \l "_Toc11353" </w:instrText>
      </w:r>
      <w:r>
        <w:rPr>
          <w:highlight w:val="none"/>
        </w:rPr>
        <w:fldChar w:fldCharType="separate"/>
      </w:r>
      <w:r>
        <w:rPr>
          <w:rFonts w:hint="eastAsia" w:asciiTheme="minorEastAsia" w:hAnsiTheme="minorEastAsia"/>
          <w:highlight w:val="none"/>
        </w:rPr>
        <w:t>第四章  评审方法和标准</w:t>
      </w:r>
      <w:r>
        <w:rPr>
          <w:highlight w:val="none"/>
        </w:rPr>
        <w:tab/>
      </w:r>
      <w:r>
        <w:rPr>
          <w:highlight w:val="none"/>
        </w:rPr>
        <w:fldChar w:fldCharType="begin"/>
      </w:r>
      <w:r>
        <w:rPr>
          <w:highlight w:val="none"/>
        </w:rPr>
        <w:instrText xml:space="preserve"> PAGEREF _Toc11353 \h </w:instrText>
      </w:r>
      <w:r>
        <w:rPr>
          <w:highlight w:val="none"/>
        </w:rPr>
        <w:fldChar w:fldCharType="separate"/>
      </w:r>
      <w:r>
        <w:rPr>
          <w:highlight w:val="none"/>
        </w:rPr>
        <w:t>30</w:t>
      </w:r>
      <w:r>
        <w:rPr>
          <w:highlight w:val="none"/>
        </w:rPr>
        <w:fldChar w:fldCharType="end"/>
      </w:r>
      <w:r>
        <w:rPr>
          <w:highlight w:val="none"/>
        </w:rPr>
        <w:fldChar w:fldCharType="end"/>
      </w:r>
    </w:p>
    <w:p w14:paraId="37FA633B">
      <w:pPr>
        <w:pStyle w:val="34"/>
        <w:tabs>
          <w:tab w:val="right" w:leader="dot" w:pos="8279"/>
        </w:tabs>
        <w:rPr>
          <w:highlight w:val="none"/>
        </w:rPr>
      </w:pPr>
      <w:r>
        <w:rPr>
          <w:highlight w:val="none"/>
        </w:rPr>
        <w:fldChar w:fldCharType="begin"/>
      </w:r>
      <w:r>
        <w:rPr>
          <w:highlight w:val="none"/>
        </w:rPr>
        <w:instrText xml:space="preserve"> HYPERLINK \l "_Toc31277" </w:instrText>
      </w:r>
      <w:r>
        <w:rPr>
          <w:highlight w:val="none"/>
        </w:rPr>
        <w:fldChar w:fldCharType="separate"/>
      </w:r>
      <w:r>
        <w:rPr>
          <w:rFonts w:hint="eastAsia" w:asciiTheme="minorEastAsia" w:hAnsiTheme="minorEastAsia"/>
          <w:highlight w:val="none"/>
        </w:rPr>
        <w:t xml:space="preserve">第五章  </w:t>
      </w:r>
      <w:r>
        <w:rPr>
          <w:rFonts w:asciiTheme="minorEastAsia" w:hAnsiTheme="minorEastAsia"/>
          <w:highlight w:val="none"/>
        </w:rPr>
        <w:t>政府采购合同</w:t>
      </w:r>
      <w:r>
        <w:rPr>
          <w:highlight w:val="none"/>
        </w:rPr>
        <w:tab/>
      </w:r>
      <w:r>
        <w:rPr>
          <w:highlight w:val="none"/>
        </w:rPr>
        <w:fldChar w:fldCharType="begin"/>
      </w:r>
      <w:r>
        <w:rPr>
          <w:highlight w:val="none"/>
        </w:rPr>
        <w:instrText xml:space="preserve"> PAGEREF _Toc31277 \h </w:instrText>
      </w:r>
      <w:r>
        <w:rPr>
          <w:highlight w:val="none"/>
        </w:rPr>
        <w:fldChar w:fldCharType="separate"/>
      </w:r>
      <w:r>
        <w:rPr>
          <w:highlight w:val="none"/>
        </w:rPr>
        <w:t>40</w:t>
      </w:r>
      <w:r>
        <w:rPr>
          <w:highlight w:val="none"/>
        </w:rPr>
        <w:fldChar w:fldCharType="end"/>
      </w:r>
      <w:r>
        <w:rPr>
          <w:highlight w:val="none"/>
        </w:rPr>
        <w:fldChar w:fldCharType="end"/>
      </w:r>
    </w:p>
    <w:p w14:paraId="46F47C78">
      <w:pPr>
        <w:pStyle w:val="34"/>
        <w:tabs>
          <w:tab w:val="right" w:leader="dot" w:pos="8279"/>
        </w:tabs>
        <w:rPr>
          <w:highlight w:val="none"/>
        </w:rPr>
      </w:pPr>
      <w:r>
        <w:rPr>
          <w:highlight w:val="none"/>
        </w:rPr>
        <w:fldChar w:fldCharType="begin"/>
      </w:r>
      <w:r>
        <w:rPr>
          <w:highlight w:val="none"/>
        </w:rPr>
        <w:instrText xml:space="preserve"> HYPERLINK \l "_Toc22734" </w:instrText>
      </w:r>
      <w:r>
        <w:rPr>
          <w:highlight w:val="none"/>
        </w:rPr>
        <w:fldChar w:fldCharType="separate"/>
      </w:r>
      <w:r>
        <w:rPr>
          <w:rFonts w:hint="eastAsia" w:asciiTheme="minorEastAsia" w:hAnsiTheme="minorEastAsia"/>
          <w:highlight w:val="none"/>
        </w:rPr>
        <w:t>第六章  响应文件格式</w:t>
      </w:r>
      <w:r>
        <w:rPr>
          <w:highlight w:val="none"/>
        </w:rPr>
        <w:tab/>
      </w:r>
      <w:r>
        <w:rPr>
          <w:highlight w:val="none"/>
        </w:rPr>
        <w:fldChar w:fldCharType="begin"/>
      </w:r>
      <w:r>
        <w:rPr>
          <w:highlight w:val="none"/>
        </w:rPr>
        <w:instrText xml:space="preserve"> PAGEREF _Toc22734 \h </w:instrText>
      </w:r>
      <w:r>
        <w:rPr>
          <w:highlight w:val="none"/>
        </w:rPr>
        <w:fldChar w:fldCharType="separate"/>
      </w:r>
      <w:r>
        <w:rPr>
          <w:highlight w:val="none"/>
        </w:rPr>
        <w:t>89</w:t>
      </w:r>
      <w:r>
        <w:rPr>
          <w:highlight w:val="none"/>
        </w:rPr>
        <w:fldChar w:fldCharType="end"/>
      </w:r>
      <w:r>
        <w:rPr>
          <w:highlight w:val="none"/>
        </w:rPr>
        <w:fldChar w:fldCharType="end"/>
      </w:r>
    </w:p>
    <w:p w14:paraId="7F6C6BB9">
      <w:pPr>
        <w:pStyle w:val="34"/>
        <w:tabs>
          <w:tab w:val="right" w:leader="dot" w:pos="8279"/>
        </w:tabs>
        <w:rPr>
          <w:highlight w:val="none"/>
        </w:rPr>
      </w:pPr>
      <w:r>
        <w:rPr>
          <w:highlight w:val="none"/>
        </w:rPr>
        <w:fldChar w:fldCharType="begin"/>
      </w:r>
      <w:r>
        <w:rPr>
          <w:highlight w:val="none"/>
        </w:rPr>
        <w:instrText xml:space="preserve"> HYPERLINK \l "_Toc24879" </w:instrText>
      </w:r>
      <w:r>
        <w:rPr>
          <w:highlight w:val="none"/>
        </w:rPr>
        <w:fldChar w:fldCharType="separate"/>
      </w:r>
      <w:r>
        <w:rPr>
          <w:rFonts w:hint="eastAsia"/>
          <w:bCs/>
          <w:highlight w:val="none"/>
        </w:rPr>
        <w:t>第七章  政府采购</w:t>
      </w:r>
      <w:r>
        <w:rPr>
          <w:rFonts w:hint="eastAsia" w:asciiTheme="minorEastAsia" w:hAnsiTheme="minorEastAsia"/>
          <w:highlight w:val="none"/>
        </w:rPr>
        <w:t>供应</w:t>
      </w:r>
      <w:r>
        <w:rPr>
          <w:rFonts w:hint="eastAsia"/>
          <w:bCs/>
          <w:highlight w:val="none"/>
        </w:rPr>
        <w:t>商询问函和质疑函范本</w:t>
      </w:r>
      <w:r>
        <w:rPr>
          <w:highlight w:val="none"/>
        </w:rPr>
        <w:tab/>
      </w:r>
      <w:r>
        <w:rPr>
          <w:highlight w:val="none"/>
        </w:rPr>
        <w:fldChar w:fldCharType="begin"/>
      </w:r>
      <w:r>
        <w:rPr>
          <w:highlight w:val="none"/>
        </w:rPr>
        <w:instrText xml:space="preserve"> PAGEREF _Toc24879 \h </w:instrText>
      </w:r>
      <w:r>
        <w:rPr>
          <w:highlight w:val="none"/>
        </w:rPr>
        <w:fldChar w:fldCharType="separate"/>
      </w:r>
      <w:r>
        <w:rPr>
          <w:highlight w:val="none"/>
        </w:rPr>
        <w:t>104</w:t>
      </w:r>
      <w:r>
        <w:rPr>
          <w:highlight w:val="none"/>
        </w:rPr>
        <w:fldChar w:fldCharType="end"/>
      </w:r>
      <w:r>
        <w:rPr>
          <w:highlight w:val="none"/>
        </w:rPr>
        <w:fldChar w:fldCharType="end"/>
      </w:r>
    </w:p>
    <w:p w14:paraId="7E67CB0D">
      <w:pPr>
        <w:pStyle w:val="44"/>
        <w:tabs>
          <w:tab w:val="right" w:leader="dot" w:pos="8296"/>
        </w:tabs>
        <w:rPr>
          <w:rFonts w:asciiTheme="minorEastAsia" w:hAnsiTheme="minorEastAsia"/>
          <w:b/>
          <w:szCs w:val="24"/>
          <w:highlight w:val="none"/>
        </w:rPr>
      </w:pPr>
      <w:r>
        <w:rPr>
          <w:rFonts w:asciiTheme="minorEastAsia" w:hAnsiTheme="minorEastAsia"/>
          <w:szCs w:val="24"/>
          <w:highlight w:val="none"/>
        </w:rPr>
        <w:fldChar w:fldCharType="end"/>
      </w:r>
    </w:p>
    <w:p w14:paraId="78C440E6">
      <w:pPr>
        <w:pStyle w:val="4"/>
        <w:rPr>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1188A03A">
      <w:pPr>
        <w:spacing w:line="360" w:lineRule="auto"/>
        <w:jc w:val="center"/>
        <w:outlineLvl w:val="0"/>
        <w:rPr>
          <w:rFonts w:asciiTheme="minorEastAsia" w:hAnsiTheme="minorEastAsia" w:eastAsiaTheme="minorEastAsia"/>
          <w:b/>
          <w:sz w:val="28"/>
          <w:highlight w:val="none"/>
        </w:rPr>
      </w:pPr>
      <w:bookmarkStart w:id="1" w:name="_Toc11403"/>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磋商邀请</w:t>
      </w:r>
      <w:bookmarkEnd w:id="1"/>
    </w:p>
    <w:p w14:paraId="63CBD829">
      <w:pPr>
        <w:spacing w:line="360" w:lineRule="auto"/>
        <w:ind w:firstLine="435"/>
        <w:outlineLvl w:val="1"/>
        <w:rPr>
          <w:b/>
          <w:bCs/>
          <w:sz w:val="24"/>
          <w:szCs w:val="18"/>
          <w:highlight w:val="none"/>
        </w:rPr>
      </w:pPr>
      <w:bookmarkStart w:id="2" w:name="_Toc8770"/>
      <w:bookmarkStart w:id="3" w:name="_Toc18492"/>
      <w:r>
        <w:rPr>
          <w:rFonts w:hint="eastAsia"/>
          <w:b/>
          <w:bCs/>
          <w:sz w:val="24"/>
          <w:szCs w:val="18"/>
          <w:highlight w:val="none"/>
        </w:rPr>
        <w:t>一、</w:t>
      </w:r>
      <w:bookmarkEnd w:id="2"/>
      <w:r>
        <w:rPr>
          <w:rFonts w:hint="eastAsia"/>
          <w:b/>
          <w:bCs/>
          <w:sz w:val="24"/>
          <w:szCs w:val="18"/>
          <w:highlight w:val="none"/>
        </w:rPr>
        <w:t>项目基本情况</w:t>
      </w:r>
      <w:bookmarkEnd w:id="3"/>
    </w:p>
    <w:p w14:paraId="52872F89">
      <w:pPr>
        <w:spacing w:line="360" w:lineRule="auto"/>
        <w:ind w:firstLine="435"/>
        <w:rPr>
          <w:rFonts w:hint="eastAsia" w:asciiTheme="minorEastAsia" w:hAnsiTheme="minorEastAsia" w:eastAsiaTheme="minorEastAsia"/>
          <w:sz w:val="24"/>
          <w:highlight w:val="none"/>
          <w:lang w:eastAsia="zh-CN"/>
        </w:rPr>
      </w:pPr>
      <w:bookmarkStart w:id="4" w:name="_Toc26628"/>
      <w:r>
        <w:rPr>
          <w:rFonts w:hint="eastAsia" w:asciiTheme="minorEastAsia" w:hAnsiTheme="minorEastAsia" w:eastAsiaTheme="minorEastAsia"/>
          <w:sz w:val="24"/>
          <w:highlight w:val="none"/>
        </w:rPr>
        <w:t>1.项目编号：</w:t>
      </w:r>
      <w:r>
        <w:rPr>
          <w:rFonts w:hint="eastAsia" w:asciiTheme="minorEastAsia" w:hAnsiTheme="minorEastAsia" w:eastAsiaTheme="minorEastAsia"/>
          <w:sz w:val="24"/>
          <w:highlight w:val="none"/>
          <w:u w:val="single"/>
          <w:lang w:eastAsia="zh-CN"/>
        </w:rPr>
        <w:t>ZF2026-08-0618</w:t>
      </w:r>
    </w:p>
    <w:p w14:paraId="60C260A0">
      <w:pPr>
        <w:spacing w:line="360" w:lineRule="auto"/>
        <w:ind w:firstLine="435"/>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2.项目名称：</w:t>
      </w:r>
      <w:r>
        <w:rPr>
          <w:rFonts w:hint="eastAsia" w:asciiTheme="minorEastAsia" w:hAnsiTheme="minorEastAsia" w:eastAsiaTheme="minorEastAsia"/>
          <w:sz w:val="24"/>
          <w:highlight w:val="none"/>
          <w:u w:val="single"/>
          <w:lang w:eastAsia="zh-CN"/>
        </w:rPr>
        <w:t>安徽职业技术大学2026年公共区域卫生间维修项目（二次）</w:t>
      </w:r>
    </w:p>
    <w:p w14:paraId="6EE1808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3.预算金额：</w:t>
      </w:r>
      <w:r>
        <w:rPr>
          <w:rFonts w:hint="eastAsia"/>
          <w:sz w:val="24"/>
          <w:szCs w:val="18"/>
          <w:highlight w:val="none"/>
          <w:u w:val="single"/>
        </w:rPr>
        <w:t>400万元</w:t>
      </w:r>
    </w:p>
    <w:p w14:paraId="73347D1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4.最高限价：</w:t>
      </w:r>
      <w:r>
        <w:rPr>
          <w:rFonts w:hint="eastAsia"/>
          <w:sz w:val="24"/>
          <w:szCs w:val="18"/>
          <w:highlight w:val="none"/>
          <w:u w:val="single"/>
          <w:lang w:val="en-US" w:eastAsia="zh-CN"/>
        </w:rPr>
        <w:t>3987950.67元</w:t>
      </w:r>
    </w:p>
    <w:p w14:paraId="1737EF0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5.采购需求：</w:t>
      </w:r>
      <w:r>
        <w:rPr>
          <w:rFonts w:hint="eastAsia" w:asciiTheme="minorEastAsia" w:hAnsiTheme="minorEastAsia" w:eastAsiaTheme="minorEastAsia"/>
          <w:sz w:val="24"/>
          <w:highlight w:val="none"/>
          <w:u w:val="single"/>
        </w:rPr>
        <w:t>本项目为北园专精特新勤朴勇毅八栋楼共70个卫生间，东区食堂徽风苑一二层4个卫生间，西园至展楼共20个卫生间，东园食堂庐惠苑一楼2个卫生间，至兴楼9个卫生间小便池处等进行维修翻</w:t>
      </w:r>
      <w:r>
        <w:rPr>
          <w:rFonts w:hint="eastAsia" w:asciiTheme="minorEastAsia" w:hAnsiTheme="minorEastAsia" w:eastAsiaTheme="minorEastAsia"/>
          <w:sz w:val="24"/>
          <w:highlight w:val="none"/>
          <w:u w:val="single"/>
          <w:lang w:val="en-US" w:eastAsia="zh-CN"/>
        </w:rPr>
        <w:t>新</w:t>
      </w:r>
      <w:r>
        <w:rPr>
          <w:rFonts w:hint="eastAsia" w:asciiTheme="minorEastAsia" w:hAnsiTheme="minorEastAsia" w:eastAsiaTheme="minorEastAsia"/>
          <w:sz w:val="24"/>
          <w:highlight w:val="none"/>
          <w:u w:val="single"/>
        </w:rPr>
        <w:t>，施工内容包括防水、瓷砖、隔断、大便器、小便器、灯具、油漆等维修翻新等。具体详见采购文件。</w:t>
      </w:r>
    </w:p>
    <w:p w14:paraId="45F883B2">
      <w:pPr>
        <w:spacing w:line="360" w:lineRule="auto"/>
        <w:ind w:firstLine="435"/>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6.合同履行期限：</w:t>
      </w:r>
      <w:r>
        <w:rPr>
          <w:rFonts w:hint="eastAsia" w:eastAsiaTheme="minorEastAsia"/>
          <w:sz w:val="24"/>
          <w:szCs w:val="18"/>
          <w:highlight w:val="none"/>
          <w:u w:val="single"/>
          <w:lang w:eastAsia="zh-CN"/>
        </w:rPr>
        <w:t>70个日历</w:t>
      </w:r>
      <w:r>
        <w:rPr>
          <w:rFonts w:hint="eastAsia" w:eastAsiaTheme="minorEastAsia"/>
          <w:sz w:val="24"/>
          <w:szCs w:val="18"/>
          <w:highlight w:val="none"/>
          <w:u w:val="single"/>
          <w:lang w:val="en-US" w:eastAsia="zh-CN"/>
        </w:rPr>
        <w:t>天</w:t>
      </w:r>
    </w:p>
    <w:p w14:paraId="7E429C6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7.本项目不接受联合体。</w:t>
      </w:r>
    </w:p>
    <w:p w14:paraId="708471DA">
      <w:pPr>
        <w:spacing w:line="360" w:lineRule="auto"/>
        <w:ind w:firstLine="435"/>
        <w:outlineLvl w:val="1"/>
        <w:rPr>
          <w:b/>
          <w:bCs/>
          <w:sz w:val="24"/>
          <w:szCs w:val="18"/>
          <w:highlight w:val="none"/>
        </w:rPr>
      </w:pPr>
      <w:bookmarkStart w:id="5" w:name="_Toc27595"/>
      <w:r>
        <w:rPr>
          <w:rFonts w:hint="eastAsia"/>
          <w:b/>
          <w:bCs/>
          <w:sz w:val="24"/>
          <w:szCs w:val="18"/>
          <w:highlight w:val="none"/>
        </w:rPr>
        <w:t>二</w:t>
      </w:r>
      <w:r>
        <w:rPr>
          <w:rFonts w:hint="eastAsia" w:asciiTheme="minorEastAsia" w:hAnsiTheme="minorEastAsia" w:eastAsiaTheme="minorEastAsia"/>
          <w:b/>
          <w:sz w:val="24"/>
          <w:highlight w:val="none"/>
        </w:rPr>
        <w:t>、申请人的</w:t>
      </w:r>
      <w:r>
        <w:rPr>
          <w:rFonts w:hint="eastAsia"/>
          <w:b/>
          <w:bCs/>
          <w:sz w:val="24"/>
          <w:szCs w:val="18"/>
          <w:highlight w:val="none"/>
        </w:rPr>
        <w:t>资格</w:t>
      </w:r>
      <w:bookmarkEnd w:id="4"/>
      <w:r>
        <w:rPr>
          <w:rFonts w:hint="eastAsia"/>
          <w:b/>
          <w:bCs/>
          <w:sz w:val="24"/>
          <w:szCs w:val="18"/>
          <w:highlight w:val="none"/>
        </w:rPr>
        <w:t>要求</w:t>
      </w:r>
      <w:bookmarkEnd w:id="5"/>
    </w:p>
    <w:p w14:paraId="735E1602">
      <w:pPr>
        <w:spacing w:line="360" w:lineRule="auto"/>
        <w:ind w:firstLine="435"/>
        <w:rPr>
          <w:rFonts w:asciiTheme="minorEastAsia" w:hAnsiTheme="minorEastAsia" w:eastAsiaTheme="minorEastAsia"/>
          <w:sz w:val="24"/>
          <w:highlight w:val="none"/>
        </w:rPr>
      </w:pPr>
      <w:bookmarkStart w:id="6" w:name="_Toc4065"/>
      <w:r>
        <w:rPr>
          <w:rFonts w:hint="eastAsia" w:asciiTheme="minorEastAsia" w:hAnsiTheme="minorEastAsia" w:eastAsiaTheme="minorEastAsia"/>
          <w:sz w:val="24"/>
          <w:highlight w:val="none"/>
        </w:rPr>
        <w:t>1.满足《中华人民共和国政府采购法》第二十二条规定；</w:t>
      </w:r>
    </w:p>
    <w:p w14:paraId="52012BD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2.落实政府采购政策需满足的资格要求：</w:t>
      </w:r>
    </w:p>
    <w:p w14:paraId="4D6069F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2.1中小企业政策</w:t>
      </w:r>
    </w:p>
    <w:p w14:paraId="7390164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2.1.1□本项目不专门面向中小企业预留采购份额。</w:t>
      </w:r>
    </w:p>
    <w:p w14:paraId="44E6904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2.1.2☑本项目专门面向</w:t>
      </w:r>
      <w:r>
        <w:rPr>
          <w:rFonts w:hint="eastAsia" w:asciiTheme="minorEastAsia" w:hAnsiTheme="minorEastAsia" w:eastAsiaTheme="minorEastAsia"/>
          <w:sz w:val="24"/>
          <w:highlight w:val="none"/>
          <w:u w:val="single"/>
          <w:lang w:val="en-US" w:eastAsia="zh-CN"/>
        </w:rPr>
        <w:t>中小企业</w:t>
      </w:r>
      <w:r>
        <w:rPr>
          <w:rFonts w:hint="eastAsia" w:asciiTheme="minorEastAsia" w:hAnsiTheme="minorEastAsia" w:eastAsiaTheme="minorEastAsia"/>
          <w:sz w:val="24"/>
          <w:highlight w:val="none"/>
        </w:rPr>
        <w:t>采购。</w:t>
      </w:r>
    </w:p>
    <w:p w14:paraId="270ADD6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2.1.3□本项目预留部分采购项目预算专门面向中小企业采购。对于预留份额，提供的工程由符合政策要求的中小企业承建。预留份额通过以下措施进行：</w:t>
      </w:r>
      <w:r>
        <w:rPr>
          <w:rFonts w:asciiTheme="minorEastAsia" w:hAnsiTheme="minorEastAsia" w:eastAsiaTheme="minorEastAsia"/>
          <w:sz w:val="24"/>
          <w:highlight w:val="none"/>
          <w:u w:val="single"/>
        </w:rPr>
        <w:t>_</w:t>
      </w:r>
      <w:r>
        <w:rPr>
          <w:rFonts w:hint="eastAsia" w:asciiTheme="minorEastAsia" w:hAnsiTheme="minorEastAsia" w:eastAsiaTheme="minorEastAsia"/>
          <w:sz w:val="24"/>
          <w:highlight w:val="none"/>
          <w:u w:val="single"/>
          <w:lang w:val="en-US" w:eastAsia="zh-CN"/>
        </w:rPr>
        <w:t>/</w:t>
      </w:r>
      <w:r>
        <w:rPr>
          <w:rFonts w:hint="eastAsia" w:asciiTheme="minorEastAsia" w:hAnsiTheme="minorEastAsia" w:eastAsiaTheme="minorEastAsia"/>
          <w:sz w:val="24"/>
          <w:highlight w:val="none"/>
        </w:rPr>
        <w:t>。</w:t>
      </w:r>
    </w:p>
    <w:p w14:paraId="06181766">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2.2</w:t>
      </w:r>
      <w:r>
        <w:rPr>
          <w:rFonts w:hint="eastAsia" w:asciiTheme="minorEastAsia" w:hAnsiTheme="minorEastAsia" w:eastAsiaTheme="minorEastAsia"/>
          <w:sz w:val="24"/>
          <w:highlight w:val="none"/>
        </w:rPr>
        <w:t>其它落实政府采购政策的资格要求（如有）：</w:t>
      </w:r>
      <w:r>
        <w:rPr>
          <w:rFonts w:hint="eastAsia" w:asciiTheme="minorEastAsia" w:hAnsiTheme="minorEastAsia" w:eastAsiaTheme="minorEastAsia"/>
          <w:sz w:val="24"/>
          <w:highlight w:val="none"/>
          <w:lang w:val="en-US" w:eastAsia="zh-CN"/>
        </w:rPr>
        <w:t>详见采购文件</w:t>
      </w:r>
      <w:r>
        <w:rPr>
          <w:rFonts w:hint="eastAsia" w:asciiTheme="minorEastAsia" w:hAnsiTheme="minorEastAsia" w:eastAsiaTheme="minorEastAsia"/>
          <w:sz w:val="24"/>
          <w:highlight w:val="none"/>
        </w:rPr>
        <w:t>。</w:t>
      </w:r>
    </w:p>
    <w:p w14:paraId="4D96F78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3.本项目的特定资格要求：</w:t>
      </w:r>
    </w:p>
    <w:p w14:paraId="7178CDD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 供应商资质要求：供应商具有建筑装修装饰工程专业承包资质（二级及以上）。具有有效的安全生产许可证。</w:t>
      </w:r>
    </w:p>
    <w:p w14:paraId="18D893E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3.2 项目经理要求：具有二级及以上注册建造师证书，具有建设工程行政主管部门颁发的安全生产考核合格证。需提供供应商为其缴纳的近3个月内任意1个月的社保证明材料。</w:t>
      </w:r>
    </w:p>
    <w:p w14:paraId="6E5566A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3.3 其他要求：拟委任项目经理目前未在其他项目上任职或虽在其他项目上任职但本项目成交后能够从该项目撤离。</w:t>
      </w:r>
    </w:p>
    <w:p w14:paraId="4EDFACA6">
      <w:pPr>
        <w:spacing w:line="360" w:lineRule="auto"/>
        <w:ind w:firstLine="435"/>
        <w:outlineLvl w:val="1"/>
        <w:rPr>
          <w:b/>
          <w:bCs/>
          <w:sz w:val="24"/>
          <w:highlight w:val="none"/>
        </w:rPr>
      </w:pPr>
      <w:bookmarkStart w:id="7" w:name="_Toc2855"/>
      <w:r>
        <w:rPr>
          <w:rFonts w:hint="eastAsia"/>
          <w:b/>
          <w:bCs/>
          <w:sz w:val="24"/>
          <w:highlight w:val="none"/>
        </w:rPr>
        <w:t>三、</w:t>
      </w:r>
      <w:bookmarkEnd w:id="6"/>
      <w:r>
        <w:rPr>
          <w:rFonts w:hint="eastAsia"/>
          <w:b/>
          <w:bCs/>
          <w:sz w:val="24"/>
          <w:highlight w:val="none"/>
        </w:rPr>
        <w:t>获取采购文件</w:t>
      </w:r>
      <w:bookmarkEnd w:id="7"/>
    </w:p>
    <w:p w14:paraId="1E9A0794">
      <w:pPr>
        <w:spacing w:line="360" w:lineRule="auto"/>
        <w:ind w:firstLine="540"/>
        <w:rPr>
          <w:rFonts w:hint="default" w:eastAsia="宋体" w:cs="宋体"/>
          <w:sz w:val="24"/>
          <w:szCs w:val="24"/>
          <w:highlight w:val="none"/>
          <w:u w:val="none"/>
          <w:lang w:val="en-US" w:eastAsia="zh-CN"/>
        </w:rPr>
      </w:pPr>
      <w:bookmarkStart w:id="8" w:name="_Toc16910"/>
      <w:r>
        <w:rPr>
          <w:rFonts w:hint="eastAsia" w:cs="宋体"/>
          <w:sz w:val="24"/>
          <w:szCs w:val="24"/>
          <w:highlight w:val="none"/>
        </w:rPr>
        <w:t>时间：</w:t>
      </w:r>
      <w:r>
        <w:rPr>
          <w:rFonts w:hint="eastAsia" w:cs="宋体"/>
          <w:sz w:val="24"/>
          <w:szCs w:val="24"/>
          <w:highlight w:val="none"/>
          <w:u w:val="none"/>
          <w:lang w:val="en-US" w:eastAsia="zh-CN"/>
        </w:rPr>
        <w:t>2026</w:t>
      </w:r>
      <w:r>
        <w:rPr>
          <w:rFonts w:hint="eastAsia" w:cs="宋体"/>
          <w:sz w:val="24"/>
          <w:szCs w:val="24"/>
          <w:highlight w:val="none"/>
          <w:u w:val="none"/>
        </w:rPr>
        <w:t>年</w:t>
      </w:r>
      <w:r>
        <w:rPr>
          <w:rFonts w:hint="eastAsia" w:cs="宋体"/>
          <w:sz w:val="24"/>
          <w:szCs w:val="24"/>
          <w:highlight w:val="none"/>
          <w:u w:val="none"/>
          <w:lang w:val="en-US" w:eastAsia="zh-CN"/>
        </w:rPr>
        <w:t>6</w:t>
      </w:r>
      <w:r>
        <w:rPr>
          <w:rFonts w:hint="eastAsia" w:cs="宋体"/>
          <w:sz w:val="24"/>
          <w:szCs w:val="24"/>
          <w:highlight w:val="none"/>
          <w:u w:val="none"/>
        </w:rPr>
        <w:t>月</w:t>
      </w:r>
      <w:r>
        <w:rPr>
          <w:rFonts w:hint="eastAsia" w:cs="宋体"/>
          <w:sz w:val="24"/>
          <w:szCs w:val="24"/>
          <w:highlight w:val="none"/>
          <w:u w:val="none"/>
          <w:lang w:val="en-US" w:eastAsia="zh-CN"/>
        </w:rPr>
        <w:t>10</w:t>
      </w:r>
      <w:r>
        <w:rPr>
          <w:rFonts w:hint="eastAsia" w:cs="宋体"/>
          <w:sz w:val="24"/>
          <w:szCs w:val="24"/>
          <w:highlight w:val="none"/>
          <w:u w:val="none"/>
        </w:rPr>
        <w:t>日至</w:t>
      </w:r>
      <w:r>
        <w:rPr>
          <w:rFonts w:hint="eastAsia" w:cs="宋体"/>
          <w:sz w:val="24"/>
          <w:szCs w:val="24"/>
          <w:highlight w:val="none"/>
          <w:u w:val="none"/>
          <w:lang w:val="en-US" w:eastAsia="zh-CN"/>
        </w:rPr>
        <w:t>2026</w:t>
      </w:r>
      <w:r>
        <w:rPr>
          <w:rFonts w:hint="eastAsia" w:cs="宋体"/>
          <w:sz w:val="24"/>
          <w:szCs w:val="24"/>
          <w:highlight w:val="none"/>
          <w:u w:val="none"/>
        </w:rPr>
        <w:t>年</w:t>
      </w:r>
      <w:r>
        <w:rPr>
          <w:rFonts w:hint="eastAsia" w:cs="宋体"/>
          <w:sz w:val="24"/>
          <w:szCs w:val="24"/>
          <w:highlight w:val="none"/>
          <w:u w:val="none"/>
          <w:lang w:val="en-US" w:eastAsia="zh-CN"/>
        </w:rPr>
        <w:t>6</w:t>
      </w:r>
      <w:r>
        <w:rPr>
          <w:rFonts w:hint="eastAsia" w:cs="宋体"/>
          <w:sz w:val="24"/>
          <w:szCs w:val="24"/>
          <w:highlight w:val="none"/>
          <w:u w:val="none"/>
        </w:rPr>
        <w:t>月</w:t>
      </w:r>
      <w:r>
        <w:rPr>
          <w:rFonts w:hint="eastAsia" w:cs="宋体"/>
          <w:sz w:val="24"/>
          <w:szCs w:val="24"/>
          <w:highlight w:val="none"/>
          <w:u w:val="none"/>
          <w:lang w:val="en-US" w:eastAsia="zh-CN"/>
        </w:rPr>
        <w:t>18</w:t>
      </w:r>
      <w:r>
        <w:rPr>
          <w:rFonts w:hint="eastAsia" w:cs="宋体"/>
          <w:sz w:val="24"/>
          <w:szCs w:val="24"/>
          <w:highlight w:val="none"/>
          <w:u w:val="none"/>
        </w:rPr>
        <w:t>日</w:t>
      </w:r>
      <w:r>
        <w:rPr>
          <w:rFonts w:hint="eastAsia" w:cs="宋体"/>
          <w:sz w:val="24"/>
          <w:szCs w:val="24"/>
          <w:highlight w:val="none"/>
          <w:u w:val="none"/>
          <w:lang w:val="en-US" w:eastAsia="zh-CN"/>
        </w:rPr>
        <w:t>17点30分</w:t>
      </w:r>
      <w:r>
        <w:rPr>
          <w:rFonts w:hint="eastAsia" w:asciiTheme="minorEastAsia" w:hAnsiTheme="minorEastAsia" w:eastAsiaTheme="minorEastAsia" w:cstheme="minorEastAsia"/>
          <w:bCs/>
          <w:sz w:val="24"/>
          <w:szCs w:val="24"/>
          <w:highlight w:val="none"/>
        </w:rPr>
        <w:t>（北京时间）</w:t>
      </w:r>
    </w:p>
    <w:p w14:paraId="694843CE">
      <w:pPr>
        <w:spacing w:line="360" w:lineRule="auto"/>
        <w:ind w:firstLine="540"/>
        <w:rPr>
          <w:rFonts w:cs="宋体"/>
          <w:sz w:val="24"/>
          <w:szCs w:val="24"/>
          <w:highlight w:val="none"/>
        </w:rPr>
      </w:pPr>
      <w:r>
        <w:rPr>
          <w:rFonts w:hint="eastAsia" w:cs="宋体"/>
          <w:sz w:val="24"/>
          <w:szCs w:val="24"/>
          <w:highlight w:val="none"/>
        </w:rPr>
        <w:t>地点：</w:t>
      </w:r>
      <w:bookmarkStart w:id="9" w:name="_Hlk44253880"/>
      <w:r>
        <w:rPr>
          <w:rFonts w:hint="eastAsia" w:cs="宋体"/>
          <w:sz w:val="24"/>
          <w:szCs w:val="24"/>
          <w:highlight w:val="none"/>
        </w:rPr>
        <w:t>“优质采招标采购平台（www.yzczb.com）”或“优质采云采购平台（www.youzhicai.com）”</w:t>
      </w:r>
      <w:bookmarkEnd w:id="9"/>
    </w:p>
    <w:p w14:paraId="3B0CF4AE">
      <w:pPr>
        <w:spacing w:line="360" w:lineRule="auto"/>
        <w:ind w:firstLine="540"/>
        <w:rPr>
          <w:rFonts w:cs="宋体"/>
          <w:sz w:val="24"/>
          <w:szCs w:val="24"/>
          <w:highlight w:val="none"/>
        </w:rPr>
      </w:pPr>
      <w:r>
        <w:rPr>
          <w:rFonts w:hint="eastAsia" w:cs="宋体"/>
          <w:sz w:val="24"/>
          <w:szCs w:val="24"/>
          <w:highlight w:val="none"/>
        </w:rPr>
        <w:t>方式：在线下载</w:t>
      </w:r>
    </w:p>
    <w:p w14:paraId="5832DD58">
      <w:pPr>
        <w:spacing w:line="360" w:lineRule="auto"/>
        <w:ind w:firstLine="435"/>
        <w:outlineLvl w:val="1"/>
        <w:rPr>
          <w:b/>
          <w:bCs/>
          <w:sz w:val="24"/>
          <w:highlight w:val="none"/>
        </w:rPr>
      </w:pPr>
      <w:bookmarkStart w:id="10" w:name="_Toc1322"/>
      <w:r>
        <w:rPr>
          <w:rFonts w:hint="eastAsia"/>
          <w:b/>
          <w:bCs/>
          <w:sz w:val="24"/>
          <w:highlight w:val="none"/>
        </w:rPr>
        <w:t>四、</w:t>
      </w:r>
      <w:bookmarkEnd w:id="8"/>
      <w:r>
        <w:rPr>
          <w:rFonts w:hint="eastAsia"/>
          <w:b/>
          <w:bCs/>
          <w:sz w:val="24"/>
          <w:highlight w:val="none"/>
        </w:rPr>
        <w:t>响应文件提交</w:t>
      </w:r>
      <w:bookmarkEnd w:id="10"/>
    </w:p>
    <w:p w14:paraId="5D1C1D39">
      <w:pPr>
        <w:spacing w:line="360" w:lineRule="auto"/>
        <w:ind w:firstLine="480" w:firstLineChars="200"/>
        <w:rPr>
          <w:rFonts w:hint="eastAsia" w:asciiTheme="minorEastAsia" w:hAnsiTheme="minorEastAsia" w:eastAsiaTheme="minorEastAsia" w:cstheme="minorEastAsia"/>
          <w:bCs/>
          <w:sz w:val="24"/>
          <w:szCs w:val="24"/>
          <w:highlight w:val="none"/>
        </w:rPr>
      </w:pPr>
      <w:bookmarkStart w:id="11" w:name="_Toc11944"/>
      <w:r>
        <w:rPr>
          <w:rFonts w:hint="eastAsia" w:asciiTheme="minorEastAsia" w:hAnsiTheme="minorEastAsia" w:eastAsiaTheme="minorEastAsia" w:cstheme="minorEastAsia"/>
          <w:sz w:val="24"/>
          <w:szCs w:val="24"/>
          <w:highlight w:val="none"/>
        </w:rPr>
        <w:t>截止时间</w:t>
      </w:r>
      <w:r>
        <w:rPr>
          <w:rFonts w:hint="eastAsia" w:asciiTheme="minorEastAsia" w:hAnsiTheme="minorEastAsia" w:eastAsiaTheme="minorEastAsia" w:cstheme="minorEastAsia"/>
          <w:bCs/>
          <w:sz w:val="24"/>
          <w:szCs w:val="24"/>
          <w:highlight w:val="none"/>
          <w:u w:val="none"/>
          <w:lang w:val="en-US" w:eastAsia="zh-CN"/>
        </w:rPr>
        <w:t>2026</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none"/>
          <w:lang w:val="en-US" w:eastAsia="zh-CN"/>
        </w:rPr>
        <w:t>6</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none"/>
          <w:lang w:val="en-US" w:eastAsia="zh-CN"/>
        </w:rPr>
        <w:t>23</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none"/>
          <w:lang w:val="en-US" w:eastAsia="zh-CN"/>
        </w:rPr>
        <w:t>9</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none"/>
          <w:lang w:val="en-US" w:eastAsia="zh-CN"/>
        </w:rPr>
        <w:t>30</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0B185D9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地点：“优质采招标采购平台（www.yzczb.com）”或“优质采云采购平台（www.youzhicai.com）”</w:t>
      </w:r>
    </w:p>
    <w:p w14:paraId="375DE582">
      <w:pPr>
        <w:spacing w:line="360" w:lineRule="auto"/>
        <w:ind w:firstLine="435"/>
        <w:outlineLvl w:val="1"/>
        <w:rPr>
          <w:b/>
          <w:bCs/>
          <w:sz w:val="24"/>
          <w:highlight w:val="none"/>
        </w:rPr>
      </w:pPr>
      <w:bookmarkStart w:id="12" w:name="_Toc28359016"/>
      <w:bookmarkStart w:id="13" w:name="_Toc27720"/>
      <w:bookmarkStart w:id="14" w:name="_Toc35393802"/>
      <w:bookmarkStart w:id="15" w:name="_Toc35393633"/>
      <w:bookmarkStart w:id="16" w:name="_Toc28359093"/>
      <w:r>
        <w:rPr>
          <w:rFonts w:hint="eastAsia"/>
          <w:b/>
          <w:bCs/>
          <w:sz w:val="24"/>
          <w:highlight w:val="none"/>
        </w:rPr>
        <w:t>五、开启</w:t>
      </w:r>
      <w:bookmarkEnd w:id="12"/>
      <w:bookmarkEnd w:id="13"/>
      <w:bookmarkEnd w:id="14"/>
      <w:bookmarkEnd w:id="15"/>
      <w:bookmarkEnd w:id="16"/>
    </w:p>
    <w:p w14:paraId="6524464B">
      <w:pPr>
        <w:spacing w:line="360" w:lineRule="auto"/>
        <w:ind w:firstLine="480" w:firstLineChars="200"/>
        <w:rPr>
          <w:rFonts w:cs="宋体"/>
          <w:bCs/>
          <w:sz w:val="24"/>
          <w:szCs w:val="24"/>
          <w:highlight w:val="none"/>
          <w:u w:val="single"/>
        </w:rPr>
      </w:pPr>
      <w:r>
        <w:rPr>
          <w:rFonts w:hint="eastAsia" w:cs="宋体"/>
          <w:sz w:val="24"/>
          <w:szCs w:val="24"/>
          <w:highlight w:val="none"/>
        </w:rPr>
        <w:t>时间：</w:t>
      </w:r>
      <w:r>
        <w:rPr>
          <w:rFonts w:hint="eastAsia" w:cs="宋体"/>
          <w:sz w:val="24"/>
          <w:szCs w:val="24"/>
          <w:highlight w:val="none"/>
          <w:u w:val="none"/>
          <w:lang w:val="en-US" w:eastAsia="zh-CN"/>
        </w:rPr>
        <w:t>2026</w:t>
      </w:r>
      <w:r>
        <w:rPr>
          <w:rFonts w:hint="eastAsia" w:cs="宋体"/>
          <w:bCs/>
          <w:sz w:val="24"/>
          <w:szCs w:val="24"/>
          <w:highlight w:val="none"/>
          <w:u w:val="none"/>
        </w:rPr>
        <w:t>年</w:t>
      </w:r>
      <w:r>
        <w:rPr>
          <w:rFonts w:hint="eastAsia" w:cs="宋体"/>
          <w:bCs/>
          <w:sz w:val="24"/>
          <w:szCs w:val="24"/>
          <w:highlight w:val="none"/>
          <w:u w:val="none"/>
          <w:lang w:val="en-US" w:eastAsia="zh-CN"/>
        </w:rPr>
        <w:t>6</w:t>
      </w:r>
      <w:r>
        <w:rPr>
          <w:rFonts w:hint="eastAsia" w:cs="宋体"/>
          <w:bCs/>
          <w:sz w:val="24"/>
          <w:szCs w:val="24"/>
          <w:highlight w:val="none"/>
          <w:u w:val="none"/>
        </w:rPr>
        <w:t>月</w:t>
      </w:r>
      <w:r>
        <w:rPr>
          <w:rFonts w:hint="eastAsia" w:cs="宋体"/>
          <w:bCs/>
          <w:sz w:val="24"/>
          <w:szCs w:val="24"/>
          <w:highlight w:val="none"/>
          <w:u w:val="none"/>
          <w:lang w:val="en-US" w:eastAsia="zh-CN"/>
        </w:rPr>
        <w:t>23</w:t>
      </w:r>
      <w:r>
        <w:rPr>
          <w:rFonts w:hint="eastAsia" w:cs="宋体"/>
          <w:bCs/>
          <w:sz w:val="24"/>
          <w:szCs w:val="24"/>
          <w:highlight w:val="none"/>
          <w:u w:val="none"/>
        </w:rPr>
        <w:t>日</w:t>
      </w:r>
      <w:r>
        <w:rPr>
          <w:rFonts w:hint="eastAsia" w:cs="宋体"/>
          <w:bCs/>
          <w:sz w:val="24"/>
          <w:szCs w:val="24"/>
          <w:highlight w:val="none"/>
          <w:u w:val="none"/>
          <w:lang w:val="en-US" w:eastAsia="zh-CN"/>
        </w:rPr>
        <w:t>9</w:t>
      </w:r>
      <w:r>
        <w:rPr>
          <w:rFonts w:hint="eastAsia" w:cs="宋体"/>
          <w:bCs/>
          <w:sz w:val="24"/>
          <w:szCs w:val="24"/>
          <w:highlight w:val="none"/>
          <w:u w:val="none"/>
        </w:rPr>
        <w:t>点</w:t>
      </w:r>
      <w:r>
        <w:rPr>
          <w:rFonts w:hint="eastAsia" w:cs="宋体"/>
          <w:bCs/>
          <w:sz w:val="24"/>
          <w:szCs w:val="24"/>
          <w:highlight w:val="none"/>
          <w:u w:val="none"/>
          <w:lang w:val="en-US" w:eastAsia="zh-CN"/>
        </w:rPr>
        <w:t>30</w:t>
      </w:r>
      <w:r>
        <w:rPr>
          <w:rFonts w:hint="eastAsia" w:cs="宋体"/>
          <w:bCs/>
          <w:sz w:val="24"/>
          <w:szCs w:val="24"/>
          <w:highlight w:val="none"/>
          <w:u w:val="none"/>
        </w:rPr>
        <w:t>分</w:t>
      </w:r>
      <w:r>
        <w:rPr>
          <w:rFonts w:hint="eastAsia" w:cs="宋体"/>
          <w:bCs/>
          <w:sz w:val="24"/>
          <w:szCs w:val="24"/>
          <w:highlight w:val="none"/>
        </w:rPr>
        <w:t>（北京时间）</w:t>
      </w:r>
    </w:p>
    <w:p w14:paraId="1FFF9D1F">
      <w:pPr>
        <w:spacing w:line="360" w:lineRule="auto"/>
        <w:ind w:firstLine="480" w:firstLineChars="200"/>
        <w:rPr>
          <w:highlight w:val="none"/>
        </w:rPr>
      </w:pPr>
      <w:r>
        <w:rPr>
          <w:rFonts w:hint="eastAsia" w:cs="宋体"/>
          <w:sz w:val="24"/>
          <w:szCs w:val="24"/>
          <w:highlight w:val="none"/>
        </w:rPr>
        <w:t>地点：“优质采招标采购平台（www.yzczb.com）”或“优质采云采购平台（www.youzhicai.com）”</w:t>
      </w:r>
    </w:p>
    <w:p w14:paraId="1CCDF1DC">
      <w:pPr>
        <w:spacing w:line="360" w:lineRule="auto"/>
        <w:ind w:firstLine="435"/>
        <w:outlineLvl w:val="1"/>
        <w:rPr>
          <w:b/>
          <w:bCs/>
          <w:sz w:val="24"/>
          <w:highlight w:val="none"/>
        </w:rPr>
      </w:pPr>
      <w:bookmarkStart w:id="17" w:name="_Toc24365"/>
      <w:r>
        <w:rPr>
          <w:rFonts w:hint="eastAsia"/>
          <w:b/>
          <w:bCs/>
          <w:sz w:val="24"/>
          <w:highlight w:val="none"/>
        </w:rPr>
        <w:t>六、</w:t>
      </w:r>
      <w:bookmarkEnd w:id="11"/>
      <w:r>
        <w:rPr>
          <w:rFonts w:hint="eastAsia"/>
          <w:b/>
          <w:bCs/>
          <w:sz w:val="24"/>
          <w:highlight w:val="none"/>
        </w:rPr>
        <w:t>公告期限</w:t>
      </w:r>
      <w:bookmarkEnd w:id="17"/>
    </w:p>
    <w:p w14:paraId="6AA259A3">
      <w:pPr>
        <w:spacing w:line="360" w:lineRule="auto"/>
        <w:ind w:firstLine="480" w:firstLineChars="200"/>
        <w:rPr>
          <w:rFonts w:cs="宋体"/>
          <w:sz w:val="24"/>
          <w:szCs w:val="24"/>
          <w:highlight w:val="none"/>
        </w:rPr>
      </w:pPr>
      <w:bookmarkStart w:id="18" w:name="_Toc7722"/>
      <w:r>
        <w:rPr>
          <w:rFonts w:hint="eastAsia" w:cs="宋体"/>
          <w:sz w:val="24"/>
          <w:szCs w:val="24"/>
          <w:highlight w:val="none"/>
        </w:rPr>
        <w:t>自本公告发布之日起3个工作日。</w:t>
      </w:r>
    </w:p>
    <w:p w14:paraId="16D9ED03">
      <w:pPr>
        <w:spacing w:line="360" w:lineRule="auto"/>
        <w:ind w:firstLine="437"/>
        <w:outlineLvl w:val="1"/>
        <w:rPr>
          <w:b/>
          <w:bCs/>
          <w:sz w:val="24"/>
          <w:szCs w:val="18"/>
          <w:highlight w:val="none"/>
        </w:rPr>
      </w:pPr>
      <w:bookmarkStart w:id="19" w:name="_Toc22198"/>
      <w:bookmarkStart w:id="20" w:name="_Toc35393795"/>
      <w:bookmarkStart w:id="21" w:name="_Toc35393626"/>
      <w:r>
        <w:rPr>
          <w:rFonts w:hint="eastAsia"/>
          <w:b/>
          <w:bCs/>
          <w:sz w:val="24"/>
          <w:szCs w:val="18"/>
          <w:highlight w:val="none"/>
        </w:rPr>
        <w:t>七、其他补充事宜</w:t>
      </w:r>
      <w:bookmarkEnd w:id="19"/>
      <w:bookmarkEnd w:id="20"/>
      <w:bookmarkEnd w:id="21"/>
    </w:p>
    <w:p w14:paraId="2B907FE7">
      <w:pPr>
        <w:pStyle w:val="19"/>
        <w:spacing w:after="0" w:line="360" w:lineRule="auto"/>
        <w:ind w:firstLine="480" w:firstLineChars="200"/>
        <w:rPr>
          <w:rFonts w:ascii="宋体" w:hAnsi="宋体" w:eastAsia="宋体"/>
          <w:sz w:val="24"/>
          <w:szCs w:val="18"/>
          <w:highlight w:val="none"/>
          <w:lang w:val="en-US"/>
        </w:rPr>
      </w:pPr>
      <w:r>
        <w:rPr>
          <w:rFonts w:ascii="宋体" w:hAnsi="宋体" w:eastAsia="宋体"/>
          <w:sz w:val="24"/>
          <w:szCs w:val="18"/>
          <w:highlight w:val="none"/>
          <w:lang w:val="en-US"/>
        </w:rPr>
        <w:t>1.本项目相关信息同时在“安徽省政府采购网、优质采招标采购平台（www.yzczb.com）和优质采云采购平台（www.youzhicai.com）”等媒介上发布；</w:t>
      </w:r>
    </w:p>
    <w:p w14:paraId="34F2D124">
      <w:pPr>
        <w:pStyle w:val="19"/>
        <w:spacing w:after="0" w:line="360" w:lineRule="auto"/>
        <w:ind w:firstLine="480" w:firstLineChars="200"/>
        <w:rPr>
          <w:rFonts w:ascii="宋体" w:hAnsi="宋体" w:eastAsia="宋体"/>
          <w:sz w:val="24"/>
          <w:szCs w:val="18"/>
          <w:highlight w:val="none"/>
          <w:lang w:val="en-US"/>
        </w:rPr>
      </w:pPr>
      <w:r>
        <w:rPr>
          <w:rFonts w:ascii="宋体" w:hAnsi="宋体" w:eastAsia="宋体"/>
          <w:sz w:val="24"/>
          <w:szCs w:val="18"/>
          <w:highlight w:val="none"/>
          <w:lang w:val="en-US"/>
        </w:rPr>
        <w:t>2.本项目需落实的节能环保、中小企业扶持等相关政府采购政策详见</w:t>
      </w:r>
      <w:r>
        <w:rPr>
          <w:rFonts w:hint="eastAsia" w:ascii="宋体" w:hAnsi="宋体" w:eastAsia="宋体"/>
          <w:sz w:val="24"/>
          <w:szCs w:val="18"/>
          <w:highlight w:val="none"/>
          <w:lang w:val="en-US" w:eastAsia="zh-CN"/>
        </w:rPr>
        <w:t>磋商</w:t>
      </w:r>
      <w:r>
        <w:rPr>
          <w:rFonts w:ascii="宋体" w:hAnsi="宋体" w:eastAsia="宋体"/>
          <w:sz w:val="24"/>
          <w:szCs w:val="18"/>
          <w:highlight w:val="none"/>
          <w:lang w:val="en-US"/>
        </w:rPr>
        <w:t>文件。</w:t>
      </w:r>
    </w:p>
    <w:p w14:paraId="501AAAC5">
      <w:pPr>
        <w:pStyle w:val="19"/>
        <w:spacing w:after="0" w:line="360" w:lineRule="auto"/>
        <w:ind w:firstLine="480" w:firstLineChars="200"/>
        <w:rPr>
          <w:rFonts w:ascii="宋体" w:hAnsi="宋体" w:eastAsia="宋体"/>
          <w:sz w:val="24"/>
          <w:szCs w:val="18"/>
          <w:highlight w:val="none"/>
          <w:lang w:val="en-US"/>
        </w:rPr>
      </w:pPr>
      <w:r>
        <w:rPr>
          <w:rFonts w:ascii="宋体" w:hAnsi="宋体" w:eastAsia="宋体"/>
          <w:sz w:val="24"/>
          <w:szCs w:val="18"/>
          <w:highlight w:val="none"/>
          <w:lang w:val="en-US"/>
        </w:rPr>
        <w:t>3.政府采购电子化交易要求：</w:t>
      </w:r>
    </w:p>
    <w:p w14:paraId="6A49F94C">
      <w:pPr>
        <w:pStyle w:val="19"/>
        <w:spacing w:after="0" w:line="360" w:lineRule="auto"/>
        <w:ind w:firstLine="480" w:firstLineChars="200"/>
        <w:rPr>
          <w:rFonts w:ascii="宋体" w:hAnsi="宋体" w:eastAsia="宋体"/>
          <w:sz w:val="24"/>
          <w:szCs w:val="18"/>
          <w:highlight w:val="none"/>
          <w:lang w:val="en-US"/>
        </w:rPr>
      </w:pPr>
      <w:r>
        <w:rPr>
          <w:rFonts w:ascii="宋体" w:hAnsi="宋体" w:eastAsia="宋体"/>
          <w:sz w:val="24"/>
          <w:szCs w:val="18"/>
          <w:highlight w:val="none"/>
          <w:lang w:val="en-US"/>
        </w:rPr>
        <w:t>（1）潜在投标人/供应商须登录“优质采招标采购平台（www.yzczb.com）”或“优质采云采购平台（www.youzhicai.com）”（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6D74155C">
      <w:pPr>
        <w:pStyle w:val="19"/>
        <w:spacing w:after="0" w:line="360" w:lineRule="auto"/>
        <w:ind w:firstLine="480" w:firstLineChars="200"/>
        <w:rPr>
          <w:rFonts w:ascii="宋体" w:hAnsi="宋体" w:eastAsia="宋体"/>
          <w:sz w:val="24"/>
          <w:szCs w:val="18"/>
          <w:highlight w:val="none"/>
          <w:lang w:val="en-US"/>
        </w:rPr>
      </w:pPr>
      <w:r>
        <w:rPr>
          <w:rFonts w:ascii="宋体" w:hAnsi="宋体" w:eastAsia="宋体"/>
          <w:sz w:val="24"/>
          <w:szCs w:val="18"/>
          <w:highlight w:val="none"/>
          <w:lang w:val="en-US"/>
        </w:rPr>
        <w:t>（2）已注册的潜在投标人/供应商可登录优质采平台获取招标采购文件，本项目的招标采购文件及其他资料（含澄清、答疑及相关补充文件）通过优质采平台发布，采购人/代理机构不再另行书面通知，潜在投标人/供应商应及时关注、查阅优质采平台。因未及时查看导致不利后果的，责任自负。</w:t>
      </w:r>
    </w:p>
    <w:p w14:paraId="1422FEE5">
      <w:pPr>
        <w:pStyle w:val="19"/>
        <w:spacing w:after="0" w:line="360" w:lineRule="auto"/>
        <w:ind w:firstLine="480" w:firstLineChars="200"/>
        <w:rPr>
          <w:rFonts w:ascii="宋体" w:hAnsi="宋体" w:eastAsia="宋体"/>
          <w:sz w:val="24"/>
          <w:szCs w:val="18"/>
          <w:highlight w:val="none"/>
          <w:lang w:val="en-US"/>
        </w:rPr>
      </w:pPr>
      <w:r>
        <w:rPr>
          <w:rFonts w:ascii="宋体" w:hAnsi="宋体" w:eastAsia="宋体"/>
          <w:sz w:val="24"/>
          <w:szCs w:val="18"/>
          <w:highlight w:val="none"/>
          <w:lang w:val="en-US"/>
        </w:rPr>
        <w:t>（3）已注册的潜在投标人/供应商若注册信息发生变更（如：与初始注册信息不一致），应及时网上提交变更申请。因未及时变更导致不利后果的，责任自负。</w:t>
      </w:r>
    </w:p>
    <w:p w14:paraId="3ECA0F63">
      <w:pPr>
        <w:pStyle w:val="19"/>
        <w:spacing w:after="0" w:line="360" w:lineRule="auto"/>
        <w:ind w:firstLine="480" w:firstLineChars="200"/>
        <w:rPr>
          <w:rFonts w:ascii="宋体" w:hAnsi="宋体" w:eastAsia="宋体"/>
          <w:sz w:val="24"/>
          <w:szCs w:val="18"/>
          <w:highlight w:val="none"/>
          <w:lang w:val="en-US"/>
        </w:rPr>
      </w:pPr>
      <w:r>
        <w:rPr>
          <w:rFonts w:ascii="宋体" w:hAnsi="宋体" w:eastAsia="宋体"/>
          <w:sz w:val="24"/>
          <w:szCs w:val="18"/>
          <w:highlight w:val="none"/>
          <w:lang w:val="en-US"/>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509EA9AE">
      <w:pPr>
        <w:pStyle w:val="19"/>
        <w:spacing w:after="0" w:line="360" w:lineRule="auto"/>
        <w:ind w:firstLine="480" w:firstLineChars="200"/>
        <w:rPr>
          <w:rFonts w:ascii="宋体" w:hAnsi="宋体" w:eastAsia="宋体"/>
          <w:sz w:val="24"/>
          <w:szCs w:val="18"/>
          <w:highlight w:val="none"/>
          <w:lang w:val="en-US"/>
        </w:rPr>
      </w:pPr>
      <w:r>
        <w:rPr>
          <w:rFonts w:ascii="宋体" w:hAnsi="宋体" w:eastAsia="宋体"/>
          <w:sz w:val="24"/>
          <w:szCs w:val="18"/>
          <w:highlight w:val="none"/>
          <w:lang w:val="en-US"/>
        </w:rPr>
        <w:t>（5）电子投标/响应文件必须使用“优质采投标文件制作工具”制作生成并上传。下载地址：http://toolcdn.youzhicai.com/tools/BidderTools.zip，使用说明书及视频教程下载地址:http://file.youzhicai.com/files/BidderHelp.rar。</w:t>
      </w:r>
    </w:p>
    <w:p w14:paraId="6DBEB08D">
      <w:pPr>
        <w:spacing w:line="360" w:lineRule="auto"/>
        <w:ind w:firstLine="437"/>
        <w:outlineLvl w:val="1"/>
        <w:rPr>
          <w:b/>
          <w:bCs/>
          <w:sz w:val="24"/>
          <w:szCs w:val="18"/>
          <w:highlight w:val="none"/>
        </w:rPr>
      </w:pPr>
      <w:bookmarkStart w:id="22" w:name="_Toc25763"/>
      <w:r>
        <w:rPr>
          <w:rFonts w:hint="eastAsia" w:asciiTheme="minorEastAsia" w:hAnsiTheme="minorEastAsia" w:eastAsiaTheme="minorEastAsia"/>
          <w:b/>
          <w:sz w:val="24"/>
          <w:highlight w:val="none"/>
        </w:rPr>
        <w:t>八、</w:t>
      </w:r>
      <w:bookmarkEnd w:id="18"/>
      <w:r>
        <w:rPr>
          <w:rFonts w:hint="eastAsia"/>
          <w:b/>
          <w:bCs/>
          <w:sz w:val="24"/>
          <w:szCs w:val="18"/>
          <w:highlight w:val="none"/>
        </w:rPr>
        <w:t>对本次招标提出询问，请按以下方式联系</w:t>
      </w:r>
      <w:bookmarkEnd w:id="22"/>
    </w:p>
    <w:p w14:paraId="64F53A84">
      <w:pPr>
        <w:spacing w:line="360" w:lineRule="auto"/>
        <w:ind w:firstLine="435"/>
        <w:rPr>
          <w:sz w:val="24"/>
          <w:szCs w:val="18"/>
          <w:highlight w:val="none"/>
        </w:rPr>
      </w:pPr>
      <w:r>
        <w:rPr>
          <w:rFonts w:hint="eastAsia"/>
          <w:sz w:val="24"/>
          <w:szCs w:val="18"/>
          <w:highlight w:val="none"/>
        </w:rPr>
        <w:t>1.采购人信息</w:t>
      </w:r>
    </w:p>
    <w:p w14:paraId="04014566">
      <w:pPr>
        <w:spacing w:line="360" w:lineRule="auto"/>
        <w:ind w:firstLine="435"/>
        <w:rPr>
          <w:sz w:val="24"/>
          <w:szCs w:val="18"/>
          <w:highlight w:val="none"/>
        </w:rPr>
      </w:pPr>
      <w:r>
        <w:rPr>
          <w:rFonts w:hint="eastAsia"/>
          <w:sz w:val="24"/>
          <w:szCs w:val="18"/>
          <w:highlight w:val="none"/>
        </w:rPr>
        <w:t>名  称：安徽职业技术大学</w:t>
      </w:r>
    </w:p>
    <w:p w14:paraId="5A8B8FC7">
      <w:pPr>
        <w:spacing w:line="360" w:lineRule="auto"/>
        <w:ind w:firstLine="435"/>
        <w:rPr>
          <w:rFonts w:hint="eastAsia"/>
          <w:sz w:val="24"/>
          <w:szCs w:val="18"/>
          <w:highlight w:val="none"/>
        </w:rPr>
      </w:pPr>
      <w:r>
        <w:rPr>
          <w:rFonts w:hint="eastAsia"/>
          <w:sz w:val="24"/>
          <w:szCs w:val="18"/>
          <w:highlight w:val="none"/>
        </w:rPr>
        <w:t>地  址：合肥市新站区文忠路2600号</w:t>
      </w:r>
    </w:p>
    <w:p w14:paraId="21454C9D">
      <w:pPr>
        <w:spacing w:line="360" w:lineRule="auto"/>
        <w:ind w:firstLine="435"/>
        <w:rPr>
          <w:rFonts w:hint="eastAsia"/>
          <w:sz w:val="24"/>
          <w:szCs w:val="18"/>
          <w:highlight w:val="none"/>
        </w:rPr>
      </w:pPr>
      <w:r>
        <w:rPr>
          <w:rFonts w:hint="eastAsia"/>
          <w:sz w:val="24"/>
          <w:szCs w:val="18"/>
          <w:highlight w:val="none"/>
        </w:rPr>
        <w:t>联系人：薛斌</w:t>
      </w:r>
    </w:p>
    <w:p w14:paraId="1450C961">
      <w:pPr>
        <w:spacing w:line="360" w:lineRule="auto"/>
        <w:ind w:firstLine="435"/>
        <w:rPr>
          <w:rFonts w:hint="eastAsia"/>
          <w:sz w:val="24"/>
          <w:szCs w:val="18"/>
          <w:highlight w:val="none"/>
        </w:rPr>
      </w:pPr>
      <w:r>
        <w:rPr>
          <w:rFonts w:hint="eastAsia"/>
          <w:sz w:val="24"/>
          <w:szCs w:val="18"/>
          <w:highlight w:val="none"/>
        </w:rPr>
        <w:t>联系方式：18110964936</w:t>
      </w:r>
    </w:p>
    <w:p w14:paraId="249F327D">
      <w:pPr>
        <w:spacing w:line="360" w:lineRule="auto"/>
        <w:ind w:firstLine="435"/>
        <w:rPr>
          <w:sz w:val="24"/>
          <w:szCs w:val="18"/>
          <w:highlight w:val="none"/>
        </w:rPr>
      </w:pPr>
      <w:r>
        <w:rPr>
          <w:rFonts w:hint="eastAsia"/>
          <w:sz w:val="24"/>
          <w:szCs w:val="18"/>
          <w:highlight w:val="none"/>
        </w:rPr>
        <w:t>2.采购代理机构信息</w:t>
      </w:r>
    </w:p>
    <w:p w14:paraId="0062BA20">
      <w:pPr>
        <w:spacing w:line="360" w:lineRule="auto"/>
        <w:ind w:firstLine="435"/>
        <w:rPr>
          <w:sz w:val="24"/>
          <w:szCs w:val="18"/>
          <w:highlight w:val="none"/>
        </w:rPr>
      </w:pPr>
      <w:r>
        <w:rPr>
          <w:rFonts w:hint="eastAsia"/>
          <w:sz w:val="24"/>
          <w:szCs w:val="18"/>
          <w:highlight w:val="none"/>
        </w:rPr>
        <w:t>名  称：安徽省招标集团股份有限公司</w:t>
      </w:r>
    </w:p>
    <w:p w14:paraId="10AF10B1">
      <w:pPr>
        <w:spacing w:line="360" w:lineRule="auto"/>
        <w:ind w:firstLine="435"/>
        <w:rPr>
          <w:sz w:val="24"/>
          <w:szCs w:val="18"/>
          <w:highlight w:val="none"/>
        </w:rPr>
      </w:pPr>
      <w:r>
        <w:rPr>
          <w:rFonts w:hint="eastAsia"/>
          <w:sz w:val="24"/>
          <w:szCs w:val="18"/>
          <w:highlight w:val="none"/>
        </w:rPr>
        <w:t>地  址：安徽省合肥市滨湖新区紫云路888号</w:t>
      </w:r>
    </w:p>
    <w:p w14:paraId="7BC7A8FF">
      <w:pPr>
        <w:spacing w:line="360" w:lineRule="auto"/>
        <w:ind w:firstLine="435"/>
        <w:rPr>
          <w:sz w:val="24"/>
          <w:szCs w:val="18"/>
          <w:highlight w:val="none"/>
        </w:rPr>
      </w:pPr>
      <w:r>
        <w:rPr>
          <w:rFonts w:hint="eastAsia"/>
          <w:sz w:val="24"/>
          <w:szCs w:val="18"/>
          <w:highlight w:val="none"/>
        </w:rPr>
        <w:t>联系人：周钢、金丹</w:t>
      </w:r>
    </w:p>
    <w:p w14:paraId="44C44C81">
      <w:pPr>
        <w:spacing w:line="360" w:lineRule="auto"/>
        <w:ind w:firstLine="435"/>
        <w:rPr>
          <w:sz w:val="24"/>
          <w:szCs w:val="18"/>
          <w:highlight w:val="none"/>
        </w:rPr>
      </w:pPr>
      <w:r>
        <w:rPr>
          <w:rFonts w:hint="eastAsia"/>
          <w:sz w:val="24"/>
          <w:szCs w:val="18"/>
          <w:highlight w:val="none"/>
        </w:rPr>
        <w:t>联系方式：0551-66061343、18256991819</w:t>
      </w:r>
      <w:r>
        <w:rPr>
          <w:sz w:val="24"/>
          <w:szCs w:val="18"/>
          <w:highlight w:val="none"/>
        </w:rPr>
        <w:br w:type="page"/>
      </w:r>
    </w:p>
    <w:p w14:paraId="365C48ED">
      <w:pPr>
        <w:spacing w:line="360" w:lineRule="auto"/>
        <w:jc w:val="center"/>
        <w:outlineLvl w:val="0"/>
        <w:rPr>
          <w:rFonts w:asciiTheme="minorEastAsia" w:hAnsiTheme="minorEastAsia" w:eastAsiaTheme="minorEastAsia"/>
          <w:b/>
          <w:sz w:val="28"/>
          <w:highlight w:val="none"/>
        </w:rPr>
      </w:pPr>
      <w:bookmarkStart w:id="23" w:name="_Toc28080"/>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供应商</w:t>
      </w:r>
      <w:r>
        <w:rPr>
          <w:rFonts w:asciiTheme="minorEastAsia" w:hAnsiTheme="minorEastAsia" w:eastAsiaTheme="minorEastAsia"/>
          <w:b/>
          <w:sz w:val="28"/>
          <w:highlight w:val="none"/>
        </w:rPr>
        <w:t>须知</w:t>
      </w:r>
      <w:bookmarkEnd w:id="23"/>
    </w:p>
    <w:p w14:paraId="71CFD1DB">
      <w:pPr>
        <w:spacing w:line="360" w:lineRule="auto"/>
        <w:jc w:val="center"/>
        <w:outlineLvl w:val="1"/>
        <w:rPr>
          <w:rFonts w:asciiTheme="minorEastAsia" w:hAnsiTheme="minorEastAsia" w:eastAsiaTheme="minorEastAsia"/>
          <w:b/>
          <w:sz w:val="24"/>
          <w:highlight w:val="none"/>
        </w:rPr>
      </w:pPr>
      <w:bookmarkStart w:id="24" w:name="_Toc12027"/>
      <w:bookmarkStart w:id="25" w:name="_Toc18621"/>
      <w:r>
        <w:rPr>
          <w:rFonts w:hint="eastAsia" w:asciiTheme="minorEastAsia" w:hAnsiTheme="minorEastAsia" w:eastAsiaTheme="minorEastAsia"/>
          <w:b/>
          <w:sz w:val="24"/>
          <w:highlight w:val="none"/>
        </w:rPr>
        <w:t>一、供应商</w:t>
      </w:r>
      <w:r>
        <w:rPr>
          <w:rFonts w:asciiTheme="minorEastAsia" w:hAnsiTheme="minorEastAsia" w:eastAsiaTheme="minorEastAsia"/>
          <w:b/>
          <w:sz w:val="24"/>
          <w:highlight w:val="none"/>
        </w:rPr>
        <w:t>须知前附表</w:t>
      </w:r>
      <w:bookmarkEnd w:id="24"/>
      <w:bookmarkEnd w:id="25"/>
    </w:p>
    <w:p w14:paraId="6395DA04">
      <w:pPr>
        <w:spacing w:line="360" w:lineRule="auto"/>
        <w:ind w:firstLine="435"/>
        <w:rPr>
          <w:sz w:val="24"/>
          <w:szCs w:val="18"/>
          <w:highlight w:val="none"/>
        </w:rPr>
      </w:pPr>
      <w:r>
        <w:rPr>
          <w:rFonts w:hint="eastAsia"/>
          <w:b/>
          <w:bCs/>
          <w:sz w:val="24"/>
          <w:szCs w:val="18"/>
          <w:highlight w:val="none"/>
        </w:rPr>
        <w:t>注：</w:t>
      </w:r>
      <w:r>
        <w:rPr>
          <w:rFonts w:hint="eastAsia"/>
          <w:sz w:val="24"/>
          <w:szCs w:val="18"/>
          <w:highlight w:val="none"/>
        </w:rPr>
        <w:t>本表是本项目的具体要求，是对供应商须知的具体补充和修改，如有不一致，以本表为准。</w:t>
      </w:r>
    </w:p>
    <w:tbl>
      <w:tblPr>
        <w:tblStyle w:val="53"/>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604"/>
        <w:gridCol w:w="6336"/>
      </w:tblGrid>
      <w:tr w14:paraId="127A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0CC3DB9">
            <w:pPr>
              <w:pStyle w:val="67"/>
              <w:widowControl w:val="0"/>
              <w:spacing w:before="0" w:beforeAutospacing="0" w:after="0" w:afterAutospacing="0" w:line="360" w:lineRule="auto"/>
              <w:rPr>
                <w:bCs w:val="0"/>
                <w:kern w:val="2"/>
                <w:sz w:val="24"/>
                <w:szCs w:val="20"/>
                <w:highlight w:val="none"/>
              </w:rPr>
            </w:pPr>
            <w:r>
              <w:rPr>
                <w:rFonts w:hint="eastAsia"/>
                <w:bCs w:val="0"/>
                <w:kern w:val="2"/>
                <w:sz w:val="24"/>
                <w:szCs w:val="20"/>
                <w:highlight w:val="none"/>
              </w:rPr>
              <w:t>条款号</w:t>
            </w:r>
          </w:p>
        </w:tc>
        <w:tc>
          <w:tcPr>
            <w:tcW w:w="977" w:type="pct"/>
            <w:vAlign w:val="center"/>
          </w:tcPr>
          <w:p w14:paraId="49FB1F6C">
            <w:pPr>
              <w:pStyle w:val="67"/>
              <w:widowControl w:val="0"/>
              <w:spacing w:before="0" w:beforeAutospacing="0" w:after="0" w:afterAutospacing="0" w:line="360" w:lineRule="auto"/>
              <w:rPr>
                <w:bCs w:val="0"/>
                <w:kern w:val="2"/>
                <w:sz w:val="24"/>
                <w:szCs w:val="20"/>
                <w:highlight w:val="none"/>
              </w:rPr>
            </w:pPr>
            <w:r>
              <w:rPr>
                <w:rFonts w:hint="eastAsia"/>
                <w:bCs w:val="0"/>
                <w:kern w:val="2"/>
                <w:sz w:val="24"/>
                <w:szCs w:val="20"/>
                <w:highlight w:val="none"/>
              </w:rPr>
              <w:t>条款名称</w:t>
            </w:r>
          </w:p>
        </w:tc>
        <w:tc>
          <w:tcPr>
            <w:tcW w:w="3556" w:type="pct"/>
            <w:vAlign w:val="center"/>
          </w:tcPr>
          <w:p w14:paraId="6E1905D9">
            <w:pPr>
              <w:pStyle w:val="67"/>
              <w:widowControl w:val="0"/>
              <w:spacing w:before="0" w:beforeAutospacing="0" w:after="0" w:afterAutospacing="0" w:line="360" w:lineRule="auto"/>
              <w:rPr>
                <w:bCs w:val="0"/>
                <w:kern w:val="2"/>
                <w:sz w:val="24"/>
                <w:szCs w:val="20"/>
                <w:highlight w:val="none"/>
              </w:rPr>
            </w:pPr>
            <w:r>
              <w:rPr>
                <w:rFonts w:hint="eastAsia"/>
                <w:bCs w:val="0"/>
                <w:kern w:val="2"/>
                <w:sz w:val="24"/>
                <w:szCs w:val="20"/>
                <w:highlight w:val="none"/>
              </w:rPr>
              <w:t>内容、说明与要求</w:t>
            </w:r>
          </w:p>
        </w:tc>
      </w:tr>
      <w:tr w14:paraId="2A07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59E7D49">
            <w:pPr>
              <w:pStyle w:val="68"/>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5</w:t>
            </w:r>
            <w:r>
              <w:rPr>
                <w:bCs/>
                <w:kern w:val="2"/>
                <w:highlight w:val="none"/>
              </w:rPr>
              <w:t>.</w:t>
            </w:r>
            <w:r>
              <w:rPr>
                <w:rFonts w:hint="eastAsia"/>
                <w:bCs/>
                <w:kern w:val="2"/>
                <w:highlight w:val="none"/>
              </w:rPr>
              <w:t>2</w:t>
            </w:r>
          </w:p>
        </w:tc>
        <w:tc>
          <w:tcPr>
            <w:tcW w:w="1711" w:type="dxa"/>
            <w:vAlign w:val="center"/>
          </w:tcPr>
          <w:p w14:paraId="3F80F826">
            <w:pPr>
              <w:pStyle w:val="67"/>
              <w:widowControl w:val="0"/>
              <w:spacing w:before="0" w:beforeAutospacing="0" w:after="0" w:afterAutospacing="0" w:line="360" w:lineRule="auto"/>
              <w:jc w:val="left"/>
              <w:rPr>
                <w:b w:val="0"/>
                <w:sz w:val="24"/>
                <w:highlight w:val="none"/>
              </w:rPr>
            </w:pPr>
            <w:r>
              <w:rPr>
                <w:rFonts w:hint="eastAsia"/>
                <w:b w:val="0"/>
                <w:sz w:val="24"/>
                <w:highlight w:val="none"/>
              </w:rPr>
              <w:t>现场考察或标前答疑会</w:t>
            </w:r>
          </w:p>
        </w:tc>
        <w:tc>
          <w:tcPr>
            <w:tcW w:w="6229" w:type="dxa"/>
            <w:vAlign w:val="center"/>
          </w:tcPr>
          <w:p w14:paraId="639F57ED">
            <w:pPr>
              <w:spacing w:line="360" w:lineRule="auto"/>
              <w:rPr>
                <w:bCs/>
                <w:sz w:val="24"/>
                <w:highlight w:val="none"/>
              </w:rPr>
            </w:pPr>
            <w:r>
              <w:rPr>
                <w:rFonts w:hint="eastAsia"/>
                <w:bCs/>
                <w:sz w:val="24"/>
                <w:szCs w:val="24"/>
                <w:highlight w:val="none"/>
              </w:rPr>
              <w:t>☑</w:t>
            </w:r>
            <w:r>
              <w:rPr>
                <w:rFonts w:hint="eastAsia"/>
                <w:sz w:val="24"/>
                <w:highlight w:val="none"/>
              </w:rPr>
              <w:t>不组织或不召开</w:t>
            </w:r>
          </w:p>
          <w:p w14:paraId="694741CA">
            <w:pPr>
              <w:spacing w:line="360" w:lineRule="auto"/>
              <w:rPr>
                <w:bCs/>
                <w:sz w:val="24"/>
                <w:highlight w:val="none"/>
              </w:rPr>
            </w:pPr>
            <w:r>
              <w:rPr>
                <w:rFonts w:hint="eastAsia"/>
                <w:sz w:val="24"/>
                <w:highlight w:val="none"/>
              </w:rPr>
              <w:t>□</w:t>
            </w:r>
            <w:r>
              <w:rPr>
                <w:rFonts w:hint="eastAsia"/>
                <w:bCs/>
                <w:sz w:val="24"/>
                <w:highlight w:val="none"/>
              </w:rPr>
              <w:t>统一组织或统一召开</w:t>
            </w:r>
          </w:p>
          <w:p w14:paraId="1B0B1A9A">
            <w:pPr>
              <w:spacing w:line="360" w:lineRule="auto"/>
              <w:rPr>
                <w:bCs/>
                <w:sz w:val="24"/>
                <w:highlight w:val="none"/>
                <w:u w:val="single"/>
              </w:rPr>
            </w:pPr>
            <w:r>
              <w:rPr>
                <w:rFonts w:hint="eastAsia"/>
                <w:bCs/>
                <w:sz w:val="24"/>
                <w:highlight w:val="none"/>
              </w:rPr>
              <w:t>时间：</w:t>
            </w:r>
            <w:r>
              <w:rPr>
                <w:rFonts w:hint="eastAsia"/>
                <w:bCs/>
                <w:sz w:val="24"/>
                <w:highlight w:val="none"/>
                <w:u w:val="single"/>
              </w:rPr>
              <w:t>/</w:t>
            </w:r>
            <w:r>
              <w:rPr>
                <w:rFonts w:hint="eastAsia"/>
                <w:bCs/>
                <w:sz w:val="24"/>
                <w:highlight w:val="none"/>
              </w:rPr>
              <w:t>年</w:t>
            </w:r>
            <w:r>
              <w:rPr>
                <w:rFonts w:hint="eastAsia"/>
                <w:bCs/>
                <w:sz w:val="24"/>
                <w:highlight w:val="none"/>
                <w:u w:val="single"/>
              </w:rPr>
              <w:t>/</w:t>
            </w:r>
            <w:r>
              <w:rPr>
                <w:rFonts w:hint="eastAsia"/>
                <w:bCs/>
                <w:sz w:val="24"/>
                <w:highlight w:val="none"/>
              </w:rPr>
              <w:t>月</w:t>
            </w:r>
            <w:r>
              <w:rPr>
                <w:rFonts w:hint="eastAsia"/>
                <w:bCs/>
                <w:sz w:val="24"/>
                <w:highlight w:val="none"/>
                <w:u w:val="single"/>
              </w:rPr>
              <w:t>/</w:t>
            </w:r>
            <w:r>
              <w:rPr>
                <w:rFonts w:hint="eastAsia"/>
                <w:bCs/>
                <w:sz w:val="24"/>
                <w:highlight w:val="none"/>
              </w:rPr>
              <w:t>日</w:t>
            </w:r>
            <w:r>
              <w:rPr>
                <w:rFonts w:hint="eastAsia"/>
                <w:bCs/>
                <w:sz w:val="24"/>
                <w:highlight w:val="none"/>
                <w:u w:val="single"/>
              </w:rPr>
              <w:t>/</w:t>
            </w:r>
            <w:r>
              <w:rPr>
                <w:rFonts w:hint="eastAsia"/>
                <w:bCs/>
                <w:sz w:val="24"/>
                <w:highlight w:val="none"/>
              </w:rPr>
              <w:t>时</w:t>
            </w:r>
            <w:r>
              <w:rPr>
                <w:rFonts w:hint="eastAsia"/>
                <w:bCs/>
                <w:sz w:val="24"/>
                <w:highlight w:val="none"/>
                <w:u w:val="single"/>
              </w:rPr>
              <w:t>/</w:t>
            </w:r>
            <w:r>
              <w:rPr>
                <w:rFonts w:hint="eastAsia"/>
                <w:bCs/>
                <w:sz w:val="24"/>
                <w:highlight w:val="none"/>
              </w:rPr>
              <w:t>分</w:t>
            </w:r>
          </w:p>
          <w:p w14:paraId="68E20AFA">
            <w:pPr>
              <w:spacing w:line="360" w:lineRule="auto"/>
              <w:rPr>
                <w:bCs/>
                <w:sz w:val="24"/>
                <w:highlight w:val="none"/>
                <w:u w:val="single"/>
              </w:rPr>
            </w:pPr>
            <w:r>
              <w:rPr>
                <w:rFonts w:hint="eastAsia"/>
                <w:bCs/>
                <w:sz w:val="24"/>
                <w:highlight w:val="none"/>
              </w:rPr>
              <w:t>地点：</w:t>
            </w:r>
            <w:r>
              <w:rPr>
                <w:rFonts w:hint="eastAsia"/>
                <w:bCs/>
                <w:sz w:val="24"/>
                <w:highlight w:val="none"/>
                <w:u w:val="single"/>
              </w:rPr>
              <w:t>/</w:t>
            </w:r>
          </w:p>
          <w:p w14:paraId="1D129820">
            <w:pPr>
              <w:spacing w:line="360" w:lineRule="auto"/>
              <w:rPr>
                <w:bCs/>
                <w:sz w:val="24"/>
                <w:highlight w:val="none"/>
                <w:u w:val="single"/>
              </w:rPr>
            </w:pPr>
            <w:r>
              <w:rPr>
                <w:rFonts w:hint="eastAsia"/>
                <w:bCs/>
                <w:sz w:val="24"/>
                <w:highlight w:val="none"/>
              </w:rPr>
              <w:t>联系人及联系电话：</w:t>
            </w:r>
            <w:r>
              <w:rPr>
                <w:rFonts w:hint="eastAsia"/>
                <w:bCs/>
                <w:sz w:val="24"/>
                <w:highlight w:val="none"/>
                <w:u w:val="single"/>
              </w:rPr>
              <w:t>/</w:t>
            </w:r>
          </w:p>
          <w:p w14:paraId="69C4ABD0">
            <w:pPr>
              <w:pStyle w:val="67"/>
              <w:widowControl w:val="0"/>
              <w:spacing w:before="0" w:beforeAutospacing="0" w:after="0" w:afterAutospacing="0" w:line="360" w:lineRule="auto"/>
              <w:jc w:val="both"/>
              <w:rPr>
                <w:sz w:val="24"/>
                <w:highlight w:val="none"/>
              </w:rPr>
            </w:pPr>
            <w:r>
              <w:rPr>
                <w:rFonts w:hint="eastAsia"/>
                <w:bCs w:val="0"/>
                <w:sz w:val="24"/>
                <w:highlight w:val="none"/>
              </w:rPr>
              <w:t>注：如供应商未参加采购人统一组织的现场考察或采购人统一召开的标前答疑会，视同放弃现场考察或标前答疑会，由此引起的一切责任由供应商自行承担。</w:t>
            </w:r>
          </w:p>
        </w:tc>
      </w:tr>
      <w:tr w14:paraId="6416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004EDDD">
            <w:pPr>
              <w:pStyle w:val="68"/>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6</w:t>
            </w:r>
            <w:r>
              <w:rPr>
                <w:bCs/>
                <w:kern w:val="2"/>
                <w:highlight w:val="none"/>
              </w:rPr>
              <w:t>.1</w:t>
            </w:r>
          </w:p>
        </w:tc>
        <w:tc>
          <w:tcPr>
            <w:tcW w:w="977" w:type="pct"/>
            <w:vAlign w:val="center"/>
          </w:tcPr>
          <w:p w14:paraId="430D4895">
            <w:pPr>
              <w:pStyle w:val="67"/>
              <w:widowControl w:val="0"/>
              <w:spacing w:before="0" w:beforeAutospacing="0" w:after="0" w:afterAutospacing="0" w:line="360" w:lineRule="auto"/>
              <w:jc w:val="left"/>
              <w:rPr>
                <w:b w:val="0"/>
                <w:sz w:val="24"/>
                <w:highlight w:val="none"/>
              </w:rPr>
            </w:pPr>
            <w:r>
              <w:rPr>
                <w:rFonts w:hint="eastAsia"/>
                <w:b w:val="0"/>
                <w:sz w:val="24"/>
                <w:highlight w:val="none"/>
              </w:rPr>
              <w:t>网上询问截止时间</w:t>
            </w:r>
          </w:p>
        </w:tc>
        <w:tc>
          <w:tcPr>
            <w:tcW w:w="3556" w:type="pct"/>
            <w:vAlign w:val="center"/>
          </w:tcPr>
          <w:p w14:paraId="6350B8FD">
            <w:pPr>
              <w:pStyle w:val="67"/>
              <w:widowControl w:val="0"/>
              <w:spacing w:before="0" w:beforeAutospacing="0" w:after="0" w:afterAutospacing="0" w:line="360" w:lineRule="auto"/>
              <w:jc w:val="both"/>
              <w:rPr>
                <w:b w:val="0"/>
                <w:sz w:val="24"/>
                <w:highlight w:val="none"/>
              </w:rPr>
            </w:pPr>
            <w:r>
              <w:rPr>
                <w:rFonts w:hint="eastAsia"/>
                <w:b w:val="0"/>
                <w:sz w:val="24"/>
                <w:highlight w:val="none"/>
                <w:u w:val="single"/>
                <w:lang w:val="en-US" w:eastAsia="zh-CN"/>
              </w:rPr>
              <w:t>2026</w:t>
            </w:r>
            <w:r>
              <w:rPr>
                <w:b w:val="0"/>
                <w:sz w:val="24"/>
                <w:highlight w:val="none"/>
              </w:rPr>
              <w:t>年</w:t>
            </w:r>
            <w:r>
              <w:rPr>
                <w:rFonts w:hint="eastAsia"/>
                <w:b w:val="0"/>
                <w:sz w:val="24"/>
                <w:highlight w:val="none"/>
                <w:u w:val="single"/>
                <w:lang w:val="en-US" w:eastAsia="zh-CN"/>
              </w:rPr>
              <w:t>6</w:t>
            </w:r>
            <w:r>
              <w:rPr>
                <w:b w:val="0"/>
                <w:sz w:val="24"/>
                <w:highlight w:val="none"/>
              </w:rPr>
              <w:t>月</w:t>
            </w:r>
            <w:r>
              <w:rPr>
                <w:rFonts w:hint="eastAsia"/>
                <w:b w:val="0"/>
                <w:sz w:val="24"/>
                <w:highlight w:val="none"/>
                <w:u w:val="single"/>
                <w:lang w:val="en-US" w:eastAsia="zh-CN"/>
              </w:rPr>
              <w:t>17</w:t>
            </w:r>
            <w:r>
              <w:rPr>
                <w:b w:val="0"/>
                <w:sz w:val="24"/>
                <w:highlight w:val="none"/>
              </w:rPr>
              <w:t>日</w:t>
            </w:r>
            <w:r>
              <w:rPr>
                <w:rFonts w:hint="eastAsia"/>
                <w:b w:val="0"/>
                <w:sz w:val="24"/>
                <w:highlight w:val="none"/>
                <w:u w:val="single"/>
                <w:lang w:val="en-US" w:eastAsia="zh-CN"/>
              </w:rPr>
              <w:t>17</w:t>
            </w:r>
            <w:r>
              <w:rPr>
                <w:b w:val="0"/>
                <w:sz w:val="24"/>
                <w:highlight w:val="none"/>
              </w:rPr>
              <w:t>时</w:t>
            </w:r>
            <w:r>
              <w:rPr>
                <w:rFonts w:hint="eastAsia"/>
                <w:b w:val="0"/>
                <w:sz w:val="24"/>
                <w:highlight w:val="none"/>
                <w:u w:val="single"/>
                <w:lang w:val="en-US" w:eastAsia="zh-CN"/>
              </w:rPr>
              <w:t>30</w:t>
            </w:r>
            <w:r>
              <w:rPr>
                <w:rFonts w:hint="eastAsia"/>
                <w:b w:val="0"/>
                <w:sz w:val="24"/>
                <w:highlight w:val="none"/>
              </w:rPr>
              <w:t>分</w:t>
            </w:r>
          </w:p>
        </w:tc>
      </w:tr>
      <w:tr w14:paraId="09EA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16" w:type="dxa"/>
            <w:vAlign w:val="center"/>
          </w:tcPr>
          <w:p w14:paraId="7D221DB8">
            <w:pPr>
              <w:pStyle w:val="68"/>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7</w:t>
            </w:r>
            <w:r>
              <w:rPr>
                <w:bCs/>
                <w:kern w:val="2"/>
                <w:highlight w:val="none"/>
              </w:rPr>
              <w:t>.1</w:t>
            </w:r>
          </w:p>
        </w:tc>
        <w:tc>
          <w:tcPr>
            <w:tcW w:w="977" w:type="pct"/>
            <w:vAlign w:val="center"/>
          </w:tcPr>
          <w:p w14:paraId="056AB1C2">
            <w:pPr>
              <w:pStyle w:val="67"/>
              <w:widowControl w:val="0"/>
              <w:spacing w:before="0" w:beforeAutospacing="0" w:after="0" w:afterAutospacing="0" w:line="360" w:lineRule="auto"/>
              <w:jc w:val="left"/>
              <w:rPr>
                <w:b w:val="0"/>
                <w:sz w:val="24"/>
                <w:highlight w:val="none"/>
              </w:rPr>
            </w:pPr>
            <w:r>
              <w:rPr>
                <w:rFonts w:hint="eastAsia"/>
                <w:b w:val="0"/>
                <w:sz w:val="24"/>
                <w:highlight w:val="none"/>
              </w:rPr>
              <w:t>包别划分</w:t>
            </w:r>
          </w:p>
        </w:tc>
        <w:tc>
          <w:tcPr>
            <w:tcW w:w="3556" w:type="pct"/>
            <w:vAlign w:val="center"/>
          </w:tcPr>
          <w:p w14:paraId="2B6E9A35">
            <w:pPr>
              <w:pStyle w:val="67"/>
              <w:widowControl w:val="0"/>
              <w:spacing w:before="0" w:beforeAutospacing="0" w:after="0" w:afterAutospacing="0" w:line="360" w:lineRule="auto"/>
              <w:jc w:val="both"/>
              <w:rPr>
                <w:b w:val="0"/>
                <w:sz w:val="24"/>
                <w:highlight w:val="none"/>
              </w:rPr>
            </w:pPr>
            <w:r>
              <w:rPr>
                <w:rFonts w:hint="eastAsia"/>
                <w:b w:val="0"/>
                <w:bCs w:val="0"/>
                <w:sz w:val="24"/>
                <w:szCs w:val="24"/>
                <w:highlight w:val="none"/>
              </w:rPr>
              <w:t>☑</w:t>
            </w:r>
            <w:r>
              <w:rPr>
                <w:b w:val="0"/>
                <w:sz w:val="24"/>
                <w:highlight w:val="none"/>
              </w:rPr>
              <w:t>不分包     □分为</w:t>
            </w:r>
            <w:r>
              <w:rPr>
                <w:rFonts w:hint="eastAsia"/>
                <w:b w:val="0"/>
                <w:sz w:val="24"/>
                <w:highlight w:val="none"/>
              </w:rPr>
              <w:t>/</w:t>
            </w:r>
            <w:r>
              <w:rPr>
                <w:b w:val="0"/>
                <w:sz w:val="24"/>
                <w:highlight w:val="none"/>
              </w:rPr>
              <w:t>个包</w:t>
            </w:r>
          </w:p>
          <w:p w14:paraId="1AF5D46C">
            <w:pPr>
              <w:pStyle w:val="67"/>
              <w:widowControl w:val="0"/>
              <w:spacing w:before="0" w:beforeAutospacing="0" w:after="0" w:afterAutospacing="0" w:line="360" w:lineRule="auto"/>
              <w:jc w:val="both"/>
              <w:rPr>
                <w:b w:val="0"/>
                <w:sz w:val="24"/>
                <w:highlight w:val="none"/>
              </w:rPr>
            </w:pPr>
            <w:r>
              <w:rPr>
                <w:rFonts w:hint="eastAsia"/>
                <w:b w:val="0"/>
                <w:bCs w:val="0"/>
                <w:sz w:val="24"/>
                <w:szCs w:val="24"/>
                <w:highlight w:val="none"/>
              </w:rPr>
              <w:t>供应商参加多个包磋商的成交</w:t>
            </w:r>
            <w:r>
              <w:rPr>
                <w:b w:val="0"/>
                <w:bCs w:val="0"/>
                <w:sz w:val="24"/>
                <w:szCs w:val="24"/>
                <w:highlight w:val="none"/>
              </w:rPr>
              <w:t>包</w:t>
            </w:r>
            <w:r>
              <w:rPr>
                <w:rFonts w:hint="eastAsia"/>
                <w:b w:val="0"/>
                <w:bCs w:val="0"/>
                <w:sz w:val="24"/>
                <w:szCs w:val="24"/>
                <w:highlight w:val="none"/>
              </w:rPr>
              <w:t>数规定：</w:t>
            </w:r>
            <w:r>
              <w:rPr>
                <w:rFonts w:hint="eastAsia"/>
                <w:b w:val="0"/>
                <w:bCs w:val="0"/>
                <w:sz w:val="24"/>
                <w:szCs w:val="18"/>
                <w:highlight w:val="none"/>
                <w:u w:val="single"/>
              </w:rPr>
              <w:t>/</w:t>
            </w:r>
            <w:r>
              <w:rPr>
                <w:b w:val="0"/>
                <w:bCs w:val="0"/>
                <w:sz w:val="24"/>
                <w:szCs w:val="18"/>
                <w:highlight w:val="none"/>
                <w:u w:val="single"/>
              </w:rPr>
              <w:t xml:space="preserve"> </w:t>
            </w:r>
          </w:p>
        </w:tc>
      </w:tr>
      <w:tr w14:paraId="1C90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6" w:type="dxa"/>
            <w:vAlign w:val="center"/>
          </w:tcPr>
          <w:p w14:paraId="70B291E5">
            <w:pPr>
              <w:pStyle w:val="68"/>
              <w:pBdr>
                <w:bottom w:val="none" w:color="auto" w:sz="0" w:space="0"/>
              </w:pBdr>
              <w:tabs>
                <w:tab w:val="clear" w:pos="4153"/>
                <w:tab w:val="clear" w:pos="8306"/>
              </w:tabs>
              <w:adjustRightInd/>
              <w:spacing w:line="240" w:lineRule="auto"/>
              <w:textAlignment w:val="auto"/>
              <w:rPr>
                <w:bCs/>
                <w:kern w:val="2"/>
                <w:highlight w:val="none"/>
              </w:rPr>
            </w:pPr>
            <w:r>
              <w:rPr>
                <w:rFonts w:hint="eastAsia"/>
                <w:bCs/>
                <w:kern w:val="2"/>
                <w:highlight w:val="none"/>
              </w:rPr>
              <w:t>10</w:t>
            </w:r>
            <w:r>
              <w:rPr>
                <w:bCs/>
                <w:kern w:val="2"/>
                <w:highlight w:val="none"/>
              </w:rPr>
              <w:t>.1</w:t>
            </w:r>
          </w:p>
        </w:tc>
        <w:tc>
          <w:tcPr>
            <w:tcW w:w="977" w:type="pct"/>
            <w:vAlign w:val="center"/>
          </w:tcPr>
          <w:p w14:paraId="67DF9E0F">
            <w:pPr>
              <w:pStyle w:val="67"/>
              <w:widowControl w:val="0"/>
              <w:spacing w:before="0" w:beforeAutospacing="0" w:after="0" w:afterAutospacing="0" w:line="360" w:lineRule="auto"/>
              <w:jc w:val="left"/>
              <w:rPr>
                <w:b w:val="0"/>
                <w:sz w:val="24"/>
                <w:highlight w:val="none"/>
              </w:rPr>
            </w:pPr>
            <w:r>
              <w:rPr>
                <w:rFonts w:hint="eastAsia"/>
                <w:b w:val="0"/>
                <w:sz w:val="24"/>
                <w:highlight w:val="none"/>
              </w:rPr>
              <w:t>磋商保证金</w:t>
            </w:r>
          </w:p>
        </w:tc>
        <w:tc>
          <w:tcPr>
            <w:tcW w:w="3556" w:type="pct"/>
            <w:vAlign w:val="center"/>
          </w:tcPr>
          <w:p w14:paraId="7B60B28C">
            <w:pPr>
              <w:pStyle w:val="67"/>
              <w:widowControl w:val="0"/>
              <w:spacing w:before="0" w:beforeAutospacing="0" w:after="0" w:afterAutospacing="0" w:line="360" w:lineRule="auto"/>
              <w:jc w:val="both"/>
              <w:rPr>
                <w:b w:val="0"/>
                <w:sz w:val="24"/>
                <w:highlight w:val="none"/>
              </w:rPr>
            </w:pPr>
            <w:r>
              <w:rPr>
                <w:rFonts w:hint="eastAsia"/>
                <w:b w:val="0"/>
                <w:sz w:val="24"/>
                <w:highlight w:val="none"/>
              </w:rPr>
              <w:t>不收取</w:t>
            </w:r>
          </w:p>
        </w:tc>
      </w:tr>
      <w:tr w14:paraId="6E58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DC582C9">
            <w:pPr>
              <w:pStyle w:val="68"/>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11</w:t>
            </w:r>
            <w:r>
              <w:rPr>
                <w:bCs/>
                <w:kern w:val="2"/>
                <w:highlight w:val="none"/>
              </w:rPr>
              <w:t>.1</w:t>
            </w:r>
          </w:p>
        </w:tc>
        <w:tc>
          <w:tcPr>
            <w:tcW w:w="977" w:type="pct"/>
            <w:vAlign w:val="center"/>
          </w:tcPr>
          <w:p w14:paraId="366B3ED1">
            <w:pPr>
              <w:pStyle w:val="67"/>
              <w:widowControl w:val="0"/>
              <w:spacing w:before="0" w:beforeAutospacing="0" w:after="0" w:afterAutospacing="0" w:line="360" w:lineRule="auto"/>
              <w:jc w:val="both"/>
              <w:rPr>
                <w:b w:val="0"/>
                <w:sz w:val="24"/>
                <w:highlight w:val="none"/>
              </w:rPr>
            </w:pPr>
            <w:r>
              <w:rPr>
                <w:rFonts w:hint="eastAsia"/>
                <w:b w:val="0"/>
                <w:sz w:val="24"/>
                <w:highlight w:val="none"/>
              </w:rPr>
              <w:t>磋商有效期</w:t>
            </w:r>
          </w:p>
        </w:tc>
        <w:tc>
          <w:tcPr>
            <w:tcW w:w="3556" w:type="pct"/>
            <w:vAlign w:val="center"/>
          </w:tcPr>
          <w:p w14:paraId="7DCBF4AC">
            <w:pPr>
              <w:pStyle w:val="67"/>
              <w:widowControl w:val="0"/>
              <w:spacing w:before="0" w:beforeAutospacing="0" w:after="0" w:afterAutospacing="0" w:line="360" w:lineRule="auto"/>
              <w:jc w:val="both"/>
              <w:rPr>
                <w:b w:val="0"/>
                <w:sz w:val="24"/>
                <w:highlight w:val="none"/>
              </w:rPr>
            </w:pPr>
            <w:r>
              <w:rPr>
                <w:rFonts w:hint="eastAsia"/>
                <w:b w:val="0"/>
                <w:sz w:val="24"/>
                <w:highlight w:val="none"/>
                <w:u w:val="single"/>
              </w:rPr>
              <w:t>90</w:t>
            </w:r>
            <w:r>
              <w:rPr>
                <w:rFonts w:hint="eastAsia"/>
                <w:b w:val="0"/>
                <w:sz w:val="24"/>
                <w:highlight w:val="none"/>
              </w:rPr>
              <w:t>日历日</w:t>
            </w:r>
          </w:p>
        </w:tc>
      </w:tr>
      <w:tr w14:paraId="6CA6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53F12BE">
            <w:pPr>
              <w:pStyle w:val="68"/>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12</w:t>
            </w:r>
            <w:r>
              <w:rPr>
                <w:bCs/>
                <w:kern w:val="2"/>
                <w:highlight w:val="none"/>
              </w:rPr>
              <w:t>.3</w:t>
            </w:r>
          </w:p>
        </w:tc>
        <w:tc>
          <w:tcPr>
            <w:tcW w:w="977" w:type="pct"/>
            <w:vAlign w:val="center"/>
          </w:tcPr>
          <w:p w14:paraId="529B57D2">
            <w:pPr>
              <w:pStyle w:val="67"/>
              <w:widowControl w:val="0"/>
              <w:spacing w:before="0" w:beforeAutospacing="0" w:after="0" w:afterAutospacing="0" w:line="360" w:lineRule="auto"/>
              <w:jc w:val="both"/>
              <w:rPr>
                <w:b w:val="0"/>
                <w:sz w:val="24"/>
                <w:highlight w:val="none"/>
              </w:rPr>
            </w:pPr>
            <w:r>
              <w:rPr>
                <w:rFonts w:hint="eastAsia"/>
                <w:b w:val="0"/>
                <w:sz w:val="24"/>
                <w:highlight w:val="none"/>
              </w:rPr>
              <w:t>响应文件解密时间</w:t>
            </w:r>
          </w:p>
        </w:tc>
        <w:tc>
          <w:tcPr>
            <w:tcW w:w="3556" w:type="pct"/>
            <w:vAlign w:val="center"/>
          </w:tcPr>
          <w:p w14:paraId="0C7D0E67">
            <w:pPr>
              <w:pStyle w:val="67"/>
              <w:widowControl w:val="0"/>
              <w:spacing w:before="0" w:beforeAutospacing="0" w:after="0" w:afterAutospacing="0" w:line="360" w:lineRule="auto"/>
              <w:jc w:val="both"/>
              <w:rPr>
                <w:b w:val="0"/>
                <w:sz w:val="24"/>
                <w:highlight w:val="none"/>
                <w:u w:val="single"/>
              </w:rPr>
            </w:pPr>
            <w:r>
              <w:rPr>
                <w:rFonts w:hint="eastAsia"/>
                <w:b w:val="0"/>
                <w:sz w:val="24"/>
                <w:highlight w:val="none"/>
              </w:rPr>
              <w:t>响应文件提交截止时间后</w:t>
            </w:r>
            <w:r>
              <w:rPr>
                <w:rFonts w:hint="eastAsia"/>
                <w:b w:val="0"/>
                <w:sz w:val="24"/>
                <w:highlight w:val="none"/>
                <w:u w:val="single"/>
              </w:rPr>
              <w:t>30</w:t>
            </w:r>
            <w:r>
              <w:rPr>
                <w:rFonts w:hint="eastAsia"/>
                <w:b w:val="0"/>
                <w:sz w:val="24"/>
                <w:highlight w:val="none"/>
              </w:rPr>
              <w:t>分钟内</w:t>
            </w:r>
          </w:p>
        </w:tc>
      </w:tr>
      <w:tr w14:paraId="78C4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3B0FB49">
            <w:pPr>
              <w:pStyle w:val="68"/>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14.3</w:t>
            </w:r>
          </w:p>
        </w:tc>
        <w:tc>
          <w:tcPr>
            <w:tcW w:w="977" w:type="pct"/>
            <w:vAlign w:val="center"/>
          </w:tcPr>
          <w:p w14:paraId="169F823E">
            <w:pPr>
              <w:pStyle w:val="67"/>
              <w:widowControl w:val="0"/>
              <w:spacing w:before="0" w:beforeAutospacing="0" w:after="0" w:afterAutospacing="0" w:line="360" w:lineRule="auto"/>
              <w:jc w:val="both"/>
              <w:rPr>
                <w:b w:val="0"/>
                <w:sz w:val="24"/>
                <w:highlight w:val="none"/>
              </w:rPr>
            </w:pPr>
            <w:r>
              <w:rPr>
                <w:rFonts w:hint="eastAsia"/>
                <w:b w:val="0"/>
                <w:sz w:val="24"/>
                <w:highlight w:val="none"/>
              </w:rPr>
              <w:t>评审方法</w:t>
            </w:r>
          </w:p>
        </w:tc>
        <w:tc>
          <w:tcPr>
            <w:tcW w:w="3556" w:type="pct"/>
            <w:vAlign w:val="center"/>
          </w:tcPr>
          <w:p w14:paraId="7434625F">
            <w:pPr>
              <w:pStyle w:val="67"/>
              <w:widowControl w:val="0"/>
              <w:spacing w:before="0" w:beforeAutospacing="0" w:after="0" w:afterAutospacing="0" w:line="360" w:lineRule="auto"/>
              <w:jc w:val="both"/>
              <w:rPr>
                <w:b w:val="0"/>
                <w:sz w:val="24"/>
                <w:highlight w:val="none"/>
              </w:rPr>
            </w:pPr>
            <w:r>
              <w:rPr>
                <w:rFonts w:hint="eastAsia"/>
                <w:b w:val="0"/>
                <w:sz w:val="24"/>
                <w:highlight w:val="none"/>
              </w:rPr>
              <w:t>综合评分法</w:t>
            </w:r>
          </w:p>
        </w:tc>
      </w:tr>
      <w:tr w14:paraId="7B37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3A7B71B1">
            <w:pPr>
              <w:pStyle w:val="68"/>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17</w:t>
            </w:r>
            <w:r>
              <w:rPr>
                <w:bCs/>
                <w:kern w:val="2"/>
                <w:highlight w:val="none"/>
              </w:rPr>
              <w:t>.</w:t>
            </w:r>
            <w:r>
              <w:rPr>
                <w:rFonts w:hint="eastAsia"/>
                <w:bCs/>
                <w:kern w:val="2"/>
                <w:highlight w:val="none"/>
              </w:rPr>
              <w:t>4</w:t>
            </w:r>
          </w:p>
        </w:tc>
        <w:tc>
          <w:tcPr>
            <w:tcW w:w="977" w:type="pct"/>
            <w:vAlign w:val="center"/>
          </w:tcPr>
          <w:p w14:paraId="180042FB">
            <w:pPr>
              <w:pStyle w:val="67"/>
              <w:widowControl w:val="0"/>
              <w:spacing w:before="0" w:beforeAutospacing="0" w:after="0" w:afterAutospacing="0" w:line="360" w:lineRule="auto"/>
              <w:jc w:val="both"/>
              <w:rPr>
                <w:b w:val="0"/>
                <w:sz w:val="24"/>
                <w:highlight w:val="none"/>
              </w:rPr>
            </w:pPr>
            <w:r>
              <w:rPr>
                <w:rFonts w:hint="eastAsia"/>
                <w:b w:val="0"/>
                <w:sz w:val="24"/>
                <w:highlight w:val="none"/>
              </w:rPr>
              <w:t>最后报价扣除</w:t>
            </w:r>
          </w:p>
        </w:tc>
        <w:tc>
          <w:tcPr>
            <w:tcW w:w="3556" w:type="pct"/>
            <w:vAlign w:val="center"/>
          </w:tcPr>
          <w:p w14:paraId="55F81912">
            <w:pPr>
              <w:pStyle w:val="67"/>
              <w:widowControl w:val="0"/>
              <w:spacing w:before="0" w:beforeAutospacing="0" w:after="0" w:afterAutospacing="0" w:line="360" w:lineRule="auto"/>
              <w:jc w:val="both"/>
              <w:rPr>
                <w:b w:val="0"/>
                <w:sz w:val="24"/>
                <w:highlight w:val="none"/>
              </w:rPr>
            </w:pPr>
            <w:r>
              <w:rPr>
                <w:rFonts w:hint="eastAsia"/>
                <w:b w:val="0"/>
                <w:sz w:val="24"/>
                <w:highlight w:val="none"/>
              </w:rPr>
              <w:t>（1）</w:t>
            </w:r>
            <w:r>
              <w:rPr>
                <w:b w:val="0"/>
                <w:sz w:val="24"/>
                <w:highlight w:val="none"/>
              </w:rPr>
              <w:t>小型和微型</w:t>
            </w:r>
            <w:r>
              <w:rPr>
                <w:rFonts w:hint="eastAsia"/>
                <w:b w:val="0"/>
                <w:sz w:val="24"/>
                <w:highlight w:val="none"/>
              </w:rPr>
              <w:t>企业价格扣除：</w:t>
            </w:r>
            <w:r>
              <w:rPr>
                <w:rFonts w:hint="eastAsia"/>
                <w:b w:val="0"/>
                <w:sz w:val="24"/>
                <w:highlight w:val="none"/>
                <w:u w:val="single"/>
                <w:lang w:val="en-US" w:eastAsia="zh-CN"/>
              </w:rPr>
              <w:t>/</w:t>
            </w:r>
            <w:r>
              <w:rPr>
                <w:rFonts w:hint="eastAsia"/>
                <w:b w:val="0"/>
                <w:sz w:val="24"/>
                <w:highlight w:val="none"/>
              </w:rPr>
              <w:t>。</w:t>
            </w:r>
          </w:p>
          <w:p w14:paraId="3350F1AF">
            <w:pPr>
              <w:pStyle w:val="67"/>
              <w:widowControl w:val="0"/>
              <w:spacing w:before="0" w:beforeAutospacing="0" w:after="0" w:afterAutospacing="0" w:line="360" w:lineRule="auto"/>
              <w:jc w:val="both"/>
              <w:rPr>
                <w:b w:val="0"/>
                <w:sz w:val="24"/>
                <w:highlight w:val="none"/>
              </w:rPr>
            </w:pPr>
            <w:r>
              <w:rPr>
                <w:rFonts w:hint="eastAsia"/>
                <w:b w:val="0"/>
                <w:sz w:val="24"/>
                <w:highlight w:val="none"/>
              </w:rPr>
              <w:t>（2）监狱企业价格扣除：同</w:t>
            </w:r>
            <w:r>
              <w:rPr>
                <w:b w:val="0"/>
                <w:sz w:val="24"/>
                <w:highlight w:val="none"/>
              </w:rPr>
              <w:t>小型和微型企业</w:t>
            </w:r>
            <w:r>
              <w:rPr>
                <w:rFonts w:hint="eastAsia"/>
                <w:b w:val="0"/>
                <w:sz w:val="24"/>
                <w:highlight w:val="none"/>
              </w:rPr>
              <w:t>。</w:t>
            </w:r>
          </w:p>
          <w:p w14:paraId="35A60FA9">
            <w:pPr>
              <w:pStyle w:val="67"/>
              <w:widowControl w:val="0"/>
              <w:spacing w:before="0" w:beforeAutospacing="0" w:after="0" w:afterAutospacing="0" w:line="360" w:lineRule="auto"/>
              <w:jc w:val="both"/>
              <w:rPr>
                <w:b w:val="0"/>
                <w:sz w:val="24"/>
                <w:highlight w:val="none"/>
              </w:rPr>
            </w:pPr>
            <w:r>
              <w:rPr>
                <w:rFonts w:hint="eastAsia"/>
                <w:b w:val="0"/>
                <w:sz w:val="24"/>
                <w:highlight w:val="none"/>
              </w:rPr>
              <w:t>（3）残疾人福利性单位价格扣除：同</w:t>
            </w:r>
            <w:r>
              <w:rPr>
                <w:b w:val="0"/>
                <w:sz w:val="24"/>
                <w:highlight w:val="none"/>
              </w:rPr>
              <w:t>小型和微型企业</w:t>
            </w:r>
            <w:r>
              <w:rPr>
                <w:rFonts w:hint="eastAsia"/>
                <w:b w:val="0"/>
                <w:sz w:val="24"/>
                <w:highlight w:val="none"/>
              </w:rPr>
              <w:t>。</w:t>
            </w:r>
          </w:p>
          <w:p w14:paraId="3040CB3E">
            <w:pPr>
              <w:pStyle w:val="67"/>
              <w:widowControl w:val="0"/>
              <w:spacing w:before="0" w:beforeAutospacing="0" w:after="0" w:afterAutospacing="0" w:line="360" w:lineRule="auto"/>
              <w:jc w:val="both"/>
              <w:rPr>
                <w:b w:val="0"/>
                <w:sz w:val="24"/>
                <w:highlight w:val="none"/>
              </w:rPr>
            </w:pPr>
            <w:r>
              <w:rPr>
                <w:rFonts w:hint="eastAsia"/>
                <w:b w:val="0"/>
                <w:sz w:val="24"/>
                <w:highlight w:val="none"/>
              </w:rPr>
              <w:t>（4）符合条件的联合体价格扣除：</w:t>
            </w:r>
            <w:r>
              <w:rPr>
                <w:rFonts w:hint="eastAsia"/>
                <w:b w:val="0"/>
                <w:sz w:val="24"/>
                <w:highlight w:val="none"/>
                <w:u w:val="single"/>
                <w:lang w:val="en-US" w:eastAsia="zh-CN"/>
              </w:rPr>
              <w:t>/</w:t>
            </w:r>
            <w:r>
              <w:rPr>
                <w:rFonts w:hint="eastAsia"/>
                <w:b w:val="0"/>
                <w:sz w:val="24"/>
                <w:highlight w:val="none"/>
              </w:rPr>
              <w:t>。</w:t>
            </w:r>
          </w:p>
          <w:p w14:paraId="696EBA56">
            <w:pPr>
              <w:pStyle w:val="67"/>
              <w:widowControl w:val="0"/>
              <w:spacing w:before="0" w:beforeAutospacing="0" w:after="0" w:afterAutospacing="0" w:line="360" w:lineRule="auto"/>
              <w:jc w:val="both"/>
              <w:rPr>
                <w:b w:val="0"/>
                <w:sz w:val="24"/>
                <w:highlight w:val="none"/>
              </w:rPr>
            </w:pPr>
            <w:r>
              <w:rPr>
                <w:rFonts w:hint="eastAsia"/>
                <w:b w:val="0"/>
                <w:sz w:val="24"/>
                <w:highlight w:val="none"/>
              </w:rPr>
              <w:t>（5）符合条件的向小微企业分包的大中型企业价格扣除：</w:t>
            </w:r>
            <w:r>
              <w:rPr>
                <w:rFonts w:hint="eastAsia"/>
                <w:b w:val="0"/>
                <w:sz w:val="24"/>
                <w:highlight w:val="none"/>
                <w:u w:val="single"/>
                <w:lang w:val="en-US" w:eastAsia="zh-CN"/>
              </w:rPr>
              <w:t>/</w:t>
            </w:r>
            <w:r>
              <w:rPr>
                <w:rFonts w:hint="eastAsia"/>
                <w:b w:val="0"/>
                <w:sz w:val="24"/>
                <w:highlight w:val="none"/>
              </w:rPr>
              <w:t>。</w:t>
            </w:r>
            <w:r>
              <w:rPr>
                <w:rFonts w:hint="eastAsia"/>
                <w:b w:val="0"/>
                <w:i/>
                <w:sz w:val="24"/>
                <w:highlight w:val="none"/>
              </w:rPr>
              <w:t>（允许大中型企业向小微企业分包的项目适用）</w:t>
            </w:r>
          </w:p>
        </w:tc>
      </w:tr>
      <w:tr w14:paraId="1CE8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Merge w:val="restart"/>
            <w:vAlign w:val="center"/>
          </w:tcPr>
          <w:p w14:paraId="253EAA69">
            <w:pPr>
              <w:pStyle w:val="68"/>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19</w:t>
            </w:r>
            <w:r>
              <w:rPr>
                <w:bCs/>
                <w:kern w:val="2"/>
                <w:highlight w:val="none"/>
              </w:rPr>
              <w:t>.</w:t>
            </w:r>
            <w:r>
              <w:rPr>
                <w:rFonts w:hint="eastAsia"/>
                <w:bCs/>
                <w:kern w:val="2"/>
                <w:highlight w:val="none"/>
              </w:rPr>
              <w:t>1</w:t>
            </w:r>
          </w:p>
        </w:tc>
        <w:tc>
          <w:tcPr>
            <w:tcW w:w="977" w:type="pct"/>
            <w:vMerge w:val="restart"/>
            <w:vAlign w:val="center"/>
          </w:tcPr>
          <w:p w14:paraId="7C0BAEE9">
            <w:pPr>
              <w:pStyle w:val="67"/>
              <w:widowControl w:val="0"/>
              <w:spacing w:before="0" w:beforeAutospacing="0" w:after="0" w:afterAutospacing="0" w:line="360" w:lineRule="auto"/>
              <w:jc w:val="both"/>
              <w:rPr>
                <w:b w:val="0"/>
                <w:sz w:val="24"/>
                <w:highlight w:val="none"/>
              </w:rPr>
            </w:pPr>
            <w:r>
              <w:rPr>
                <w:rFonts w:hint="eastAsia" w:asciiTheme="minorEastAsia" w:hAnsiTheme="minorEastAsia" w:eastAsiaTheme="minorEastAsia"/>
                <w:b w:val="0"/>
                <w:sz w:val="24"/>
                <w:highlight w:val="none"/>
              </w:rPr>
              <w:t>确定成交候选供应商和成交供应商</w:t>
            </w:r>
          </w:p>
        </w:tc>
        <w:tc>
          <w:tcPr>
            <w:tcW w:w="3556" w:type="pct"/>
            <w:vAlign w:val="center"/>
          </w:tcPr>
          <w:p w14:paraId="57494E13">
            <w:pPr>
              <w:pStyle w:val="67"/>
              <w:widowControl w:val="0"/>
              <w:spacing w:before="0" w:beforeAutospacing="0" w:after="0" w:afterAutospacing="0" w:line="360" w:lineRule="auto"/>
              <w:jc w:val="both"/>
              <w:rPr>
                <w:b w:val="0"/>
                <w:sz w:val="24"/>
                <w:highlight w:val="none"/>
              </w:rPr>
            </w:pPr>
            <w:r>
              <w:rPr>
                <w:rFonts w:hint="eastAsia"/>
                <w:b w:val="0"/>
                <w:sz w:val="24"/>
                <w:highlight w:val="none"/>
              </w:rPr>
              <w:t>磋商小组推荐成交</w:t>
            </w:r>
            <w:r>
              <w:rPr>
                <w:b w:val="0"/>
                <w:sz w:val="24"/>
                <w:highlight w:val="none"/>
              </w:rPr>
              <w:t>候选</w:t>
            </w:r>
            <w:r>
              <w:rPr>
                <w:rFonts w:hint="eastAsia"/>
                <w:b w:val="0"/>
                <w:sz w:val="24"/>
                <w:highlight w:val="none"/>
              </w:rPr>
              <w:t>供应商的</w:t>
            </w:r>
            <w:r>
              <w:rPr>
                <w:b w:val="0"/>
                <w:sz w:val="24"/>
                <w:highlight w:val="none"/>
              </w:rPr>
              <w:t>数量</w:t>
            </w:r>
            <w:r>
              <w:rPr>
                <w:rFonts w:hint="eastAsia"/>
                <w:b w:val="0"/>
                <w:sz w:val="24"/>
                <w:highlight w:val="none"/>
              </w:rPr>
              <w:t>：3家以上</w:t>
            </w:r>
          </w:p>
          <w:p w14:paraId="0B5935EC">
            <w:pPr>
              <w:pStyle w:val="67"/>
              <w:widowControl w:val="0"/>
              <w:spacing w:before="0" w:beforeAutospacing="0" w:after="0" w:afterAutospacing="0" w:line="360" w:lineRule="auto"/>
              <w:jc w:val="both"/>
              <w:rPr>
                <w:b w:val="0"/>
                <w:sz w:val="24"/>
                <w:highlight w:val="none"/>
                <w:u w:val="single"/>
              </w:rPr>
            </w:pPr>
            <w:r>
              <w:rPr>
                <w:rFonts w:hint="eastAsia"/>
                <w:b w:val="0"/>
                <w:sz w:val="24"/>
                <w:highlight w:val="none"/>
              </w:rPr>
              <w:t>注：法律、法规另有规定的，从其规定</w:t>
            </w:r>
          </w:p>
        </w:tc>
      </w:tr>
      <w:tr w14:paraId="0A1A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3442D05E">
            <w:pPr>
              <w:pStyle w:val="68"/>
              <w:pBdr>
                <w:bottom w:val="none" w:color="auto" w:sz="0" w:space="0"/>
              </w:pBdr>
              <w:tabs>
                <w:tab w:val="clear" w:pos="4153"/>
                <w:tab w:val="clear" w:pos="8306"/>
              </w:tabs>
              <w:adjustRightInd/>
              <w:spacing w:line="360" w:lineRule="auto"/>
              <w:textAlignment w:val="auto"/>
              <w:rPr>
                <w:bCs/>
                <w:kern w:val="2"/>
                <w:highlight w:val="none"/>
              </w:rPr>
            </w:pPr>
          </w:p>
        </w:tc>
        <w:tc>
          <w:tcPr>
            <w:tcW w:w="977" w:type="pct"/>
            <w:vMerge w:val="continue"/>
            <w:vAlign w:val="center"/>
          </w:tcPr>
          <w:p w14:paraId="28352DD6">
            <w:pPr>
              <w:pStyle w:val="67"/>
              <w:widowControl w:val="0"/>
              <w:spacing w:before="0" w:beforeAutospacing="0" w:after="0" w:afterAutospacing="0" w:line="360" w:lineRule="auto"/>
              <w:jc w:val="both"/>
              <w:rPr>
                <w:b w:val="0"/>
                <w:sz w:val="24"/>
                <w:highlight w:val="none"/>
              </w:rPr>
            </w:pPr>
          </w:p>
        </w:tc>
        <w:tc>
          <w:tcPr>
            <w:tcW w:w="3556" w:type="pct"/>
            <w:vAlign w:val="center"/>
          </w:tcPr>
          <w:p w14:paraId="2C71B9BB">
            <w:pPr>
              <w:pStyle w:val="67"/>
              <w:widowControl w:val="0"/>
              <w:spacing w:before="0" w:beforeAutospacing="0" w:after="0" w:afterAutospacing="0" w:line="360" w:lineRule="auto"/>
              <w:jc w:val="both"/>
              <w:rPr>
                <w:b w:val="0"/>
                <w:sz w:val="24"/>
                <w:highlight w:val="none"/>
              </w:rPr>
            </w:pPr>
            <w:r>
              <w:rPr>
                <w:rFonts w:hint="eastAsia"/>
                <w:b w:val="0"/>
                <w:sz w:val="24"/>
                <w:highlight w:val="none"/>
              </w:rPr>
              <w:t>确定成交供应商：</w:t>
            </w:r>
          </w:p>
          <w:p w14:paraId="07BEE316">
            <w:pPr>
              <w:pStyle w:val="67"/>
              <w:widowControl w:val="0"/>
              <w:spacing w:before="0" w:beforeAutospacing="0" w:after="0" w:afterAutospacing="0" w:line="360" w:lineRule="auto"/>
              <w:jc w:val="both"/>
              <w:rPr>
                <w:b w:val="0"/>
                <w:sz w:val="24"/>
                <w:highlight w:val="none"/>
              </w:rPr>
            </w:pPr>
            <w:r>
              <w:rPr>
                <w:rFonts w:hint="eastAsia" w:asciiTheme="minorEastAsia" w:hAnsiTheme="minorEastAsia"/>
                <w:b w:val="0"/>
                <w:sz w:val="24"/>
                <w:szCs w:val="24"/>
                <w:highlight w:val="none"/>
              </w:rPr>
              <w:sym w:font="Wingdings" w:char="00FE"/>
            </w:r>
            <w:r>
              <w:rPr>
                <w:rFonts w:hint="eastAsia"/>
                <w:b w:val="0"/>
                <w:sz w:val="24"/>
                <w:highlight w:val="none"/>
              </w:rPr>
              <w:t xml:space="preserve">采购人委托磋商小组确定 </w:t>
            </w:r>
            <w:r>
              <w:rPr>
                <w:b w:val="0"/>
                <w:sz w:val="24"/>
                <w:highlight w:val="none"/>
              </w:rPr>
              <w:t xml:space="preserve">   </w:t>
            </w:r>
            <w:r>
              <w:rPr>
                <w:rFonts w:hint="eastAsia"/>
                <w:b w:val="0"/>
                <w:sz w:val="24"/>
                <w:highlight w:val="none"/>
              </w:rPr>
              <w:t xml:space="preserve"> □采购人确定</w:t>
            </w:r>
          </w:p>
        </w:tc>
      </w:tr>
      <w:tr w14:paraId="1920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6E77423">
            <w:pPr>
              <w:pStyle w:val="68"/>
              <w:pBdr>
                <w:bottom w:val="none" w:color="auto" w:sz="0" w:space="0"/>
              </w:pBdr>
              <w:tabs>
                <w:tab w:val="clear" w:pos="4153"/>
                <w:tab w:val="clear" w:pos="8306"/>
              </w:tabs>
              <w:adjustRightInd/>
              <w:spacing w:line="360" w:lineRule="auto"/>
              <w:textAlignment w:val="auto"/>
              <w:rPr>
                <w:bCs/>
                <w:kern w:val="2"/>
                <w:highlight w:val="none"/>
              </w:rPr>
            </w:pPr>
            <w:r>
              <w:rPr>
                <w:bCs/>
                <w:kern w:val="2"/>
                <w:highlight w:val="none"/>
              </w:rPr>
              <w:t>2</w:t>
            </w:r>
            <w:r>
              <w:rPr>
                <w:rFonts w:hint="eastAsia"/>
                <w:bCs/>
                <w:kern w:val="2"/>
                <w:highlight w:val="none"/>
              </w:rPr>
              <w:t>2</w:t>
            </w:r>
            <w:r>
              <w:rPr>
                <w:bCs/>
                <w:kern w:val="2"/>
                <w:highlight w:val="none"/>
              </w:rPr>
              <w:t>.</w:t>
            </w:r>
            <w:r>
              <w:rPr>
                <w:rFonts w:hint="eastAsia"/>
                <w:bCs/>
                <w:kern w:val="2"/>
                <w:highlight w:val="none"/>
              </w:rPr>
              <w:t>2</w:t>
            </w:r>
          </w:p>
        </w:tc>
        <w:tc>
          <w:tcPr>
            <w:tcW w:w="977" w:type="pct"/>
            <w:vAlign w:val="center"/>
          </w:tcPr>
          <w:p w14:paraId="7D01B782">
            <w:pPr>
              <w:pStyle w:val="67"/>
              <w:widowControl w:val="0"/>
              <w:spacing w:before="0" w:beforeAutospacing="0" w:after="0" w:afterAutospacing="0" w:line="360" w:lineRule="auto"/>
              <w:jc w:val="both"/>
              <w:rPr>
                <w:b w:val="0"/>
                <w:sz w:val="24"/>
                <w:highlight w:val="none"/>
              </w:rPr>
            </w:pPr>
            <w:r>
              <w:rPr>
                <w:rFonts w:hint="eastAsia"/>
                <w:b w:val="0"/>
                <w:sz w:val="24"/>
                <w:highlight w:val="none"/>
              </w:rPr>
              <w:t>随成交结果公告同时公告的内容</w:t>
            </w:r>
          </w:p>
        </w:tc>
        <w:tc>
          <w:tcPr>
            <w:tcW w:w="3556" w:type="pct"/>
            <w:vAlign w:val="center"/>
          </w:tcPr>
          <w:p w14:paraId="7807D506">
            <w:pPr>
              <w:pStyle w:val="67"/>
              <w:widowControl w:val="0"/>
              <w:spacing w:before="0" w:beforeAutospacing="0" w:after="0" w:afterAutospacing="0" w:line="360" w:lineRule="auto"/>
              <w:jc w:val="both"/>
              <w:rPr>
                <w:b w:val="0"/>
                <w:sz w:val="24"/>
                <w:highlight w:val="none"/>
              </w:rPr>
            </w:pPr>
            <w:r>
              <w:rPr>
                <w:rFonts w:hint="eastAsia"/>
                <w:b w:val="0"/>
                <w:sz w:val="24"/>
                <w:highlight w:val="none"/>
              </w:rPr>
              <w:t>（1）中小企业声明函；</w:t>
            </w:r>
            <w:r>
              <w:rPr>
                <w:rFonts w:hint="eastAsia"/>
                <w:b w:val="0"/>
                <w:i/>
                <w:iCs/>
                <w:sz w:val="24"/>
                <w:highlight w:val="none"/>
              </w:rPr>
              <w:t>（如有）</w:t>
            </w:r>
          </w:p>
          <w:p w14:paraId="3DA3C889">
            <w:pPr>
              <w:pStyle w:val="67"/>
              <w:widowControl w:val="0"/>
              <w:spacing w:before="0" w:beforeAutospacing="0" w:after="0" w:afterAutospacing="0" w:line="360" w:lineRule="auto"/>
              <w:jc w:val="both"/>
              <w:rPr>
                <w:b w:val="0"/>
                <w:i/>
                <w:sz w:val="24"/>
                <w:highlight w:val="none"/>
              </w:rPr>
            </w:pPr>
            <w:r>
              <w:rPr>
                <w:rFonts w:hint="eastAsia"/>
                <w:b w:val="0"/>
                <w:sz w:val="24"/>
                <w:highlight w:val="none"/>
              </w:rPr>
              <w:t>（2）残疾人福利性单位声明函；</w:t>
            </w:r>
            <w:r>
              <w:rPr>
                <w:rFonts w:hint="eastAsia"/>
                <w:b w:val="0"/>
                <w:i/>
                <w:iCs/>
                <w:sz w:val="24"/>
                <w:highlight w:val="none"/>
              </w:rPr>
              <w:t>（如有）</w:t>
            </w:r>
          </w:p>
          <w:p w14:paraId="22ABA294">
            <w:pPr>
              <w:pStyle w:val="67"/>
              <w:widowControl w:val="0"/>
              <w:spacing w:before="0" w:beforeAutospacing="0" w:after="0" w:afterAutospacing="0" w:line="360" w:lineRule="auto"/>
              <w:jc w:val="both"/>
              <w:rPr>
                <w:b w:val="0"/>
                <w:bCs w:val="0"/>
                <w:sz w:val="24"/>
                <w:szCs w:val="24"/>
                <w:highlight w:val="none"/>
              </w:rPr>
            </w:pPr>
            <w:r>
              <w:rPr>
                <w:rFonts w:hint="eastAsia"/>
                <w:b w:val="0"/>
                <w:sz w:val="24"/>
                <w:highlight w:val="none"/>
              </w:rPr>
              <w:t>（3）中标（成交）供应商的评审总得分</w:t>
            </w:r>
          </w:p>
        </w:tc>
      </w:tr>
      <w:tr w14:paraId="0224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13A3C31">
            <w:pPr>
              <w:pStyle w:val="68"/>
              <w:pBdr>
                <w:bottom w:val="none" w:color="auto" w:sz="0" w:space="0"/>
              </w:pBdr>
              <w:tabs>
                <w:tab w:val="clear" w:pos="4153"/>
                <w:tab w:val="clear" w:pos="8306"/>
              </w:tabs>
              <w:adjustRightInd/>
              <w:spacing w:line="240" w:lineRule="auto"/>
              <w:textAlignment w:val="auto"/>
              <w:rPr>
                <w:bCs/>
                <w:kern w:val="2"/>
                <w:highlight w:val="none"/>
              </w:rPr>
            </w:pPr>
            <w:r>
              <w:rPr>
                <w:rFonts w:hint="eastAsia"/>
                <w:bCs/>
                <w:kern w:val="2"/>
                <w:highlight w:val="none"/>
              </w:rPr>
              <w:t>23</w:t>
            </w:r>
            <w:r>
              <w:rPr>
                <w:bCs/>
                <w:kern w:val="2"/>
                <w:highlight w:val="none"/>
              </w:rPr>
              <w:t>.1</w:t>
            </w:r>
          </w:p>
        </w:tc>
        <w:tc>
          <w:tcPr>
            <w:tcW w:w="977" w:type="pct"/>
            <w:vAlign w:val="center"/>
          </w:tcPr>
          <w:p w14:paraId="393AD1D5">
            <w:pPr>
              <w:pStyle w:val="67"/>
              <w:widowControl w:val="0"/>
              <w:spacing w:before="0" w:beforeAutospacing="0" w:after="0" w:afterAutospacing="0" w:line="360" w:lineRule="auto"/>
              <w:jc w:val="both"/>
              <w:rPr>
                <w:b w:val="0"/>
                <w:sz w:val="24"/>
                <w:highlight w:val="none"/>
              </w:rPr>
            </w:pPr>
            <w:r>
              <w:rPr>
                <w:rFonts w:hint="eastAsia"/>
                <w:b w:val="0"/>
                <w:sz w:val="24"/>
                <w:highlight w:val="none"/>
              </w:rPr>
              <w:t>成交通知书发出的形式</w:t>
            </w:r>
          </w:p>
        </w:tc>
        <w:tc>
          <w:tcPr>
            <w:tcW w:w="3556" w:type="pct"/>
            <w:vAlign w:val="center"/>
          </w:tcPr>
          <w:p w14:paraId="5D9439B2">
            <w:pPr>
              <w:pStyle w:val="67"/>
              <w:widowControl w:val="0"/>
              <w:spacing w:before="0" w:beforeAutospacing="0" w:after="0" w:afterAutospacing="0" w:line="360" w:lineRule="auto"/>
              <w:jc w:val="both"/>
              <w:rPr>
                <w:b w:val="0"/>
                <w:sz w:val="24"/>
                <w:highlight w:val="none"/>
              </w:rPr>
            </w:pPr>
            <w:r>
              <w:rPr>
                <w:rFonts w:hint="eastAsia"/>
                <w:b w:val="0"/>
                <w:sz w:val="24"/>
                <w:highlight w:val="none"/>
              </w:rPr>
              <w:t xml:space="preserve">☑书面 </w:t>
            </w:r>
            <w:r>
              <w:rPr>
                <w:b w:val="0"/>
                <w:sz w:val="24"/>
                <w:highlight w:val="none"/>
              </w:rPr>
              <w:t xml:space="preserve">    </w:t>
            </w:r>
            <w:r>
              <w:rPr>
                <w:rFonts w:hint="eastAsia"/>
                <w:b w:val="0"/>
                <w:bCs w:val="0"/>
                <w:sz w:val="24"/>
                <w:szCs w:val="24"/>
                <w:highlight w:val="none"/>
              </w:rPr>
              <w:sym w:font="Wingdings" w:char="00A8"/>
            </w:r>
            <w:r>
              <w:rPr>
                <w:rFonts w:hint="eastAsia"/>
                <w:b w:val="0"/>
                <w:sz w:val="24"/>
                <w:highlight w:val="none"/>
              </w:rPr>
              <w:t>数据电文</w:t>
            </w:r>
          </w:p>
        </w:tc>
      </w:tr>
      <w:tr w14:paraId="7891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3002D3B5">
            <w:pPr>
              <w:pStyle w:val="68"/>
              <w:pBdr>
                <w:bottom w:val="none" w:color="auto" w:sz="0" w:space="0"/>
              </w:pBdr>
              <w:tabs>
                <w:tab w:val="clear" w:pos="4153"/>
                <w:tab w:val="clear" w:pos="8306"/>
              </w:tabs>
              <w:adjustRightInd/>
              <w:spacing w:line="240" w:lineRule="auto"/>
              <w:textAlignment w:val="auto"/>
              <w:rPr>
                <w:bCs/>
                <w:kern w:val="2"/>
                <w:highlight w:val="none"/>
              </w:rPr>
            </w:pPr>
            <w:r>
              <w:rPr>
                <w:rFonts w:hint="eastAsia" w:cs="宋体"/>
                <w:bCs/>
                <w:szCs w:val="24"/>
                <w:highlight w:val="none"/>
              </w:rPr>
              <w:t>24.1</w:t>
            </w:r>
          </w:p>
        </w:tc>
        <w:tc>
          <w:tcPr>
            <w:tcW w:w="977" w:type="pct"/>
            <w:vAlign w:val="center"/>
          </w:tcPr>
          <w:p w14:paraId="3A6FFF84">
            <w:pPr>
              <w:pStyle w:val="67"/>
              <w:widowControl w:val="0"/>
              <w:spacing w:before="0" w:beforeAutospacing="0" w:after="0" w:afterAutospacing="0" w:line="360" w:lineRule="auto"/>
              <w:jc w:val="both"/>
              <w:rPr>
                <w:b w:val="0"/>
                <w:sz w:val="24"/>
                <w:highlight w:val="none"/>
              </w:rPr>
            </w:pPr>
            <w:r>
              <w:rPr>
                <w:rFonts w:hint="eastAsia"/>
                <w:b w:val="0"/>
                <w:sz w:val="24"/>
                <w:highlight w:val="none"/>
              </w:rPr>
              <w:t>告知磋商结果的形式</w:t>
            </w:r>
          </w:p>
        </w:tc>
        <w:tc>
          <w:tcPr>
            <w:tcW w:w="3556" w:type="pct"/>
            <w:vAlign w:val="center"/>
          </w:tcPr>
          <w:p w14:paraId="7B01C94E">
            <w:pPr>
              <w:pStyle w:val="67"/>
              <w:widowControl w:val="0"/>
              <w:spacing w:before="0" w:beforeAutospacing="0" w:after="0" w:afterAutospacing="0" w:line="360" w:lineRule="auto"/>
              <w:jc w:val="both"/>
              <w:rPr>
                <w:b w:val="0"/>
                <w:bCs w:val="0"/>
                <w:sz w:val="24"/>
                <w:szCs w:val="24"/>
                <w:highlight w:val="none"/>
              </w:rPr>
            </w:pPr>
            <w:r>
              <w:rPr>
                <w:rFonts w:hint="eastAsia" w:asciiTheme="minorEastAsia" w:hAnsiTheme="minorEastAsia"/>
                <w:b w:val="0"/>
                <w:sz w:val="24"/>
                <w:szCs w:val="24"/>
                <w:highlight w:val="none"/>
              </w:rPr>
              <w:sym w:font="Wingdings" w:char="00FE"/>
            </w:r>
            <w:r>
              <w:rPr>
                <w:rFonts w:hint="eastAsia"/>
                <w:b w:val="0"/>
                <w:bCs w:val="0"/>
                <w:sz w:val="24"/>
                <w:szCs w:val="24"/>
                <w:highlight w:val="none"/>
              </w:rPr>
              <w:t>供应商自行登录电子</w:t>
            </w:r>
            <w:r>
              <w:rPr>
                <w:rFonts w:hint="eastAsia" w:cs="宋体"/>
                <w:b w:val="0"/>
                <w:bCs w:val="0"/>
                <w:sz w:val="24"/>
                <w:szCs w:val="24"/>
                <w:highlight w:val="none"/>
              </w:rPr>
              <w:t>交易</w:t>
            </w:r>
            <w:r>
              <w:rPr>
                <w:rFonts w:hint="eastAsia"/>
                <w:b w:val="0"/>
                <w:bCs w:val="0"/>
                <w:sz w:val="24"/>
                <w:szCs w:val="24"/>
                <w:highlight w:val="none"/>
              </w:rPr>
              <w:t>系统查看</w:t>
            </w:r>
          </w:p>
          <w:p w14:paraId="418DFC4C">
            <w:pPr>
              <w:pStyle w:val="67"/>
              <w:widowControl w:val="0"/>
              <w:spacing w:before="0" w:beforeAutospacing="0" w:after="0" w:afterAutospacing="0" w:line="360" w:lineRule="auto"/>
              <w:jc w:val="both"/>
              <w:rPr>
                <w:b w:val="0"/>
                <w:sz w:val="24"/>
                <w:highlight w:val="none"/>
              </w:rPr>
            </w:pPr>
            <w:r>
              <w:rPr>
                <w:rFonts w:hint="eastAsia"/>
                <w:b w:val="0"/>
                <w:sz w:val="24"/>
                <w:highlight w:val="none"/>
              </w:rPr>
              <w:t>□磋商现场告知</w:t>
            </w:r>
          </w:p>
        </w:tc>
      </w:tr>
      <w:tr w14:paraId="32E2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77C6FE3">
            <w:pPr>
              <w:pStyle w:val="68"/>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25</w:t>
            </w:r>
            <w:r>
              <w:rPr>
                <w:bCs/>
                <w:kern w:val="2"/>
                <w:highlight w:val="none"/>
              </w:rPr>
              <w:t>.1</w:t>
            </w:r>
          </w:p>
        </w:tc>
        <w:tc>
          <w:tcPr>
            <w:tcW w:w="977" w:type="pct"/>
            <w:vAlign w:val="center"/>
          </w:tcPr>
          <w:p w14:paraId="27BDF655">
            <w:pPr>
              <w:pStyle w:val="67"/>
              <w:widowControl w:val="0"/>
              <w:spacing w:before="0" w:beforeAutospacing="0" w:after="0" w:afterAutospacing="0" w:line="360" w:lineRule="auto"/>
              <w:jc w:val="both"/>
              <w:rPr>
                <w:b w:val="0"/>
                <w:sz w:val="24"/>
                <w:highlight w:val="none"/>
              </w:rPr>
            </w:pPr>
            <w:r>
              <w:rPr>
                <w:rFonts w:hint="eastAsia"/>
                <w:b w:val="0"/>
                <w:sz w:val="24"/>
                <w:highlight w:val="none"/>
              </w:rPr>
              <w:t>履约保证金</w:t>
            </w:r>
          </w:p>
        </w:tc>
        <w:tc>
          <w:tcPr>
            <w:tcW w:w="3556" w:type="pct"/>
          </w:tcPr>
          <w:p w14:paraId="3B9B4CB5">
            <w:pPr>
              <w:spacing w:line="360" w:lineRule="auto"/>
              <w:rPr>
                <w:bCs/>
                <w:sz w:val="24"/>
                <w:szCs w:val="28"/>
                <w:highlight w:val="none"/>
              </w:rPr>
            </w:pPr>
            <w:r>
              <w:rPr>
                <w:rFonts w:hint="eastAsia"/>
                <w:bCs/>
                <w:sz w:val="24"/>
                <w:szCs w:val="28"/>
                <w:highlight w:val="none"/>
              </w:rPr>
              <w:t>（1）金额：</w:t>
            </w:r>
          </w:p>
          <w:p w14:paraId="44917A37">
            <w:pPr>
              <w:spacing w:line="360" w:lineRule="auto"/>
              <w:rPr>
                <w:bCs/>
                <w:sz w:val="24"/>
                <w:szCs w:val="28"/>
                <w:highlight w:val="none"/>
              </w:rPr>
            </w:pPr>
            <w:r>
              <w:rPr>
                <w:bCs/>
                <w:sz w:val="24"/>
                <w:szCs w:val="28"/>
                <w:highlight w:val="none"/>
              </w:rPr>
              <w:t>□</w:t>
            </w:r>
            <w:r>
              <w:rPr>
                <w:rFonts w:hint="eastAsia"/>
                <w:bCs/>
                <w:sz w:val="24"/>
                <w:szCs w:val="28"/>
                <w:highlight w:val="none"/>
              </w:rPr>
              <w:t>免收</w:t>
            </w:r>
          </w:p>
          <w:p w14:paraId="13CD9300">
            <w:pPr>
              <w:spacing w:line="360" w:lineRule="auto"/>
              <w:rPr>
                <w:bCs/>
                <w:sz w:val="24"/>
                <w:szCs w:val="28"/>
                <w:highlight w:val="none"/>
              </w:rPr>
            </w:pPr>
            <w:r>
              <w:rPr>
                <w:rFonts w:hint="eastAsia"/>
                <w:bCs/>
                <w:sz w:val="24"/>
                <w:szCs w:val="28"/>
                <w:highlight w:val="none"/>
                <w:lang w:eastAsia="zh-CN"/>
              </w:rPr>
              <w:t>☑</w:t>
            </w:r>
            <w:r>
              <w:rPr>
                <w:rFonts w:hint="eastAsia"/>
                <w:bCs/>
                <w:sz w:val="24"/>
                <w:szCs w:val="28"/>
                <w:highlight w:val="none"/>
              </w:rPr>
              <w:t>合同价的</w:t>
            </w:r>
            <w:r>
              <w:rPr>
                <w:bCs/>
                <w:sz w:val="24"/>
                <w:szCs w:val="28"/>
                <w:highlight w:val="none"/>
                <w:u w:val="single"/>
              </w:rPr>
              <w:t xml:space="preserve"> </w:t>
            </w:r>
            <w:r>
              <w:rPr>
                <w:rFonts w:hint="eastAsia"/>
                <w:bCs/>
                <w:sz w:val="24"/>
                <w:szCs w:val="28"/>
                <w:highlight w:val="none"/>
                <w:u w:val="single"/>
              </w:rPr>
              <w:t>2</w:t>
            </w:r>
            <w:r>
              <w:rPr>
                <w:bCs/>
                <w:sz w:val="24"/>
                <w:szCs w:val="28"/>
                <w:highlight w:val="none"/>
                <w:u w:val="single"/>
              </w:rPr>
              <w:t xml:space="preserve"> </w:t>
            </w:r>
            <w:r>
              <w:rPr>
                <w:bCs/>
                <w:sz w:val="24"/>
                <w:szCs w:val="28"/>
                <w:highlight w:val="none"/>
              </w:rPr>
              <w:t>%</w:t>
            </w:r>
          </w:p>
          <w:p w14:paraId="766B8C6F">
            <w:pPr>
              <w:spacing w:line="360" w:lineRule="auto"/>
              <w:rPr>
                <w:bCs/>
                <w:sz w:val="24"/>
                <w:szCs w:val="28"/>
                <w:highlight w:val="none"/>
              </w:rPr>
            </w:pPr>
            <w:r>
              <w:rPr>
                <w:bCs/>
                <w:sz w:val="24"/>
                <w:szCs w:val="28"/>
                <w:highlight w:val="none"/>
              </w:rPr>
              <w:t>□</w:t>
            </w:r>
            <w:r>
              <w:rPr>
                <w:rFonts w:hint="eastAsia"/>
                <w:bCs/>
                <w:sz w:val="24"/>
                <w:szCs w:val="28"/>
                <w:highlight w:val="none"/>
              </w:rPr>
              <w:t>定额收取：人民币</w:t>
            </w:r>
            <w:r>
              <w:rPr>
                <w:rFonts w:hint="eastAsia"/>
                <w:bCs/>
                <w:sz w:val="24"/>
                <w:szCs w:val="28"/>
                <w:highlight w:val="none"/>
                <w:u w:val="single"/>
                <w:lang w:val="en-US" w:eastAsia="zh-CN"/>
              </w:rPr>
              <w:t>/</w:t>
            </w:r>
            <w:r>
              <w:rPr>
                <w:rFonts w:hint="eastAsia"/>
                <w:bCs/>
                <w:sz w:val="24"/>
                <w:szCs w:val="28"/>
                <w:highlight w:val="none"/>
              </w:rPr>
              <w:t>元</w:t>
            </w:r>
          </w:p>
          <w:p w14:paraId="58707E34">
            <w:pPr>
              <w:spacing w:line="360" w:lineRule="auto"/>
              <w:rPr>
                <w:bCs/>
                <w:sz w:val="24"/>
                <w:szCs w:val="28"/>
                <w:highlight w:val="none"/>
              </w:rPr>
            </w:pPr>
            <w:r>
              <w:rPr>
                <w:rFonts w:hint="eastAsia"/>
                <w:bCs/>
                <w:sz w:val="24"/>
                <w:szCs w:val="28"/>
                <w:highlight w:val="none"/>
              </w:rPr>
              <w:t>（2）支付方式：</w:t>
            </w:r>
          </w:p>
          <w:p w14:paraId="5367A7C5">
            <w:pPr>
              <w:spacing w:line="360" w:lineRule="auto"/>
              <w:rPr>
                <w:bCs/>
                <w:sz w:val="24"/>
                <w:szCs w:val="28"/>
                <w:highlight w:val="none"/>
              </w:rPr>
            </w:pPr>
            <w:r>
              <w:rPr>
                <w:rFonts w:hint="eastAsia"/>
                <w:bCs/>
                <w:sz w:val="24"/>
                <w:szCs w:val="28"/>
                <w:highlight w:val="none"/>
              </w:rPr>
              <w:sym w:font="Wingdings" w:char="00FE"/>
            </w:r>
            <w:r>
              <w:rPr>
                <w:bCs/>
                <w:sz w:val="24"/>
                <w:szCs w:val="28"/>
                <w:highlight w:val="none"/>
              </w:rPr>
              <w:t>转账/电汇</w:t>
            </w:r>
            <w:r>
              <w:rPr>
                <w:rFonts w:hint="eastAsia"/>
                <w:bCs/>
                <w:sz w:val="24"/>
                <w:szCs w:val="28"/>
                <w:highlight w:val="none"/>
              </w:rPr>
              <w:t xml:space="preserve"> </w:t>
            </w:r>
            <w:r>
              <w:rPr>
                <w:rFonts w:hint="eastAsia"/>
                <w:bCs/>
                <w:sz w:val="24"/>
                <w:szCs w:val="28"/>
                <w:highlight w:val="none"/>
              </w:rPr>
              <w:sym w:font="Wingdings" w:char="00FE"/>
            </w:r>
            <w:r>
              <w:rPr>
                <w:bCs/>
                <w:sz w:val="24"/>
                <w:szCs w:val="28"/>
                <w:highlight w:val="none"/>
              </w:rPr>
              <w:t xml:space="preserve">支票 </w:t>
            </w:r>
            <w:r>
              <w:rPr>
                <w:rFonts w:hint="eastAsia"/>
                <w:bCs/>
                <w:sz w:val="24"/>
                <w:szCs w:val="28"/>
                <w:highlight w:val="none"/>
              </w:rPr>
              <w:sym w:font="Wingdings" w:char="00FE"/>
            </w:r>
            <w:r>
              <w:rPr>
                <w:bCs/>
                <w:sz w:val="24"/>
                <w:szCs w:val="28"/>
                <w:highlight w:val="none"/>
              </w:rPr>
              <w:t>汇票</w:t>
            </w:r>
            <w:r>
              <w:rPr>
                <w:rFonts w:hint="eastAsia"/>
                <w:bCs/>
                <w:sz w:val="24"/>
                <w:szCs w:val="28"/>
                <w:highlight w:val="none"/>
              </w:rPr>
              <w:t xml:space="preserve"> </w:t>
            </w:r>
            <w:r>
              <w:rPr>
                <w:rFonts w:hint="eastAsia"/>
                <w:bCs/>
                <w:sz w:val="24"/>
                <w:szCs w:val="28"/>
                <w:highlight w:val="none"/>
              </w:rPr>
              <w:sym w:font="Wingdings" w:char="00FE"/>
            </w:r>
            <w:r>
              <w:rPr>
                <w:rFonts w:hint="eastAsia"/>
                <w:bCs/>
                <w:sz w:val="24"/>
                <w:szCs w:val="28"/>
                <w:highlight w:val="none"/>
              </w:rPr>
              <w:t xml:space="preserve">本票 </w:t>
            </w:r>
            <w:r>
              <w:rPr>
                <w:rFonts w:hint="eastAsia"/>
                <w:bCs/>
                <w:sz w:val="24"/>
                <w:szCs w:val="28"/>
                <w:highlight w:val="none"/>
              </w:rPr>
              <w:sym w:font="Wingdings" w:char="00FE"/>
            </w:r>
            <w:r>
              <w:rPr>
                <w:bCs/>
                <w:sz w:val="24"/>
                <w:szCs w:val="28"/>
                <w:highlight w:val="none"/>
              </w:rPr>
              <w:t>保</w:t>
            </w:r>
            <w:r>
              <w:rPr>
                <w:rFonts w:hint="eastAsia"/>
                <w:bCs/>
                <w:sz w:val="24"/>
                <w:szCs w:val="28"/>
                <w:highlight w:val="none"/>
              </w:rPr>
              <w:t xml:space="preserve">险 </w:t>
            </w:r>
            <w:r>
              <w:rPr>
                <w:rFonts w:hint="eastAsia"/>
                <w:bCs/>
                <w:sz w:val="24"/>
                <w:szCs w:val="28"/>
                <w:highlight w:val="none"/>
              </w:rPr>
              <w:sym w:font="Wingdings" w:char="00FE"/>
            </w:r>
            <w:r>
              <w:rPr>
                <w:rFonts w:hint="eastAsia"/>
                <w:bCs/>
                <w:sz w:val="24"/>
                <w:szCs w:val="28"/>
                <w:highlight w:val="none"/>
              </w:rPr>
              <w:t>保</w:t>
            </w:r>
            <w:r>
              <w:rPr>
                <w:bCs/>
                <w:sz w:val="24"/>
                <w:szCs w:val="28"/>
                <w:highlight w:val="none"/>
              </w:rPr>
              <w:t>函</w:t>
            </w:r>
          </w:p>
          <w:p w14:paraId="77B10407">
            <w:pPr>
              <w:spacing w:line="360" w:lineRule="auto"/>
              <w:rPr>
                <w:bCs/>
                <w:sz w:val="24"/>
                <w:szCs w:val="28"/>
                <w:highlight w:val="none"/>
              </w:rPr>
            </w:pPr>
            <w:r>
              <w:rPr>
                <w:rFonts w:hint="eastAsia"/>
                <w:bCs/>
                <w:sz w:val="24"/>
                <w:szCs w:val="28"/>
                <w:highlight w:val="none"/>
              </w:rPr>
              <w:t>（3）收取单位：</w:t>
            </w:r>
            <w:r>
              <w:rPr>
                <w:rFonts w:hint="eastAsia"/>
                <w:bCs/>
                <w:sz w:val="24"/>
                <w:szCs w:val="28"/>
                <w:highlight w:val="none"/>
                <w:u w:val="single"/>
              </w:rPr>
              <w:t xml:space="preserve"> </w:t>
            </w:r>
            <w:r>
              <w:rPr>
                <w:rFonts w:hint="eastAsia"/>
                <w:bCs/>
                <w:sz w:val="24"/>
                <w:szCs w:val="28"/>
                <w:highlight w:val="none"/>
                <w:u w:val="single"/>
                <w:lang w:val="en-US" w:eastAsia="zh-CN"/>
              </w:rPr>
              <w:t>安徽职业技术学院</w:t>
            </w:r>
            <w:r>
              <w:rPr>
                <w:rFonts w:hint="eastAsia"/>
                <w:bCs/>
                <w:sz w:val="24"/>
                <w:szCs w:val="28"/>
                <w:highlight w:val="none"/>
                <w:u w:val="single"/>
              </w:rPr>
              <w:t xml:space="preserve">           </w:t>
            </w:r>
          </w:p>
          <w:p w14:paraId="16B6BB78">
            <w:pPr>
              <w:spacing w:line="360" w:lineRule="auto"/>
              <w:rPr>
                <w:bCs/>
                <w:sz w:val="24"/>
                <w:szCs w:val="28"/>
                <w:highlight w:val="none"/>
              </w:rPr>
            </w:pPr>
            <w:r>
              <w:rPr>
                <w:rFonts w:hint="eastAsia"/>
                <w:bCs/>
                <w:sz w:val="24"/>
                <w:szCs w:val="28"/>
                <w:highlight w:val="none"/>
              </w:rPr>
              <w:t>（4）收取账号：</w:t>
            </w:r>
            <w:r>
              <w:rPr>
                <w:rFonts w:hint="eastAsia"/>
                <w:bCs/>
                <w:sz w:val="24"/>
                <w:szCs w:val="28"/>
                <w:highlight w:val="none"/>
                <w:u w:val="single"/>
              </w:rPr>
              <w:t xml:space="preserve"> </w:t>
            </w:r>
            <w:r>
              <w:rPr>
                <w:rFonts w:hint="eastAsia"/>
                <w:bCs/>
                <w:sz w:val="24"/>
                <w:szCs w:val="28"/>
                <w:highlight w:val="none"/>
                <w:u w:val="single"/>
                <w:lang w:val="en-US" w:eastAsia="zh-CN"/>
              </w:rPr>
              <w:t>12280201040012838</w:t>
            </w:r>
            <w:r>
              <w:rPr>
                <w:rFonts w:hint="eastAsia"/>
                <w:bCs/>
                <w:sz w:val="24"/>
                <w:szCs w:val="28"/>
                <w:highlight w:val="none"/>
                <w:u w:val="single"/>
              </w:rPr>
              <w:t xml:space="preserve">             </w:t>
            </w:r>
          </w:p>
          <w:p w14:paraId="65269975">
            <w:pPr>
              <w:spacing w:line="360" w:lineRule="auto"/>
              <w:rPr>
                <w:rFonts w:hint="default" w:eastAsia="宋体"/>
                <w:sz w:val="24"/>
                <w:highlight w:val="none"/>
                <w:lang w:val="en-US" w:eastAsia="zh-CN"/>
              </w:rPr>
            </w:pPr>
            <w:r>
              <w:rPr>
                <w:rFonts w:hint="eastAsia"/>
                <w:bCs/>
                <w:sz w:val="24"/>
                <w:szCs w:val="28"/>
                <w:highlight w:val="none"/>
              </w:rPr>
              <w:t>（5）</w:t>
            </w:r>
            <w:r>
              <w:rPr>
                <w:rFonts w:hint="eastAsia"/>
                <w:sz w:val="24"/>
                <w:highlight w:val="none"/>
              </w:rPr>
              <w:t>退还时间：</w:t>
            </w:r>
            <w:r>
              <w:rPr>
                <w:rFonts w:hint="eastAsia"/>
                <w:bCs/>
                <w:sz w:val="24"/>
                <w:szCs w:val="28"/>
                <w:highlight w:val="none"/>
                <w:u w:val="single"/>
                <w:lang w:val="en-US" w:eastAsia="zh-CN"/>
              </w:rPr>
              <w:t>竣工验收合格后退还</w:t>
            </w:r>
          </w:p>
          <w:p w14:paraId="242F7F19">
            <w:pPr>
              <w:spacing w:line="360" w:lineRule="auto"/>
              <w:rPr>
                <w:b/>
                <w:bCs/>
                <w:sz w:val="24"/>
                <w:szCs w:val="24"/>
                <w:highlight w:val="none"/>
              </w:rPr>
            </w:pPr>
            <w:r>
              <w:rPr>
                <w:rFonts w:hint="eastAsia"/>
                <w:b/>
                <w:bCs/>
                <w:sz w:val="24"/>
                <w:szCs w:val="24"/>
                <w:highlight w:val="none"/>
              </w:rPr>
              <w:t>注意事项：</w:t>
            </w:r>
          </w:p>
          <w:p w14:paraId="6DC3AA64">
            <w:pPr>
              <w:spacing w:line="360" w:lineRule="auto"/>
              <w:rPr>
                <w:b/>
                <w:bCs/>
                <w:sz w:val="24"/>
                <w:szCs w:val="24"/>
                <w:highlight w:val="none"/>
              </w:rPr>
            </w:pPr>
            <w:r>
              <w:rPr>
                <w:rFonts w:hint="eastAsia"/>
                <w:b/>
                <w:bCs/>
                <w:sz w:val="24"/>
                <w:szCs w:val="24"/>
                <w:highlight w:val="none"/>
              </w:rPr>
              <w:t>（1）以上各类机构出具的以担保函、保证保险承担责任的方式均须满足无条件见索即付条件。</w:t>
            </w:r>
          </w:p>
          <w:p w14:paraId="5B558913">
            <w:pPr>
              <w:pStyle w:val="67"/>
              <w:widowControl w:val="0"/>
              <w:spacing w:before="0" w:beforeAutospacing="0" w:after="0" w:afterAutospacing="0" w:line="360" w:lineRule="auto"/>
              <w:jc w:val="both"/>
              <w:rPr>
                <w:sz w:val="24"/>
                <w:highlight w:val="none"/>
              </w:rPr>
            </w:pPr>
            <w:r>
              <w:rPr>
                <w:rFonts w:hint="eastAsia"/>
                <w:bCs w:val="0"/>
                <w:sz w:val="24"/>
                <w:szCs w:val="24"/>
                <w:highlight w:val="none"/>
              </w:rPr>
              <w:t>（2）以担保函、保证保险形式缴纳履约保证金的，受益人和收取单位须为采购人。</w:t>
            </w:r>
          </w:p>
        </w:tc>
      </w:tr>
      <w:tr w14:paraId="350F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469F925">
            <w:pPr>
              <w:pStyle w:val="68"/>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26.1</w:t>
            </w:r>
          </w:p>
        </w:tc>
        <w:tc>
          <w:tcPr>
            <w:tcW w:w="977" w:type="pct"/>
            <w:vAlign w:val="center"/>
          </w:tcPr>
          <w:p w14:paraId="6C2C8439">
            <w:pPr>
              <w:pStyle w:val="67"/>
              <w:widowControl w:val="0"/>
              <w:spacing w:before="0" w:beforeAutospacing="0" w:after="0" w:afterAutospacing="0" w:line="360" w:lineRule="auto"/>
              <w:jc w:val="both"/>
              <w:rPr>
                <w:b w:val="0"/>
                <w:sz w:val="24"/>
                <w:highlight w:val="none"/>
              </w:rPr>
            </w:pPr>
            <w:r>
              <w:rPr>
                <w:rFonts w:hint="eastAsia"/>
                <w:b w:val="0"/>
                <w:sz w:val="24"/>
                <w:highlight w:val="none"/>
              </w:rPr>
              <w:t>代理费用</w:t>
            </w:r>
          </w:p>
        </w:tc>
        <w:tc>
          <w:tcPr>
            <w:tcW w:w="3556" w:type="pct"/>
            <w:vAlign w:val="center"/>
          </w:tcPr>
          <w:p w14:paraId="11BB59E2">
            <w:pPr>
              <w:pStyle w:val="67"/>
              <w:widowControl w:val="0"/>
              <w:spacing w:before="0" w:beforeAutospacing="0" w:after="0" w:afterAutospacing="0" w:line="360" w:lineRule="auto"/>
              <w:jc w:val="both"/>
              <w:rPr>
                <w:rFonts w:cs="宋体"/>
                <w:b w:val="0"/>
                <w:bCs w:val="0"/>
                <w:sz w:val="24"/>
                <w:szCs w:val="24"/>
                <w:highlight w:val="none"/>
              </w:rPr>
            </w:pPr>
            <w:r>
              <w:rPr>
                <w:rFonts w:hint="eastAsia" w:cs="宋体"/>
                <w:b w:val="0"/>
                <w:bCs w:val="0"/>
                <w:sz w:val="24"/>
                <w:szCs w:val="24"/>
                <w:highlight w:val="none"/>
              </w:rPr>
              <w:t>参照计价格[2009]216号文件工程类规定收费标准的80%计取，不足3500元按3500元计取，由成交人在领取成交通知书时，向采购代理机构支付。账号：</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0"/>
            </w:tblGrid>
            <w:tr w14:paraId="4296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8" w:type="dxa"/>
                </w:tcPr>
                <w:p w14:paraId="4422D105">
                  <w:pPr>
                    <w:pStyle w:val="67"/>
                    <w:widowControl w:val="0"/>
                    <w:spacing w:before="0" w:beforeAutospacing="0" w:after="0" w:afterAutospacing="0" w:line="360" w:lineRule="auto"/>
                    <w:jc w:val="both"/>
                    <w:rPr>
                      <w:rFonts w:cs="宋体"/>
                      <w:b w:val="0"/>
                      <w:bCs w:val="0"/>
                      <w:sz w:val="24"/>
                      <w:szCs w:val="24"/>
                      <w:highlight w:val="none"/>
                    </w:rPr>
                  </w:pPr>
                  <w:r>
                    <w:rPr>
                      <w:rFonts w:hint="eastAsia" w:cs="宋体"/>
                      <w:b w:val="0"/>
                      <w:bCs w:val="0"/>
                      <w:sz w:val="24"/>
                      <w:szCs w:val="24"/>
                      <w:highlight w:val="none"/>
                    </w:rPr>
                    <w:t>开户名：安徽省招标集团股份有限公司</w:t>
                  </w:r>
                </w:p>
                <w:p w14:paraId="194DE53C">
                  <w:pPr>
                    <w:pStyle w:val="67"/>
                    <w:widowControl w:val="0"/>
                    <w:spacing w:before="0" w:beforeAutospacing="0" w:after="0" w:afterAutospacing="0" w:line="360" w:lineRule="auto"/>
                    <w:jc w:val="both"/>
                    <w:rPr>
                      <w:rFonts w:cs="宋体"/>
                      <w:b w:val="0"/>
                      <w:bCs w:val="0"/>
                      <w:sz w:val="24"/>
                      <w:szCs w:val="24"/>
                      <w:highlight w:val="none"/>
                    </w:rPr>
                  </w:pPr>
                  <w:r>
                    <w:rPr>
                      <w:rFonts w:hint="eastAsia" w:cs="宋体"/>
                      <w:b w:val="0"/>
                      <w:bCs w:val="0"/>
                      <w:sz w:val="24"/>
                      <w:szCs w:val="24"/>
                      <w:highlight w:val="none"/>
                    </w:rPr>
                    <w:t>开户银行：中国建设银行合肥滨湖新区支行</w:t>
                  </w:r>
                </w:p>
                <w:p w14:paraId="238577F7">
                  <w:pPr>
                    <w:pStyle w:val="67"/>
                    <w:widowControl w:val="0"/>
                    <w:spacing w:before="0" w:beforeAutospacing="0" w:after="0" w:afterAutospacing="0" w:line="360" w:lineRule="auto"/>
                    <w:jc w:val="both"/>
                    <w:rPr>
                      <w:rFonts w:cs="宋体"/>
                      <w:b w:val="0"/>
                      <w:bCs w:val="0"/>
                      <w:sz w:val="24"/>
                      <w:szCs w:val="24"/>
                      <w:highlight w:val="none"/>
                    </w:rPr>
                  </w:pPr>
                  <w:r>
                    <w:rPr>
                      <w:rFonts w:hint="eastAsia" w:cs="宋体"/>
                      <w:b w:val="0"/>
                      <w:bCs w:val="0"/>
                      <w:sz w:val="24"/>
                      <w:szCs w:val="24"/>
                      <w:highlight w:val="none"/>
                    </w:rPr>
                    <w:t>账 号：34001474708050043497</w:t>
                  </w:r>
                </w:p>
              </w:tc>
            </w:tr>
          </w:tbl>
          <w:p w14:paraId="381C76F9">
            <w:pPr>
              <w:pStyle w:val="67"/>
              <w:widowControl w:val="0"/>
              <w:spacing w:before="0" w:beforeAutospacing="0" w:after="0" w:afterAutospacing="0" w:line="360" w:lineRule="auto"/>
              <w:jc w:val="both"/>
              <w:rPr>
                <w:sz w:val="24"/>
                <w:highlight w:val="none"/>
              </w:rPr>
            </w:pPr>
          </w:p>
        </w:tc>
      </w:tr>
      <w:tr w14:paraId="389B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30F3326E">
            <w:pPr>
              <w:pStyle w:val="68"/>
              <w:pBdr>
                <w:bottom w:val="none" w:color="auto" w:sz="0" w:space="0"/>
              </w:pBdr>
              <w:tabs>
                <w:tab w:val="clear" w:pos="4153"/>
                <w:tab w:val="clear" w:pos="8306"/>
              </w:tabs>
              <w:adjustRightInd/>
              <w:spacing w:line="360" w:lineRule="auto"/>
              <w:textAlignment w:val="auto"/>
              <w:rPr>
                <w:rFonts w:cs="@仿宋_GB2312"/>
                <w:bCs/>
                <w:kern w:val="2"/>
                <w:highlight w:val="none"/>
              </w:rPr>
            </w:pPr>
            <w:r>
              <w:rPr>
                <w:rFonts w:hint="eastAsia"/>
                <w:bCs/>
                <w:kern w:val="2"/>
                <w:highlight w:val="none"/>
              </w:rPr>
              <w:t>27.1</w:t>
            </w:r>
          </w:p>
        </w:tc>
        <w:tc>
          <w:tcPr>
            <w:tcW w:w="977" w:type="pct"/>
            <w:vAlign w:val="center"/>
          </w:tcPr>
          <w:p w14:paraId="3F36778B">
            <w:pPr>
              <w:pStyle w:val="67"/>
              <w:widowControl w:val="0"/>
              <w:spacing w:before="0" w:beforeAutospacing="0" w:after="0" w:afterAutospacing="0" w:line="360" w:lineRule="auto"/>
              <w:jc w:val="both"/>
              <w:rPr>
                <w:rFonts w:cs="@仿宋_GB2312"/>
                <w:b w:val="0"/>
                <w:sz w:val="24"/>
                <w:highlight w:val="none"/>
              </w:rPr>
            </w:pPr>
            <w:r>
              <w:rPr>
                <w:rFonts w:hint="eastAsia"/>
                <w:b w:val="0"/>
                <w:sz w:val="24"/>
                <w:highlight w:val="none"/>
              </w:rPr>
              <w:t>签订合同和合同公告时间</w:t>
            </w:r>
          </w:p>
        </w:tc>
        <w:tc>
          <w:tcPr>
            <w:tcW w:w="3556" w:type="pct"/>
            <w:vAlign w:val="center"/>
          </w:tcPr>
          <w:p w14:paraId="02937F49">
            <w:pPr>
              <w:pStyle w:val="49"/>
              <w:spacing w:before="0" w:beforeAutospacing="0" w:after="0" w:afterAutospacing="0" w:line="360" w:lineRule="auto"/>
              <w:rPr>
                <w:color w:val="auto"/>
                <w:highlight w:val="none"/>
              </w:rPr>
            </w:pPr>
            <w:r>
              <w:rPr>
                <w:rFonts w:hint="eastAsia"/>
                <w:color w:val="auto"/>
                <w:highlight w:val="none"/>
              </w:rPr>
              <w:t>（1）采购人与成交供应商应当自发出成交通知书之日起7个工作日内签订合同，采购合同签订之日起2个工作日内完成政府采购合同公开。</w:t>
            </w:r>
          </w:p>
          <w:p w14:paraId="54B77F65">
            <w:pPr>
              <w:pStyle w:val="67"/>
              <w:widowControl w:val="0"/>
              <w:spacing w:before="0" w:beforeAutospacing="0" w:after="0" w:afterAutospacing="0" w:line="360" w:lineRule="auto"/>
              <w:jc w:val="both"/>
              <w:rPr>
                <w:rFonts w:cs="@仿宋_GB2312"/>
                <w:b w:val="0"/>
                <w:sz w:val="24"/>
                <w:highlight w:val="none"/>
              </w:rPr>
            </w:pPr>
            <w:r>
              <w:rPr>
                <w:rFonts w:hint="eastAsia" w:cs="宋体"/>
                <w:b w:val="0"/>
                <w:bCs w:val="0"/>
                <w:sz w:val="24"/>
                <w:szCs w:val="24"/>
                <w:highlight w:val="none"/>
              </w:rPr>
              <w:t>（2）采购人与成交供应商</w:t>
            </w:r>
            <w:r>
              <w:rPr>
                <w:rFonts w:cs="宋体"/>
                <w:b w:val="0"/>
                <w:bCs w:val="0"/>
                <w:sz w:val="24"/>
                <w:szCs w:val="24"/>
                <w:highlight w:val="none"/>
              </w:rPr>
              <w:t>不得擅自变更合同，依照政府采购法确需变更政府采购合同内容的，采购人应当自合同变更之日起2个工作日内</w:t>
            </w:r>
            <w:r>
              <w:rPr>
                <w:rFonts w:hint="eastAsia" w:cs="宋体"/>
                <w:b w:val="0"/>
                <w:bCs w:val="0"/>
                <w:sz w:val="24"/>
                <w:szCs w:val="24"/>
                <w:highlight w:val="none"/>
              </w:rPr>
              <w:t>在安徽省政府采购网</w:t>
            </w:r>
            <w:r>
              <w:rPr>
                <w:rFonts w:cs="宋体"/>
                <w:b w:val="0"/>
                <w:bCs w:val="0"/>
                <w:sz w:val="24"/>
                <w:szCs w:val="24"/>
                <w:highlight w:val="none"/>
              </w:rPr>
              <w:t>发布政府采购合同变更公告</w:t>
            </w:r>
            <w:r>
              <w:rPr>
                <w:rFonts w:hint="eastAsia" w:cs="宋体"/>
                <w:b w:val="0"/>
                <w:bCs w:val="0"/>
                <w:sz w:val="24"/>
                <w:szCs w:val="24"/>
                <w:highlight w:val="none"/>
              </w:rPr>
              <w:t>，</w:t>
            </w:r>
            <w:r>
              <w:rPr>
                <w:rFonts w:cs="宋体"/>
                <w:b w:val="0"/>
                <w:bCs w:val="0"/>
                <w:sz w:val="24"/>
                <w:szCs w:val="24"/>
                <w:highlight w:val="none"/>
              </w:rPr>
              <w:t>但涉及国家秘密、商业秘密的信息和其他依法不得公开的信息除外。</w:t>
            </w:r>
          </w:p>
        </w:tc>
      </w:tr>
      <w:tr w14:paraId="4A98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EF78E6C">
            <w:pPr>
              <w:pStyle w:val="68"/>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29.3</w:t>
            </w:r>
          </w:p>
        </w:tc>
        <w:tc>
          <w:tcPr>
            <w:tcW w:w="977" w:type="pct"/>
            <w:vAlign w:val="center"/>
          </w:tcPr>
          <w:p w14:paraId="1194FF6F">
            <w:pPr>
              <w:pStyle w:val="67"/>
              <w:widowControl w:val="0"/>
              <w:spacing w:before="0" w:beforeAutospacing="0" w:after="0" w:afterAutospacing="0" w:line="360" w:lineRule="auto"/>
              <w:jc w:val="both"/>
              <w:rPr>
                <w:b w:val="0"/>
                <w:sz w:val="24"/>
                <w:highlight w:val="none"/>
              </w:rPr>
            </w:pPr>
            <w:r>
              <w:rPr>
                <w:rFonts w:hint="eastAsia"/>
                <w:b w:val="0"/>
                <w:sz w:val="24"/>
                <w:highlight w:val="none"/>
              </w:rPr>
              <w:t>质疑函递交方式、接收部门、联系电话和通讯地址</w:t>
            </w:r>
          </w:p>
        </w:tc>
        <w:tc>
          <w:tcPr>
            <w:tcW w:w="3556" w:type="pct"/>
            <w:vAlign w:val="center"/>
          </w:tcPr>
          <w:p w14:paraId="713ACFD5">
            <w:pPr>
              <w:pStyle w:val="67"/>
              <w:widowControl w:val="0"/>
              <w:spacing w:before="0" w:beforeAutospacing="0" w:after="0" w:afterAutospacing="0" w:line="360" w:lineRule="auto"/>
              <w:jc w:val="both"/>
              <w:rPr>
                <w:b w:val="0"/>
                <w:sz w:val="24"/>
                <w:highlight w:val="none"/>
              </w:rPr>
            </w:pPr>
            <w:r>
              <w:rPr>
                <w:rFonts w:hint="eastAsia"/>
                <w:b w:val="0"/>
                <w:sz w:val="24"/>
                <w:highlight w:val="none"/>
              </w:rPr>
              <w:t>递交方式：</w:t>
            </w:r>
            <w:r>
              <w:rPr>
                <w:rFonts w:hint="eastAsia"/>
                <w:b w:val="0"/>
                <w:sz w:val="24"/>
                <w:highlight w:val="none"/>
                <w:u w:val="single"/>
              </w:rPr>
              <w:t>书面</w:t>
            </w:r>
          </w:p>
          <w:p w14:paraId="5EDBDDDC">
            <w:pPr>
              <w:pStyle w:val="67"/>
              <w:widowControl w:val="0"/>
              <w:spacing w:before="0" w:beforeAutospacing="0" w:after="0" w:afterAutospacing="0" w:line="360" w:lineRule="auto"/>
              <w:jc w:val="both"/>
              <w:rPr>
                <w:b w:val="0"/>
                <w:bCs w:val="0"/>
                <w:sz w:val="24"/>
                <w:szCs w:val="18"/>
                <w:highlight w:val="none"/>
              </w:rPr>
            </w:pPr>
            <w:r>
              <w:rPr>
                <w:rFonts w:hint="eastAsia"/>
                <w:b w:val="0"/>
                <w:sz w:val="24"/>
                <w:highlight w:val="none"/>
              </w:rPr>
              <w:t>接收部门：</w:t>
            </w:r>
            <w:r>
              <w:rPr>
                <w:rFonts w:hint="eastAsia"/>
                <w:b w:val="0"/>
                <w:sz w:val="24"/>
                <w:highlight w:val="none"/>
                <w:u w:val="single"/>
              </w:rPr>
              <w:t>安徽省招标集团股份有限公司</w:t>
            </w:r>
            <w:r>
              <w:rPr>
                <w:rFonts w:hint="eastAsia"/>
                <w:sz w:val="24"/>
                <w:highlight w:val="none"/>
                <w:u w:val="single"/>
              </w:rPr>
              <w:t xml:space="preserve"> </w:t>
            </w:r>
          </w:p>
          <w:p w14:paraId="487F9E4B">
            <w:pPr>
              <w:pStyle w:val="67"/>
              <w:widowControl w:val="0"/>
              <w:spacing w:before="0" w:beforeAutospacing="0" w:after="0" w:afterAutospacing="0" w:line="360" w:lineRule="auto"/>
              <w:jc w:val="both"/>
              <w:rPr>
                <w:b w:val="0"/>
                <w:bCs w:val="0"/>
                <w:sz w:val="24"/>
                <w:szCs w:val="18"/>
                <w:highlight w:val="none"/>
              </w:rPr>
            </w:pPr>
            <w:r>
              <w:rPr>
                <w:b w:val="0"/>
                <w:sz w:val="24"/>
                <w:highlight w:val="none"/>
              </w:rPr>
              <w:t>联系电话：</w:t>
            </w:r>
            <w:r>
              <w:rPr>
                <w:rFonts w:hint="eastAsia"/>
                <w:b w:val="0"/>
                <w:sz w:val="24"/>
                <w:highlight w:val="none"/>
                <w:u w:val="single"/>
              </w:rPr>
              <w:t>0551-62220110</w:t>
            </w:r>
          </w:p>
          <w:p w14:paraId="6951F7C9">
            <w:pPr>
              <w:pStyle w:val="67"/>
              <w:widowControl w:val="0"/>
              <w:spacing w:before="0" w:beforeAutospacing="0" w:after="0" w:afterAutospacing="0" w:line="360" w:lineRule="auto"/>
              <w:jc w:val="both"/>
              <w:rPr>
                <w:b w:val="0"/>
                <w:sz w:val="24"/>
                <w:highlight w:val="none"/>
              </w:rPr>
            </w:pPr>
            <w:r>
              <w:rPr>
                <w:rFonts w:hint="eastAsia"/>
                <w:b w:val="0"/>
                <w:sz w:val="24"/>
                <w:highlight w:val="none"/>
              </w:rPr>
              <w:t>通讯地址：</w:t>
            </w:r>
            <w:r>
              <w:rPr>
                <w:rFonts w:hint="eastAsia"/>
                <w:b w:val="0"/>
                <w:sz w:val="24"/>
                <w:highlight w:val="none"/>
                <w:u w:val="single"/>
              </w:rPr>
              <w:t>安徽省招标集团A栋4楼407室（法务办公室）</w:t>
            </w:r>
          </w:p>
        </w:tc>
      </w:tr>
      <w:tr w14:paraId="2A69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24B3C33">
            <w:pPr>
              <w:pStyle w:val="68"/>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30</w:t>
            </w:r>
          </w:p>
        </w:tc>
        <w:tc>
          <w:tcPr>
            <w:tcW w:w="977" w:type="pct"/>
            <w:vAlign w:val="center"/>
          </w:tcPr>
          <w:p w14:paraId="0D5A6D4D">
            <w:pPr>
              <w:pStyle w:val="67"/>
              <w:widowControl w:val="0"/>
              <w:spacing w:before="0" w:beforeAutospacing="0" w:after="0" w:afterAutospacing="0" w:line="360" w:lineRule="auto"/>
              <w:jc w:val="both"/>
              <w:rPr>
                <w:b w:val="0"/>
                <w:sz w:val="24"/>
                <w:highlight w:val="none"/>
              </w:rPr>
            </w:pPr>
            <w:r>
              <w:rPr>
                <w:rFonts w:hint="eastAsia"/>
                <w:b w:val="0"/>
                <w:sz w:val="24"/>
                <w:highlight w:val="none"/>
              </w:rPr>
              <w:t>其他内容</w:t>
            </w:r>
          </w:p>
        </w:tc>
        <w:tc>
          <w:tcPr>
            <w:tcW w:w="3556" w:type="pct"/>
            <w:vAlign w:val="center"/>
          </w:tcPr>
          <w:p w14:paraId="275E354D">
            <w:pPr>
              <w:pStyle w:val="67"/>
              <w:widowControl w:val="0"/>
              <w:spacing w:before="0" w:beforeAutospacing="0" w:after="0" w:afterAutospacing="0" w:line="360" w:lineRule="auto"/>
              <w:jc w:val="both"/>
              <w:rPr>
                <w:b w:val="0"/>
                <w:sz w:val="24"/>
                <w:highlight w:val="none"/>
              </w:rPr>
            </w:pPr>
          </w:p>
        </w:tc>
      </w:tr>
      <w:tr w14:paraId="09CA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2106750">
            <w:pPr>
              <w:pStyle w:val="68"/>
              <w:pBdr>
                <w:bottom w:val="none" w:color="auto" w:sz="0" w:space="0"/>
              </w:pBdr>
              <w:tabs>
                <w:tab w:val="clear" w:pos="4153"/>
                <w:tab w:val="clear" w:pos="8306"/>
              </w:tabs>
              <w:adjustRightInd/>
              <w:spacing w:line="360" w:lineRule="auto"/>
              <w:textAlignment w:val="auto"/>
              <w:rPr>
                <w:bCs/>
                <w:kern w:val="2"/>
                <w:highlight w:val="none"/>
              </w:rPr>
            </w:pPr>
            <w:r>
              <w:rPr>
                <w:bCs/>
                <w:kern w:val="2"/>
                <w:highlight w:val="none"/>
              </w:rPr>
              <w:t>3</w:t>
            </w:r>
            <w:r>
              <w:rPr>
                <w:rFonts w:hint="eastAsia"/>
                <w:bCs/>
                <w:kern w:val="2"/>
                <w:highlight w:val="none"/>
              </w:rPr>
              <w:t>0</w:t>
            </w:r>
            <w:r>
              <w:rPr>
                <w:bCs/>
                <w:kern w:val="2"/>
                <w:highlight w:val="none"/>
              </w:rPr>
              <w:t>.</w:t>
            </w:r>
            <w:r>
              <w:rPr>
                <w:rFonts w:hint="eastAsia"/>
                <w:bCs/>
                <w:kern w:val="2"/>
                <w:highlight w:val="none"/>
              </w:rPr>
              <w:t>1</w:t>
            </w:r>
          </w:p>
        </w:tc>
        <w:tc>
          <w:tcPr>
            <w:tcW w:w="977" w:type="pct"/>
            <w:vAlign w:val="center"/>
          </w:tcPr>
          <w:p w14:paraId="356DEA62">
            <w:pPr>
              <w:pStyle w:val="67"/>
              <w:widowControl w:val="0"/>
              <w:spacing w:before="0" w:beforeAutospacing="0" w:after="0" w:afterAutospacing="0" w:line="360" w:lineRule="auto"/>
              <w:jc w:val="both"/>
              <w:rPr>
                <w:b w:val="0"/>
                <w:sz w:val="24"/>
                <w:highlight w:val="none"/>
              </w:rPr>
            </w:pPr>
            <w:r>
              <w:rPr>
                <w:rFonts w:hint="eastAsia"/>
                <w:b w:val="0"/>
                <w:sz w:val="24"/>
                <w:highlight w:val="none"/>
              </w:rPr>
              <w:t>承包方式</w:t>
            </w:r>
          </w:p>
        </w:tc>
        <w:tc>
          <w:tcPr>
            <w:tcW w:w="3556" w:type="pct"/>
            <w:vAlign w:val="center"/>
          </w:tcPr>
          <w:p w14:paraId="217B5912">
            <w:pPr>
              <w:pStyle w:val="67"/>
              <w:widowControl w:val="0"/>
              <w:spacing w:before="0" w:beforeAutospacing="0" w:after="0" w:afterAutospacing="0" w:line="360" w:lineRule="auto"/>
              <w:jc w:val="both"/>
              <w:rPr>
                <w:b w:val="0"/>
                <w:sz w:val="24"/>
                <w:highlight w:val="none"/>
              </w:rPr>
            </w:pPr>
            <w:r>
              <w:rPr>
                <w:rFonts w:hint="eastAsia"/>
                <w:b w:val="0"/>
                <w:sz w:val="24"/>
                <w:highlight w:val="none"/>
              </w:rPr>
              <w:t>□施工总承包  ☑专业承包</w:t>
            </w:r>
          </w:p>
        </w:tc>
      </w:tr>
      <w:tr w14:paraId="0840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BBB2F12">
            <w:pPr>
              <w:pStyle w:val="68"/>
              <w:pBdr>
                <w:bottom w:val="none" w:color="auto" w:sz="0" w:space="0"/>
              </w:pBdr>
              <w:tabs>
                <w:tab w:val="clear" w:pos="4153"/>
                <w:tab w:val="clear" w:pos="8306"/>
              </w:tabs>
              <w:adjustRightInd/>
              <w:spacing w:line="360" w:lineRule="auto"/>
              <w:textAlignment w:val="auto"/>
              <w:rPr>
                <w:bCs/>
                <w:kern w:val="2"/>
                <w:highlight w:val="none"/>
              </w:rPr>
            </w:pPr>
            <w:r>
              <w:rPr>
                <w:bCs/>
                <w:kern w:val="2"/>
                <w:highlight w:val="none"/>
              </w:rPr>
              <w:t>3</w:t>
            </w:r>
            <w:r>
              <w:rPr>
                <w:rFonts w:hint="eastAsia"/>
                <w:bCs/>
                <w:kern w:val="2"/>
                <w:highlight w:val="none"/>
              </w:rPr>
              <w:t>0</w:t>
            </w:r>
            <w:r>
              <w:rPr>
                <w:bCs/>
                <w:kern w:val="2"/>
                <w:highlight w:val="none"/>
              </w:rPr>
              <w:t>.</w:t>
            </w:r>
            <w:r>
              <w:rPr>
                <w:rFonts w:hint="eastAsia"/>
                <w:bCs/>
                <w:kern w:val="2"/>
                <w:highlight w:val="none"/>
              </w:rPr>
              <w:t>2</w:t>
            </w:r>
          </w:p>
        </w:tc>
        <w:tc>
          <w:tcPr>
            <w:tcW w:w="977" w:type="pct"/>
            <w:vAlign w:val="center"/>
          </w:tcPr>
          <w:p w14:paraId="3E739C27">
            <w:pPr>
              <w:pStyle w:val="67"/>
              <w:widowControl w:val="0"/>
              <w:spacing w:before="0" w:beforeAutospacing="0" w:after="0" w:afterAutospacing="0" w:line="360" w:lineRule="auto"/>
              <w:jc w:val="both"/>
              <w:rPr>
                <w:b w:val="0"/>
                <w:sz w:val="24"/>
                <w:highlight w:val="none"/>
              </w:rPr>
            </w:pPr>
            <w:r>
              <w:rPr>
                <w:rFonts w:hint="eastAsia"/>
                <w:b w:val="0"/>
                <w:sz w:val="24"/>
                <w:highlight w:val="none"/>
              </w:rPr>
              <w:t>计价方式</w:t>
            </w:r>
          </w:p>
        </w:tc>
        <w:tc>
          <w:tcPr>
            <w:tcW w:w="3556" w:type="pct"/>
            <w:vAlign w:val="center"/>
          </w:tcPr>
          <w:p w14:paraId="44D7F9E5">
            <w:pPr>
              <w:pStyle w:val="67"/>
              <w:widowControl w:val="0"/>
              <w:spacing w:before="0" w:beforeAutospacing="0" w:after="0" w:afterAutospacing="0" w:line="360" w:lineRule="auto"/>
              <w:jc w:val="both"/>
              <w:rPr>
                <w:b w:val="0"/>
                <w:sz w:val="24"/>
                <w:highlight w:val="none"/>
              </w:rPr>
            </w:pPr>
            <w:r>
              <w:rPr>
                <w:rFonts w:hint="eastAsia"/>
                <w:b w:val="0"/>
                <w:sz w:val="24"/>
                <w:highlight w:val="none"/>
              </w:rPr>
              <w:t>☑工程量清单综合单价报价法</w:t>
            </w:r>
          </w:p>
          <w:p w14:paraId="5B37C7AB">
            <w:pPr>
              <w:pStyle w:val="67"/>
              <w:widowControl w:val="0"/>
              <w:spacing w:before="0" w:beforeAutospacing="0" w:after="0" w:afterAutospacing="0" w:line="360" w:lineRule="auto"/>
              <w:jc w:val="both"/>
              <w:rPr>
                <w:b w:val="0"/>
                <w:sz w:val="24"/>
                <w:highlight w:val="none"/>
              </w:rPr>
            </w:pPr>
            <w:r>
              <w:rPr>
                <w:rFonts w:hint="eastAsia"/>
                <w:b w:val="0"/>
                <w:sz w:val="24"/>
                <w:highlight w:val="none"/>
              </w:rPr>
              <w:t>□全费用综合单价报价法</w:t>
            </w:r>
          </w:p>
        </w:tc>
      </w:tr>
      <w:tr w14:paraId="5EE8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C4E7D69">
            <w:pPr>
              <w:pStyle w:val="68"/>
              <w:pBdr>
                <w:bottom w:val="none" w:color="auto" w:sz="0" w:space="0"/>
              </w:pBdr>
              <w:tabs>
                <w:tab w:val="clear" w:pos="4153"/>
                <w:tab w:val="clear" w:pos="8306"/>
              </w:tabs>
              <w:adjustRightInd/>
              <w:spacing w:line="360" w:lineRule="auto"/>
              <w:textAlignment w:val="auto"/>
              <w:rPr>
                <w:bCs/>
                <w:kern w:val="2"/>
                <w:highlight w:val="none"/>
              </w:rPr>
            </w:pPr>
            <w:r>
              <w:rPr>
                <w:bCs/>
                <w:kern w:val="2"/>
                <w:highlight w:val="none"/>
              </w:rPr>
              <w:t>3</w:t>
            </w:r>
            <w:r>
              <w:rPr>
                <w:rFonts w:hint="eastAsia"/>
                <w:bCs/>
                <w:kern w:val="2"/>
                <w:highlight w:val="none"/>
              </w:rPr>
              <w:t>0</w:t>
            </w:r>
            <w:r>
              <w:rPr>
                <w:bCs/>
                <w:kern w:val="2"/>
                <w:highlight w:val="none"/>
              </w:rPr>
              <w:t>.</w:t>
            </w:r>
            <w:r>
              <w:rPr>
                <w:rFonts w:hint="eastAsia"/>
                <w:bCs/>
                <w:kern w:val="2"/>
                <w:highlight w:val="none"/>
              </w:rPr>
              <w:t>3</w:t>
            </w:r>
          </w:p>
        </w:tc>
        <w:tc>
          <w:tcPr>
            <w:tcW w:w="977" w:type="pct"/>
            <w:vAlign w:val="center"/>
          </w:tcPr>
          <w:p w14:paraId="104BD602">
            <w:pPr>
              <w:pStyle w:val="67"/>
              <w:widowControl w:val="0"/>
              <w:spacing w:before="0" w:beforeAutospacing="0" w:after="0" w:afterAutospacing="0" w:line="360" w:lineRule="auto"/>
              <w:jc w:val="both"/>
              <w:rPr>
                <w:b w:val="0"/>
                <w:sz w:val="24"/>
                <w:highlight w:val="none"/>
              </w:rPr>
            </w:pPr>
            <w:r>
              <w:rPr>
                <w:rFonts w:hint="eastAsia"/>
                <w:b w:val="0"/>
                <w:sz w:val="24"/>
                <w:highlight w:val="none"/>
              </w:rPr>
              <w:t>计划</w:t>
            </w:r>
            <w:r>
              <w:rPr>
                <w:b w:val="0"/>
                <w:sz w:val="24"/>
                <w:highlight w:val="none"/>
              </w:rPr>
              <w:t>工期</w:t>
            </w:r>
          </w:p>
        </w:tc>
        <w:tc>
          <w:tcPr>
            <w:tcW w:w="3556" w:type="pct"/>
            <w:vAlign w:val="center"/>
          </w:tcPr>
          <w:p w14:paraId="2F4AA0AE">
            <w:pPr>
              <w:pStyle w:val="67"/>
              <w:widowControl w:val="0"/>
              <w:spacing w:before="0" w:beforeAutospacing="0" w:after="0" w:afterAutospacing="0" w:line="360" w:lineRule="auto"/>
              <w:jc w:val="both"/>
              <w:rPr>
                <w:b w:val="0"/>
                <w:sz w:val="24"/>
                <w:highlight w:val="none"/>
              </w:rPr>
            </w:pPr>
            <w:r>
              <w:rPr>
                <w:rFonts w:hint="eastAsia"/>
                <w:b w:val="0"/>
                <w:sz w:val="24"/>
                <w:highlight w:val="none"/>
              </w:rPr>
              <w:t>计划</w:t>
            </w:r>
            <w:r>
              <w:rPr>
                <w:b w:val="0"/>
                <w:sz w:val="24"/>
                <w:highlight w:val="none"/>
              </w:rPr>
              <w:t>工期：</w:t>
            </w:r>
            <w:r>
              <w:rPr>
                <w:rFonts w:hint="eastAsia"/>
                <w:b w:val="0"/>
                <w:sz w:val="24"/>
                <w:highlight w:val="none"/>
                <w:u w:val="single"/>
                <w:lang w:val="en-US" w:eastAsia="zh-CN"/>
              </w:rPr>
              <w:t>70</w:t>
            </w:r>
            <w:r>
              <w:rPr>
                <w:b w:val="0"/>
                <w:sz w:val="24"/>
                <w:highlight w:val="none"/>
              </w:rPr>
              <w:t>日历天</w:t>
            </w:r>
          </w:p>
          <w:p w14:paraId="3A358692">
            <w:pPr>
              <w:pStyle w:val="67"/>
              <w:widowControl w:val="0"/>
              <w:spacing w:before="0" w:beforeAutospacing="0" w:after="0" w:afterAutospacing="0" w:line="360" w:lineRule="auto"/>
              <w:jc w:val="both"/>
              <w:rPr>
                <w:b w:val="0"/>
                <w:sz w:val="24"/>
                <w:highlight w:val="none"/>
              </w:rPr>
            </w:pPr>
            <w:r>
              <w:rPr>
                <w:b w:val="0"/>
                <w:sz w:val="24"/>
                <w:highlight w:val="none"/>
              </w:rPr>
              <w:t>计划开工日期：</w:t>
            </w:r>
            <w:r>
              <w:rPr>
                <w:b w:val="0"/>
                <w:sz w:val="24"/>
                <w:highlight w:val="none"/>
                <w:u w:val="single"/>
              </w:rPr>
              <w:t xml:space="preserve"> </w:t>
            </w:r>
            <w:r>
              <w:rPr>
                <w:rFonts w:hint="eastAsia"/>
                <w:b w:val="0"/>
                <w:sz w:val="24"/>
                <w:highlight w:val="none"/>
                <w:u w:val="single"/>
              </w:rPr>
              <w:t>2026</w:t>
            </w:r>
            <w:r>
              <w:rPr>
                <w:b w:val="0"/>
                <w:sz w:val="24"/>
                <w:highlight w:val="none"/>
              </w:rPr>
              <w:t>年</w:t>
            </w:r>
            <w:r>
              <w:rPr>
                <w:b w:val="0"/>
                <w:sz w:val="24"/>
                <w:highlight w:val="none"/>
                <w:u w:val="single"/>
              </w:rPr>
              <w:t xml:space="preserve"> </w:t>
            </w:r>
            <w:r>
              <w:rPr>
                <w:rFonts w:hint="eastAsia"/>
                <w:b w:val="0"/>
                <w:sz w:val="24"/>
                <w:highlight w:val="none"/>
                <w:u w:val="single"/>
              </w:rPr>
              <w:t>6</w:t>
            </w:r>
            <w:r>
              <w:rPr>
                <w:b w:val="0"/>
                <w:sz w:val="24"/>
                <w:highlight w:val="none"/>
              </w:rPr>
              <w:t>月</w:t>
            </w:r>
            <w:r>
              <w:rPr>
                <w:b w:val="0"/>
                <w:sz w:val="24"/>
                <w:highlight w:val="none"/>
                <w:u w:val="single"/>
              </w:rPr>
              <w:t xml:space="preserve"> </w:t>
            </w:r>
            <w:r>
              <w:rPr>
                <w:rFonts w:hint="eastAsia"/>
                <w:b w:val="0"/>
                <w:sz w:val="24"/>
                <w:highlight w:val="none"/>
                <w:u w:val="single"/>
              </w:rPr>
              <w:t>20</w:t>
            </w:r>
            <w:r>
              <w:rPr>
                <w:b w:val="0"/>
                <w:sz w:val="24"/>
                <w:highlight w:val="none"/>
                <w:u w:val="single"/>
              </w:rPr>
              <w:t xml:space="preserve"> </w:t>
            </w:r>
            <w:r>
              <w:rPr>
                <w:b w:val="0"/>
                <w:sz w:val="24"/>
                <w:highlight w:val="none"/>
              </w:rPr>
              <w:t>日</w:t>
            </w:r>
            <w:r>
              <w:rPr>
                <w:rFonts w:hint="eastAsia"/>
                <w:b w:val="0"/>
                <w:sz w:val="24"/>
                <w:highlight w:val="none"/>
              </w:rPr>
              <w:t>，</w:t>
            </w:r>
            <w:bookmarkStart w:id="26" w:name="EB2a2e1a22d449405a860670c095486ab8"/>
            <w:r>
              <w:rPr>
                <w:rFonts w:hint="eastAsia"/>
                <w:b w:val="0"/>
                <w:sz w:val="24"/>
                <w:highlight w:val="none"/>
              </w:rPr>
              <w:t>具体开工时间以开工令为准。</w:t>
            </w:r>
            <w:bookmarkEnd w:id="26"/>
          </w:p>
        </w:tc>
      </w:tr>
      <w:tr w14:paraId="0127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6C131ED">
            <w:pPr>
              <w:pStyle w:val="68"/>
              <w:pBdr>
                <w:bottom w:val="none" w:color="auto" w:sz="0" w:space="0"/>
              </w:pBdr>
              <w:tabs>
                <w:tab w:val="clear" w:pos="4153"/>
                <w:tab w:val="clear" w:pos="8306"/>
              </w:tabs>
              <w:adjustRightInd/>
              <w:spacing w:line="360" w:lineRule="auto"/>
              <w:textAlignment w:val="auto"/>
              <w:rPr>
                <w:bCs/>
                <w:kern w:val="2"/>
                <w:highlight w:val="none"/>
              </w:rPr>
            </w:pPr>
            <w:r>
              <w:rPr>
                <w:bCs/>
                <w:kern w:val="2"/>
                <w:highlight w:val="none"/>
              </w:rPr>
              <w:t>3</w:t>
            </w:r>
            <w:r>
              <w:rPr>
                <w:rFonts w:hint="eastAsia"/>
                <w:bCs/>
                <w:kern w:val="2"/>
                <w:highlight w:val="none"/>
              </w:rPr>
              <w:t>0</w:t>
            </w:r>
            <w:r>
              <w:rPr>
                <w:bCs/>
                <w:kern w:val="2"/>
                <w:highlight w:val="none"/>
              </w:rPr>
              <w:t>.</w:t>
            </w:r>
            <w:r>
              <w:rPr>
                <w:rFonts w:hint="eastAsia"/>
                <w:bCs/>
                <w:kern w:val="2"/>
                <w:highlight w:val="none"/>
              </w:rPr>
              <w:t>4</w:t>
            </w:r>
          </w:p>
        </w:tc>
        <w:tc>
          <w:tcPr>
            <w:tcW w:w="977" w:type="pct"/>
            <w:vAlign w:val="center"/>
          </w:tcPr>
          <w:p w14:paraId="052EE5AC">
            <w:pPr>
              <w:pStyle w:val="67"/>
              <w:widowControl w:val="0"/>
              <w:spacing w:before="0" w:beforeAutospacing="0" w:after="0" w:afterAutospacing="0" w:line="360" w:lineRule="auto"/>
              <w:jc w:val="both"/>
              <w:rPr>
                <w:b w:val="0"/>
                <w:sz w:val="24"/>
                <w:highlight w:val="none"/>
              </w:rPr>
            </w:pPr>
            <w:r>
              <w:rPr>
                <w:rFonts w:hint="eastAsia"/>
                <w:b w:val="0"/>
                <w:sz w:val="24"/>
                <w:highlight w:val="none"/>
              </w:rPr>
              <w:t>质量标准要求</w:t>
            </w:r>
          </w:p>
        </w:tc>
        <w:tc>
          <w:tcPr>
            <w:tcW w:w="3556" w:type="pct"/>
            <w:vAlign w:val="center"/>
          </w:tcPr>
          <w:p w14:paraId="06C6A77A">
            <w:pPr>
              <w:pStyle w:val="94"/>
              <w:tabs>
                <w:tab w:val="left" w:pos="1152"/>
              </w:tabs>
              <w:spacing w:before="0" w:beforeAutospacing="0" w:after="0" w:afterAutospacing="0" w:line="360" w:lineRule="auto"/>
              <w:rPr>
                <w:b/>
                <w:highlight w:val="none"/>
              </w:rPr>
            </w:pPr>
            <w:r>
              <w:rPr>
                <w:rFonts w:hint="eastAsia" w:cs="@仿宋_GB2312"/>
                <w:bCs/>
                <w:szCs w:val="28"/>
                <w:highlight w:val="none"/>
              </w:rPr>
              <w:t>质量标准：合格</w:t>
            </w:r>
          </w:p>
        </w:tc>
      </w:tr>
      <w:tr w14:paraId="1213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1B6556C">
            <w:pPr>
              <w:pStyle w:val="68"/>
              <w:pBdr>
                <w:bottom w:val="none" w:color="auto" w:sz="0" w:space="0"/>
              </w:pBdr>
              <w:tabs>
                <w:tab w:val="clear" w:pos="4153"/>
                <w:tab w:val="clear" w:pos="8306"/>
              </w:tabs>
              <w:adjustRightInd/>
              <w:spacing w:line="360" w:lineRule="auto"/>
              <w:textAlignment w:val="auto"/>
              <w:rPr>
                <w:bCs/>
                <w:kern w:val="2"/>
                <w:highlight w:val="none"/>
              </w:rPr>
            </w:pPr>
            <w:r>
              <w:rPr>
                <w:bCs/>
                <w:kern w:val="2"/>
                <w:highlight w:val="none"/>
              </w:rPr>
              <w:t>3</w:t>
            </w:r>
            <w:r>
              <w:rPr>
                <w:rFonts w:hint="eastAsia"/>
                <w:bCs/>
                <w:kern w:val="2"/>
                <w:highlight w:val="none"/>
              </w:rPr>
              <w:t>0</w:t>
            </w:r>
            <w:r>
              <w:rPr>
                <w:bCs/>
                <w:kern w:val="2"/>
                <w:highlight w:val="none"/>
              </w:rPr>
              <w:t>.</w:t>
            </w:r>
            <w:r>
              <w:rPr>
                <w:rFonts w:hint="eastAsia"/>
                <w:bCs/>
                <w:kern w:val="2"/>
                <w:highlight w:val="none"/>
              </w:rPr>
              <w:t>5</w:t>
            </w:r>
          </w:p>
        </w:tc>
        <w:tc>
          <w:tcPr>
            <w:tcW w:w="977" w:type="pct"/>
            <w:vAlign w:val="center"/>
          </w:tcPr>
          <w:p w14:paraId="039B3F82">
            <w:pPr>
              <w:pStyle w:val="67"/>
              <w:widowControl w:val="0"/>
              <w:spacing w:before="0" w:beforeAutospacing="0" w:after="0" w:afterAutospacing="0" w:line="360" w:lineRule="auto"/>
              <w:jc w:val="both"/>
              <w:rPr>
                <w:b w:val="0"/>
                <w:sz w:val="24"/>
                <w:highlight w:val="none"/>
              </w:rPr>
            </w:pPr>
            <w:r>
              <w:rPr>
                <w:rFonts w:hint="eastAsia"/>
                <w:b w:val="0"/>
                <w:sz w:val="24"/>
                <w:highlight w:val="none"/>
              </w:rPr>
              <w:t>安全文明要求</w:t>
            </w:r>
          </w:p>
        </w:tc>
        <w:tc>
          <w:tcPr>
            <w:tcW w:w="3556" w:type="pct"/>
            <w:vAlign w:val="center"/>
          </w:tcPr>
          <w:p w14:paraId="7E901119">
            <w:pPr>
              <w:pStyle w:val="67"/>
              <w:widowControl w:val="0"/>
              <w:spacing w:before="0" w:beforeAutospacing="0" w:after="0" w:afterAutospacing="0" w:line="360" w:lineRule="auto"/>
              <w:jc w:val="both"/>
              <w:rPr>
                <w:b w:val="0"/>
                <w:bCs w:val="0"/>
                <w:sz w:val="24"/>
                <w:highlight w:val="none"/>
              </w:rPr>
            </w:pPr>
            <w:r>
              <w:rPr>
                <w:rFonts w:hint="eastAsia"/>
                <w:b w:val="0"/>
                <w:bCs w:val="0"/>
                <w:sz w:val="24"/>
                <w:highlight w:val="none"/>
              </w:rPr>
              <w:t>必须确保安全文明施工，符合国家和项目所在地现行相关规定</w:t>
            </w:r>
          </w:p>
        </w:tc>
      </w:tr>
      <w:tr w14:paraId="628A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C254D79">
            <w:pPr>
              <w:pStyle w:val="68"/>
              <w:pBdr>
                <w:bottom w:val="none" w:color="auto" w:sz="0" w:space="0"/>
              </w:pBdr>
              <w:tabs>
                <w:tab w:val="clear" w:pos="4153"/>
                <w:tab w:val="clear" w:pos="8306"/>
              </w:tabs>
              <w:adjustRightInd/>
              <w:spacing w:line="360" w:lineRule="auto"/>
              <w:textAlignment w:val="auto"/>
              <w:rPr>
                <w:bCs/>
                <w:kern w:val="2"/>
                <w:highlight w:val="none"/>
              </w:rPr>
            </w:pPr>
            <w:r>
              <w:rPr>
                <w:bCs/>
                <w:kern w:val="2"/>
                <w:highlight w:val="none"/>
              </w:rPr>
              <w:t>3</w:t>
            </w:r>
            <w:r>
              <w:rPr>
                <w:rFonts w:hint="eastAsia"/>
                <w:bCs/>
                <w:kern w:val="2"/>
                <w:highlight w:val="none"/>
              </w:rPr>
              <w:t>0</w:t>
            </w:r>
            <w:r>
              <w:rPr>
                <w:bCs/>
                <w:kern w:val="2"/>
                <w:highlight w:val="none"/>
              </w:rPr>
              <w:t>.</w:t>
            </w:r>
            <w:r>
              <w:rPr>
                <w:rFonts w:hint="eastAsia"/>
                <w:bCs/>
                <w:kern w:val="2"/>
                <w:highlight w:val="none"/>
              </w:rPr>
              <w:t>6</w:t>
            </w:r>
          </w:p>
        </w:tc>
        <w:tc>
          <w:tcPr>
            <w:tcW w:w="977" w:type="pct"/>
            <w:vAlign w:val="center"/>
          </w:tcPr>
          <w:p w14:paraId="48BFF00E">
            <w:pPr>
              <w:pStyle w:val="67"/>
              <w:widowControl w:val="0"/>
              <w:spacing w:before="0" w:beforeAutospacing="0" w:after="0" w:afterAutospacing="0" w:line="360" w:lineRule="auto"/>
              <w:jc w:val="both"/>
              <w:rPr>
                <w:b w:val="0"/>
                <w:sz w:val="24"/>
                <w:highlight w:val="none"/>
              </w:rPr>
            </w:pPr>
            <w:r>
              <w:rPr>
                <w:rFonts w:hint="eastAsia"/>
                <w:b w:val="0"/>
                <w:sz w:val="24"/>
                <w:highlight w:val="none"/>
              </w:rPr>
              <w:t>总包及分包规定</w:t>
            </w:r>
          </w:p>
        </w:tc>
        <w:tc>
          <w:tcPr>
            <w:tcW w:w="3556" w:type="pct"/>
            <w:vAlign w:val="center"/>
          </w:tcPr>
          <w:p w14:paraId="457F281B">
            <w:pPr>
              <w:spacing w:line="360" w:lineRule="auto"/>
              <w:rPr>
                <w:rFonts w:ascii="Calibri" w:hAnsi="Calibri" w:cs="Times New Roman"/>
                <w:kern w:val="2"/>
                <w:sz w:val="24"/>
                <w:szCs w:val="28"/>
                <w:highlight w:val="none"/>
              </w:rPr>
            </w:pPr>
            <w:r>
              <w:rPr>
                <w:rFonts w:hint="eastAsia" w:ascii="Calibri" w:hAnsi="Calibri" w:cs="Times New Roman"/>
                <w:kern w:val="2"/>
                <w:sz w:val="24"/>
                <w:szCs w:val="28"/>
                <w:highlight w:val="none"/>
              </w:rPr>
              <w:t>供应商不得在成交后将工程转包给其它施工单位。</w:t>
            </w:r>
          </w:p>
          <w:p w14:paraId="2DDF01E6">
            <w:pPr>
              <w:spacing w:line="360" w:lineRule="auto"/>
              <w:jc w:val="left"/>
              <w:rPr>
                <w:rFonts w:cs="Times New Roman"/>
                <w:kern w:val="2"/>
                <w:sz w:val="24"/>
                <w:szCs w:val="22"/>
                <w:highlight w:val="none"/>
              </w:rPr>
            </w:pPr>
            <w:r>
              <w:rPr>
                <w:rFonts w:hint="eastAsia" w:cs="Times New Roman"/>
                <w:kern w:val="2"/>
                <w:sz w:val="24"/>
                <w:szCs w:val="22"/>
                <w:highlight w:val="none"/>
              </w:rPr>
              <w:t>分包情况</w:t>
            </w:r>
          </w:p>
          <w:p w14:paraId="7A02654D">
            <w:pPr>
              <w:spacing w:line="360" w:lineRule="auto"/>
              <w:jc w:val="left"/>
              <w:rPr>
                <w:rFonts w:cs="Times New Roman"/>
                <w:kern w:val="2"/>
                <w:sz w:val="24"/>
                <w:szCs w:val="22"/>
                <w:highlight w:val="none"/>
              </w:rPr>
            </w:pPr>
            <w:r>
              <w:rPr>
                <w:rFonts w:hint="eastAsia" w:cs="Times New Roman"/>
                <w:kern w:val="2"/>
                <w:sz w:val="24"/>
                <w:szCs w:val="22"/>
                <w:highlight w:val="none"/>
              </w:rPr>
              <w:t>□允许专业分包，</w:t>
            </w:r>
            <w:r>
              <w:rPr>
                <w:rFonts w:hint="eastAsia" w:ascii="Calibri" w:hAnsi="Calibri" w:cs="Times New Roman"/>
                <w:kern w:val="2"/>
                <w:sz w:val="24"/>
                <w:szCs w:val="22"/>
                <w:highlight w:val="none"/>
              </w:rPr>
              <w:t>分包项目、内容及分包商须经采购人及监理单位同意和认可</w:t>
            </w:r>
          </w:p>
          <w:p w14:paraId="180EDE61">
            <w:pPr>
              <w:pStyle w:val="67"/>
              <w:widowControl w:val="0"/>
              <w:spacing w:before="0" w:beforeAutospacing="0" w:after="0" w:afterAutospacing="0" w:line="360" w:lineRule="auto"/>
              <w:jc w:val="both"/>
              <w:rPr>
                <w:b w:val="0"/>
                <w:bCs w:val="0"/>
                <w:sz w:val="24"/>
                <w:highlight w:val="none"/>
              </w:rPr>
            </w:pPr>
            <w:r>
              <w:rPr>
                <w:rFonts w:hint="eastAsia" w:cs="Times New Roman"/>
                <w:b w:val="0"/>
                <w:bCs w:val="0"/>
                <w:kern w:val="2"/>
                <w:sz w:val="24"/>
                <w:szCs w:val="22"/>
                <w:highlight w:val="none"/>
              </w:rPr>
              <w:t>☑不允许</w:t>
            </w:r>
          </w:p>
        </w:tc>
      </w:tr>
      <w:tr w14:paraId="15AE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6A527F0">
            <w:pPr>
              <w:pStyle w:val="68"/>
              <w:pBdr>
                <w:bottom w:val="none" w:color="auto" w:sz="0" w:space="0"/>
              </w:pBdr>
              <w:tabs>
                <w:tab w:val="clear" w:pos="4153"/>
                <w:tab w:val="clear" w:pos="8306"/>
              </w:tabs>
              <w:adjustRightInd/>
              <w:spacing w:line="360" w:lineRule="auto"/>
              <w:textAlignment w:val="auto"/>
              <w:rPr>
                <w:bCs/>
                <w:kern w:val="2"/>
                <w:highlight w:val="none"/>
              </w:rPr>
            </w:pPr>
            <w:r>
              <w:rPr>
                <w:bCs/>
                <w:kern w:val="2"/>
                <w:highlight w:val="none"/>
              </w:rPr>
              <w:t>3</w:t>
            </w:r>
            <w:r>
              <w:rPr>
                <w:rFonts w:hint="eastAsia"/>
                <w:bCs/>
                <w:kern w:val="2"/>
                <w:highlight w:val="none"/>
              </w:rPr>
              <w:t>0</w:t>
            </w:r>
            <w:r>
              <w:rPr>
                <w:bCs/>
                <w:kern w:val="2"/>
                <w:highlight w:val="none"/>
              </w:rPr>
              <w:t>.</w:t>
            </w:r>
            <w:r>
              <w:rPr>
                <w:rFonts w:hint="eastAsia"/>
                <w:bCs/>
                <w:kern w:val="2"/>
                <w:highlight w:val="none"/>
              </w:rPr>
              <w:t>7</w:t>
            </w:r>
          </w:p>
        </w:tc>
        <w:tc>
          <w:tcPr>
            <w:tcW w:w="977" w:type="pct"/>
            <w:vAlign w:val="center"/>
          </w:tcPr>
          <w:p w14:paraId="2070F579">
            <w:pPr>
              <w:pStyle w:val="67"/>
              <w:widowControl w:val="0"/>
              <w:spacing w:before="0" w:beforeAutospacing="0" w:after="0" w:afterAutospacing="0" w:line="360" w:lineRule="auto"/>
              <w:jc w:val="both"/>
              <w:rPr>
                <w:b w:val="0"/>
                <w:sz w:val="24"/>
                <w:highlight w:val="none"/>
              </w:rPr>
            </w:pPr>
            <w:r>
              <w:rPr>
                <w:rFonts w:hint="eastAsia"/>
                <w:b w:val="0"/>
                <w:sz w:val="24"/>
                <w:highlight w:val="none"/>
              </w:rPr>
              <w:t>现场条件</w:t>
            </w:r>
          </w:p>
        </w:tc>
        <w:tc>
          <w:tcPr>
            <w:tcW w:w="3556" w:type="pct"/>
            <w:vAlign w:val="center"/>
          </w:tcPr>
          <w:p w14:paraId="581FB827">
            <w:pPr>
              <w:pStyle w:val="67"/>
              <w:widowControl w:val="0"/>
              <w:spacing w:before="0" w:beforeAutospacing="0" w:after="0" w:afterAutospacing="0" w:line="360" w:lineRule="auto"/>
              <w:jc w:val="both"/>
              <w:rPr>
                <w:b w:val="0"/>
                <w:sz w:val="24"/>
                <w:highlight w:val="none"/>
              </w:rPr>
            </w:pPr>
            <w:r>
              <w:rPr>
                <w:rFonts w:hint="eastAsia"/>
                <w:b w:val="0"/>
                <w:bCs w:val="0"/>
                <w:sz w:val="24"/>
                <w:highlight w:val="none"/>
              </w:rPr>
              <w:t>具备开工条件</w:t>
            </w:r>
          </w:p>
        </w:tc>
      </w:tr>
      <w:tr w14:paraId="625A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B925C8E">
            <w:pPr>
              <w:pStyle w:val="68"/>
              <w:pBdr>
                <w:bottom w:val="none" w:color="auto" w:sz="0" w:space="0"/>
              </w:pBdr>
              <w:tabs>
                <w:tab w:val="clear" w:pos="4153"/>
                <w:tab w:val="clear" w:pos="8306"/>
              </w:tabs>
              <w:adjustRightInd/>
              <w:spacing w:line="360" w:lineRule="auto"/>
              <w:textAlignment w:val="auto"/>
              <w:rPr>
                <w:bCs/>
                <w:kern w:val="2"/>
                <w:highlight w:val="none"/>
              </w:rPr>
            </w:pPr>
            <w:r>
              <w:rPr>
                <w:bCs/>
                <w:kern w:val="2"/>
                <w:highlight w:val="none"/>
              </w:rPr>
              <w:t>3</w:t>
            </w:r>
            <w:r>
              <w:rPr>
                <w:rFonts w:hint="eastAsia"/>
                <w:bCs/>
                <w:kern w:val="2"/>
                <w:highlight w:val="none"/>
              </w:rPr>
              <w:t>0</w:t>
            </w:r>
            <w:r>
              <w:rPr>
                <w:bCs/>
                <w:kern w:val="2"/>
                <w:highlight w:val="none"/>
              </w:rPr>
              <w:t>.</w:t>
            </w:r>
            <w:r>
              <w:rPr>
                <w:rFonts w:hint="eastAsia"/>
                <w:bCs/>
                <w:kern w:val="2"/>
                <w:highlight w:val="none"/>
              </w:rPr>
              <w:t>8</w:t>
            </w:r>
          </w:p>
        </w:tc>
        <w:tc>
          <w:tcPr>
            <w:tcW w:w="977" w:type="pct"/>
            <w:vAlign w:val="center"/>
          </w:tcPr>
          <w:p w14:paraId="751D4BE4">
            <w:pPr>
              <w:pStyle w:val="67"/>
              <w:widowControl w:val="0"/>
              <w:spacing w:before="0" w:beforeAutospacing="0" w:after="0" w:afterAutospacing="0" w:line="360" w:lineRule="auto"/>
              <w:jc w:val="both"/>
              <w:rPr>
                <w:b w:val="0"/>
                <w:sz w:val="24"/>
                <w:highlight w:val="none"/>
              </w:rPr>
            </w:pPr>
            <w:r>
              <w:rPr>
                <w:rFonts w:hint="eastAsia"/>
                <w:b w:val="0"/>
                <w:bCs w:val="0"/>
                <w:sz w:val="24"/>
                <w:highlight w:val="none"/>
              </w:rPr>
              <w:t>采购人提供的资料</w:t>
            </w:r>
          </w:p>
        </w:tc>
        <w:tc>
          <w:tcPr>
            <w:tcW w:w="3556" w:type="pct"/>
            <w:vAlign w:val="center"/>
          </w:tcPr>
          <w:p w14:paraId="69E63ED2">
            <w:pPr>
              <w:adjustRightInd w:val="0"/>
              <w:snapToGrid w:val="0"/>
              <w:spacing w:line="360" w:lineRule="auto"/>
              <w:jc w:val="left"/>
              <w:rPr>
                <w:bCs/>
                <w:sz w:val="24"/>
                <w:szCs w:val="28"/>
                <w:highlight w:val="none"/>
              </w:rPr>
            </w:pPr>
            <w:r>
              <w:rPr>
                <w:rFonts w:hint="eastAsia"/>
                <w:bCs/>
                <w:sz w:val="24"/>
                <w:szCs w:val="28"/>
                <w:highlight w:val="none"/>
              </w:rPr>
              <w:t>☑磋商文件</w:t>
            </w:r>
          </w:p>
          <w:p w14:paraId="26CE1835">
            <w:pPr>
              <w:adjustRightInd w:val="0"/>
              <w:snapToGrid w:val="0"/>
              <w:spacing w:line="360" w:lineRule="auto"/>
              <w:jc w:val="left"/>
              <w:rPr>
                <w:bCs/>
                <w:sz w:val="24"/>
                <w:szCs w:val="28"/>
                <w:highlight w:val="none"/>
              </w:rPr>
            </w:pPr>
            <w:r>
              <w:rPr>
                <w:rFonts w:hint="eastAsia"/>
                <w:bCs/>
                <w:sz w:val="24"/>
                <w:szCs w:val="28"/>
                <w:highlight w:val="none"/>
              </w:rPr>
              <w:t>☑工程量清单</w:t>
            </w:r>
          </w:p>
          <w:p w14:paraId="34BD046F">
            <w:pPr>
              <w:adjustRightInd w:val="0"/>
              <w:snapToGrid w:val="0"/>
              <w:spacing w:line="360" w:lineRule="auto"/>
              <w:jc w:val="left"/>
              <w:rPr>
                <w:bCs/>
                <w:sz w:val="24"/>
                <w:szCs w:val="28"/>
                <w:highlight w:val="none"/>
              </w:rPr>
            </w:pPr>
            <w:r>
              <w:rPr>
                <w:rFonts w:hint="eastAsia"/>
                <w:bCs/>
                <w:sz w:val="24"/>
                <w:szCs w:val="28"/>
                <w:highlight w:val="none"/>
              </w:rPr>
              <w:t>☑最高投标限价</w:t>
            </w:r>
          </w:p>
          <w:p w14:paraId="74D678BA">
            <w:pPr>
              <w:adjustRightInd w:val="0"/>
              <w:snapToGrid w:val="0"/>
              <w:spacing w:line="360" w:lineRule="auto"/>
              <w:jc w:val="left"/>
              <w:rPr>
                <w:bCs/>
                <w:sz w:val="24"/>
                <w:szCs w:val="28"/>
                <w:highlight w:val="none"/>
              </w:rPr>
            </w:pPr>
            <w:r>
              <w:rPr>
                <w:rFonts w:hint="eastAsia"/>
                <w:bCs/>
                <w:sz w:val="24"/>
                <w:szCs w:val="28"/>
                <w:highlight w:val="none"/>
              </w:rPr>
              <w:t>☑电子版图纸</w:t>
            </w:r>
          </w:p>
          <w:p w14:paraId="7ACD2527">
            <w:pPr>
              <w:adjustRightInd w:val="0"/>
              <w:snapToGrid w:val="0"/>
              <w:spacing w:line="360" w:lineRule="auto"/>
              <w:jc w:val="left"/>
              <w:rPr>
                <w:bCs/>
                <w:sz w:val="24"/>
                <w:szCs w:val="28"/>
                <w:highlight w:val="none"/>
              </w:rPr>
            </w:pPr>
            <w:r>
              <w:rPr>
                <w:rFonts w:hint="eastAsia"/>
                <w:bCs/>
                <w:sz w:val="24"/>
                <w:szCs w:val="28"/>
                <w:highlight w:val="none"/>
              </w:rPr>
              <w:t>获得方式：</w:t>
            </w:r>
          </w:p>
          <w:p w14:paraId="264A3EFD">
            <w:pPr>
              <w:pStyle w:val="67"/>
              <w:widowControl w:val="0"/>
              <w:spacing w:before="0" w:beforeAutospacing="0" w:after="0" w:afterAutospacing="0" w:line="360" w:lineRule="auto"/>
              <w:jc w:val="both"/>
              <w:rPr>
                <w:b w:val="0"/>
                <w:sz w:val="24"/>
                <w:highlight w:val="none"/>
              </w:rPr>
            </w:pPr>
            <w:r>
              <w:rPr>
                <w:rFonts w:hint="eastAsia"/>
                <w:sz w:val="24"/>
                <w:highlight w:val="none"/>
              </w:rPr>
              <w:t>上述资料请供应商在获取磋商文件后，自行登录电子交易系统下载本项目附件。</w:t>
            </w:r>
          </w:p>
        </w:tc>
      </w:tr>
      <w:tr w14:paraId="0AC6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D42A027">
            <w:pPr>
              <w:pStyle w:val="68"/>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30</w:t>
            </w:r>
            <w:r>
              <w:rPr>
                <w:bCs/>
                <w:kern w:val="2"/>
                <w:highlight w:val="none"/>
              </w:rPr>
              <w:t>.</w:t>
            </w:r>
            <w:r>
              <w:rPr>
                <w:rFonts w:hint="eastAsia"/>
                <w:bCs/>
                <w:kern w:val="2"/>
                <w:highlight w:val="none"/>
              </w:rPr>
              <w:t>9</w:t>
            </w:r>
          </w:p>
        </w:tc>
        <w:tc>
          <w:tcPr>
            <w:tcW w:w="977" w:type="pct"/>
            <w:vAlign w:val="center"/>
          </w:tcPr>
          <w:p w14:paraId="4640299C">
            <w:pPr>
              <w:pStyle w:val="67"/>
              <w:widowControl w:val="0"/>
              <w:spacing w:before="0" w:beforeAutospacing="0" w:after="0" w:afterAutospacing="0" w:line="360" w:lineRule="auto"/>
              <w:jc w:val="both"/>
              <w:rPr>
                <w:b w:val="0"/>
                <w:sz w:val="24"/>
                <w:highlight w:val="none"/>
              </w:rPr>
            </w:pPr>
            <w:r>
              <w:rPr>
                <w:rFonts w:hint="eastAsia"/>
                <w:b w:val="0"/>
                <w:bCs w:val="0"/>
                <w:sz w:val="24"/>
                <w:highlight w:val="none"/>
              </w:rPr>
              <w:t>工程量清单和最高投标限价编制费</w:t>
            </w:r>
          </w:p>
        </w:tc>
        <w:tc>
          <w:tcPr>
            <w:tcW w:w="3556" w:type="pct"/>
            <w:vAlign w:val="center"/>
          </w:tcPr>
          <w:p w14:paraId="7D4F2ECB">
            <w:pPr>
              <w:pStyle w:val="67"/>
              <w:widowControl w:val="0"/>
              <w:spacing w:before="0" w:beforeAutospacing="0" w:after="0" w:afterAutospacing="0" w:line="360" w:lineRule="auto"/>
              <w:jc w:val="both"/>
              <w:rPr>
                <w:b w:val="0"/>
                <w:sz w:val="24"/>
                <w:highlight w:val="none"/>
              </w:rPr>
            </w:pPr>
            <w:r>
              <w:rPr>
                <w:rFonts w:hint="eastAsia"/>
                <w:b w:val="0"/>
                <w:sz w:val="24"/>
                <w:highlight w:val="none"/>
                <w:lang w:val="en-US" w:eastAsia="zh-CN"/>
              </w:rPr>
              <w:t>以本项目预算金额为计费基数，</w:t>
            </w:r>
            <w:r>
              <w:rPr>
                <w:rFonts w:hint="eastAsia"/>
                <w:b w:val="0"/>
                <w:sz w:val="24"/>
                <w:highlight w:val="none"/>
              </w:rPr>
              <w:t>按皖价服[2007]86号文件规定下浮40%执行，由成交人在领取成交通知书时，向采购代理机构支付。账号：</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0"/>
            </w:tblGrid>
            <w:tr w14:paraId="740C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8" w:type="dxa"/>
                </w:tcPr>
                <w:p w14:paraId="5C4335AC">
                  <w:pPr>
                    <w:pStyle w:val="67"/>
                    <w:widowControl w:val="0"/>
                    <w:spacing w:before="0" w:beforeAutospacing="0" w:after="0" w:afterAutospacing="0" w:line="360" w:lineRule="auto"/>
                    <w:jc w:val="both"/>
                    <w:rPr>
                      <w:b w:val="0"/>
                      <w:sz w:val="24"/>
                      <w:highlight w:val="none"/>
                    </w:rPr>
                  </w:pPr>
                  <w:r>
                    <w:rPr>
                      <w:rFonts w:hint="eastAsia"/>
                      <w:b w:val="0"/>
                      <w:sz w:val="24"/>
                      <w:highlight w:val="none"/>
                    </w:rPr>
                    <w:t>开户名：安徽省招标集团股份有限公司</w:t>
                  </w:r>
                </w:p>
                <w:p w14:paraId="1008E8AF">
                  <w:pPr>
                    <w:pStyle w:val="67"/>
                    <w:widowControl w:val="0"/>
                    <w:spacing w:before="0" w:beforeAutospacing="0" w:after="0" w:afterAutospacing="0" w:line="360" w:lineRule="auto"/>
                    <w:jc w:val="both"/>
                    <w:rPr>
                      <w:b w:val="0"/>
                      <w:sz w:val="24"/>
                      <w:highlight w:val="none"/>
                    </w:rPr>
                  </w:pPr>
                  <w:r>
                    <w:rPr>
                      <w:rFonts w:hint="eastAsia"/>
                      <w:b w:val="0"/>
                      <w:sz w:val="24"/>
                      <w:highlight w:val="none"/>
                    </w:rPr>
                    <w:t>开户银行：中国建设银行合肥滨湖新区支行</w:t>
                  </w:r>
                </w:p>
                <w:p w14:paraId="6E5DBE9E">
                  <w:pPr>
                    <w:pStyle w:val="67"/>
                    <w:widowControl w:val="0"/>
                    <w:spacing w:before="0" w:beforeAutospacing="0" w:after="0" w:afterAutospacing="0" w:line="360" w:lineRule="auto"/>
                    <w:jc w:val="both"/>
                    <w:rPr>
                      <w:b w:val="0"/>
                      <w:sz w:val="24"/>
                      <w:highlight w:val="none"/>
                    </w:rPr>
                  </w:pPr>
                  <w:r>
                    <w:rPr>
                      <w:rFonts w:hint="eastAsia"/>
                      <w:b w:val="0"/>
                      <w:sz w:val="24"/>
                      <w:highlight w:val="none"/>
                    </w:rPr>
                    <w:t>账 号：34001474708050043497</w:t>
                  </w:r>
                </w:p>
              </w:tc>
            </w:tr>
          </w:tbl>
          <w:p w14:paraId="29251AA0">
            <w:pPr>
              <w:pStyle w:val="67"/>
              <w:widowControl w:val="0"/>
              <w:spacing w:before="0" w:beforeAutospacing="0" w:after="0" w:afterAutospacing="0" w:line="360" w:lineRule="auto"/>
              <w:jc w:val="both"/>
              <w:rPr>
                <w:b w:val="0"/>
                <w:sz w:val="24"/>
                <w:highlight w:val="none"/>
              </w:rPr>
            </w:pPr>
          </w:p>
        </w:tc>
      </w:tr>
      <w:tr w14:paraId="25B0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594EFC6">
            <w:pPr>
              <w:pStyle w:val="68"/>
              <w:pBdr>
                <w:bottom w:val="none" w:color="auto" w:sz="0" w:space="0"/>
              </w:pBdr>
              <w:tabs>
                <w:tab w:val="clear" w:pos="4153"/>
                <w:tab w:val="clear" w:pos="8306"/>
              </w:tabs>
              <w:adjustRightInd/>
              <w:spacing w:line="360" w:lineRule="auto"/>
              <w:textAlignment w:val="auto"/>
              <w:rPr>
                <w:bCs/>
                <w:kern w:val="2"/>
                <w:highlight w:val="none"/>
              </w:rPr>
            </w:pPr>
            <w:r>
              <w:rPr>
                <w:bCs/>
                <w:kern w:val="2"/>
                <w:highlight w:val="none"/>
              </w:rPr>
              <w:t>3</w:t>
            </w:r>
            <w:r>
              <w:rPr>
                <w:rFonts w:hint="eastAsia"/>
                <w:bCs/>
                <w:kern w:val="2"/>
                <w:highlight w:val="none"/>
              </w:rPr>
              <w:t>0</w:t>
            </w:r>
            <w:r>
              <w:rPr>
                <w:bCs/>
                <w:kern w:val="2"/>
                <w:highlight w:val="none"/>
              </w:rPr>
              <w:t>.1</w:t>
            </w:r>
            <w:r>
              <w:rPr>
                <w:rFonts w:hint="eastAsia"/>
                <w:bCs/>
                <w:kern w:val="2"/>
                <w:highlight w:val="none"/>
              </w:rPr>
              <w:t>0</w:t>
            </w:r>
          </w:p>
        </w:tc>
        <w:tc>
          <w:tcPr>
            <w:tcW w:w="977" w:type="pct"/>
            <w:vAlign w:val="center"/>
          </w:tcPr>
          <w:p w14:paraId="36E99DAD">
            <w:pPr>
              <w:pStyle w:val="67"/>
              <w:widowControl w:val="0"/>
              <w:spacing w:before="0" w:beforeAutospacing="0" w:after="0" w:afterAutospacing="0" w:line="360" w:lineRule="auto"/>
              <w:jc w:val="both"/>
              <w:rPr>
                <w:b w:val="0"/>
                <w:sz w:val="24"/>
                <w:highlight w:val="none"/>
              </w:rPr>
            </w:pPr>
            <w:r>
              <w:rPr>
                <w:rFonts w:hint="eastAsia"/>
                <w:b w:val="0"/>
                <w:sz w:val="24"/>
                <w:highlight w:val="none"/>
              </w:rPr>
              <w:t>其他补充说明</w:t>
            </w:r>
          </w:p>
        </w:tc>
        <w:tc>
          <w:tcPr>
            <w:tcW w:w="3556" w:type="pct"/>
            <w:vAlign w:val="center"/>
          </w:tcPr>
          <w:p w14:paraId="5F3591A9">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1、解释权：</w:t>
            </w:r>
          </w:p>
          <w:p w14:paraId="504F2A6A">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构成本</w:t>
            </w:r>
            <w:r>
              <w:rPr>
                <w:rFonts w:hint="eastAsia" w:asciiTheme="minorEastAsia" w:hAnsiTheme="minorEastAsia" w:eastAsiaTheme="minorEastAsia"/>
                <w:bCs/>
                <w:sz w:val="24"/>
                <w:szCs w:val="24"/>
                <w:highlight w:val="none"/>
              </w:rPr>
              <w:t>磋商</w:t>
            </w:r>
            <w:r>
              <w:rPr>
                <w:rFonts w:asciiTheme="minorEastAsia" w:hAnsiTheme="minorEastAsia" w:eastAsiaTheme="minorEastAsia"/>
                <w:bCs/>
                <w:sz w:val="24"/>
                <w:szCs w:val="24"/>
                <w:highlight w:val="none"/>
              </w:rPr>
              <w:t>文件的各个组成文件应互为解释，互为说明；</w:t>
            </w:r>
          </w:p>
          <w:p w14:paraId="0802F1D5">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同一组成文件中就同一事项的规定或约定不一致的，以编排顺序在后者为准；</w:t>
            </w:r>
          </w:p>
          <w:p w14:paraId="1B7041D0">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如有不明确或不一致，构成合同文件组成内容的，以合同文件约定内容为准，且以专用合同条款约定的合同文件优先顺序解释；</w:t>
            </w:r>
          </w:p>
          <w:p w14:paraId="0F937C50">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除</w:t>
            </w:r>
            <w:r>
              <w:rPr>
                <w:rFonts w:hint="eastAsia" w:asciiTheme="minorEastAsia" w:hAnsiTheme="minorEastAsia" w:eastAsiaTheme="minorEastAsia"/>
                <w:bCs/>
                <w:sz w:val="24"/>
                <w:szCs w:val="24"/>
                <w:highlight w:val="none"/>
              </w:rPr>
              <w:t>磋商</w:t>
            </w:r>
            <w:r>
              <w:rPr>
                <w:rFonts w:asciiTheme="minorEastAsia" w:hAnsiTheme="minorEastAsia" w:eastAsiaTheme="minorEastAsia"/>
                <w:bCs/>
                <w:sz w:val="24"/>
                <w:szCs w:val="24"/>
                <w:highlight w:val="none"/>
              </w:rPr>
              <w:t>文件中有特别规定外，仅适用于</w:t>
            </w:r>
            <w:r>
              <w:rPr>
                <w:rFonts w:hint="eastAsia" w:asciiTheme="minorEastAsia" w:hAnsiTheme="minorEastAsia" w:eastAsiaTheme="minorEastAsia"/>
                <w:bCs/>
                <w:sz w:val="24"/>
                <w:szCs w:val="24"/>
                <w:highlight w:val="none"/>
              </w:rPr>
              <w:t>磋商及响应文件提交</w:t>
            </w:r>
            <w:r>
              <w:rPr>
                <w:rFonts w:asciiTheme="minorEastAsia" w:hAnsiTheme="minorEastAsia" w:eastAsiaTheme="minorEastAsia"/>
                <w:bCs/>
                <w:sz w:val="24"/>
                <w:szCs w:val="24"/>
                <w:highlight w:val="none"/>
              </w:rPr>
              <w:t>阶段的规定，按</w:t>
            </w:r>
            <w:r>
              <w:rPr>
                <w:rFonts w:hint="eastAsia" w:asciiTheme="minorEastAsia" w:hAnsiTheme="minorEastAsia" w:eastAsiaTheme="minorEastAsia"/>
                <w:bCs/>
                <w:sz w:val="24"/>
                <w:szCs w:val="24"/>
                <w:highlight w:val="none"/>
              </w:rPr>
              <w:t>竞争性磋商</w:t>
            </w:r>
            <w:r>
              <w:rPr>
                <w:rFonts w:asciiTheme="minorEastAsia" w:hAnsiTheme="minorEastAsia" w:eastAsiaTheme="minorEastAsia"/>
                <w:bCs/>
                <w:sz w:val="24"/>
                <w:szCs w:val="24"/>
                <w:highlight w:val="none"/>
              </w:rPr>
              <w:t>公告、</w:t>
            </w:r>
            <w:r>
              <w:rPr>
                <w:rFonts w:hint="eastAsia" w:asciiTheme="minorEastAsia" w:hAnsiTheme="minorEastAsia" w:eastAsiaTheme="minorEastAsia"/>
                <w:bCs/>
                <w:sz w:val="24"/>
                <w:szCs w:val="24"/>
                <w:highlight w:val="none"/>
              </w:rPr>
              <w:t>磋商邀请、供应商</w:t>
            </w:r>
            <w:r>
              <w:rPr>
                <w:rFonts w:asciiTheme="minorEastAsia" w:hAnsiTheme="minorEastAsia" w:eastAsiaTheme="minorEastAsia"/>
                <w:bCs/>
                <w:sz w:val="24"/>
                <w:szCs w:val="24"/>
                <w:highlight w:val="none"/>
              </w:rPr>
              <w:t>须知、评</w:t>
            </w:r>
            <w:r>
              <w:rPr>
                <w:rFonts w:hint="eastAsia" w:asciiTheme="minorEastAsia" w:hAnsiTheme="minorEastAsia" w:eastAsiaTheme="minorEastAsia"/>
                <w:bCs/>
                <w:sz w:val="24"/>
                <w:szCs w:val="24"/>
                <w:highlight w:val="none"/>
              </w:rPr>
              <w:t>审方</w:t>
            </w:r>
            <w:r>
              <w:rPr>
                <w:rFonts w:asciiTheme="minorEastAsia" w:hAnsiTheme="minorEastAsia" w:eastAsiaTheme="minorEastAsia"/>
                <w:bCs/>
                <w:sz w:val="24"/>
                <w:szCs w:val="24"/>
                <w:highlight w:val="none"/>
              </w:rPr>
              <w:t>法</w:t>
            </w:r>
            <w:r>
              <w:rPr>
                <w:rFonts w:hint="eastAsia" w:asciiTheme="minorEastAsia" w:hAnsiTheme="minorEastAsia" w:eastAsiaTheme="minorEastAsia"/>
                <w:bCs/>
                <w:sz w:val="24"/>
                <w:szCs w:val="24"/>
                <w:highlight w:val="none"/>
              </w:rPr>
              <w:t>和标准</w:t>
            </w:r>
            <w:r>
              <w:rPr>
                <w:rFonts w:asciiTheme="minorEastAsia" w:hAnsiTheme="minorEastAsia" w:eastAsiaTheme="minorEastAsia"/>
                <w:bCs/>
                <w:sz w:val="24"/>
                <w:szCs w:val="24"/>
                <w:highlight w:val="none"/>
              </w:rPr>
              <w:t>、</w:t>
            </w:r>
            <w:r>
              <w:rPr>
                <w:rFonts w:hint="eastAsia" w:asciiTheme="minorEastAsia" w:hAnsiTheme="minorEastAsia" w:eastAsiaTheme="minorEastAsia"/>
                <w:bCs/>
                <w:sz w:val="24"/>
                <w:szCs w:val="24"/>
                <w:highlight w:val="none"/>
              </w:rPr>
              <w:t>响应</w:t>
            </w:r>
            <w:r>
              <w:rPr>
                <w:rFonts w:asciiTheme="minorEastAsia" w:hAnsiTheme="minorEastAsia" w:eastAsiaTheme="minorEastAsia"/>
                <w:bCs/>
                <w:sz w:val="24"/>
                <w:szCs w:val="24"/>
                <w:highlight w:val="none"/>
              </w:rPr>
              <w:t>文件格式的先后顺序解释；</w:t>
            </w:r>
          </w:p>
          <w:p w14:paraId="0B1BFB14">
            <w:pPr>
              <w:pStyle w:val="67"/>
              <w:widowControl w:val="0"/>
              <w:spacing w:before="0" w:beforeAutospacing="0" w:after="0" w:afterAutospacing="0" w:line="360" w:lineRule="auto"/>
              <w:jc w:val="both"/>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（5）</w:t>
            </w:r>
            <w:r>
              <w:rPr>
                <w:rFonts w:asciiTheme="minorEastAsia" w:hAnsiTheme="minorEastAsia" w:eastAsiaTheme="minorEastAsia"/>
                <w:b w:val="0"/>
                <w:sz w:val="24"/>
                <w:szCs w:val="24"/>
                <w:highlight w:val="none"/>
              </w:rPr>
              <w:t>按本款前述规定仍不能形成结论的，由</w:t>
            </w:r>
            <w:r>
              <w:rPr>
                <w:rFonts w:hint="eastAsia" w:asciiTheme="minorEastAsia" w:hAnsiTheme="minorEastAsia" w:eastAsiaTheme="minorEastAsia"/>
                <w:b w:val="0"/>
                <w:sz w:val="24"/>
                <w:szCs w:val="24"/>
                <w:highlight w:val="none"/>
              </w:rPr>
              <w:t>采购</w:t>
            </w:r>
            <w:r>
              <w:rPr>
                <w:rFonts w:asciiTheme="minorEastAsia" w:hAnsiTheme="minorEastAsia" w:eastAsiaTheme="minorEastAsia"/>
                <w:b w:val="0"/>
                <w:sz w:val="24"/>
                <w:szCs w:val="24"/>
                <w:highlight w:val="none"/>
              </w:rPr>
              <w:t>人负责解释。</w:t>
            </w:r>
          </w:p>
          <w:p w14:paraId="305CD3D5">
            <w:pPr>
              <w:pStyle w:val="67"/>
              <w:widowControl w:val="0"/>
              <w:spacing w:before="0" w:beforeAutospacing="0" w:after="0" w:afterAutospacing="0" w:line="360" w:lineRule="auto"/>
              <w:jc w:val="both"/>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b w:val="0"/>
                <w:sz w:val="24"/>
                <w:szCs w:val="24"/>
                <w:highlight w:val="none"/>
              </w:rPr>
              <w:br w:type="textWrapping"/>
            </w:r>
            <w:r>
              <w:rPr>
                <w:rFonts w:hint="eastAsia" w:asciiTheme="minorEastAsia" w:hAnsiTheme="minorEastAsia" w:eastAsiaTheme="minorEastAsia"/>
                <w:b w:val="0"/>
                <w:sz w:val="24"/>
                <w:szCs w:val="24"/>
                <w:highlight w:val="none"/>
              </w:rPr>
              <w:t>3、电子保函指引：成交供应商可访问安徽省政府采购网“融资/保函”栏目，申请办理电子保函（包括：履约保函、预付款保函）。</w:t>
            </w:r>
          </w:p>
          <w:p w14:paraId="717F9550">
            <w:pPr>
              <w:pStyle w:val="67"/>
              <w:widowControl w:val="0"/>
              <w:spacing w:before="0" w:beforeAutospacing="0" w:after="0" w:afterAutospacing="0" w:line="360" w:lineRule="auto"/>
              <w:jc w:val="both"/>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4.竞争性磋商文件中所称时间均指北京时间，采用电子采购时，以交易平台时间为准。</w:t>
            </w:r>
          </w:p>
          <w:p w14:paraId="6F28BEF2">
            <w:pPr>
              <w:pStyle w:val="67"/>
              <w:widowControl w:val="0"/>
              <w:spacing w:before="0" w:beforeAutospacing="0" w:after="0" w:afterAutospacing="0" w:line="360" w:lineRule="auto"/>
              <w:jc w:val="both"/>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5.供应商应注意规定的开启响应文件的地点和提交首次响应文件截止时间，为了使政府采购工作有条不紊进行，避免因网络等问题导致响应文件无法按时加密并提交的情况发生，建议供应商提前30分钟做好准备工作。</w:t>
            </w:r>
          </w:p>
          <w:p w14:paraId="174B276F">
            <w:pPr>
              <w:pStyle w:val="67"/>
              <w:widowControl w:val="0"/>
              <w:spacing w:before="0" w:beforeAutospacing="0" w:after="0" w:afterAutospacing="0" w:line="360" w:lineRule="auto"/>
              <w:jc w:val="both"/>
              <w:rPr>
                <w:rFonts w:hint="eastAsia"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6.采用一级建造师响应的应符合《住房和城乡建设部办公厅关于全面实行一级建造师电子注册证书的通知》(建办市〔2021〕40号)规定，响应文件应提供一级建造师电子注册证书，且应在个人签名处手写本人签名，未手写签名或与签名图像笔迹不一致的，该电子证书无效。采用二级建造师响应的：安徽省依据《关于加强二级建造师事中事后监管工作的通知》建市函〔2024〕137号（http://dohurd.ah.gov.cn/wjgk/tfwj/57107891.html）执行。其他省份按各省相关规定执行。</w:t>
            </w:r>
          </w:p>
          <w:p w14:paraId="528EC8D8">
            <w:pPr>
              <w:pStyle w:val="67"/>
              <w:widowControl w:val="0"/>
              <w:spacing w:before="0" w:beforeAutospacing="0" w:after="0" w:afterAutospacing="0" w:line="360" w:lineRule="auto"/>
              <w:jc w:val="both"/>
              <w:rPr>
                <w:rFonts w:hint="eastAsia"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lang w:val="en-US" w:eastAsia="zh-CN"/>
              </w:rPr>
              <w:t>7.</w:t>
            </w:r>
            <w:r>
              <w:rPr>
                <w:rFonts w:hint="eastAsia" w:asciiTheme="minorEastAsia" w:hAnsiTheme="minorEastAsia" w:eastAsiaTheme="minorEastAsia"/>
                <w:b w:val="0"/>
                <w:sz w:val="24"/>
                <w:szCs w:val="24"/>
                <w:highlight w:val="none"/>
              </w:rPr>
              <w:t>出现工程量清单错误时，是否调整合同价格： ☑ 不调整，开标前供应商未在采购文件规定的异议（疑问）截止日期前提出异议并附计算书的，工程价款结算时不再调整。</w:t>
            </w:r>
          </w:p>
          <w:p w14:paraId="6DEAFF99">
            <w:pPr>
              <w:pStyle w:val="67"/>
              <w:widowControl w:val="0"/>
              <w:spacing w:before="0" w:beforeAutospacing="0" w:after="0" w:afterAutospacing="0" w:line="360" w:lineRule="auto"/>
              <w:jc w:val="both"/>
              <w:rPr>
                <w:rFonts w:hint="eastAsia"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若开标前，供应商在采购文件规定的异议（疑问）截止日期前提出异议并附计算书的，且工程量清单遗漏项目或单项子目工程量误差超过±3%，采购人未在规定的时间前进行修正并重新发布的，采购人仅对工程量清单遗漏项目、单项子目工程量误差超过±3%的子目合计金额增减幅度超过签约合同价金额3%的部分的予以调整。</w:t>
            </w:r>
          </w:p>
        </w:tc>
      </w:tr>
    </w:tbl>
    <w:p w14:paraId="2F67C977">
      <w:pPr>
        <w:spacing w:line="360" w:lineRule="auto"/>
        <w:jc w:val="center"/>
        <w:outlineLvl w:val="1"/>
        <w:rPr>
          <w:rFonts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27" w:name="_Toc18784"/>
      <w:bookmarkStart w:id="28" w:name="_Toc26858"/>
      <w:r>
        <w:rPr>
          <w:rFonts w:hint="eastAsia" w:asciiTheme="minorEastAsia" w:hAnsiTheme="minorEastAsia" w:eastAsiaTheme="minorEastAsia"/>
          <w:b/>
          <w:sz w:val="24"/>
          <w:highlight w:val="none"/>
        </w:rPr>
        <w:t>二、供应商</w:t>
      </w:r>
      <w:r>
        <w:rPr>
          <w:rFonts w:asciiTheme="minorEastAsia" w:hAnsiTheme="minorEastAsia" w:eastAsiaTheme="minorEastAsia"/>
          <w:b/>
          <w:sz w:val="24"/>
          <w:highlight w:val="none"/>
        </w:rPr>
        <w:t>须知</w:t>
      </w:r>
      <w:r>
        <w:rPr>
          <w:rFonts w:hint="eastAsia" w:asciiTheme="minorEastAsia" w:hAnsiTheme="minorEastAsia" w:eastAsiaTheme="minorEastAsia"/>
          <w:b/>
          <w:sz w:val="24"/>
          <w:highlight w:val="none"/>
        </w:rPr>
        <w:t>正文</w:t>
      </w:r>
      <w:bookmarkEnd w:id="27"/>
      <w:bookmarkEnd w:id="28"/>
    </w:p>
    <w:p w14:paraId="32CA8A0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采购人、采购代理机构及供应商</w:t>
      </w:r>
    </w:p>
    <w:p w14:paraId="656BC4B2">
      <w:pPr>
        <w:spacing w:line="360" w:lineRule="auto"/>
        <w:ind w:firstLine="435"/>
        <w:rPr>
          <w:sz w:val="24"/>
          <w:highlight w:val="none"/>
        </w:rPr>
      </w:pPr>
      <w:r>
        <w:rPr>
          <w:rFonts w:hint="eastAsia"/>
          <w:sz w:val="24"/>
          <w:highlight w:val="none"/>
        </w:rPr>
        <w:t>1</w:t>
      </w:r>
      <w:r>
        <w:rPr>
          <w:sz w:val="24"/>
          <w:highlight w:val="none"/>
        </w:rPr>
        <w:t>.1采购人：是指依法开展政府采购活动的国家机关、事业单位、团体组织。</w:t>
      </w:r>
    </w:p>
    <w:p w14:paraId="49358453">
      <w:pPr>
        <w:spacing w:line="360" w:lineRule="auto"/>
        <w:ind w:firstLine="435"/>
        <w:rPr>
          <w:sz w:val="24"/>
          <w:highlight w:val="none"/>
        </w:rPr>
      </w:pPr>
      <w:r>
        <w:rPr>
          <w:rFonts w:hint="eastAsia"/>
          <w:sz w:val="24"/>
          <w:highlight w:val="none"/>
        </w:rPr>
        <w:t>1</w:t>
      </w:r>
      <w:r>
        <w:rPr>
          <w:sz w:val="24"/>
          <w:highlight w:val="none"/>
        </w:rPr>
        <w:t>.3政府采购监督管理部门：</w:t>
      </w:r>
      <w:r>
        <w:rPr>
          <w:rFonts w:hint="eastAsia"/>
          <w:sz w:val="24"/>
          <w:highlight w:val="none"/>
        </w:rPr>
        <w:t>各级人民政府指定的有关部门依法履行与政府采购活动有关的监督管理职责。</w:t>
      </w:r>
    </w:p>
    <w:p w14:paraId="2D23A681">
      <w:pPr>
        <w:spacing w:line="360" w:lineRule="auto"/>
        <w:ind w:firstLine="435"/>
        <w:rPr>
          <w:sz w:val="24"/>
          <w:highlight w:val="none"/>
        </w:rPr>
      </w:pPr>
      <w:r>
        <w:rPr>
          <w:rFonts w:hint="eastAsia"/>
          <w:sz w:val="24"/>
          <w:highlight w:val="none"/>
        </w:rPr>
        <w:t>1</w:t>
      </w:r>
      <w:r>
        <w:rPr>
          <w:sz w:val="24"/>
          <w:highlight w:val="none"/>
        </w:rPr>
        <w:t>.4</w:t>
      </w:r>
      <w:r>
        <w:rPr>
          <w:rFonts w:hint="eastAsia"/>
          <w:sz w:val="24"/>
          <w:highlight w:val="none"/>
        </w:rPr>
        <w:t>供应商</w:t>
      </w:r>
      <w:r>
        <w:rPr>
          <w:sz w:val="24"/>
          <w:highlight w:val="none"/>
        </w:rPr>
        <w:t>：是指向采购人提供货物、工程或者服务的法人、</w:t>
      </w:r>
      <w:r>
        <w:rPr>
          <w:rFonts w:hint="eastAsia"/>
          <w:sz w:val="24"/>
          <w:highlight w:val="none"/>
        </w:rPr>
        <w:t>其他</w:t>
      </w:r>
      <w:r>
        <w:rPr>
          <w:sz w:val="24"/>
          <w:highlight w:val="none"/>
        </w:rPr>
        <w:t>组织或者自然人。</w:t>
      </w:r>
      <w:r>
        <w:rPr>
          <w:rFonts w:hint="eastAsia"/>
          <w:sz w:val="24"/>
          <w:highlight w:val="none"/>
        </w:rPr>
        <w:t>分支机构不得参加政府采购活动，但银行、保险、石油石化、电力、电信等特殊行业除外。</w:t>
      </w:r>
      <w:r>
        <w:rPr>
          <w:sz w:val="24"/>
          <w:highlight w:val="none"/>
        </w:rPr>
        <w:t>本项目的</w:t>
      </w:r>
      <w:r>
        <w:rPr>
          <w:rFonts w:hint="eastAsia"/>
          <w:sz w:val="24"/>
          <w:highlight w:val="none"/>
        </w:rPr>
        <w:t>供应商</w:t>
      </w:r>
      <w:r>
        <w:rPr>
          <w:sz w:val="24"/>
          <w:highlight w:val="none"/>
        </w:rPr>
        <w:t>须满足以下条件：</w:t>
      </w:r>
    </w:p>
    <w:p w14:paraId="5FF31303">
      <w:pPr>
        <w:spacing w:line="360" w:lineRule="auto"/>
        <w:ind w:firstLine="435"/>
        <w:rPr>
          <w:sz w:val="24"/>
          <w:highlight w:val="none"/>
        </w:rPr>
      </w:pPr>
      <w:r>
        <w:rPr>
          <w:rFonts w:hint="eastAsia"/>
          <w:sz w:val="24"/>
          <w:highlight w:val="none"/>
        </w:rPr>
        <w:t>1</w:t>
      </w:r>
      <w:r>
        <w:rPr>
          <w:sz w:val="24"/>
          <w:highlight w:val="none"/>
        </w:rPr>
        <w:t>.4.</w:t>
      </w:r>
      <w:r>
        <w:rPr>
          <w:rFonts w:hint="eastAsia"/>
          <w:sz w:val="24"/>
          <w:highlight w:val="none"/>
        </w:rPr>
        <w:t>1</w:t>
      </w:r>
      <w:r>
        <w:rPr>
          <w:sz w:val="24"/>
          <w:highlight w:val="none"/>
        </w:rPr>
        <w:t>具备《中华人民共和国政府采购法》第二十二条关于供应商条件的规定，遵守本项目采购人本级和上级财政部门政府采购的有关规定。</w:t>
      </w:r>
    </w:p>
    <w:p w14:paraId="33755904">
      <w:pPr>
        <w:spacing w:line="360" w:lineRule="auto"/>
        <w:ind w:firstLine="435"/>
        <w:rPr>
          <w:sz w:val="24"/>
          <w:highlight w:val="none"/>
        </w:rPr>
      </w:pPr>
      <w:r>
        <w:rPr>
          <w:rFonts w:hint="eastAsia"/>
          <w:sz w:val="24"/>
          <w:highlight w:val="none"/>
        </w:rPr>
        <w:t>1</w:t>
      </w:r>
      <w:r>
        <w:rPr>
          <w:sz w:val="24"/>
          <w:highlight w:val="none"/>
        </w:rPr>
        <w:t>.4.</w:t>
      </w:r>
      <w:r>
        <w:rPr>
          <w:rFonts w:hint="eastAsia"/>
          <w:sz w:val="24"/>
          <w:highlight w:val="none"/>
        </w:rPr>
        <w:t>2</w:t>
      </w:r>
      <w:r>
        <w:rPr>
          <w:sz w:val="24"/>
          <w:highlight w:val="none"/>
        </w:rPr>
        <w:t>以采购代理机构认可的方式获得了本项目的</w:t>
      </w:r>
      <w:r>
        <w:rPr>
          <w:rFonts w:hint="eastAsia"/>
          <w:sz w:val="24"/>
          <w:highlight w:val="none"/>
        </w:rPr>
        <w:t>磋商</w:t>
      </w:r>
      <w:r>
        <w:rPr>
          <w:sz w:val="24"/>
          <w:highlight w:val="none"/>
        </w:rPr>
        <w:t>文件。</w:t>
      </w:r>
    </w:p>
    <w:p w14:paraId="41CEB740">
      <w:pPr>
        <w:spacing w:line="360" w:lineRule="auto"/>
        <w:ind w:firstLine="435"/>
        <w:rPr>
          <w:sz w:val="24"/>
          <w:highlight w:val="none"/>
        </w:rPr>
      </w:pPr>
      <w:r>
        <w:rPr>
          <w:rFonts w:hint="eastAsia"/>
          <w:bCs/>
          <w:sz w:val="24"/>
          <w:szCs w:val="28"/>
          <w:highlight w:val="none"/>
        </w:rPr>
        <w:t>1</w:t>
      </w:r>
      <w:r>
        <w:rPr>
          <w:bCs/>
          <w:sz w:val="24"/>
          <w:szCs w:val="28"/>
          <w:highlight w:val="none"/>
        </w:rPr>
        <w:t>.5</w:t>
      </w:r>
      <w:r>
        <w:rPr>
          <w:rFonts w:hint="eastAsia"/>
          <w:bCs/>
          <w:sz w:val="24"/>
          <w:szCs w:val="28"/>
          <w:highlight w:val="none"/>
        </w:rPr>
        <w:t>若竞争性磋商公告</w:t>
      </w:r>
      <w:r>
        <w:rPr>
          <w:bCs/>
          <w:sz w:val="24"/>
          <w:szCs w:val="28"/>
          <w:highlight w:val="none"/>
        </w:rPr>
        <w:t>中允许联合体</w:t>
      </w:r>
      <w:r>
        <w:rPr>
          <w:rFonts w:hint="eastAsia"/>
          <w:bCs/>
          <w:sz w:val="24"/>
          <w:szCs w:val="28"/>
          <w:highlight w:val="none"/>
        </w:rPr>
        <w:t>参加磋商</w:t>
      </w:r>
      <w:r>
        <w:rPr>
          <w:bCs/>
          <w:sz w:val="24"/>
          <w:szCs w:val="28"/>
          <w:highlight w:val="none"/>
        </w:rPr>
        <w:t>，对联合体规定如下：</w:t>
      </w:r>
    </w:p>
    <w:p w14:paraId="04FAC4D8">
      <w:pPr>
        <w:spacing w:line="360" w:lineRule="auto"/>
        <w:ind w:firstLine="435"/>
        <w:rPr>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.1</w:t>
      </w:r>
      <w:r>
        <w:rPr>
          <w:rFonts w:hint="eastAsia"/>
          <w:sz w:val="24"/>
          <w:highlight w:val="none"/>
        </w:rPr>
        <w:t>两个以上供应商可以组成一个磋商联合体，以一个供应商的身份磋商</w:t>
      </w:r>
      <w:r>
        <w:rPr>
          <w:sz w:val="24"/>
          <w:highlight w:val="none"/>
        </w:rPr>
        <w:t>。联合体参加磋商的，</w:t>
      </w:r>
      <w:r>
        <w:rPr>
          <w:rFonts w:hint="eastAsia"/>
          <w:sz w:val="24"/>
          <w:highlight w:val="none"/>
        </w:rPr>
        <w:t>磋商文件获取</w:t>
      </w:r>
      <w:r>
        <w:rPr>
          <w:sz w:val="24"/>
          <w:highlight w:val="none"/>
        </w:rPr>
        <w:t>手续由联合体</w:t>
      </w:r>
      <w:r>
        <w:rPr>
          <w:rFonts w:hint="eastAsia"/>
          <w:sz w:val="24"/>
          <w:highlight w:val="none"/>
        </w:rPr>
        <w:t>中</w:t>
      </w:r>
      <w:r>
        <w:rPr>
          <w:sz w:val="24"/>
          <w:highlight w:val="none"/>
        </w:rPr>
        <w:t>任一</w:t>
      </w:r>
      <w:r>
        <w:rPr>
          <w:rFonts w:hint="eastAsia"/>
          <w:sz w:val="24"/>
          <w:highlight w:val="none"/>
        </w:rPr>
        <w:t>成员单位</w:t>
      </w:r>
      <w:r>
        <w:rPr>
          <w:sz w:val="24"/>
          <w:highlight w:val="none"/>
        </w:rPr>
        <w:t>办理均可。</w:t>
      </w:r>
    </w:p>
    <w:p w14:paraId="221A5D23">
      <w:pPr>
        <w:spacing w:line="360" w:lineRule="auto"/>
        <w:ind w:firstLine="435"/>
        <w:rPr>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.2联合体各方均应符合《中华人民共和国政府采购法》第二十二条规定的条件。</w:t>
      </w:r>
    </w:p>
    <w:p w14:paraId="4890D336">
      <w:pPr>
        <w:spacing w:line="360" w:lineRule="auto"/>
        <w:ind w:firstLine="435"/>
        <w:rPr>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.3采购人根据采购项目对</w:t>
      </w:r>
      <w:r>
        <w:rPr>
          <w:rFonts w:hint="eastAsia"/>
          <w:sz w:val="24"/>
          <w:highlight w:val="none"/>
        </w:rPr>
        <w:t>供应商</w:t>
      </w:r>
      <w:r>
        <w:rPr>
          <w:sz w:val="24"/>
          <w:highlight w:val="none"/>
        </w:rPr>
        <w:t>的特殊要求，联合体中至少应当有一方符合相关规定。</w:t>
      </w:r>
    </w:p>
    <w:p w14:paraId="11576B38">
      <w:pPr>
        <w:spacing w:line="360" w:lineRule="auto"/>
        <w:ind w:firstLine="435"/>
        <w:rPr>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.4联合体各方应签订</w:t>
      </w:r>
      <w:r>
        <w:rPr>
          <w:rFonts w:hint="eastAsia"/>
          <w:sz w:val="24"/>
          <w:highlight w:val="none"/>
        </w:rPr>
        <w:t>联合协议</w:t>
      </w:r>
      <w:r>
        <w:rPr>
          <w:sz w:val="24"/>
          <w:highlight w:val="none"/>
        </w:rPr>
        <w:t>，明确约定联合体各方承担的工作和相应的责任，并将</w:t>
      </w:r>
      <w:r>
        <w:rPr>
          <w:rFonts w:hint="eastAsia"/>
          <w:sz w:val="24"/>
          <w:highlight w:val="none"/>
        </w:rPr>
        <w:t>联合协议</w:t>
      </w:r>
      <w:r>
        <w:rPr>
          <w:sz w:val="24"/>
          <w:highlight w:val="none"/>
        </w:rPr>
        <w:t>作为</w:t>
      </w:r>
      <w:r>
        <w:rPr>
          <w:rFonts w:hint="eastAsia"/>
          <w:sz w:val="24"/>
          <w:highlight w:val="none"/>
        </w:rPr>
        <w:t>响应</w:t>
      </w:r>
      <w:r>
        <w:rPr>
          <w:sz w:val="24"/>
          <w:highlight w:val="none"/>
        </w:rPr>
        <w:t>文件</w:t>
      </w:r>
      <w:r>
        <w:rPr>
          <w:rFonts w:hint="eastAsia"/>
          <w:sz w:val="24"/>
          <w:highlight w:val="none"/>
        </w:rPr>
        <w:t>的</w:t>
      </w:r>
      <w:r>
        <w:rPr>
          <w:sz w:val="24"/>
          <w:highlight w:val="none"/>
        </w:rPr>
        <w:t>一部分提交。</w:t>
      </w:r>
    </w:p>
    <w:p w14:paraId="24696158">
      <w:pPr>
        <w:spacing w:line="360" w:lineRule="auto"/>
        <w:ind w:firstLine="435"/>
        <w:rPr>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.5大中型企业、其他自然人、法人或者非法人组织与小型、微型企业组成联合体共同参加</w:t>
      </w:r>
      <w:r>
        <w:rPr>
          <w:rFonts w:hint="eastAsia"/>
          <w:sz w:val="24"/>
          <w:highlight w:val="none"/>
        </w:rPr>
        <w:t>磋商</w:t>
      </w:r>
      <w:r>
        <w:rPr>
          <w:sz w:val="24"/>
          <w:highlight w:val="none"/>
        </w:rPr>
        <w:t>，</w:t>
      </w:r>
      <w:r>
        <w:rPr>
          <w:rFonts w:hint="eastAsia"/>
          <w:sz w:val="24"/>
          <w:highlight w:val="none"/>
        </w:rPr>
        <w:t>联合协议中</w:t>
      </w:r>
      <w:r>
        <w:rPr>
          <w:sz w:val="24"/>
          <w:highlight w:val="none"/>
        </w:rPr>
        <w:t>应写明小型、微型企业的协议合同金额占到</w:t>
      </w:r>
      <w:r>
        <w:rPr>
          <w:rFonts w:hint="eastAsia"/>
          <w:sz w:val="24"/>
          <w:highlight w:val="none"/>
        </w:rPr>
        <w:t>联合协议合同</w:t>
      </w:r>
      <w:r>
        <w:rPr>
          <w:sz w:val="24"/>
          <w:highlight w:val="none"/>
        </w:rPr>
        <w:t>总金额的比例。</w:t>
      </w:r>
    </w:p>
    <w:p w14:paraId="79574B9B">
      <w:pPr>
        <w:spacing w:line="360" w:lineRule="auto"/>
        <w:ind w:firstLine="435"/>
        <w:rPr>
          <w:sz w:val="24"/>
          <w:highlight w:val="none"/>
        </w:rPr>
      </w:pPr>
      <w:r>
        <w:rPr>
          <w:rFonts w:hint="eastAsia"/>
          <w:sz w:val="24"/>
          <w:highlight w:val="none"/>
        </w:rPr>
        <w:t>1</w:t>
      </w:r>
      <w:r>
        <w:rPr>
          <w:sz w:val="24"/>
          <w:highlight w:val="none"/>
        </w:rPr>
        <w:t>.5.6</w:t>
      </w:r>
      <w:r>
        <w:rPr>
          <w:rFonts w:hint="eastAsia"/>
          <w:sz w:val="24"/>
          <w:highlight w:val="none"/>
        </w:rPr>
        <w:t>联合体中有同类资质的供应商按照联合体分工承担相同工作的，</w:t>
      </w:r>
      <w:r>
        <w:rPr>
          <w:sz w:val="24"/>
          <w:highlight w:val="none"/>
        </w:rPr>
        <w:t>应当按照</w:t>
      </w:r>
      <w:r>
        <w:rPr>
          <w:rFonts w:hint="eastAsia"/>
          <w:sz w:val="24"/>
          <w:highlight w:val="none"/>
        </w:rPr>
        <w:t>资质等级较低的供应商确定资质等级。</w:t>
      </w:r>
    </w:p>
    <w:p w14:paraId="25C3057E">
      <w:pPr>
        <w:spacing w:line="360" w:lineRule="auto"/>
        <w:ind w:firstLine="435"/>
        <w:rPr>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.7以联合体形式参加政府采购活动的，联合体各方不得再单独参加或者与其他供应商另外组成联合体参加本项目</w:t>
      </w:r>
      <w:r>
        <w:rPr>
          <w:rFonts w:hint="eastAsia"/>
          <w:sz w:val="24"/>
          <w:highlight w:val="none"/>
        </w:rPr>
        <w:t>磋商</w:t>
      </w:r>
      <w:r>
        <w:rPr>
          <w:sz w:val="24"/>
          <w:highlight w:val="none"/>
        </w:rPr>
        <w:t>，否则相关</w:t>
      </w:r>
      <w:r>
        <w:rPr>
          <w:rFonts w:hint="eastAsia"/>
          <w:sz w:val="24"/>
          <w:highlight w:val="none"/>
        </w:rPr>
        <w:t>响应文件将被认定为</w:t>
      </w:r>
      <w:r>
        <w:rPr>
          <w:rFonts w:hint="eastAsia"/>
          <w:b/>
          <w:sz w:val="24"/>
          <w:highlight w:val="none"/>
        </w:rPr>
        <w:t>响应无效</w:t>
      </w:r>
      <w:r>
        <w:rPr>
          <w:sz w:val="24"/>
          <w:highlight w:val="none"/>
        </w:rPr>
        <w:t>。</w:t>
      </w:r>
    </w:p>
    <w:p w14:paraId="7681FB37">
      <w:pPr>
        <w:spacing w:line="360" w:lineRule="auto"/>
        <w:ind w:firstLine="435"/>
        <w:rPr>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.8对联合体参加磋商的其他资格要求见</w:t>
      </w:r>
      <w:r>
        <w:rPr>
          <w:rFonts w:hint="eastAsia"/>
          <w:sz w:val="24"/>
          <w:highlight w:val="none"/>
        </w:rPr>
        <w:t>申请人的资格要求</w:t>
      </w:r>
      <w:r>
        <w:rPr>
          <w:sz w:val="24"/>
          <w:highlight w:val="none"/>
        </w:rPr>
        <w:t>。</w:t>
      </w:r>
    </w:p>
    <w:p w14:paraId="20445BC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资金落实情况</w:t>
      </w:r>
    </w:p>
    <w:p w14:paraId="4E686A4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.1本项目的采购人已获得足以支付本次磋商后所签订的合同项下的资金。</w:t>
      </w:r>
    </w:p>
    <w:p w14:paraId="1F92A84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磋商费用</w:t>
      </w:r>
    </w:p>
    <w:p w14:paraId="446FFEA9">
      <w:pPr>
        <w:spacing w:line="360" w:lineRule="auto"/>
        <w:ind w:firstLine="437"/>
        <w:rPr>
          <w:sz w:val="24"/>
          <w:highlight w:val="none"/>
        </w:rPr>
      </w:pPr>
      <w:r>
        <w:rPr>
          <w:rFonts w:hint="eastAsia"/>
          <w:sz w:val="24"/>
          <w:highlight w:val="none"/>
        </w:rPr>
        <w:t>不论磋商的结果如何，供应商应承担其所有与准备和参加磋商有关的费用。</w:t>
      </w:r>
    </w:p>
    <w:p w14:paraId="709B0CCE">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适用法律</w:t>
      </w:r>
    </w:p>
    <w:p w14:paraId="5F2F03D1">
      <w:pPr>
        <w:spacing w:line="360" w:lineRule="auto"/>
        <w:ind w:firstLine="435"/>
        <w:rPr>
          <w:rFonts w:asciiTheme="minorEastAsia" w:hAnsiTheme="minorEastAsia" w:eastAsiaTheme="minorEastAsia"/>
          <w:sz w:val="24"/>
          <w:highlight w:val="none"/>
        </w:rPr>
      </w:pPr>
      <w:r>
        <w:rPr>
          <w:rFonts w:hint="eastAsia"/>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A31E74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磋商文件构成</w:t>
      </w:r>
    </w:p>
    <w:p w14:paraId="4180D32B">
      <w:pPr>
        <w:spacing w:line="360" w:lineRule="auto"/>
        <w:ind w:firstLine="435"/>
        <w:rPr>
          <w:sz w:val="24"/>
          <w:highlight w:val="none"/>
        </w:rPr>
      </w:pPr>
      <w:r>
        <w:rPr>
          <w:rFonts w:hint="eastAsia"/>
          <w:sz w:val="24"/>
          <w:highlight w:val="none"/>
        </w:rPr>
        <w:t>5.1磋商文件包括下列内容：</w:t>
      </w:r>
    </w:p>
    <w:p w14:paraId="65844517">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磋商邀请</w:t>
      </w:r>
    </w:p>
    <w:p w14:paraId="1962DCF0">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须知</w:t>
      </w:r>
    </w:p>
    <w:p w14:paraId="797901CB">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681931EF">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评审方法</w:t>
      </w:r>
      <w:r>
        <w:rPr>
          <w:rFonts w:asciiTheme="minorEastAsia" w:hAnsiTheme="minorEastAsia" w:eastAsiaTheme="minorEastAsia"/>
          <w:sz w:val="24"/>
          <w:highlight w:val="none"/>
        </w:rPr>
        <w:t>和标准</w:t>
      </w:r>
    </w:p>
    <w:p w14:paraId="65F69DF4">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6C184429">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响应</w:t>
      </w:r>
      <w:r>
        <w:rPr>
          <w:rFonts w:asciiTheme="minorEastAsia" w:hAnsiTheme="minorEastAsia" w:eastAsiaTheme="minorEastAsia"/>
          <w:sz w:val="24"/>
          <w:highlight w:val="none"/>
        </w:rPr>
        <w:t>文件格式</w:t>
      </w:r>
    </w:p>
    <w:p w14:paraId="1B6ED475">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政府采购供应商</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0F5E23F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考察（标前答疑会）</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供应商须知前附表</w:t>
      </w:r>
      <w:r>
        <w:rPr>
          <w:rFonts w:asciiTheme="minorEastAsia" w:hAnsiTheme="minorEastAsia" w:eastAsiaTheme="minorEastAsia"/>
          <w:sz w:val="24"/>
          <w:highlight w:val="none"/>
        </w:rPr>
        <w:t>。</w:t>
      </w:r>
    </w:p>
    <w:p w14:paraId="2F0067C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3供应商</w:t>
      </w:r>
      <w:r>
        <w:rPr>
          <w:rFonts w:asciiTheme="minorEastAsia" w:hAnsiTheme="minorEastAsia" w:eastAsiaTheme="minorEastAsia"/>
          <w:sz w:val="24"/>
          <w:highlight w:val="none"/>
        </w:rPr>
        <w:t>应认真阅读</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文件所有的事项、格式、条款和技术规范等。</w:t>
      </w:r>
    </w:p>
    <w:p w14:paraId="0E6C941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磋商文件的澄清与修改</w:t>
      </w:r>
    </w:p>
    <w:p w14:paraId="7BF9B95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1供应商</w:t>
      </w:r>
      <w:r>
        <w:rPr>
          <w:rFonts w:asciiTheme="minorEastAsia" w:hAnsiTheme="minorEastAsia" w:eastAsiaTheme="minorEastAsia"/>
          <w:sz w:val="24"/>
          <w:highlight w:val="none"/>
        </w:rPr>
        <w:t>如对</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文件内容有疑问，必须在</w:t>
      </w:r>
      <w:r>
        <w:rPr>
          <w:sz w:val="24"/>
          <w:highlight w:val="none"/>
          <w:u w:val="single"/>
        </w:rPr>
        <w:t>供应商须知前附表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截止时间前以网上提问形式</w:t>
      </w:r>
      <w:r>
        <w:rPr>
          <w:rFonts w:hint="eastAsia" w:asciiTheme="minorEastAsia" w:hAnsiTheme="minorEastAsia" w:eastAsiaTheme="minorEastAsia"/>
          <w:sz w:val="24"/>
          <w:highlight w:val="none"/>
        </w:rPr>
        <w:t>（电子交易系统）</w:t>
      </w:r>
      <w:r>
        <w:rPr>
          <w:rFonts w:asciiTheme="minorEastAsia" w:hAnsiTheme="minorEastAsia" w:eastAsiaTheme="minorEastAsia"/>
          <w:sz w:val="24"/>
          <w:highlight w:val="none"/>
        </w:rPr>
        <w:t>提交给采购代理机构。</w:t>
      </w:r>
    </w:p>
    <w:p w14:paraId="0BC7255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2采购人可主动地或在答复供应商提出的询问时对磋商文件进行澄清与修改。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w:t>
      </w:r>
      <w:bookmarkStart w:id="29" w:name="_Hlk16458572"/>
      <w:r>
        <w:rPr>
          <w:rFonts w:hint="eastAsia"/>
          <w:sz w:val="24"/>
          <w:szCs w:val="18"/>
          <w:highlight w:val="none"/>
        </w:rPr>
        <w:t>安徽省政府采购网</w:t>
      </w:r>
      <w:bookmarkEnd w:id="29"/>
      <w:r>
        <w:rPr>
          <w:rFonts w:hint="eastAsia" w:asciiTheme="minorEastAsia" w:hAnsiTheme="minorEastAsia" w:eastAsiaTheme="minorEastAsia"/>
          <w:sz w:val="24"/>
          <w:highlight w:val="none"/>
        </w:rPr>
        <w:t>发布更正公告的方式澄清或者修改磋商文件，更正公告的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起约束作用</w:t>
      </w:r>
      <w:r>
        <w:rPr>
          <w:rFonts w:hint="eastAsia" w:asciiTheme="minorEastAsia" w:hAnsiTheme="minorEastAsia" w:eastAsiaTheme="minorEastAsia"/>
          <w:sz w:val="24"/>
          <w:highlight w:val="none"/>
        </w:rPr>
        <w:t>。供应商应主动上网查询。采购代理机构不承担供应商未及时关注相关信息引发的相关责任。</w:t>
      </w:r>
    </w:p>
    <w:p w14:paraId="39ABE7DD">
      <w:pPr>
        <w:spacing w:line="360" w:lineRule="auto"/>
        <w:ind w:firstLine="435"/>
        <w:rPr>
          <w:sz w:val="24"/>
          <w:highlight w:val="none"/>
        </w:rPr>
      </w:pPr>
      <w:r>
        <w:rPr>
          <w:rFonts w:hint="eastAsia"/>
          <w:sz w:val="24"/>
          <w:highlight w:val="none"/>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D89E010">
      <w:pPr>
        <w:spacing w:line="360" w:lineRule="auto"/>
        <w:ind w:firstLine="435"/>
        <w:rPr>
          <w:rFonts w:asciiTheme="minorEastAsia" w:hAnsiTheme="minorEastAsia" w:eastAsiaTheme="minorEastAsia"/>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询问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的</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本磋商</w:t>
      </w:r>
      <w:r>
        <w:rPr>
          <w:rFonts w:asciiTheme="minorEastAsia" w:hAnsiTheme="minorEastAsia" w:eastAsiaTheme="minorEastAsia"/>
          <w:sz w:val="24"/>
          <w:highlight w:val="none"/>
        </w:rPr>
        <w:t>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61035F6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磋商范围及响应文件中标准和计量单位的使用</w:t>
      </w:r>
    </w:p>
    <w:p w14:paraId="6BD1047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.1项目有分包的，供应商可</w:t>
      </w:r>
      <w:r>
        <w:rPr>
          <w:rFonts w:hint="eastAsia" w:asciiTheme="minorEastAsia" w:hAnsiTheme="minorEastAsia" w:eastAsiaTheme="minorEastAsia"/>
          <w:sz w:val="24"/>
          <w:highlight w:val="none"/>
        </w:rPr>
        <w:t>参与</w:t>
      </w:r>
      <w:r>
        <w:rPr>
          <w:rFonts w:asciiTheme="minorEastAsia" w:hAnsiTheme="minorEastAsia" w:eastAsiaTheme="minorEastAsia"/>
          <w:sz w:val="24"/>
          <w:highlight w:val="none"/>
        </w:rPr>
        <w:t>其中某一个或</w:t>
      </w:r>
      <w:r>
        <w:rPr>
          <w:rFonts w:hint="eastAsia" w:asciiTheme="minorEastAsia" w:hAnsiTheme="minorEastAsia" w:eastAsiaTheme="minorEastAsia"/>
          <w:sz w:val="24"/>
          <w:highlight w:val="none"/>
        </w:rPr>
        <w:t>多</w:t>
      </w:r>
      <w:r>
        <w:rPr>
          <w:rFonts w:asciiTheme="minorEastAsia" w:hAnsiTheme="minorEastAsia" w:eastAsiaTheme="minorEastAsia"/>
          <w:sz w:val="24"/>
          <w:highlight w:val="none"/>
        </w:rPr>
        <w:t>个分包</w:t>
      </w:r>
      <w:r>
        <w:rPr>
          <w:rFonts w:hint="eastAsia" w:asciiTheme="minorEastAsia" w:hAnsiTheme="minorEastAsia" w:eastAsiaTheme="minorEastAsia"/>
          <w:sz w:val="24"/>
          <w:highlight w:val="none"/>
        </w:rPr>
        <w:t>的磋商</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成交包数详见</w:t>
      </w:r>
      <w:r>
        <w:rPr>
          <w:rFonts w:asciiTheme="minorEastAsia" w:hAnsiTheme="minorEastAsia" w:eastAsiaTheme="minorEastAsia"/>
          <w:sz w:val="24"/>
          <w:highlight w:val="none"/>
          <w:u w:val="single"/>
        </w:rPr>
        <w:t>供应商须知前附表</w:t>
      </w:r>
      <w:r>
        <w:rPr>
          <w:rFonts w:asciiTheme="minorEastAsia" w:hAnsiTheme="minorEastAsia" w:eastAsiaTheme="minorEastAsia"/>
          <w:sz w:val="24"/>
          <w:highlight w:val="none"/>
        </w:rPr>
        <w:t>中规定。</w:t>
      </w:r>
    </w:p>
    <w:p w14:paraId="79E6748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无论磋商文件中是否要求，供应商所</w:t>
      </w:r>
      <w:r>
        <w:rPr>
          <w:rFonts w:hint="eastAsia" w:asciiTheme="minorEastAsia" w:hAnsiTheme="minorEastAsia" w:eastAsiaTheme="minorEastAsia"/>
          <w:sz w:val="24"/>
          <w:highlight w:val="none"/>
        </w:rPr>
        <w:t>承担</w:t>
      </w:r>
      <w:r>
        <w:rPr>
          <w:rFonts w:asciiTheme="minorEastAsia" w:hAnsiTheme="minorEastAsia" w:eastAsiaTheme="minorEastAsia"/>
          <w:sz w:val="24"/>
          <w:highlight w:val="none"/>
        </w:rPr>
        <w:t>工程及伴随的货物和</w:t>
      </w:r>
      <w:r>
        <w:rPr>
          <w:rFonts w:hint="eastAsia" w:asciiTheme="minorEastAsia" w:hAnsiTheme="minorEastAsia" w:eastAsiaTheme="minorEastAsia"/>
          <w:sz w:val="24"/>
          <w:highlight w:val="none"/>
        </w:rPr>
        <w:t>服务</w:t>
      </w:r>
      <w:r>
        <w:rPr>
          <w:rFonts w:asciiTheme="minorEastAsia" w:hAnsiTheme="minorEastAsia" w:eastAsiaTheme="minorEastAsia"/>
          <w:sz w:val="24"/>
          <w:highlight w:val="none"/>
        </w:rPr>
        <w:t>均应符合国家强制性标准。</w:t>
      </w:r>
    </w:p>
    <w:p w14:paraId="60744E8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3EA9CBA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除磋商文件中有特殊要求外，响应文件中所使用的计量单位，应采用中华人民共和国法定计量单位。</w:t>
      </w:r>
    </w:p>
    <w:p w14:paraId="7DE370F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响应文件构成</w:t>
      </w:r>
    </w:p>
    <w:p w14:paraId="67038AAE">
      <w:pPr>
        <w:spacing w:line="360" w:lineRule="auto"/>
        <w:ind w:firstLine="437"/>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.1供应商应完整地按磋商文件提供的响应文件格式及要求编写响应文件，具体内容详见第六章响应文件格式的相关内容。</w:t>
      </w:r>
    </w:p>
    <w:p w14:paraId="5C9B3900">
      <w:pPr>
        <w:spacing w:line="360" w:lineRule="auto"/>
        <w:ind w:firstLine="435"/>
        <w:rPr>
          <w:rFonts w:asciiTheme="minorEastAsia" w:hAnsiTheme="minorEastAsia" w:eastAsiaTheme="minorEastAsia"/>
          <w:sz w:val="24"/>
          <w:highlight w:val="none"/>
        </w:rPr>
      </w:pPr>
      <w:r>
        <w:rPr>
          <w:rFonts w:hint="eastAsia"/>
          <w:sz w:val="24"/>
          <w:highlight w:val="none"/>
        </w:rPr>
        <w:t>8.2供应商应提交磋商文件要求的证明文件，证明其响应内容符合磋商文件规定。该证明文件是响应文件的一部分</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30" w:name="_Hlk11703583"/>
      <w:r>
        <w:rPr>
          <w:rFonts w:hint="eastAsia" w:asciiTheme="minorEastAsia" w:hAnsiTheme="minorEastAsia" w:eastAsiaTheme="minorEastAsia"/>
          <w:sz w:val="24"/>
          <w:highlight w:val="none"/>
        </w:rPr>
        <w:t>。</w:t>
      </w:r>
      <w:bookmarkEnd w:id="30"/>
    </w:p>
    <w:p w14:paraId="6B18933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为保证</w:t>
      </w:r>
      <w:r>
        <w:rPr>
          <w:sz w:val="24"/>
          <w:highlight w:val="none"/>
        </w:rPr>
        <w:t>公平</w:t>
      </w:r>
      <w:r>
        <w:rPr>
          <w:rFonts w:asciiTheme="minorEastAsia" w:hAnsiTheme="minorEastAsia" w:eastAsiaTheme="minorEastAsia"/>
          <w:sz w:val="24"/>
          <w:highlight w:val="none"/>
        </w:rPr>
        <w:t>公正，除非磋商文件另有规定或说明，</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对同一项目</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时，不得同时提供</w:t>
      </w:r>
      <w:r>
        <w:rPr>
          <w:rFonts w:hint="eastAsia" w:asciiTheme="minorEastAsia" w:hAnsiTheme="minorEastAsia" w:eastAsiaTheme="minorEastAsia"/>
          <w:sz w:val="24"/>
          <w:highlight w:val="none"/>
        </w:rPr>
        <w:t>备选磋商</w:t>
      </w:r>
      <w:r>
        <w:rPr>
          <w:rFonts w:asciiTheme="minorEastAsia" w:hAnsiTheme="minorEastAsia" w:eastAsiaTheme="minorEastAsia"/>
          <w:sz w:val="24"/>
          <w:highlight w:val="none"/>
        </w:rPr>
        <w:t>方案。</w:t>
      </w:r>
    </w:p>
    <w:p w14:paraId="5B340CD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报价</w:t>
      </w:r>
    </w:p>
    <w:p w14:paraId="20E753E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的报价应当包括满足本次</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全部</w:t>
      </w:r>
      <w:r>
        <w:rPr>
          <w:rFonts w:hint="eastAsia" w:asciiTheme="minorEastAsia" w:hAnsiTheme="minorEastAsia" w:eastAsiaTheme="minorEastAsia"/>
          <w:sz w:val="24"/>
          <w:highlight w:val="none"/>
        </w:rPr>
        <w:t>内容。所有报价均应以人民币报价，供应商的磋商报价应遵守《中华人民共和国价格法》。</w:t>
      </w:r>
    </w:p>
    <w:p w14:paraId="50C068B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最后报价均不得高于磋商文件（公告）列明的项目预算</w:t>
      </w:r>
      <w:r>
        <w:rPr>
          <w:rFonts w:hint="eastAsia" w:asciiTheme="minorEastAsia" w:hAnsiTheme="minorEastAsia" w:eastAsiaTheme="minorEastAsia"/>
          <w:sz w:val="24"/>
          <w:highlight w:val="none"/>
        </w:rPr>
        <w:t>、最高投标限价</w:t>
      </w:r>
      <w:r>
        <w:rPr>
          <w:rFonts w:asciiTheme="minorEastAsia" w:hAnsiTheme="minorEastAsia" w:eastAsiaTheme="minorEastAsia"/>
          <w:sz w:val="24"/>
          <w:highlight w:val="none"/>
        </w:rPr>
        <w:t>，否则其响应文件将被认定为</w:t>
      </w:r>
      <w:r>
        <w:rPr>
          <w:rFonts w:asciiTheme="minorEastAsia" w:hAnsiTheme="minorEastAsia" w:eastAsiaTheme="minorEastAsia"/>
          <w:b/>
          <w:sz w:val="24"/>
          <w:highlight w:val="none"/>
        </w:rPr>
        <w:t>响应无效</w:t>
      </w:r>
      <w:r>
        <w:rPr>
          <w:rFonts w:asciiTheme="minorEastAsia" w:hAnsiTheme="minorEastAsia" w:eastAsiaTheme="minorEastAsia"/>
          <w:sz w:val="24"/>
          <w:highlight w:val="none"/>
        </w:rPr>
        <w:t>。</w:t>
      </w:r>
    </w:p>
    <w:p w14:paraId="4F2EBFA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3报价</w:t>
      </w:r>
      <w:r>
        <w:rPr>
          <w:rFonts w:asciiTheme="minorEastAsia" w:hAnsiTheme="minorEastAsia" w:eastAsiaTheme="minorEastAsia"/>
          <w:sz w:val="24"/>
          <w:highlight w:val="none"/>
        </w:rPr>
        <w:t>在合同履行过程中是固定不变的，不得以任何理由予以变更。任何包含价格调整要求的</w:t>
      </w:r>
      <w:r>
        <w:rPr>
          <w:rFonts w:hint="eastAsia" w:asciiTheme="minorEastAsia" w:hAnsiTheme="minorEastAsia" w:eastAsiaTheme="minorEastAsia"/>
          <w:sz w:val="24"/>
          <w:highlight w:val="none"/>
        </w:rPr>
        <w:t>报价</w:t>
      </w:r>
      <w:r>
        <w:rPr>
          <w:rFonts w:asciiTheme="minorEastAsia" w:hAnsiTheme="minorEastAsia" w:eastAsiaTheme="minorEastAsia"/>
          <w:sz w:val="24"/>
          <w:highlight w:val="none"/>
        </w:rPr>
        <w:t>，其</w:t>
      </w:r>
      <w:r>
        <w:rPr>
          <w:rFonts w:hint="eastAsia" w:asciiTheme="minorEastAsia" w:hAnsiTheme="minorEastAsia" w:eastAsiaTheme="minorEastAsia"/>
          <w:sz w:val="24"/>
          <w:highlight w:val="none"/>
        </w:rPr>
        <w:t>响应文件将被认定为</w:t>
      </w:r>
      <w:r>
        <w:rPr>
          <w:rFonts w:hint="eastAsia" w:asciiTheme="minorEastAsia" w:hAnsiTheme="minorEastAsia" w:eastAsiaTheme="minorEastAsia"/>
          <w:b/>
          <w:sz w:val="24"/>
          <w:highlight w:val="none"/>
        </w:rPr>
        <w:t>响应无效</w:t>
      </w:r>
      <w:r>
        <w:rPr>
          <w:rFonts w:asciiTheme="minorEastAsia" w:hAnsiTheme="minorEastAsia" w:eastAsiaTheme="minorEastAsia"/>
          <w:sz w:val="24"/>
          <w:highlight w:val="none"/>
        </w:rPr>
        <w:t>。</w:t>
      </w:r>
    </w:p>
    <w:p w14:paraId="7C5B22B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采购人不接受具有附加条件的报价。</w:t>
      </w:r>
    </w:p>
    <w:p w14:paraId="326304E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磋商保证金</w:t>
      </w:r>
    </w:p>
    <w:p w14:paraId="3456F1E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w:t>
      </w:r>
      <w:r>
        <w:rPr>
          <w:rFonts w:asciiTheme="minorEastAsia" w:hAnsiTheme="minorEastAsia" w:eastAsiaTheme="minorEastAsia"/>
          <w:sz w:val="24"/>
          <w:highlight w:val="none"/>
        </w:rPr>
        <w:t>.1本项目不收取磋商保证金。</w:t>
      </w:r>
    </w:p>
    <w:p w14:paraId="21083F8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磋商有效期</w:t>
      </w:r>
    </w:p>
    <w:p w14:paraId="576B876E">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.1磋商有效期为从响应文件提交截止之日算起的日历天数，磋商有效期详见</w:t>
      </w:r>
      <w:r>
        <w:rPr>
          <w:rFonts w:asciiTheme="minorEastAsia" w:hAnsiTheme="minorEastAsia" w:eastAsiaTheme="minorEastAsia"/>
          <w:sz w:val="24"/>
          <w:highlight w:val="none"/>
          <w:u w:val="single"/>
        </w:rPr>
        <w:t>供应商须知前附表</w:t>
      </w:r>
      <w:r>
        <w:rPr>
          <w:rFonts w:asciiTheme="minorEastAsia" w:hAnsiTheme="minorEastAsia" w:eastAsiaTheme="minorEastAsia"/>
          <w:sz w:val="24"/>
          <w:highlight w:val="none"/>
        </w:rPr>
        <w:t>。</w:t>
      </w:r>
    </w:p>
    <w:p w14:paraId="01DC4BA1">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sz w:val="24"/>
          <w:highlight w:val="none"/>
        </w:rPr>
        <w:t>响应无效</w:t>
      </w:r>
      <w:r>
        <w:rPr>
          <w:rFonts w:asciiTheme="minorEastAsia" w:hAnsiTheme="minorEastAsia" w:eastAsiaTheme="minorEastAsia"/>
          <w:sz w:val="24"/>
          <w:highlight w:val="none"/>
        </w:rPr>
        <w:t>。</w:t>
      </w:r>
    </w:p>
    <w:p w14:paraId="28C62FC9">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703703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响应文件的提交、修改与撤回</w:t>
      </w:r>
    </w:p>
    <w:p w14:paraId="232425E5">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2.1供应商应当在竞争性磋商公告规定的响应文件提交截止时间前</w:t>
      </w:r>
      <w:r>
        <w:rPr>
          <w:rFonts w:asciiTheme="minorEastAsia" w:hAnsiTheme="minorEastAsia" w:eastAsiaTheme="minorEastAsia"/>
          <w:sz w:val="24"/>
          <w:highlight w:val="none"/>
        </w:rPr>
        <w:t>，将加密的</w:t>
      </w:r>
      <w:r>
        <w:rPr>
          <w:rFonts w:hint="eastAsia" w:asciiTheme="minorEastAsia" w:hAnsiTheme="minorEastAsia" w:eastAsiaTheme="minorEastAsia"/>
          <w:sz w:val="24"/>
          <w:highlight w:val="none"/>
        </w:rPr>
        <w:t>响应</w:t>
      </w:r>
      <w:r>
        <w:rPr>
          <w:rFonts w:asciiTheme="minorEastAsia" w:hAnsiTheme="minorEastAsia" w:eastAsiaTheme="minorEastAsia"/>
          <w:sz w:val="24"/>
          <w:highlight w:val="none"/>
        </w:rPr>
        <w:t>文件</w:t>
      </w:r>
      <w:r>
        <w:rPr>
          <w:rFonts w:hint="eastAsia" w:asciiTheme="minorEastAsia" w:hAnsiTheme="minorEastAsia" w:eastAsiaTheme="minorEastAsia"/>
          <w:sz w:val="24"/>
          <w:highlight w:val="none"/>
        </w:rPr>
        <w:t>在电子交易系统</w:t>
      </w:r>
      <w:r>
        <w:rPr>
          <w:rFonts w:asciiTheme="minorEastAsia" w:hAnsiTheme="minorEastAsia" w:eastAsiaTheme="minorEastAsia"/>
          <w:sz w:val="24"/>
          <w:highlight w:val="none"/>
        </w:rPr>
        <w:t>上传。</w:t>
      </w:r>
    </w:p>
    <w:p w14:paraId="2CB46B12">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20F94C12">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供应商应在</w:t>
      </w:r>
      <w:r>
        <w:rPr>
          <w:rFonts w:hint="eastAsia" w:asciiTheme="minorEastAsia" w:hAnsiTheme="minorEastAsia" w:eastAsiaTheme="minorEastAsia"/>
          <w:sz w:val="24"/>
          <w:highlight w:val="none"/>
          <w:u w:val="single"/>
        </w:rPr>
        <w:t>供应商须知前附表</w:t>
      </w:r>
      <w:r>
        <w:rPr>
          <w:rFonts w:hint="eastAsia" w:asciiTheme="minorEastAsia" w:hAnsiTheme="minorEastAsia" w:eastAsiaTheme="minorEastAsia"/>
          <w:sz w:val="24"/>
          <w:highlight w:val="none"/>
        </w:rPr>
        <w:t>规定的解密时间前对其响应文件进行解密，</w:t>
      </w:r>
      <w:r>
        <w:rPr>
          <w:rFonts w:asciiTheme="minorEastAsia" w:hAnsiTheme="minorEastAsia" w:eastAsiaTheme="minorEastAsia"/>
          <w:sz w:val="24"/>
          <w:highlight w:val="none"/>
        </w:rPr>
        <w:t>未在规定时间内进行解密的，</w:t>
      </w:r>
      <w:r>
        <w:rPr>
          <w:rFonts w:hint="eastAsia" w:asciiTheme="minorEastAsia" w:hAnsiTheme="minorEastAsia" w:eastAsiaTheme="minorEastAsia"/>
          <w:b/>
          <w:sz w:val="24"/>
          <w:highlight w:val="none"/>
        </w:rPr>
        <w:t>响应无效。</w:t>
      </w:r>
    </w:p>
    <w:p w14:paraId="291C16EC">
      <w:pPr>
        <w:spacing w:line="360" w:lineRule="auto"/>
        <w:ind w:firstLine="435"/>
        <w:rPr>
          <w:sz w:val="24"/>
          <w:highlight w:val="none"/>
        </w:rPr>
      </w:pPr>
      <w:r>
        <w:rPr>
          <w:rFonts w:hint="eastAsia" w:asciiTheme="minorEastAsia" w:hAnsiTheme="minorEastAsia" w:eastAsiaTheme="minorEastAsia"/>
          <w:sz w:val="24"/>
          <w:highlight w:val="none"/>
        </w:rPr>
        <w:t>12.4在响应文件提交截止时间之后，供应商不得对其响应文件做任何修改。</w:t>
      </w:r>
      <w:r>
        <w:rPr>
          <w:rFonts w:hint="eastAsia"/>
          <w:sz w:val="24"/>
          <w:highlight w:val="none"/>
        </w:rPr>
        <w:t>但属于磋商小组在评审中发现的计算错误并进行核实的修改、按照磋商文件的变动情况和磋商小组的要求重新提交响应文件的，不在此列。</w:t>
      </w:r>
    </w:p>
    <w:p w14:paraId="1D83A52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磋商小组</w:t>
      </w:r>
    </w:p>
    <w:p w14:paraId="462A3EF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.1本项目将依法组建磋商小组，磋商小组成员由3人以上单数组成，磋商小组及其成员应当依照政府采购的有关规定履行相关职责和义务。</w:t>
      </w:r>
    </w:p>
    <w:p w14:paraId="3097B51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.2磋商小组依法对响应文件进行评审，并根据磋商文件规定的程序、评定成交的标准等事项与实质性响应磋商文件要求的供应商进行磋商。</w:t>
      </w:r>
    </w:p>
    <w:p w14:paraId="109F284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.3磋商小组应当从质量和服务均能满足磋商文件实质性响应要求的供应商中，按照评审</w:t>
      </w:r>
      <w:r>
        <w:rPr>
          <w:rFonts w:hint="eastAsia" w:asciiTheme="minorEastAsia" w:hAnsiTheme="minorEastAsia" w:eastAsiaTheme="minorEastAsia"/>
          <w:sz w:val="24"/>
          <w:highlight w:val="none"/>
        </w:rPr>
        <w:t>方</w:t>
      </w:r>
      <w:r>
        <w:rPr>
          <w:rFonts w:asciiTheme="minorEastAsia" w:hAnsiTheme="minorEastAsia" w:eastAsiaTheme="minorEastAsia"/>
          <w:sz w:val="24"/>
          <w:highlight w:val="none"/>
        </w:rPr>
        <w:t>法</w:t>
      </w:r>
      <w:r>
        <w:rPr>
          <w:rFonts w:hint="eastAsia" w:asciiTheme="minorEastAsia" w:hAnsiTheme="minorEastAsia" w:eastAsiaTheme="minorEastAsia"/>
          <w:sz w:val="24"/>
          <w:highlight w:val="none"/>
        </w:rPr>
        <w:t>和标准推荐</w:t>
      </w:r>
      <w:r>
        <w:rPr>
          <w:rFonts w:asciiTheme="minorEastAsia" w:hAnsiTheme="minorEastAsia" w:eastAsiaTheme="minorEastAsia"/>
          <w:sz w:val="24"/>
          <w:highlight w:val="none"/>
        </w:rPr>
        <w:t>成交候选供应商，并编写</w:t>
      </w:r>
      <w:r>
        <w:rPr>
          <w:rFonts w:hint="eastAsia" w:asciiTheme="minorEastAsia" w:hAnsiTheme="minorEastAsia" w:eastAsiaTheme="minorEastAsia"/>
          <w:sz w:val="24"/>
          <w:highlight w:val="none"/>
        </w:rPr>
        <w:t>评审</w:t>
      </w:r>
      <w:r>
        <w:rPr>
          <w:rFonts w:asciiTheme="minorEastAsia" w:hAnsiTheme="minorEastAsia" w:eastAsiaTheme="minorEastAsia"/>
          <w:sz w:val="24"/>
          <w:highlight w:val="none"/>
        </w:rPr>
        <w:t>报告。</w:t>
      </w:r>
    </w:p>
    <w:p w14:paraId="1FC95002">
      <w:pPr>
        <w:spacing w:line="360" w:lineRule="auto"/>
        <w:ind w:firstLine="437"/>
        <w:outlineLvl w:val="2"/>
        <w:rPr>
          <w:rFonts w:asciiTheme="minorEastAsia" w:hAnsiTheme="minorEastAsia" w:eastAsiaTheme="minorEastAsia"/>
          <w:b/>
          <w:sz w:val="24"/>
          <w:highlight w:val="none"/>
        </w:rPr>
      </w:pP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4</w:t>
      </w:r>
      <w:r>
        <w:rPr>
          <w:rFonts w:asciiTheme="minorEastAsia" w:hAnsiTheme="minorEastAsia" w:eastAsiaTheme="minorEastAsia"/>
          <w:b/>
          <w:sz w:val="24"/>
          <w:highlight w:val="none"/>
        </w:rPr>
        <w:t>.响应文件的评审与磋商</w:t>
      </w:r>
    </w:p>
    <w:p w14:paraId="30DA324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1采购人和采购代理机构将在</w:t>
      </w:r>
      <w:r>
        <w:rPr>
          <w:rFonts w:hint="eastAsia" w:cs="@仿宋_GB2312" w:asciiTheme="minorEastAsia" w:hAnsiTheme="minorEastAsia" w:eastAsiaTheme="minorEastAsia"/>
          <w:kern w:val="2"/>
          <w:sz w:val="24"/>
          <w:highlight w:val="none"/>
        </w:rPr>
        <w:t>竞争性磋商公告</w:t>
      </w:r>
      <w:r>
        <w:rPr>
          <w:rFonts w:hint="eastAsia" w:asciiTheme="minorEastAsia" w:hAnsiTheme="minorEastAsia" w:eastAsiaTheme="minorEastAsia"/>
          <w:sz w:val="24"/>
          <w:highlight w:val="none"/>
        </w:rPr>
        <w:t>规定的时间和地点组织磋商。</w:t>
      </w:r>
    </w:p>
    <w:p w14:paraId="47DA6F7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14.2竞争性磋商活动采用综合评分法评审。</w:t>
      </w:r>
    </w:p>
    <w:p w14:paraId="7F585AA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综合评分法，是指响应文件满足磋商文件全部实质性要求且按评审因素的量化指标评审得分最高的供应商为成交候选供应商的评审方法。</w:t>
      </w:r>
    </w:p>
    <w:p w14:paraId="6C976A8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14.3磋商小组将按照磋商文件规定的</w:t>
      </w:r>
      <w:r>
        <w:rPr>
          <w:rFonts w:asciiTheme="minorEastAsia" w:hAnsiTheme="minorEastAsia" w:eastAsiaTheme="minorEastAsia"/>
          <w:sz w:val="24"/>
          <w:highlight w:val="none"/>
        </w:rPr>
        <w:t>评审</w:t>
      </w:r>
      <w:r>
        <w:rPr>
          <w:rFonts w:hint="eastAsia" w:asciiTheme="minorEastAsia" w:hAnsiTheme="minorEastAsia" w:eastAsiaTheme="minorEastAsia"/>
          <w:sz w:val="24"/>
          <w:highlight w:val="none"/>
        </w:rPr>
        <w:t>方</w:t>
      </w:r>
      <w:r>
        <w:rPr>
          <w:rFonts w:asciiTheme="minorEastAsia" w:hAnsiTheme="minorEastAsia" w:eastAsiaTheme="minorEastAsia"/>
          <w:sz w:val="24"/>
          <w:highlight w:val="none"/>
        </w:rPr>
        <w:t>法</w:t>
      </w:r>
      <w:r>
        <w:rPr>
          <w:rFonts w:hint="eastAsia" w:asciiTheme="minorEastAsia" w:hAnsiTheme="minorEastAsia" w:eastAsiaTheme="minorEastAsia"/>
          <w:sz w:val="24"/>
          <w:highlight w:val="none"/>
        </w:rPr>
        <w:t>和标准对供应商独立进行评审。评审程序如下：</w:t>
      </w:r>
    </w:p>
    <w:p w14:paraId="1ACAB62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14.3.1</w:t>
      </w:r>
      <w:r>
        <w:rPr>
          <w:rFonts w:hint="eastAsia" w:asciiTheme="minorEastAsia" w:hAnsiTheme="minorEastAsia" w:eastAsiaTheme="minorEastAsia"/>
          <w:b/>
          <w:sz w:val="24"/>
          <w:highlight w:val="none"/>
        </w:rPr>
        <w:t>初审</w:t>
      </w:r>
      <w:r>
        <w:rPr>
          <w:rFonts w:hint="eastAsia" w:asciiTheme="minorEastAsia" w:hAnsiTheme="minorEastAsia" w:eastAsiaTheme="minorEastAsia"/>
          <w:sz w:val="24"/>
          <w:highlight w:val="none"/>
        </w:rPr>
        <w:t>。磋商小组对供应商必须满足和实质性响应的内容进行评审，供应商未实质性响应磋商文件要求导致响应无效的，磋商小组将以书面询标的方式告知有关供应商。</w:t>
      </w:r>
    </w:p>
    <w:p w14:paraId="21FAA646">
      <w:pPr>
        <w:spacing w:line="360" w:lineRule="auto"/>
        <w:ind w:firstLine="435"/>
        <w:rPr>
          <w:rFonts w:cs="宋体"/>
          <w:sz w:val="24"/>
          <w:szCs w:val="24"/>
          <w:highlight w:val="none"/>
        </w:rPr>
      </w:pPr>
      <w:r>
        <w:rPr>
          <w:rFonts w:hint="eastAsia" w:cs="宋体"/>
          <w:sz w:val="24"/>
          <w:szCs w:val="24"/>
          <w:highlight w:val="none"/>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cs="宋体"/>
          <w:b/>
          <w:sz w:val="24"/>
          <w:szCs w:val="24"/>
          <w:highlight w:val="none"/>
        </w:rPr>
        <w:t>响应无效</w:t>
      </w:r>
      <w:r>
        <w:rPr>
          <w:rFonts w:hint="eastAsia" w:cs="宋体"/>
          <w:sz w:val="24"/>
          <w:szCs w:val="24"/>
          <w:highlight w:val="none"/>
        </w:rPr>
        <w:t>。</w:t>
      </w:r>
    </w:p>
    <w:p w14:paraId="7833CBE9">
      <w:pPr>
        <w:spacing w:line="360" w:lineRule="auto"/>
        <w:ind w:firstLine="435"/>
        <w:rPr>
          <w:rFonts w:cs="宋体"/>
          <w:sz w:val="24"/>
          <w:szCs w:val="24"/>
          <w:highlight w:val="none"/>
        </w:rPr>
      </w:pPr>
      <w:r>
        <w:rPr>
          <w:rFonts w:hint="eastAsia" w:cs="宋体"/>
          <w:sz w:val="24"/>
          <w:szCs w:val="24"/>
          <w:highlight w:val="none"/>
        </w:rPr>
        <w:t>以联合体形式参加磋商的，联合体成员存在以上不良信用记录的，联合体磋商将被认定为</w:t>
      </w:r>
      <w:r>
        <w:rPr>
          <w:rFonts w:hint="eastAsia" w:cs="宋体"/>
          <w:b/>
          <w:sz w:val="24"/>
          <w:szCs w:val="24"/>
          <w:highlight w:val="none"/>
        </w:rPr>
        <w:t>响应无效</w:t>
      </w:r>
      <w:r>
        <w:rPr>
          <w:rFonts w:hint="eastAsia" w:cs="宋体"/>
          <w:sz w:val="24"/>
          <w:szCs w:val="24"/>
          <w:highlight w:val="none"/>
        </w:rPr>
        <w:t>。</w:t>
      </w:r>
    </w:p>
    <w:p w14:paraId="27E3CAB6">
      <w:pPr>
        <w:spacing w:line="360" w:lineRule="auto"/>
        <w:ind w:firstLine="435"/>
        <w:rPr>
          <w:rFonts w:asciiTheme="minorEastAsia" w:hAnsiTheme="minorEastAsia" w:eastAsiaTheme="minorEastAsia"/>
          <w:sz w:val="24"/>
          <w:highlight w:val="none"/>
        </w:rPr>
      </w:pPr>
      <w:r>
        <w:rPr>
          <w:rFonts w:hint="eastAsia" w:cs="宋体"/>
          <w:sz w:val="24"/>
          <w:szCs w:val="24"/>
          <w:highlight w:val="none"/>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673CB53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14.3.2</w:t>
      </w:r>
      <w:r>
        <w:rPr>
          <w:rFonts w:hint="eastAsia" w:asciiTheme="minorEastAsia" w:hAnsiTheme="minorEastAsia" w:eastAsiaTheme="minorEastAsia"/>
          <w:b/>
          <w:sz w:val="24"/>
          <w:highlight w:val="none"/>
        </w:rPr>
        <w:t>磋商</w:t>
      </w:r>
      <w:r>
        <w:rPr>
          <w:rFonts w:hint="eastAsia" w:asciiTheme="minorEastAsia" w:hAnsiTheme="minorEastAsia" w:eastAsiaTheme="minorEastAsia"/>
          <w:sz w:val="24"/>
          <w:highlight w:val="none"/>
        </w:rPr>
        <w:t>。初审合格后，磋商小组将按网上加密电子响应文件提交顺序集中与单一供应商分别进行磋商，并给予所有参加磋商的供应商平等的磋商机会。</w:t>
      </w:r>
    </w:p>
    <w:p w14:paraId="42C52CC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14.3.3</w:t>
      </w:r>
      <w:r>
        <w:rPr>
          <w:rFonts w:asciiTheme="minorEastAsia" w:hAnsiTheme="minorEastAsia" w:eastAsiaTheme="minorEastAsia"/>
          <w:b/>
          <w:sz w:val="24"/>
          <w:highlight w:val="none"/>
        </w:rPr>
        <w:t>报价</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磋商结束后，磋商小组应当要求所有</w:t>
      </w:r>
      <w:r>
        <w:rPr>
          <w:rFonts w:hint="eastAsia" w:asciiTheme="minorEastAsia" w:hAnsiTheme="minorEastAsia" w:eastAsiaTheme="minorEastAsia"/>
          <w:sz w:val="24"/>
          <w:highlight w:val="none"/>
        </w:rPr>
        <w:t>实质性响应</w:t>
      </w:r>
      <w:r>
        <w:rPr>
          <w:rFonts w:asciiTheme="minorEastAsia" w:hAnsiTheme="minorEastAsia" w:eastAsiaTheme="minorEastAsia"/>
          <w:sz w:val="24"/>
          <w:highlight w:val="none"/>
        </w:rPr>
        <w:t>的供应商在规定时间内提交最后报价</w:t>
      </w:r>
      <w:r>
        <w:rPr>
          <w:rFonts w:hint="eastAsia"/>
          <w:sz w:val="24"/>
          <w:highlight w:val="none"/>
        </w:rPr>
        <w:t>。</w:t>
      </w:r>
    </w:p>
    <w:p w14:paraId="25D41157">
      <w:pPr>
        <w:spacing w:line="360" w:lineRule="auto"/>
        <w:ind w:firstLine="435"/>
        <w:rPr>
          <w:highlight w:val="none"/>
        </w:rPr>
      </w:pPr>
      <w:r>
        <w:rPr>
          <w:rFonts w:hint="eastAsia" w:asciiTheme="minorEastAsia" w:hAnsiTheme="minorEastAsia" w:eastAsiaTheme="minorEastAsia"/>
          <w:sz w:val="24"/>
          <w:highlight w:val="none"/>
        </w:rPr>
        <w:t xml:space="preserve">14.3.4 </w:t>
      </w:r>
      <w:r>
        <w:rPr>
          <w:rFonts w:hint="eastAsia" w:asciiTheme="minorEastAsia" w:hAnsiTheme="minorEastAsia" w:eastAsiaTheme="minorEastAsia"/>
          <w:b/>
          <w:bCs/>
          <w:sz w:val="24"/>
          <w:highlight w:val="none"/>
        </w:rPr>
        <w:t>异常低价响应审查。</w:t>
      </w:r>
      <w:r>
        <w:rPr>
          <w:rFonts w:hint="eastAsia"/>
          <w:sz w:val="24"/>
          <w:highlight w:val="none"/>
        </w:rPr>
        <w:t>根据《关于推进解决政府采购异常低价问题的通知》（财库〔</w:t>
      </w:r>
      <w:r>
        <w:rPr>
          <w:sz w:val="24"/>
          <w:highlight w:val="none"/>
        </w:rPr>
        <w:t>202</w:t>
      </w:r>
      <w:r>
        <w:rPr>
          <w:rFonts w:hint="eastAsia"/>
          <w:sz w:val="24"/>
          <w:highlight w:val="none"/>
        </w:rPr>
        <w:t>6</w:t>
      </w:r>
      <w:r>
        <w:rPr>
          <w:sz w:val="24"/>
          <w:highlight w:val="none"/>
        </w:rPr>
        <w:t>〕</w:t>
      </w:r>
      <w:r>
        <w:rPr>
          <w:rFonts w:hint="eastAsia"/>
          <w:sz w:val="24"/>
          <w:highlight w:val="none"/>
        </w:rPr>
        <w:t>2</w:t>
      </w:r>
      <w:r>
        <w:rPr>
          <w:sz w:val="24"/>
          <w:highlight w:val="none"/>
        </w:rPr>
        <w:t>号</w:t>
      </w:r>
      <w:r>
        <w:rPr>
          <w:rFonts w:hint="eastAsia"/>
          <w:sz w:val="24"/>
          <w:highlight w:val="none"/>
        </w:rPr>
        <w:t>），磋商小组进行异常低价响应审查。</w:t>
      </w:r>
    </w:p>
    <w:p w14:paraId="4B5EEDD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14.3.5</w:t>
      </w:r>
      <w:r>
        <w:rPr>
          <w:rFonts w:hint="eastAsia" w:asciiTheme="minorEastAsia" w:hAnsiTheme="minorEastAsia" w:eastAsiaTheme="minorEastAsia"/>
          <w:b/>
          <w:sz w:val="24"/>
          <w:highlight w:val="none"/>
        </w:rPr>
        <w:t>综合评分</w:t>
      </w:r>
      <w:r>
        <w:rPr>
          <w:rFonts w:hint="eastAsia" w:asciiTheme="minorEastAsia" w:hAnsiTheme="minorEastAsia" w:eastAsiaTheme="minorEastAsia"/>
          <w:sz w:val="24"/>
          <w:highlight w:val="none"/>
        </w:rPr>
        <w:t>。磋商小组只对通过初审、</w:t>
      </w:r>
      <w:r>
        <w:rPr>
          <w:rFonts w:hint="eastAsia"/>
          <w:sz w:val="24"/>
          <w:highlight w:val="none"/>
        </w:rPr>
        <w:t>异常低价响应审查</w:t>
      </w:r>
      <w:r>
        <w:rPr>
          <w:rFonts w:hint="eastAsia" w:asciiTheme="minorEastAsia" w:hAnsiTheme="minorEastAsia" w:eastAsiaTheme="minorEastAsia"/>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5CE36F2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14.4相关说明。</w:t>
      </w:r>
    </w:p>
    <w:p w14:paraId="287C0EC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14.4.1为保证磋商活动顺利进行，供应商可派相关技术人员进行网上答疑； </w:t>
      </w:r>
    </w:p>
    <w:p w14:paraId="16BAF7C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14.4.2磋</w:t>
      </w:r>
      <w:r>
        <w:rPr>
          <w:rFonts w:asciiTheme="minorEastAsia" w:hAnsiTheme="minorEastAsia" w:eastAsiaTheme="minorEastAsia"/>
          <w:sz w:val="24"/>
          <w:highlight w:val="none"/>
        </w:rPr>
        <w:t>商小组根据与</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磋商情况可能实质性变动</w:t>
      </w:r>
      <w:r>
        <w:rPr>
          <w:rFonts w:hint="eastAsia" w:asciiTheme="minorEastAsia" w:hAnsiTheme="minorEastAsia" w:eastAsiaTheme="minorEastAsia"/>
          <w:sz w:val="24"/>
          <w:highlight w:val="none"/>
        </w:rPr>
        <w:t>磋商文件</w:t>
      </w:r>
      <w:r>
        <w:rPr>
          <w:rFonts w:asciiTheme="minorEastAsia" w:hAnsiTheme="minorEastAsia" w:eastAsiaTheme="minorEastAsia"/>
          <w:sz w:val="24"/>
          <w:highlight w:val="none"/>
        </w:rPr>
        <w:t>的内容，包括采购需求中的技术、服务要求以及合同草案条款。磋商文件有实质性变动的，</w:t>
      </w:r>
      <w:r>
        <w:rPr>
          <w:rFonts w:hint="eastAsia" w:asciiTheme="minorEastAsia" w:hAnsiTheme="minorEastAsia" w:eastAsiaTheme="minorEastAsia"/>
          <w:sz w:val="24"/>
          <w:highlight w:val="none"/>
        </w:rPr>
        <w:t>经采购人代表确认作为磋商文件的有效组成部分，</w:t>
      </w:r>
      <w:r>
        <w:rPr>
          <w:rFonts w:asciiTheme="minorEastAsia" w:hAnsiTheme="minorEastAsia" w:eastAsiaTheme="minorEastAsia"/>
          <w:sz w:val="24"/>
          <w:highlight w:val="none"/>
        </w:rPr>
        <w:t>磋商小组</w:t>
      </w:r>
      <w:r>
        <w:rPr>
          <w:rFonts w:hint="eastAsia" w:asciiTheme="minorEastAsia" w:hAnsiTheme="minorEastAsia" w:eastAsiaTheme="minorEastAsia"/>
          <w:sz w:val="24"/>
          <w:highlight w:val="none"/>
        </w:rPr>
        <w:t>将</w:t>
      </w:r>
      <w:r>
        <w:rPr>
          <w:rFonts w:asciiTheme="minorEastAsia" w:hAnsiTheme="minorEastAsia" w:eastAsiaTheme="minorEastAsia"/>
          <w:sz w:val="24"/>
          <w:highlight w:val="none"/>
        </w:rPr>
        <w:t>以书面形式通知所有参加磋商的供应商。</w:t>
      </w:r>
    </w:p>
    <w:p w14:paraId="18FAEC4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14.4.3</w:t>
      </w:r>
      <w:r>
        <w:rPr>
          <w:rFonts w:asciiTheme="minorEastAsia" w:hAnsiTheme="minorEastAsia" w:eastAsiaTheme="minorEastAsia"/>
          <w:sz w:val="24"/>
          <w:highlight w:val="none"/>
        </w:rPr>
        <w:t>无论何种原因，即使供应商</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时携带了证书材料的原件，但响应文件中未提供与之内容完全一致的</w:t>
      </w:r>
      <w:r>
        <w:rPr>
          <w:rFonts w:hint="eastAsia" w:asciiTheme="minorEastAsia" w:hAnsiTheme="minorEastAsia" w:eastAsiaTheme="minorEastAsia"/>
          <w:sz w:val="24"/>
          <w:highlight w:val="none"/>
        </w:rPr>
        <w:t>扫描件</w:t>
      </w:r>
      <w:r>
        <w:rPr>
          <w:rFonts w:asciiTheme="minorEastAsia" w:hAnsiTheme="minorEastAsia" w:eastAsiaTheme="minorEastAsia"/>
          <w:sz w:val="24"/>
          <w:highlight w:val="none"/>
        </w:rPr>
        <w:t>的，</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小组可以视同其未提供。</w:t>
      </w:r>
    </w:p>
    <w:p w14:paraId="3202457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14.4.4磋商</w:t>
      </w:r>
      <w:r>
        <w:rPr>
          <w:rFonts w:asciiTheme="minorEastAsia" w:hAnsiTheme="minorEastAsia" w:eastAsiaTheme="minorEastAsia"/>
          <w:sz w:val="24"/>
          <w:highlight w:val="none"/>
        </w:rPr>
        <w:t>小组决定响应文件的响应性及符合性只根据响应文件本身的内容，而不寻求其他外部证据。</w:t>
      </w:r>
    </w:p>
    <w:p w14:paraId="67797CA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供应商</w:t>
      </w:r>
      <w:r>
        <w:rPr>
          <w:rFonts w:hint="eastAsia" w:asciiTheme="minorEastAsia" w:hAnsiTheme="minorEastAsia" w:eastAsiaTheme="minorEastAsia"/>
          <w:sz w:val="24"/>
          <w:highlight w:val="none"/>
        </w:rPr>
        <w:t>授权</w:t>
      </w:r>
      <w:r>
        <w:rPr>
          <w:rFonts w:asciiTheme="minorEastAsia" w:hAnsiTheme="minorEastAsia" w:eastAsiaTheme="minorEastAsia"/>
          <w:sz w:val="24"/>
          <w:highlight w:val="none"/>
        </w:rPr>
        <w:t>代表对</w:t>
      </w:r>
      <w:r>
        <w:rPr>
          <w:rFonts w:hint="eastAsia" w:asciiTheme="minorEastAsia" w:hAnsiTheme="minorEastAsia" w:eastAsiaTheme="minorEastAsia"/>
          <w:sz w:val="24"/>
          <w:highlight w:val="none"/>
        </w:rPr>
        <w:t>磋商过程</w:t>
      </w:r>
      <w:r>
        <w:rPr>
          <w:rFonts w:asciiTheme="minorEastAsia" w:hAnsiTheme="minorEastAsia" w:eastAsiaTheme="minorEastAsia"/>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sz w:val="24"/>
          <w:highlight w:val="none"/>
        </w:rPr>
        <w:t>，并说明理由。</w:t>
      </w:r>
      <w:r>
        <w:rPr>
          <w:rFonts w:asciiTheme="minorEastAsia" w:hAnsiTheme="minorEastAsia" w:eastAsiaTheme="minorEastAsia"/>
          <w:sz w:val="24"/>
          <w:highlight w:val="none"/>
        </w:rPr>
        <w:t xml:space="preserve"> </w:t>
      </w:r>
    </w:p>
    <w:p w14:paraId="3DDBC8A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.终止竞争性磋商</w:t>
      </w:r>
    </w:p>
    <w:p w14:paraId="19A6F9D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15.1出现下列情况之一时，采购人和采购代理机构有权宣布终止竞争性磋商采购，并将理由通知所有供应商：</w:t>
      </w:r>
    </w:p>
    <w:p w14:paraId="7078988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（1）有效供应商数量不足，导致本次磋商缺乏竞争的；</w:t>
      </w:r>
    </w:p>
    <w:p w14:paraId="7B1C844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（2）出现影响采购公正的违法、违规行为的；</w:t>
      </w:r>
    </w:p>
    <w:p w14:paraId="4323FD6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（3）因重大变故，采购任务取消的；</w:t>
      </w:r>
    </w:p>
    <w:p w14:paraId="11CE551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（4）政府采购法律法规规定的其他情形。</w:t>
      </w:r>
    </w:p>
    <w:p w14:paraId="11B2268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16</w:t>
      </w:r>
      <w:r>
        <w:rPr>
          <w:rFonts w:asciiTheme="minorEastAsia" w:hAnsiTheme="minorEastAsia" w:eastAsiaTheme="minorEastAsia"/>
          <w:b/>
          <w:sz w:val="24"/>
          <w:highlight w:val="none"/>
        </w:rPr>
        <w:t>.响应文件的澄清、说明或</w:t>
      </w:r>
      <w:r>
        <w:rPr>
          <w:rFonts w:hint="eastAsia" w:asciiTheme="minorEastAsia" w:hAnsiTheme="minorEastAsia" w:eastAsiaTheme="minorEastAsia"/>
          <w:b/>
          <w:sz w:val="24"/>
          <w:highlight w:val="none"/>
        </w:rPr>
        <w:t>更正</w:t>
      </w:r>
    </w:p>
    <w:p w14:paraId="01895F2D">
      <w:pPr>
        <w:spacing w:line="360" w:lineRule="auto"/>
        <w:ind w:firstLine="470" w:firstLineChars="196"/>
        <w:rPr>
          <w:sz w:val="24"/>
          <w:highlight w:val="none"/>
        </w:rPr>
      </w:pPr>
      <w:r>
        <w:rPr>
          <w:rFonts w:hint="eastAsia"/>
          <w:sz w:val="24"/>
          <w:highlight w:val="none"/>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303E701">
      <w:pPr>
        <w:spacing w:line="360" w:lineRule="auto"/>
        <w:ind w:firstLine="470" w:firstLineChars="196"/>
        <w:rPr>
          <w:sz w:val="24"/>
          <w:highlight w:val="none"/>
        </w:rPr>
      </w:pPr>
      <w:r>
        <w:rPr>
          <w:rFonts w:hint="eastAsia"/>
          <w:sz w:val="24"/>
          <w:highlight w:val="none"/>
        </w:rPr>
        <w:t>16.2磋商小组要求供应商澄清、说明或者更正响应文件应当以书面形式（询标）作出。供应商的澄清、说明或者更正应当由法定代表人或其授权代表签字或者加盖公章（电子签章）。</w:t>
      </w:r>
    </w:p>
    <w:p w14:paraId="738A5425">
      <w:pPr>
        <w:spacing w:line="360" w:lineRule="auto"/>
        <w:ind w:firstLine="435"/>
        <w:rPr>
          <w:sz w:val="24"/>
          <w:highlight w:val="none"/>
        </w:rPr>
      </w:pPr>
      <w:r>
        <w:rPr>
          <w:rFonts w:hint="eastAsia"/>
          <w:b/>
          <w:sz w:val="24"/>
          <w:highlight w:val="none"/>
        </w:rPr>
        <w:t>如有询标，授权代表（或法定代表人）可通过远程登录的方式接受网上询标，也可凭本人有效身份证明参加询标。因授权代表联系不上</w:t>
      </w:r>
      <w:r>
        <w:rPr>
          <w:rFonts w:hint="eastAsia"/>
          <w:b/>
          <w:bCs/>
          <w:sz w:val="24"/>
          <w:highlight w:val="none"/>
        </w:rPr>
        <w:t>、没有及时登录系统等情形</w:t>
      </w:r>
      <w:r>
        <w:rPr>
          <w:rFonts w:hint="eastAsia"/>
          <w:b/>
          <w:sz w:val="24"/>
          <w:highlight w:val="none"/>
        </w:rPr>
        <w:t>而无法接受磋商小组询标的，供应商自行承担相关风险。</w:t>
      </w:r>
    </w:p>
    <w:p w14:paraId="1F5264F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17</w:t>
      </w:r>
      <w:r>
        <w:rPr>
          <w:rFonts w:asciiTheme="minorEastAsia" w:hAnsiTheme="minorEastAsia" w:eastAsiaTheme="minorEastAsia"/>
          <w:b/>
          <w:sz w:val="24"/>
          <w:highlight w:val="none"/>
        </w:rPr>
        <w:t>.最后报价</w:t>
      </w:r>
    </w:p>
    <w:p w14:paraId="13672C8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17.1</w:t>
      </w:r>
      <w:r>
        <w:rPr>
          <w:rFonts w:asciiTheme="minorEastAsia" w:hAnsiTheme="minorEastAsia" w:eastAsiaTheme="minorEastAsia"/>
          <w:sz w:val="24"/>
          <w:highlight w:val="none"/>
        </w:rPr>
        <w:t>磋商并不限定只进行二轮报价，如果磋商小组认为有必要，可以要求供应商进行多轮报价。</w:t>
      </w:r>
    </w:p>
    <w:p w14:paraId="370A1F6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17.2</w:t>
      </w:r>
      <w:r>
        <w:rPr>
          <w:rFonts w:asciiTheme="minorEastAsia" w:hAnsiTheme="minorEastAsia" w:eastAsiaTheme="minorEastAsia"/>
          <w:sz w:val="24"/>
          <w:highlight w:val="none"/>
        </w:rPr>
        <w:t>在磋商内容不做实质性变更或重大调整的前提下，供应商下轮报价不得高于上一轮报价</w:t>
      </w:r>
      <w:r>
        <w:rPr>
          <w:rFonts w:hint="eastAsia" w:asciiTheme="minorEastAsia" w:hAnsiTheme="minorEastAsia" w:eastAsiaTheme="minorEastAsia"/>
          <w:sz w:val="24"/>
          <w:highlight w:val="none"/>
        </w:rPr>
        <w:t>。</w:t>
      </w:r>
    </w:p>
    <w:p w14:paraId="14289D8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17.3</w:t>
      </w:r>
      <w:r>
        <w:rPr>
          <w:rFonts w:asciiTheme="minorEastAsia" w:hAnsiTheme="minorEastAsia" w:eastAsiaTheme="minorEastAsia"/>
          <w:sz w:val="24"/>
          <w:highlight w:val="none"/>
        </w:rPr>
        <w:t>最后报价是供应商响应文件的有效组成部分，最后报价也是签订合同的依据。</w:t>
      </w:r>
    </w:p>
    <w:p w14:paraId="106721F3">
      <w:pPr>
        <w:spacing w:line="360" w:lineRule="auto"/>
        <w:ind w:firstLine="435"/>
        <w:rPr>
          <w:rFonts w:asciiTheme="majorEastAsia" w:hAnsiTheme="majorEastAsia" w:eastAsiaTheme="majorEastAsia"/>
          <w:sz w:val="24"/>
          <w:highlight w:val="none"/>
        </w:rPr>
      </w:pPr>
      <w:bookmarkStart w:id="31" w:name="_Hlk60607655"/>
      <w:r>
        <w:rPr>
          <w:rFonts w:hint="eastAsia" w:asciiTheme="majorEastAsia" w:hAnsiTheme="majorEastAsia" w:eastAsiaTheme="majorEastAsia"/>
          <w:sz w:val="24"/>
          <w:highlight w:val="none"/>
        </w:rPr>
        <w:t>17.</w:t>
      </w:r>
      <w:r>
        <w:rPr>
          <w:rFonts w:asciiTheme="majorEastAsia" w:hAnsiTheme="majorEastAsia" w:eastAsiaTheme="majorEastAsia"/>
          <w:sz w:val="24"/>
          <w:highlight w:val="none"/>
        </w:rPr>
        <w:t>4</w:t>
      </w:r>
      <w:r>
        <w:rPr>
          <w:rFonts w:hint="eastAsia" w:asciiTheme="majorEastAsia" w:hAnsiTheme="majorEastAsia" w:eastAsiaTheme="majorEastAsia"/>
          <w:sz w:val="24"/>
          <w:highlight w:val="none"/>
        </w:rPr>
        <w:t>根据《政府采购促进中小企业发展管理办法》（财库〔</w:t>
      </w:r>
      <w:r>
        <w:rPr>
          <w:rFonts w:asciiTheme="majorEastAsia" w:hAnsiTheme="majorEastAsia" w:eastAsiaTheme="majorEastAsia"/>
          <w:sz w:val="24"/>
          <w:highlight w:val="none"/>
        </w:rPr>
        <w:t>2020〕46号</w:t>
      </w:r>
      <w:r>
        <w:rPr>
          <w:rFonts w:hint="eastAsia" w:asciiTheme="majorEastAsia" w:hAnsiTheme="majorEastAsia" w:eastAsiaTheme="majorEastAsia"/>
          <w:sz w:val="24"/>
          <w:highlight w:val="none"/>
        </w:rPr>
        <w:t>）、《三部门联合发布关于促进残疾人就业政府采购政策的通知》（财库〔2017〕141号）和《</w:t>
      </w:r>
      <w:r>
        <w:rPr>
          <w:rFonts w:asciiTheme="majorEastAsia" w:hAnsiTheme="majorEastAsia" w:eastAsiaTheme="majorEastAsia"/>
          <w:sz w:val="24"/>
          <w:highlight w:val="none"/>
        </w:rPr>
        <w:t>财政部司法部关于政府采购支持监狱企业发展有关问题的通知</w:t>
      </w:r>
      <w:r>
        <w:rPr>
          <w:rFonts w:hint="eastAsia" w:asciiTheme="majorEastAsia" w:hAnsiTheme="majorEastAsia" w:eastAsiaTheme="majorEastAsia"/>
          <w:sz w:val="24"/>
          <w:highlight w:val="none"/>
        </w:rPr>
        <w:t>》（财库〔2014〕68号）的规定，对满足价格扣除条件且在响应文件中提交了</w:t>
      </w:r>
      <w:r>
        <w:rPr>
          <w:rFonts w:asciiTheme="majorEastAsia" w:hAnsiTheme="majorEastAsia" w:eastAsiaTheme="majorEastAsia"/>
          <w:sz w:val="24"/>
          <w:highlight w:val="none"/>
        </w:rPr>
        <w:t>《中小企业声明函》</w:t>
      </w:r>
      <w:r>
        <w:rPr>
          <w:rFonts w:hint="eastAsia" w:asciiTheme="majorEastAsia" w:hAnsiTheme="majorEastAsia" w:eastAsiaTheme="majorEastAsia"/>
          <w:sz w:val="24"/>
          <w:highlight w:val="none"/>
        </w:rPr>
        <w:t>、</w:t>
      </w:r>
      <w:r>
        <w:rPr>
          <w:rFonts w:asciiTheme="majorEastAsia" w:hAnsiTheme="majorEastAsia" w:eastAsiaTheme="majorEastAsia"/>
          <w:sz w:val="24"/>
          <w:highlight w:val="none"/>
        </w:rPr>
        <w:t>《残疾人福利性单位声明函》</w:t>
      </w:r>
      <w:r>
        <w:rPr>
          <w:rFonts w:hint="eastAsia" w:asciiTheme="majorEastAsia" w:hAnsiTheme="majorEastAsia" w:eastAsiaTheme="majorEastAsia"/>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sz w:val="24"/>
          <w:highlight w:val="none"/>
          <w:u w:val="single"/>
        </w:rPr>
        <w:t>供应商须知前附表</w:t>
      </w:r>
      <w:r>
        <w:rPr>
          <w:rFonts w:hint="eastAsia" w:asciiTheme="majorEastAsia" w:hAnsiTheme="majorEastAsia" w:eastAsiaTheme="majorEastAsia"/>
          <w:sz w:val="24"/>
          <w:highlight w:val="none"/>
        </w:rPr>
        <w:t>中规定的标准扣除后的价格参与评审。对于同时属于小微企业、监狱企业或残疾人福利性单位的，不重复进行最后报价扣除。</w:t>
      </w:r>
    </w:p>
    <w:p w14:paraId="74335F8C">
      <w:pPr>
        <w:spacing w:line="360" w:lineRule="auto"/>
        <w:ind w:firstLine="435"/>
        <w:rPr>
          <w:rFonts w:asciiTheme="majorEastAsia" w:hAnsiTheme="majorEastAsia" w:eastAsiaTheme="majorEastAsia"/>
          <w:sz w:val="24"/>
          <w:highlight w:val="none"/>
        </w:rPr>
      </w:pPr>
      <w:r>
        <w:rPr>
          <w:rFonts w:hint="eastAsia" w:asciiTheme="majorEastAsia" w:hAnsiTheme="majorEastAsia" w:eastAsiaTheme="majorEastAsia"/>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sz w:val="24"/>
          <w:highlight w:val="none"/>
        </w:rPr>
        <w:t>30%以上的，可给予联合体或者大中型企业的</w:t>
      </w:r>
      <w:r>
        <w:rPr>
          <w:rFonts w:hint="eastAsia" w:asciiTheme="majorEastAsia" w:hAnsiTheme="majorEastAsia" w:eastAsiaTheme="majorEastAsia"/>
          <w:sz w:val="24"/>
          <w:highlight w:val="none"/>
        </w:rPr>
        <w:t>最后报价按照</w:t>
      </w:r>
      <w:r>
        <w:rPr>
          <w:rFonts w:hint="eastAsia" w:asciiTheme="majorEastAsia" w:hAnsiTheme="majorEastAsia" w:eastAsiaTheme="majorEastAsia"/>
          <w:sz w:val="24"/>
          <w:highlight w:val="none"/>
          <w:u w:val="single"/>
        </w:rPr>
        <w:t>供应商须知前附表</w:t>
      </w:r>
      <w:r>
        <w:rPr>
          <w:rFonts w:hint="eastAsia" w:asciiTheme="majorEastAsia" w:hAnsiTheme="majorEastAsia" w:eastAsiaTheme="majorEastAsia"/>
          <w:sz w:val="24"/>
          <w:highlight w:val="none"/>
        </w:rPr>
        <w:t>中规定的标准扣除后的价格参与评审</w:t>
      </w:r>
      <w:r>
        <w:rPr>
          <w:rFonts w:asciiTheme="majorEastAsia" w:hAnsiTheme="majorEastAsia" w:eastAsiaTheme="majorEastAsia"/>
          <w:sz w:val="24"/>
          <w:highlight w:val="none"/>
        </w:rPr>
        <w:t>。</w:t>
      </w:r>
      <w:r>
        <w:rPr>
          <w:rFonts w:hint="eastAsia" w:asciiTheme="majorEastAsia" w:hAnsiTheme="majorEastAsia" w:eastAsiaTheme="majorEastAsia"/>
          <w:sz w:val="24"/>
          <w:highlight w:val="none"/>
        </w:rPr>
        <w:t>组成联合体或者接受分包的小微企业与联合体内其他企业、分包企业之间存在直接控股、管理关系的，不享受价格扣除优惠政策。</w:t>
      </w:r>
    </w:p>
    <w:p w14:paraId="6A410969">
      <w:pPr>
        <w:spacing w:line="360" w:lineRule="auto"/>
        <w:ind w:firstLine="435"/>
        <w:rPr>
          <w:rFonts w:asciiTheme="majorEastAsia" w:hAnsiTheme="majorEastAsia" w:eastAsiaTheme="majorEastAsia"/>
          <w:sz w:val="24"/>
          <w:highlight w:val="none"/>
        </w:rPr>
      </w:pPr>
      <w:r>
        <w:rPr>
          <w:rFonts w:hint="eastAsia" w:asciiTheme="majorEastAsia" w:hAnsiTheme="majorEastAsia" w:eastAsiaTheme="majorEastAsia"/>
          <w:sz w:val="24"/>
          <w:highlight w:val="none"/>
        </w:rPr>
        <w:t>以联合体形式参加政府采购活动，联合体各方均为中小企业的，联合体视同中小企业。其中，联合体各方均为小微企业的，联合体视同小微企业。</w:t>
      </w:r>
      <w:bookmarkEnd w:id="31"/>
    </w:p>
    <w:p w14:paraId="2C9C47D3">
      <w:pPr>
        <w:spacing w:line="360" w:lineRule="auto"/>
        <w:ind w:firstLine="435"/>
        <w:rPr>
          <w:rFonts w:cs="@仿宋_GB2312"/>
          <w:kern w:val="2"/>
          <w:sz w:val="24"/>
          <w:szCs w:val="22"/>
          <w:highlight w:val="none"/>
        </w:rPr>
      </w:pPr>
      <w:r>
        <w:rPr>
          <w:rFonts w:hint="eastAsia" w:cs="@仿宋_GB2312"/>
          <w:kern w:val="2"/>
          <w:sz w:val="24"/>
          <w:szCs w:val="22"/>
          <w:highlight w:val="none"/>
        </w:rPr>
        <w:t>17.5供应商应当按照企业定额或项目所在地最新建设工程计价依据以及材料市场价格信息等，结合自身实力、施工经验、现场环境以及磋商文件的要求自主报价。</w:t>
      </w:r>
    </w:p>
    <w:p w14:paraId="30A15903">
      <w:pPr>
        <w:spacing w:line="360" w:lineRule="auto"/>
        <w:ind w:firstLine="435"/>
        <w:rPr>
          <w:rFonts w:cs="@仿宋_GB2312" w:asciiTheme="minorEastAsia" w:hAnsiTheme="minorEastAsia" w:eastAsiaTheme="minorEastAsia"/>
          <w:kern w:val="2"/>
          <w:sz w:val="24"/>
          <w:highlight w:val="none"/>
        </w:rPr>
      </w:pPr>
      <w:r>
        <w:rPr>
          <w:rFonts w:hint="eastAsia" w:cs="@仿宋_GB2312" w:asciiTheme="minorEastAsia" w:hAnsiTheme="minorEastAsia" w:eastAsiaTheme="minorEastAsia"/>
          <w:kern w:val="2"/>
          <w:sz w:val="24"/>
          <w:highlight w:val="none"/>
        </w:rPr>
        <w:t>17.6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3989A681">
      <w:pPr>
        <w:spacing w:line="360" w:lineRule="auto"/>
        <w:ind w:firstLine="435"/>
        <w:rPr>
          <w:rFonts w:cs="@仿宋_GB2312" w:asciiTheme="minorEastAsia" w:hAnsiTheme="minorEastAsia" w:eastAsiaTheme="minorEastAsia"/>
          <w:kern w:val="2"/>
          <w:sz w:val="24"/>
          <w:highlight w:val="none"/>
        </w:rPr>
      </w:pPr>
      <w:r>
        <w:rPr>
          <w:rFonts w:hint="eastAsia" w:cs="@仿宋_GB2312" w:asciiTheme="minorEastAsia" w:hAnsiTheme="minorEastAsia" w:eastAsiaTheme="minorEastAsia"/>
          <w:kern w:val="2"/>
          <w:sz w:val="24"/>
          <w:highlight w:val="none"/>
        </w:rPr>
        <w:t>17</w:t>
      </w:r>
      <w:r>
        <w:rPr>
          <w:rFonts w:cs="@仿宋_GB2312" w:asciiTheme="minorEastAsia" w:hAnsiTheme="minorEastAsia" w:eastAsiaTheme="minorEastAsia"/>
          <w:kern w:val="2"/>
          <w:sz w:val="24"/>
          <w:highlight w:val="none"/>
        </w:rPr>
        <w:t>.</w:t>
      </w:r>
      <w:r>
        <w:rPr>
          <w:rFonts w:hint="eastAsia" w:cs="@仿宋_GB2312" w:asciiTheme="minorEastAsia" w:hAnsiTheme="minorEastAsia" w:eastAsiaTheme="minorEastAsia"/>
          <w:kern w:val="2"/>
          <w:sz w:val="24"/>
          <w:highlight w:val="none"/>
        </w:rPr>
        <w:t>7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2C1364AA">
      <w:pPr>
        <w:spacing w:line="360" w:lineRule="auto"/>
        <w:ind w:firstLine="435"/>
        <w:rPr>
          <w:rFonts w:cs="@仿宋_GB2312" w:asciiTheme="minorEastAsia" w:hAnsiTheme="minorEastAsia" w:eastAsiaTheme="minorEastAsia"/>
          <w:kern w:val="2"/>
          <w:sz w:val="24"/>
          <w:highlight w:val="none"/>
        </w:rPr>
      </w:pPr>
      <w:r>
        <w:rPr>
          <w:rFonts w:hint="eastAsia" w:cs="@仿宋_GB2312" w:asciiTheme="minorEastAsia" w:hAnsiTheme="minorEastAsia" w:eastAsiaTheme="minorEastAsia"/>
          <w:kern w:val="2"/>
          <w:sz w:val="24"/>
          <w:highlight w:val="none"/>
        </w:rPr>
        <w:t>17.8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490D4562">
      <w:pPr>
        <w:spacing w:line="360" w:lineRule="auto"/>
        <w:ind w:firstLine="435"/>
        <w:rPr>
          <w:rFonts w:cs="@仿宋_GB2312" w:asciiTheme="minorEastAsia" w:hAnsiTheme="minorEastAsia" w:eastAsiaTheme="minorEastAsia"/>
          <w:kern w:val="2"/>
          <w:sz w:val="24"/>
          <w:highlight w:val="none"/>
        </w:rPr>
      </w:pPr>
      <w:r>
        <w:rPr>
          <w:rFonts w:hint="eastAsia" w:cs="@仿宋_GB2312" w:asciiTheme="minorEastAsia" w:hAnsiTheme="minorEastAsia" w:eastAsiaTheme="minorEastAsia"/>
          <w:kern w:val="2"/>
          <w:sz w:val="24"/>
          <w:highlight w:val="none"/>
        </w:rPr>
        <w:t>17.9工程造价的确定与控制</w:t>
      </w:r>
    </w:p>
    <w:p w14:paraId="15BD2D4A">
      <w:pPr>
        <w:spacing w:line="360" w:lineRule="auto"/>
        <w:ind w:firstLine="435"/>
        <w:rPr>
          <w:rFonts w:cs="@仿宋_GB2312" w:asciiTheme="minorEastAsia" w:hAnsiTheme="minorEastAsia" w:eastAsiaTheme="minorEastAsia"/>
          <w:kern w:val="2"/>
          <w:sz w:val="24"/>
          <w:highlight w:val="none"/>
        </w:rPr>
      </w:pPr>
      <w:r>
        <w:rPr>
          <w:rFonts w:hint="eastAsia" w:cs="@仿宋_GB2312" w:asciiTheme="minorEastAsia" w:hAnsiTheme="minorEastAsia" w:eastAsiaTheme="minorEastAsia"/>
          <w:kern w:val="2"/>
          <w:sz w:val="24"/>
          <w:highlight w:val="none"/>
        </w:rPr>
        <w:t>17.9.1本工程确定成交供应商后，工程总造价在磋商范围内包定，除经批准的设计变更、经济签证外，其它工程造价增减均不予签证计价。</w:t>
      </w:r>
    </w:p>
    <w:p w14:paraId="4E9906E6">
      <w:pPr>
        <w:spacing w:line="360" w:lineRule="auto"/>
        <w:ind w:firstLine="435"/>
        <w:rPr>
          <w:rFonts w:cs="@仿宋_GB2312" w:asciiTheme="minorEastAsia" w:hAnsiTheme="minorEastAsia" w:eastAsiaTheme="minorEastAsia"/>
          <w:kern w:val="2"/>
          <w:sz w:val="24"/>
          <w:highlight w:val="none"/>
        </w:rPr>
      </w:pPr>
      <w:r>
        <w:rPr>
          <w:rFonts w:hint="eastAsia" w:cs="@仿宋_GB2312" w:asciiTheme="minorEastAsia" w:hAnsiTheme="minorEastAsia" w:eastAsiaTheme="minorEastAsia"/>
          <w:kern w:val="2"/>
          <w:sz w:val="24"/>
          <w:highlight w:val="none"/>
        </w:rPr>
        <w:t>17.9.2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0BDB76C6">
      <w:pPr>
        <w:spacing w:line="360" w:lineRule="auto"/>
        <w:ind w:firstLine="435"/>
        <w:rPr>
          <w:rFonts w:cs="@仿宋_GB2312" w:asciiTheme="minorEastAsia" w:hAnsiTheme="minorEastAsia" w:eastAsiaTheme="minorEastAsia"/>
          <w:kern w:val="2"/>
          <w:sz w:val="24"/>
          <w:highlight w:val="none"/>
        </w:rPr>
      </w:pPr>
      <w:r>
        <w:rPr>
          <w:rFonts w:hint="eastAsia" w:cs="@仿宋_GB2312" w:asciiTheme="minorEastAsia" w:hAnsiTheme="minorEastAsia" w:eastAsiaTheme="minorEastAsia"/>
          <w:kern w:val="2"/>
          <w:sz w:val="24"/>
          <w:highlight w:val="none"/>
        </w:rPr>
        <w:t>17.9</w:t>
      </w:r>
      <w:r>
        <w:rPr>
          <w:rFonts w:cs="@仿宋_GB2312" w:asciiTheme="minorEastAsia" w:hAnsiTheme="minorEastAsia" w:eastAsiaTheme="minorEastAsia"/>
          <w:kern w:val="2"/>
          <w:sz w:val="24"/>
          <w:highlight w:val="none"/>
        </w:rPr>
        <w:t>.</w:t>
      </w:r>
      <w:r>
        <w:rPr>
          <w:rFonts w:hint="eastAsia" w:cs="@仿宋_GB2312" w:asciiTheme="minorEastAsia" w:hAnsiTheme="minorEastAsia" w:eastAsiaTheme="minorEastAsia"/>
          <w:kern w:val="2"/>
          <w:sz w:val="24"/>
          <w:highlight w:val="none"/>
        </w:rPr>
        <w:t>3</w:t>
      </w:r>
      <w:r>
        <w:rPr>
          <w:rFonts w:hint="eastAsia" w:cs="宋体"/>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055A4751">
      <w:pPr>
        <w:spacing w:line="360" w:lineRule="auto"/>
        <w:ind w:firstLine="435"/>
        <w:rPr>
          <w:rFonts w:cs="@仿宋_GB2312" w:asciiTheme="minorEastAsia" w:hAnsiTheme="minorEastAsia" w:eastAsiaTheme="minorEastAsia"/>
          <w:kern w:val="2"/>
          <w:sz w:val="24"/>
          <w:highlight w:val="none"/>
        </w:rPr>
      </w:pPr>
      <w:r>
        <w:rPr>
          <w:rFonts w:hint="eastAsia" w:cs="@仿宋_GB2312" w:asciiTheme="minorEastAsia" w:hAnsiTheme="minorEastAsia" w:eastAsiaTheme="minorEastAsia"/>
          <w:kern w:val="2"/>
          <w:sz w:val="24"/>
          <w:highlight w:val="none"/>
        </w:rPr>
        <w:t>17.9</w:t>
      </w:r>
      <w:r>
        <w:rPr>
          <w:rFonts w:cs="@仿宋_GB2312" w:asciiTheme="minorEastAsia" w:hAnsiTheme="minorEastAsia" w:eastAsiaTheme="minorEastAsia"/>
          <w:kern w:val="2"/>
          <w:sz w:val="24"/>
          <w:highlight w:val="none"/>
        </w:rPr>
        <w:t>.</w:t>
      </w:r>
      <w:r>
        <w:rPr>
          <w:rFonts w:hint="eastAsia" w:cs="@仿宋_GB2312" w:asciiTheme="minorEastAsia" w:hAnsiTheme="minorEastAsia" w:eastAsiaTheme="minorEastAsia"/>
          <w:kern w:val="2"/>
          <w:sz w:val="24"/>
          <w:highlight w:val="none"/>
        </w:rPr>
        <w:t>4供应商在规定时间内未对工程量清单提出疑问的，成交后，采购人不再对工程量清单的项目和数量进行校对调整。供应商必须按其报价完成竞争性磋商文件规定范围内的设计图纸规定的所有工程项目。</w:t>
      </w:r>
    </w:p>
    <w:p w14:paraId="134EFD77">
      <w:pPr>
        <w:spacing w:line="360" w:lineRule="auto"/>
        <w:ind w:firstLine="435"/>
        <w:rPr>
          <w:rFonts w:cs="@仿宋_GB2312" w:asciiTheme="minorEastAsia" w:hAnsiTheme="minorEastAsia" w:eastAsiaTheme="minorEastAsia"/>
          <w:kern w:val="2"/>
          <w:sz w:val="24"/>
          <w:highlight w:val="none"/>
        </w:rPr>
      </w:pPr>
      <w:r>
        <w:rPr>
          <w:rFonts w:hint="eastAsia" w:cs="@仿宋_GB2312" w:asciiTheme="minorEastAsia" w:hAnsiTheme="minorEastAsia" w:eastAsiaTheme="minorEastAsia"/>
          <w:kern w:val="2"/>
          <w:sz w:val="24"/>
          <w:highlight w:val="none"/>
        </w:rPr>
        <w:t>17.10成交供应商在工程量清单报价书中所报的综合单价一律不予调整。</w:t>
      </w:r>
    </w:p>
    <w:p w14:paraId="2DF3738F">
      <w:pPr>
        <w:spacing w:line="360" w:lineRule="auto"/>
        <w:ind w:firstLine="435"/>
        <w:rPr>
          <w:rFonts w:asciiTheme="minorEastAsia" w:hAnsiTheme="minorEastAsia" w:eastAsiaTheme="minorEastAsia"/>
          <w:sz w:val="24"/>
          <w:highlight w:val="none"/>
        </w:rPr>
      </w:pPr>
      <w:r>
        <w:rPr>
          <w:rFonts w:hint="eastAsia" w:cs="@仿宋_GB2312" w:asciiTheme="minorEastAsia" w:hAnsiTheme="minorEastAsia" w:eastAsiaTheme="minorEastAsia"/>
          <w:kern w:val="2"/>
          <w:sz w:val="24"/>
          <w:highlight w:val="none"/>
        </w:rPr>
        <w:t>17.11本工程不接受恶意不平衡报价，不保证最低价成交。</w:t>
      </w:r>
    </w:p>
    <w:p w14:paraId="6155B335">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成交候选供应商的推荐原则及标准</w:t>
      </w:r>
    </w:p>
    <w:p w14:paraId="64EEDBF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磋商小组</w:t>
      </w:r>
      <w:r>
        <w:rPr>
          <w:rFonts w:asciiTheme="minorEastAsia" w:hAnsiTheme="minorEastAsia" w:eastAsiaTheme="minorEastAsia"/>
          <w:sz w:val="24"/>
          <w:highlight w:val="none"/>
        </w:rPr>
        <w:t>依据本项目</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文件所约定的</w:t>
      </w:r>
      <w:r>
        <w:rPr>
          <w:rFonts w:hint="eastAsia" w:asciiTheme="minorEastAsia" w:hAnsiTheme="minorEastAsia" w:eastAsiaTheme="minorEastAsia"/>
          <w:sz w:val="24"/>
          <w:highlight w:val="none"/>
        </w:rPr>
        <w:t>评审</w:t>
      </w:r>
      <w:r>
        <w:rPr>
          <w:rFonts w:asciiTheme="minorEastAsia" w:hAnsiTheme="minorEastAsia" w:eastAsiaTheme="minorEastAsia"/>
          <w:sz w:val="24"/>
          <w:highlight w:val="none"/>
        </w:rPr>
        <w:t>方法</w:t>
      </w:r>
      <w:r>
        <w:rPr>
          <w:rFonts w:hint="eastAsia" w:asciiTheme="minorEastAsia" w:hAnsiTheme="minorEastAsia" w:eastAsiaTheme="minorEastAsia"/>
          <w:sz w:val="24"/>
          <w:highlight w:val="none"/>
        </w:rPr>
        <w:t>和标准</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3EA73E1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确定成交候选供应商和成交供应商</w:t>
      </w:r>
    </w:p>
    <w:p w14:paraId="38535456">
      <w:pPr>
        <w:spacing w:line="360" w:lineRule="auto"/>
        <w:ind w:firstLine="470" w:firstLineChars="196"/>
        <w:rPr>
          <w:sz w:val="24"/>
          <w:highlight w:val="none"/>
        </w:rPr>
      </w:pPr>
      <w:r>
        <w:rPr>
          <w:rFonts w:hint="eastAsia"/>
          <w:sz w:val="24"/>
          <w:highlight w:val="none"/>
        </w:rPr>
        <w:t>19.1磋商小组根据综合评分的结果和</w:t>
      </w:r>
      <w:r>
        <w:rPr>
          <w:rFonts w:hint="eastAsia" w:asciiTheme="minorEastAsia" w:hAnsiTheme="minorEastAsia" w:eastAsiaTheme="minorEastAsia"/>
          <w:sz w:val="24"/>
          <w:highlight w:val="none"/>
          <w:u w:val="single"/>
        </w:rPr>
        <w:t>供应商</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w:t>
      </w:r>
      <w:r>
        <w:rPr>
          <w:rFonts w:hint="eastAsia"/>
          <w:sz w:val="24"/>
          <w:highlight w:val="none"/>
        </w:rPr>
        <w:t>确定成交候选供应商，并标明排列顺序。</w:t>
      </w:r>
      <w:r>
        <w:rPr>
          <w:rFonts w:hint="eastAsia" w:asciiTheme="minorEastAsia" w:hAnsiTheme="minorEastAsia" w:eastAsiaTheme="minorEastAsia"/>
          <w:sz w:val="24"/>
          <w:highlight w:val="none"/>
        </w:rPr>
        <w:t>按</w:t>
      </w:r>
      <w:r>
        <w:rPr>
          <w:rFonts w:hint="eastAsia" w:asciiTheme="minorEastAsia" w:hAnsiTheme="minorEastAsia" w:eastAsiaTheme="minorEastAsia"/>
          <w:sz w:val="24"/>
          <w:highlight w:val="none"/>
          <w:u w:val="single"/>
        </w:rPr>
        <w:t>供应商</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w:t>
      </w:r>
      <w:r>
        <w:rPr>
          <w:rFonts w:hint="eastAsia" w:asciiTheme="minorEastAsia" w:hAnsiTheme="minorEastAsia" w:eastAsiaTheme="minorEastAsia"/>
          <w:sz w:val="24"/>
          <w:highlight w:val="none"/>
        </w:rPr>
        <w:t>磋商小组</w:t>
      </w:r>
      <w:r>
        <w:rPr>
          <w:rFonts w:asciiTheme="minorEastAsia" w:hAnsiTheme="minorEastAsia" w:eastAsiaTheme="minorEastAsia"/>
          <w:sz w:val="24"/>
          <w:highlight w:val="none"/>
        </w:rPr>
        <w:t>或采购人确定</w:t>
      </w:r>
      <w:r>
        <w:rPr>
          <w:rFonts w:hint="eastAsia" w:asciiTheme="minorEastAsia" w:hAnsiTheme="minorEastAsia" w:eastAsiaTheme="minorEastAsia"/>
          <w:sz w:val="24"/>
          <w:highlight w:val="none"/>
        </w:rPr>
        <w:t>成交供应商</w:t>
      </w:r>
      <w:r>
        <w:rPr>
          <w:rFonts w:asciiTheme="minorEastAsia" w:hAnsiTheme="minorEastAsia" w:eastAsiaTheme="minorEastAsia"/>
          <w:sz w:val="24"/>
          <w:highlight w:val="none"/>
        </w:rPr>
        <w:t>。</w:t>
      </w:r>
    </w:p>
    <w:p w14:paraId="048290C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.编写评审报告</w:t>
      </w:r>
    </w:p>
    <w:p w14:paraId="366DE09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7D5EADD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2B8A6E0B">
      <w:pPr>
        <w:spacing w:line="360" w:lineRule="auto"/>
        <w:ind w:firstLine="435"/>
        <w:rPr>
          <w:sz w:val="24"/>
          <w:highlight w:val="none"/>
        </w:rPr>
      </w:pPr>
      <w:r>
        <w:rPr>
          <w:sz w:val="24"/>
          <w:highlight w:val="none"/>
        </w:rPr>
        <w:t>2</w:t>
      </w:r>
      <w:r>
        <w:rPr>
          <w:rFonts w:hint="eastAsia"/>
          <w:sz w:val="24"/>
          <w:highlight w:val="none"/>
        </w:rPr>
        <w:t>1.1评审将在严格保密的情况下进行。</w:t>
      </w:r>
    </w:p>
    <w:p w14:paraId="5C75A7DD">
      <w:pPr>
        <w:spacing w:line="360" w:lineRule="auto"/>
        <w:ind w:firstLine="435"/>
        <w:rPr>
          <w:sz w:val="24"/>
          <w:highlight w:val="none"/>
        </w:rPr>
      </w:pPr>
      <w:r>
        <w:rPr>
          <w:sz w:val="24"/>
          <w:highlight w:val="none"/>
        </w:rPr>
        <w:t>2</w:t>
      </w:r>
      <w:r>
        <w:rPr>
          <w:rFonts w:hint="eastAsia"/>
          <w:sz w:val="24"/>
          <w:highlight w:val="none"/>
        </w:rPr>
        <w:t>1.2有关人员</w:t>
      </w:r>
      <w:r>
        <w:rPr>
          <w:sz w:val="24"/>
          <w:highlight w:val="none"/>
        </w:rPr>
        <w:t>应当</w:t>
      </w:r>
      <w:r>
        <w:rPr>
          <w:rFonts w:hint="eastAsia"/>
          <w:sz w:val="24"/>
          <w:highlight w:val="none"/>
        </w:rPr>
        <w:t>遵</w:t>
      </w:r>
      <w:r>
        <w:rPr>
          <w:sz w:val="24"/>
          <w:highlight w:val="none"/>
        </w:rPr>
        <w:t>守</w:t>
      </w:r>
      <w:r>
        <w:rPr>
          <w:rFonts w:hint="eastAsia"/>
          <w:sz w:val="24"/>
          <w:highlight w:val="none"/>
        </w:rPr>
        <w:t>评审</w:t>
      </w:r>
      <w:r>
        <w:rPr>
          <w:sz w:val="24"/>
          <w:highlight w:val="none"/>
        </w:rPr>
        <w:t>工作纪律，不得</w:t>
      </w:r>
      <w:r>
        <w:rPr>
          <w:rFonts w:hint="eastAsia"/>
          <w:sz w:val="24"/>
          <w:highlight w:val="none"/>
        </w:rPr>
        <w:t>泄露评审文件</w:t>
      </w:r>
      <w:r>
        <w:rPr>
          <w:sz w:val="24"/>
          <w:highlight w:val="none"/>
        </w:rPr>
        <w:t>、</w:t>
      </w:r>
      <w:r>
        <w:rPr>
          <w:rFonts w:hint="eastAsia"/>
          <w:sz w:val="24"/>
          <w:highlight w:val="none"/>
        </w:rPr>
        <w:t>评审</w:t>
      </w:r>
      <w:r>
        <w:rPr>
          <w:sz w:val="24"/>
          <w:highlight w:val="none"/>
        </w:rPr>
        <w:t>情况和</w:t>
      </w:r>
      <w:r>
        <w:rPr>
          <w:rFonts w:hint="eastAsia"/>
          <w:sz w:val="24"/>
          <w:highlight w:val="none"/>
        </w:rPr>
        <w:t>评审</w:t>
      </w:r>
      <w:r>
        <w:rPr>
          <w:sz w:val="24"/>
          <w:highlight w:val="none"/>
        </w:rPr>
        <w:t>中获悉的</w:t>
      </w:r>
      <w:r>
        <w:rPr>
          <w:rFonts w:hint="eastAsia"/>
          <w:sz w:val="24"/>
          <w:highlight w:val="none"/>
        </w:rPr>
        <w:t>国家秘密、</w:t>
      </w:r>
      <w:r>
        <w:rPr>
          <w:sz w:val="24"/>
          <w:highlight w:val="none"/>
        </w:rPr>
        <w:t>商业秘密。</w:t>
      </w:r>
    </w:p>
    <w:p w14:paraId="3BB55C04">
      <w:pPr>
        <w:spacing w:line="360" w:lineRule="auto"/>
        <w:ind w:firstLine="437"/>
        <w:outlineLvl w:val="2"/>
        <w:rPr>
          <w:rFonts w:asciiTheme="minorEastAsia" w:hAnsiTheme="minorEastAsia" w:eastAsiaTheme="minorEastAsia"/>
          <w:b/>
          <w:sz w:val="24"/>
          <w:highlight w:val="none"/>
        </w:rPr>
      </w:pPr>
      <w:r>
        <w:rPr>
          <w:rFonts w:asciiTheme="minorEastAsia" w:hAnsiTheme="minorEastAsia" w:eastAsiaTheme="minorEastAsia"/>
          <w:b/>
          <w:sz w:val="24"/>
          <w:highlight w:val="none"/>
        </w:rPr>
        <w:t>2</w:t>
      </w:r>
      <w:r>
        <w:rPr>
          <w:rFonts w:hint="eastAsia" w:asciiTheme="minorEastAsia" w:hAnsiTheme="minorEastAsia" w:eastAsiaTheme="minorEastAsia"/>
          <w:b/>
          <w:sz w:val="24"/>
          <w:highlight w:val="none"/>
        </w:rPr>
        <w:t>2</w:t>
      </w:r>
      <w:r>
        <w:rPr>
          <w:rFonts w:asciiTheme="minorEastAsia" w:hAnsiTheme="minorEastAsia" w:eastAsiaTheme="minorEastAsia"/>
          <w:b/>
          <w:sz w:val="24"/>
          <w:highlight w:val="none"/>
        </w:rPr>
        <w:t>.成交结果公告</w:t>
      </w:r>
    </w:p>
    <w:p w14:paraId="54D3548C">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.1为体现“公开、公平、公正”的原则，磋商结束后，</w:t>
      </w:r>
      <w:r>
        <w:rPr>
          <w:rFonts w:hint="eastAsia" w:asciiTheme="minorEastAsia" w:hAnsiTheme="minorEastAsia" w:eastAsiaTheme="minorEastAsia"/>
          <w:sz w:val="24"/>
          <w:highlight w:val="none"/>
        </w:rPr>
        <w:t>采购代理机构将</w:t>
      </w:r>
      <w:r>
        <w:rPr>
          <w:rFonts w:hint="eastAsia"/>
          <w:sz w:val="24"/>
          <w:szCs w:val="18"/>
          <w:highlight w:val="none"/>
        </w:rPr>
        <w:t>在安徽省政府采购网（www.ccgp-anhui.gov.cn）上</w:t>
      </w:r>
      <w:r>
        <w:rPr>
          <w:rFonts w:asciiTheme="minorEastAsia" w:hAnsiTheme="minorEastAsia" w:eastAsiaTheme="minorEastAsia"/>
          <w:sz w:val="24"/>
          <w:highlight w:val="none"/>
        </w:rPr>
        <w:t>发布成交结果公告。</w:t>
      </w:r>
    </w:p>
    <w:p w14:paraId="4CD8D286">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sz w:val="24"/>
          <w:highlight w:val="none"/>
          <w:u w:val="single"/>
        </w:rPr>
        <w:t>供应商须知前附表</w:t>
      </w:r>
      <w:r>
        <w:rPr>
          <w:rFonts w:asciiTheme="minorEastAsia" w:hAnsiTheme="minorEastAsia" w:eastAsiaTheme="minorEastAsia"/>
          <w:sz w:val="24"/>
          <w:highlight w:val="none"/>
        </w:rPr>
        <w:t>中约定进行公告的内容。</w:t>
      </w:r>
    </w:p>
    <w:p w14:paraId="5E01CB2E">
      <w:pPr>
        <w:spacing w:line="360" w:lineRule="auto"/>
        <w:ind w:firstLine="437"/>
        <w:outlineLvl w:val="2"/>
        <w:rPr>
          <w:b/>
          <w:sz w:val="24"/>
          <w:highlight w:val="none"/>
        </w:rPr>
      </w:pPr>
      <w:r>
        <w:rPr>
          <w:rFonts w:hint="eastAsia"/>
          <w:b/>
          <w:sz w:val="24"/>
          <w:highlight w:val="none"/>
        </w:rPr>
        <w:t>23</w:t>
      </w:r>
      <w:r>
        <w:rPr>
          <w:b/>
          <w:sz w:val="24"/>
          <w:highlight w:val="none"/>
        </w:rPr>
        <w:t>.成交通知书</w:t>
      </w:r>
    </w:p>
    <w:p w14:paraId="71370B51">
      <w:pPr>
        <w:spacing w:line="360" w:lineRule="auto"/>
        <w:ind w:firstLine="435"/>
        <w:rPr>
          <w:sz w:val="24"/>
          <w:highlight w:val="none"/>
        </w:rPr>
      </w:pPr>
      <w:r>
        <w:rPr>
          <w:sz w:val="24"/>
          <w:highlight w:val="none"/>
        </w:rPr>
        <w:t>2</w:t>
      </w:r>
      <w:r>
        <w:rPr>
          <w:rFonts w:hint="eastAsia"/>
          <w:sz w:val="24"/>
          <w:highlight w:val="none"/>
        </w:rPr>
        <w:t>3</w:t>
      </w:r>
      <w:r>
        <w:rPr>
          <w:sz w:val="24"/>
          <w:highlight w:val="none"/>
        </w:rPr>
        <w:t>.1采购代理机构发布成交结果公告的同时</w:t>
      </w:r>
      <w:r>
        <w:rPr>
          <w:rFonts w:asciiTheme="minorEastAsia" w:hAnsiTheme="minorEastAsia" w:eastAsiaTheme="minorEastAsia"/>
          <w:sz w:val="24"/>
          <w:highlight w:val="none"/>
        </w:rPr>
        <w:t>以</w:t>
      </w:r>
      <w:r>
        <w:rPr>
          <w:rFonts w:hint="eastAsia" w:asciiTheme="minorEastAsia" w:hAnsiTheme="minorEastAsia" w:eastAsiaTheme="minorEastAsia"/>
          <w:sz w:val="24"/>
          <w:highlight w:val="none"/>
          <w:u w:val="single"/>
        </w:rPr>
        <w:t>供应商须知前附表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sz w:val="24"/>
          <w:highlight w:val="none"/>
        </w:rPr>
        <w:t>向成交供应商发出成交通知书。</w:t>
      </w:r>
    </w:p>
    <w:p w14:paraId="4DF41814">
      <w:pPr>
        <w:spacing w:line="360" w:lineRule="auto"/>
        <w:ind w:firstLine="435"/>
        <w:rPr>
          <w:sz w:val="24"/>
          <w:highlight w:val="none"/>
        </w:rPr>
      </w:pPr>
      <w:r>
        <w:rPr>
          <w:sz w:val="24"/>
          <w:highlight w:val="none"/>
        </w:rPr>
        <w:t>2</w:t>
      </w:r>
      <w:r>
        <w:rPr>
          <w:rFonts w:hint="eastAsia"/>
          <w:sz w:val="24"/>
          <w:highlight w:val="none"/>
        </w:rPr>
        <w:t>3</w:t>
      </w:r>
      <w:r>
        <w:rPr>
          <w:sz w:val="24"/>
          <w:highlight w:val="none"/>
        </w:rPr>
        <w:t>.2成交通知书对采购人和成交供应商具有同等法律效力。成交通知书发出以后，采购人改变成交结果或者成交供应商放弃成交资格，应当承担相应的法律责任。</w:t>
      </w:r>
    </w:p>
    <w:p w14:paraId="55DEE7CC">
      <w:pPr>
        <w:spacing w:line="360" w:lineRule="auto"/>
        <w:ind w:firstLine="435"/>
        <w:rPr>
          <w:sz w:val="24"/>
          <w:highlight w:val="none"/>
        </w:rPr>
      </w:pPr>
      <w:r>
        <w:rPr>
          <w:sz w:val="24"/>
          <w:highlight w:val="none"/>
        </w:rPr>
        <w:t>2</w:t>
      </w:r>
      <w:r>
        <w:rPr>
          <w:rFonts w:hint="eastAsia"/>
          <w:sz w:val="24"/>
          <w:highlight w:val="none"/>
        </w:rPr>
        <w:t>3</w:t>
      </w:r>
      <w:r>
        <w:rPr>
          <w:sz w:val="24"/>
          <w:highlight w:val="none"/>
        </w:rPr>
        <w:t>.3成交通知书是合同的组成部分。</w:t>
      </w:r>
    </w:p>
    <w:p w14:paraId="693C843D">
      <w:pPr>
        <w:spacing w:line="360" w:lineRule="auto"/>
        <w:ind w:firstLine="437"/>
        <w:outlineLvl w:val="2"/>
        <w:rPr>
          <w:b/>
          <w:sz w:val="24"/>
          <w:highlight w:val="none"/>
        </w:rPr>
      </w:pPr>
      <w:r>
        <w:rPr>
          <w:rFonts w:hint="eastAsia"/>
          <w:b/>
          <w:sz w:val="24"/>
          <w:highlight w:val="none"/>
        </w:rPr>
        <w:t>24</w:t>
      </w:r>
      <w:r>
        <w:rPr>
          <w:b/>
          <w:sz w:val="24"/>
          <w:highlight w:val="none"/>
        </w:rPr>
        <w:t>.告知</w:t>
      </w:r>
      <w:r>
        <w:rPr>
          <w:rFonts w:hint="eastAsia" w:asciiTheme="minorEastAsia" w:hAnsiTheme="minorEastAsia" w:eastAsiaTheme="minorEastAsia"/>
          <w:b/>
          <w:sz w:val="24"/>
          <w:highlight w:val="none"/>
        </w:rPr>
        <w:t>磋商</w:t>
      </w:r>
      <w:r>
        <w:rPr>
          <w:b/>
          <w:sz w:val="24"/>
          <w:highlight w:val="none"/>
        </w:rPr>
        <w:t>结果</w:t>
      </w:r>
    </w:p>
    <w:p w14:paraId="2FB587ED">
      <w:pPr>
        <w:spacing w:line="360" w:lineRule="auto"/>
        <w:ind w:firstLine="435"/>
        <w:rPr>
          <w:sz w:val="24"/>
          <w:highlight w:val="none"/>
        </w:rPr>
      </w:pPr>
      <w:r>
        <w:rPr>
          <w:rFonts w:hint="eastAsia"/>
          <w:sz w:val="24"/>
          <w:highlight w:val="none"/>
        </w:rPr>
        <w:t>24</w:t>
      </w:r>
      <w:r>
        <w:rPr>
          <w:sz w:val="24"/>
          <w:highlight w:val="none"/>
        </w:rPr>
        <w:t>.1在公告</w:t>
      </w:r>
      <w:r>
        <w:rPr>
          <w:rFonts w:hint="eastAsia"/>
          <w:sz w:val="24"/>
          <w:highlight w:val="none"/>
        </w:rPr>
        <w:t>成交</w:t>
      </w:r>
      <w:r>
        <w:rPr>
          <w:sz w:val="24"/>
          <w:highlight w:val="none"/>
        </w:rPr>
        <w:t>结果的同时，采购代理机构同时以</w:t>
      </w:r>
      <w:r>
        <w:rPr>
          <w:rFonts w:hint="eastAsia"/>
          <w:sz w:val="24"/>
          <w:highlight w:val="none"/>
          <w:u w:val="single"/>
        </w:rPr>
        <w:t>供应商</w:t>
      </w:r>
      <w:r>
        <w:rPr>
          <w:sz w:val="24"/>
          <w:highlight w:val="none"/>
          <w:u w:val="single"/>
        </w:rPr>
        <w:t>须知前附表</w:t>
      </w:r>
      <w:r>
        <w:rPr>
          <w:sz w:val="24"/>
          <w:highlight w:val="none"/>
        </w:rPr>
        <w:t>规定的形式告知未</w:t>
      </w:r>
      <w:r>
        <w:rPr>
          <w:rFonts w:hint="eastAsia"/>
          <w:sz w:val="24"/>
          <w:highlight w:val="none"/>
        </w:rPr>
        <w:t>成交供应商</w:t>
      </w:r>
      <w:r>
        <w:rPr>
          <w:sz w:val="24"/>
          <w:highlight w:val="none"/>
        </w:rPr>
        <w:t>本人的评审得分和排序。</w:t>
      </w:r>
    </w:p>
    <w:p w14:paraId="5B86DF39">
      <w:pPr>
        <w:spacing w:line="360" w:lineRule="auto"/>
        <w:ind w:firstLine="480" w:firstLineChars="200"/>
        <w:rPr>
          <w:sz w:val="24"/>
          <w:highlight w:val="none"/>
        </w:rPr>
      </w:pPr>
      <w:r>
        <w:rPr>
          <w:sz w:val="24"/>
          <w:highlight w:val="none"/>
        </w:rPr>
        <w:t>2</w:t>
      </w:r>
      <w:r>
        <w:rPr>
          <w:rFonts w:hint="eastAsia"/>
          <w:sz w:val="24"/>
          <w:highlight w:val="none"/>
        </w:rPr>
        <w:t>4</w:t>
      </w:r>
      <w:r>
        <w:rPr>
          <w:sz w:val="24"/>
          <w:highlight w:val="none"/>
        </w:rPr>
        <w:t>.</w:t>
      </w:r>
      <w:r>
        <w:rPr>
          <w:rFonts w:hint="eastAsia"/>
          <w:sz w:val="24"/>
          <w:highlight w:val="none"/>
        </w:rPr>
        <w:t>2</w:t>
      </w:r>
      <w:r>
        <w:rPr>
          <w:sz w:val="24"/>
          <w:highlight w:val="none"/>
        </w:rPr>
        <w:t>采购代理机构对未成交的供应商不做未成交原因的解释。</w:t>
      </w:r>
    </w:p>
    <w:p w14:paraId="033848B5">
      <w:pPr>
        <w:spacing w:line="360" w:lineRule="auto"/>
        <w:ind w:firstLine="437"/>
        <w:outlineLvl w:val="2"/>
        <w:rPr>
          <w:b/>
          <w:sz w:val="24"/>
          <w:highlight w:val="none"/>
        </w:rPr>
      </w:pPr>
      <w:r>
        <w:rPr>
          <w:rFonts w:hint="eastAsia"/>
          <w:b/>
          <w:sz w:val="24"/>
          <w:highlight w:val="none"/>
        </w:rPr>
        <w:t>25</w:t>
      </w:r>
      <w:r>
        <w:rPr>
          <w:b/>
          <w:sz w:val="24"/>
          <w:highlight w:val="none"/>
        </w:rPr>
        <w:t>.履约</w:t>
      </w:r>
      <w:r>
        <w:rPr>
          <w:rFonts w:asciiTheme="minorEastAsia" w:hAnsiTheme="minorEastAsia" w:eastAsiaTheme="minorEastAsia"/>
          <w:b/>
          <w:sz w:val="24"/>
          <w:highlight w:val="none"/>
        </w:rPr>
        <w:t>保证金</w:t>
      </w:r>
    </w:p>
    <w:p w14:paraId="168CB047">
      <w:pPr>
        <w:spacing w:line="360" w:lineRule="auto"/>
        <w:ind w:firstLine="435"/>
        <w:rPr>
          <w:sz w:val="24"/>
          <w:highlight w:val="none"/>
        </w:rPr>
      </w:pPr>
      <w:r>
        <w:rPr>
          <w:rFonts w:hint="eastAsia"/>
          <w:sz w:val="24"/>
          <w:highlight w:val="none"/>
        </w:rPr>
        <w:t>25</w:t>
      </w:r>
      <w:r>
        <w:rPr>
          <w:sz w:val="24"/>
          <w:highlight w:val="none"/>
        </w:rPr>
        <w:t>.1成交供应商应按照</w:t>
      </w:r>
      <w:r>
        <w:rPr>
          <w:sz w:val="24"/>
          <w:highlight w:val="none"/>
          <w:u w:val="single"/>
        </w:rPr>
        <w:t>供应商须知前附表</w:t>
      </w:r>
      <w:r>
        <w:rPr>
          <w:sz w:val="24"/>
          <w:highlight w:val="none"/>
        </w:rPr>
        <w:t>规定</w:t>
      </w:r>
      <w:r>
        <w:rPr>
          <w:rFonts w:hint="eastAsia"/>
          <w:sz w:val="24"/>
          <w:highlight w:val="none"/>
        </w:rPr>
        <w:t>缴纳</w:t>
      </w:r>
      <w:r>
        <w:rPr>
          <w:sz w:val="24"/>
          <w:highlight w:val="none"/>
        </w:rPr>
        <w:t>履约保证金。</w:t>
      </w:r>
    </w:p>
    <w:p w14:paraId="574E7F94">
      <w:pPr>
        <w:spacing w:line="360" w:lineRule="auto"/>
        <w:ind w:firstLine="435"/>
        <w:rPr>
          <w:sz w:val="24"/>
          <w:highlight w:val="none"/>
        </w:rPr>
      </w:pPr>
      <w:r>
        <w:rPr>
          <w:rFonts w:hint="eastAsia"/>
          <w:sz w:val="24"/>
          <w:highlight w:val="none"/>
        </w:rPr>
        <w:t>25</w:t>
      </w:r>
      <w:r>
        <w:rPr>
          <w:sz w:val="24"/>
          <w:highlight w:val="none"/>
        </w:rPr>
        <w:t>.2如果成交供应商没有按照上述履约保证金的规定执行，将视为放弃成交资格。在此情况下，采购人可确定下一成交候选供应商为成交供应商，也可以重新开展采购活动。</w:t>
      </w:r>
    </w:p>
    <w:p w14:paraId="6461CDDD">
      <w:pPr>
        <w:spacing w:line="360" w:lineRule="auto"/>
        <w:ind w:firstLine="437"/>
        <w:outlineLvl w:val="2"/>
        <w:rPr>
          <w:b/>
          <w:sz w:val="24"/>
          <w:highlight w:val="none"/>
        </w:rPr>
      </w:pPr>
      <w:r>
        <w:rPr>
          <w:rFonts w:hint="eastAsia"/>
          <w:b/>
          <w:sz w:val="24"/>
          <w:highlight w:val="none"/>
        </w:rPr>
        <w:t>26</w:t>
      </w:r>
      <w:r>
        <w:rPr>
          <w:b/>
          <w:sz w:val="24"/>
          <w:highlight w:val="none"/>
        </w:rPr>
        <w:t>.</w:t>
      </w:r>
      <w:r>
        <w:rPr>
          <w:rFonts w:hint="eastAsia"/>
          <w:b/>
          <w:sz w:val="24"/>
          <w:highlight w:val="none"/>
        </w:rPr>
        <w:t>代理费用</w:t>
      </w:r>
    </w:p>
    <w:p w14:paraId="0CC47DF7">
      <w:pPr>
        <w:spacing w:line="360" w:lineRule="auto"/>
        <w:ind w:firstLine="435"/>
        <w:rPr>
          <w:sz w:val="24"/>
          <w:highlight w:val="none"/>
        </w:rPr>
      </w:pPr>
      <w:r>
        <w:rPr>
          <w:rFonts w:hint="eastAsia"/>
          <w:sz w:val="24"/>
          <w:highlight w:val="none"/>
        </w:rPr>
        <w:t>26</w:t>
      </w:r>
      <w:r>
        <w:rPr>
          <w:sz w:val="24"/>
          <w:highlight w:val="none"/>
        </w:rPr>
        <w:t>.1本项目</w:t>
      </w:r>
      <w:r>
        <w:rPr>
          <w:rFonts w:hint="eastAsia"/>
          <w:sz w:val="24"/>
          <w:highlight w:val="none"/>
        </w:rPr>
        <w:t>代理费用</w:t>
      </w:r>
      <w:r>
        <w:rPr>
          <w:sz w:val="24"/>
          <w:highlight w:val="none"/>
        </w:rPr>
        <w:t>的收取按</w:t>
      </w:r>
      <w:r>
        <w:rPr>
          <w:rFonts w:hint="eastAsia"/>
          <w:sz w:val="24"/>
          <w:highlight w:val="none"/>
          <w:u w:val="single"/>
        </w:rPr>
        <w:t>供应商</w:t>
      </w:r>
      <w:r>
        <w:rPr>
          <w:sz w:val="24"/>
          <w:highlight w:val="none"/>
          <w:u w:val="single"/>
        </w:rPr>
        <w:t>须知前附表</w:t>
      </w:r>
      <w:r>
        <w:rPr>
          <w:sz w:val="24"/>
          <w:highlight w:val="none"/>
        </w:rPr>
        <w:t>的规定执行。</w:t>
      </w:r>
    </w:p>
    <w:p w14:paraId="74400928">
      <w:pPr>
        <w:spacing w:line="360" w:lineRule="auto"/>
        <w:ind w:firstLine="437"/>
        <w:outlineLvl w:val="2"/>
        <w:rPr>
          <w:b/>
          <w:sz w:val="24"/>
          <w:highlight w:val="none"/>
        </w:rPr>
      </w:pPr>
      <w:r>
        <w:rPr>
          <w:rFonts w:hint="eastAsia"/>
          <w:b/>
          <w:sz w:val="24"/>
          <w:highlight w:val="none"/>
        </w:rPr>
        <w:t>27</w:t>
      </w:r>
      <w:r>
        <w:rPr>
          <w:b/>
          <w:sz w:val="24"/>
          <w:highlight w:val="none"/>
        </w:rPr>
        <w:t>.签订</w:t>
      </w:r>
      <w:r>
        <w:rPr>
          <w:rFonts w:asciiTheme="minorEastAsia" w:hAnsiTheme="minorEastAsia" w:eastAsiaTheme="minorEastAsia"/>
          <w:b/>
          <w:sz w:val="24"/>
          <w:highlight w:val="none"/>
        </w:rPr>
        <w:t>合同</w:t>
      </w:r>
    </w:p>
    <w:p w14:paraId="2761F369">
      <w:pPr>
        <w:spacing w:line="360" w:lineRule="auto"/>
        <w:ind w:firstLine="435"/>
        <w:rPr>
          <w:sz w:val="24"/>
          <w:highlight w:val="none"/>
        </w:rPr>
      </w:pPr>
      <w:r>
        <w:rPr>
          <w:rFonts w:hint="eastAsia"/>
          <w:sz w:val="24"/>
          <w:highlight w:val="none"/>
        </w:rPr>
        <w:t>27</w:t>
      </w:r>
      <w:r>
        <w:rPr>
          <w:sz w:val="24"/>
          <w:highlight w:val="none"/>
        </w:rPr>
        <w:t>.1</w:t>
      </w:r>
      <w:r>
        <w:rPr>
          <w:rFonts w:hint="eastAsia" w:cs="宋体"/>
          <w:sz w:val="24"/>
          <w:szCs w:val="24"/>
          <w:highlight w:val="none"/>
        </w:rPr>
        <w:t>采购人与成交供应商应当按照</w:t>
      </w:r>
      <w:r>
        <w:rPr>
          <w:rFonts w:hint="eastAsia" w:cs="宋体"/>
          <w:sz w:val="24"/>
          <w:szCs w:val="24"/>
          <w:highlight w:val="none"/>
          <w:u w:val="single"/>
        </w:rPr>
        <w:t>供应商须知前附表</w:t>
      </w:r>
      <w:r>
        <w:rPr>
          <w:rFonts w:hint="eastAsia" w:cs="宋体"/>
          <w:sz w:val="24"/>
          <w:szCs w:val="24"/>
          <w:highlight w:val="none"/>
        </w:rPr>
        <w:t>规定的时间内完成政府采购合同签订及合同公告。</w:t>
      </w:r>
    </w:p>
    <w:p w14:paraId="1A2F89E7">
      <w:pPr>
        <w:spacing w:line="360" w:lineRule="auto"/>
        <w:ind w:firstLine="435"/>
        <w:rPr>
          <w:sz w:val="24"/>
          <w:highlight w:val="none"/>
        </w:rPr>
      </w:pPr>
      <w:r>
        <w:rPr>
          <w:rFonts w:hint="eastAsia"/>
          <w:sz w:val="24"/>
          <w:highlight w:val="none"/>
        </w:rPr>
        <w:t>27</w:t>
      </w:r>
      <w:r>
        <w:rPr>
          <w:sz w:val="24"/>
          <w:highlight w:val="none"/>
        </w:rPr>
        <w:t>.2磋商文件、成交供应商的响应文件及其澄清文件等，均为签订合同的依据。</w:t>
      </w:r>
    </w:p>
    <w:p w14:paraId="0611602C">
      <w:pPr>
        <w:spacing w:line="360" w:lineRule="auto"/>
        <w:ind w:firstLine="470" w:firstLineChars="196"/>
        <w:rPr>
          <w:sz w:val="24"/>
          <w:highlight w:val="none"/>
        </w:rPr>
      </w:pPr>
      <w:r>
        <w:rPr>
          <w:rFonts w:hint="eastAsia"/>
          <w:sz w:val="24"/>
          <w:highlight w:val="none"/>
        </w:rPr>
        <w:t>27</w:t>
      </w:r>
      <w:r>
        <w:rPr>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sz w:val="24"/>
          <w:highlight w:val="none"/>
        </w:rPr>
        <w:t>成交供应商拒绝签订政府采购合同的不得参加对该项目重新开展的采购活动。</w:t>
      </w:r>
    </w:p>
    <w:p w14:paraId="62F439B4">
      <w:pPr>
        <w:spacing w:line="360" w:lineRule="auto"/>
        <w:ind w:firstLine="470" w:firstLineChars="196"/>
        <w:rPr>
          <w:sz w:val="24"/>
          <w:highlight w:val="none"/>
        </w:rPr>
      </w:pPr>
      <w:bookmarkStart w:id="32" w:name="_Hlk60264926"/>
      <w:r>
        <w:rPr>
          <w:rFonts w:hint="eastAsia"/>
          <w:sz w:val="24"/>
          <w:highlight w:val="none"/>
        </w:rPr>
        <w:t>27.4依据《政府采购促进中小企业发展管理办法》（财库〔</w:t>
      </w:r>
      <w:r>
        <w:rPr>
          <w:sz w:val="24"/>
          <w:highlight w:val="none"/>
        </w:rPr>
        <w:t>2020〕46号</w:t>
      </w:r>
      <w:r>
        <w:rPr>
          <w:rFonts w:hint="eastAsia"/>
          <w:sz w:val="24"/>
          <w:highlight w:val="none"/>
        </w:rPr>
        <w:t>）规定享受扶持政策获得政府采购合同的，小微企业不得将合同分包给大中型企业，中型企业不得将合同分包给大型企业。</w:t>
      </w:r>
      <w:bookmarkEnd w:id="32"/>
    </w:p>
    <w:p w14:paraId="1C3B9F47">
      <w:pPr>
        <w:spacing w:line="360" w:lineRule="auto"/>
        <w:ind w:firstLine="437"/>
        <w:outlineLvl w:val="2"/>
        <w:rPr>
          <w:b/>
          <w:sz w:val="24"/>
          <w:highlight w:val="none"/>
        </w:rPr>
      </w:pPr>
      <w:r>
        <w:rPr>
          <w:rFonts w:hint="eastAsia"/>
          <w:b/>
          <w:sz w:val="24"/>
          <w:highlight w:val="none"/>
        </w:rPr>
        <w:t>28</w:t>
      </w:r>
      <w:r>
        <w:rPr>
          <w:b/>
          <w:sz w:val="24"/>
          <w:highlight w:val="none"/>
        </w:rPr>
        <w:t>.廉洁</w:t>
      </w:r>
      <w:r>
        <w:rPr>
          <w:rFonts w:asciiTheme="minorEastAsia" w:hAnsiTheme="minorEastAsia" w:eastAsiaTheme="minorEastAsia"/>
          <w:b/>
          <w:sz w:val="24"/>
          <w:highlight w:val="none"/>
        </w:rPr>
        <w:t>自律</w:t>
      </w:r>
      <w:r>
        <w:rPr>
          <w:b/>
          <w:sz w:val="24"/>
          <w:highlight w:val="none"/>
        </w:rPr>
        <w:t>规定</w:t>
      </w:r>
    </w:p>
    <w:p w14:paraId="4944BE79">
      <w:pPr>
        <w:spacing w:line="360" w:lineRule="auto"/>
        <w:ind w:firstLine="435"/>
        <w:rPr>
          <w:sz w:val="24"/>
          <w:highlight w:val="none"/>
        </w:rPr>
      </w:pPr>
      <w:r>
        <w:rPr>
          <w:rFonts w:hint="eastAsia"/>
          <w:sz w:val="24"/>
          <w:highlight w:val="none"/>
        </w:rPr>
        <w:t>28</w:t>
      </w:r>
      <w:r>
        <w:rPr>
          <w:sz w:val="24"/>
          <w:highlight w:val="none"/>
        </w:rPr>
        <w:t>.1采购代理机构工作人员不得以不正当手段获取政府采购代理业务，不得与采购人、供应商恶意串通。</w:t>
      </w:r>
    </w:p>
    <w:p w14:paraId="3984162D">
      <w:pPr>
        <w:spacing w:line="360" w:lineRule="auto"/>
        <w:ind w:firstLine="435"/>
        <w:rPr>
          <w:sz w:val="24"/>
          <w:highlight w:val="none"/>
        </w:rPr>
      </w:pPr>
      <w:r>
        <w:rPr>
          <w:rFonts w:hint="eastAsia"/>
          <w:sz w:val="24"/>
          <w:highlight w:val="none"/>
        </w:rPr>
        <w:t>28</w:t>
      </w:r>
      <w:r>
        <w:rPr>
          <w:sz w:val="24"/>
          <w:highlight w:val="none"/>
        </w:rPr>
        <w:t>.2采购代理机构工作人员不得接受采购人或者供应商组织的宴请、旅游、娱乐，不得收受礼品、现金、有价证券等，不得向采购人或者供应商报销应当由个人承担的费用。</w:t>
      </w:r>
    </w:p>
    <w:p w14:paraId="3928C65A">
      <w:pPr>
        <w:spacing w:line="360" w:lineRule="auto"/>
        <w:ind w:firstLine="437"/>
        <w:outlineLvl w:val="2"/>
        <w:rPr>
          <w:b/>
          <w:sz w:val="24"/>
          <w:highlight w:val="none"/>
        </w:rPr>
      </w:pPr>
      <w:r>
        <w:rPr>
          <w:rFonts w:hint="eastAsia"/>
          <w:b/>
          <w:sz w:val="24"/>
          <w:highlight w:val="none"/>
        </w:rPr>
        <w:t>29</w:t>
      </w:r>
      <w:r>
        <w:rPr>
          <w:b/>
          <w:sz w:val="24"/>
          <w:highlight w:val="none"/>
        </w:rPr>
        <w:t>.质疑的提出与接收</w:t>
      </w:r>
    </w:p>
    <w:p w14:paraId="638CC9C1">
      <w:pPr>
        <w:spacing w:line="360" w:lineRule="auto"/>
        <w:ind w:firstLine="435"/>
        <w:rPr>
          <w:sz w:val="24"/>
          <w:highlight w:val="none"/>
        </w:rPr>
      </w:pPr>
      <w:r>
        <w:rPr>
          <w:rFonts w:hint="eastAsia"/>
          <w:sz w:val="24"/>
          <w:highlight w:val="none"/>
        </w:rPr>
        <w:t>29.1供应商认为磋商文件、采购过程和成交结果使自己的权益受到损害的，可以在知道或者应知其权益受到损害之日起七个工作日内，以书面形式向采购人或其委托的采购代理机构提出质疑。</w:t>
      </w:r>
    </w:p>
    <w:p w14:paraId="362516A4">
      <w:pPr>
        <w:spacing w:line="360" w:lineRule="auto"/>
        <w:ind w:firstLine="435"/>
        <w:rPr>
          <w:sz w:val="24"/>
          <w:highlight w:val="none"/>
        </w:rPr>
      </w:pPr>
      <w:r>
        <w:rPr>
          <w:rFonts w:hint="eastAsia"/>
          <w:sz w:val="24"/>
          <w:highlight w:val="none"/>
        </w:rPr>
        <w:t>29.2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43DC5A0E">
      <w:pPr>
        <w:spacing w:line="360" w:lineRule="auto"/>
        <w:ind w:firstLine="435"/>
        <w:rPr>
          <w:sz w:val="24"/>
          <w:highlight w:val="none"/>
        </w:rPr>
      </w:pPr>
      <w:r>
        <w:rPr>
          <w:rFonts w:hint="eastAsia"/>
          <w:sz w:val="24"/>
          <w:highlight w:val="none"/>
        </w:rPr>
        <w:t>29.3采购代理机构质疑函接收部门、联系电话和通讯地址，见</w:t>
      </w:r>
      <w:r>
        <w:rPr>
          <w:rFonts w:hint="eastAsia"/>
          <w:sz w:val="24"/>
          <w:highlight w:val="none"/>
          <w:u w:val="single"/>
        </w:rPr>
        <w:t>供应商须知前附表</w:t>
      </w:r>
      <w:r>
        <w:rPr>
          <w:rFonts w:hint="eastAsia"/>
          <w:sz w:val="24"/>
          <w:highlight w:val="none"/>
        </w:rPr>
        <w:t>。</w:t>
      </w:r>
    </w:p>
    <w:p w14:paraId="34E637E9">
      <w:pPr>
        <w:spacing w:line="360" w:lineRule="auto"/>
        <w:ind w:firstLine="435"/>
        <w:rPr>
          <w:sz w:val="24"/>
          <w:highlight w:val="none"/>
        </w:rPr>
      </w:pPr>
      <w:r>
        <w:rPr>
          <w:rFonts w:hint="eastAsia"/>
          <w:sz w:val="24"/>
          <w:highlight w:val="none"/>
        </w:rPr>
        <w:t>注：上述条款中所要求的书面形式包含通过电子交易系统递交方式。</w:t>
      </w:r>
    </w:p>
    <w:p w14:paraId="409FA5E3">
      <w:pPr>
        <w:spacing w:line="360" w:lineRule="auto"/>
        <w:ind w:firstLine="437"/>
        <w:outlineLvl w:val="2"/>
        <w:rPr>
          <w:b/>
          <w:sz w:val="24"/>
          <w:highlight w:val="none"/>
        </w:rPr>
      </w:pPr>
      <w:r>
        <w:rPr>
          <w:b/>
          <w:sz w:val="24"/>
          <w:highlight w:val="none"/>
        </w:rPr>
        <w:t>3</w:t>
      </w:r>
      <w:r>
        <w:rPr>
          <w:rFonts w:hint="eastAsia"/>
          <w:b/>
          <w:sz w:val="24"/>
          <w:highlight w:val="none"/>
        </w:rPr>
        <w:t>0</w:t>
      </w:r>
      <w:r>
        <w:rPr>
          <w:b/>
          <w:sz w:val="24"/>
          <w:highlight w:val="none"/>
        </w:rPr>
        <w:t>.需要补充的其他内容</w:t>
      </w:r>
    </w:p>
    <w:p w14:paraId="645F2AE5">
      <w:pPr>
        <w:spacing w:line="360" w:lineRule="auto"/>
        <w:ind w:firstLine="435"/>
        <w:rPr>
          <w:sz w:val="24"/>
          <w:highlight w:val="none"/>
        </w:rPr>
      </w:pPr>
      <w:r>
        <w:rPr>
          <w:rFonts w:hint="eastAsia"/>
          <w:sz w:val="24"/>
          <w:highlight w:val="none"/>
        </w:rPr>
        <w:t>需要补充的其他内容，见</w:t>
      </w:r>
      <w:r>
        <w:rPr>
          <w:rFonts w:hint="eastAsia"/>
          <w:sz w:val="24"/>
          <w:highlight w:val="none"/>
          <w:u w:val="single"/>
        </w:rPr>
        <w:t>供应商须知前附表</w:t>
      </w:r>
      <w:r>
        <w:rPr>
          <w:rFonts w:hint="eastAsia"/>
          <w:sz w:val="24"/>
          <w:highlight w:val="none"/>
        </w:rPr>
        <w:t>。</w:t>
      </w:r>
    </w:p>
    <w:p w14:paraId="70C4424A">
      <w:pPr>
        <w:widowControl/>
        <w:jc w:val="left"/>
        <w:rPr>
          <w:rFonts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4103D4DA">
      <w:pPr>
        <w:spacing w:line="360" w:lineRule="auto"/>
        <w:jc w:val="center"/>
        <w:outlineLvl w:val="0"/>
        <w:rPr>
          <w:rFonts w:asciiTheme="minorEastAsia" w:hAnsiTheme="minorEastAsia" w:eastAsiaTheme="minorEastAsia"/>
          <w:b/>
          <w:sz w:val="28"/>
          <w:highlight w:val="none"/>
        </w:rPr>
      </w:pPr>
      <w:bookmarkStart w:id="33" w:name="_Toc30873"/>
      <w:bookmarkStart w:id="751" w:name="_GoBack"/>
      <w:r>
        <w:rPr>
          <w:rFonts w:hint="eastAsia" w:asciiTheme="minorEastAsia" w:hAnsiTheme="minorEastAsia" w:eastAsiaTheme="minorEastAsia"/>
          <w:b/>
          <w:sz w:val="28"/>
          <w:highlight w:val="none"/>
        </w:rPr>
        <w:t>第三章  采购需求</w:t>
      </w:r>
      <w:bookmarkEnd w:id="33"/>
    </w:p>
    <w:tbl>
      <w:tblPr>
        <w:tblStyle w:val="9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0D7E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 w:type="pct"/>
            <w:vAlign w:val="center"/>
          </w:tcPr>
          <w:p w14:paraId="7CCA18FC">
            <w:pPr>
              <w:spacing w:line="360" w:lineRule="auto"/>
              <w:jc w:val="center"/>
              <w:rPr>
                <w:rFonts w:cs="@仿宋_GB2312" w:asciiTheme="minorEastAsia" w:hAnsiTheme="minorEastAsia" w:eastAsiaTheme="minorEastAsia"/>
                <w:b/>
                <w:kern w:val="2"/>
                <w:sz w:val="24"/>
                <w:szCs w:val="22"/>
                <w:highlight w:val="none"/>
              </w:rPr>
            </w:pPr>
            <w:r>
              <w:rPr>
                <w:rFonts w:hint="eastAsia" w:cs="@仿宋_GB2312" w:asciiTheme="minorEastAsia" w:hAnsiTheme="minorEastAsia" w:eastAsiaTheme="minorEastAsia"/>
                <w:b/>
                <w:kern w:val="2"/>
                <w:sz w:val="24"/>
                <w:szCs w:val="22"/>
                <w:highlight w:val="none"/>
              </w:rPr>
              <w:t>序号</w:t>
            </w:r>
          </w:p>
        </w:tc>
        <w:tc>
          <w:tcPr>
            <w:tcW w:w="749" w:type="pct"/>
            <w:vAlign w:val="center"/>
          </w:tcPr>
          <w:p w14:paraId="6ED31818">
            <w:pPr>
              <w:spacing w:line="360" w:lineRule="auto"/>
              <w:ind w:firstLine="435"/>
              <w:jc w:val="center"/>
              <w:rPr>
                <w:rFonts w:cs="@仿宋_GB2312" w:asciiTheme="minorEastAsia" w:hAnsiTheme="minorEastAsia" w:eastAsiaTheme="minorEastAsia"/>
                <w:b/>
                <w:kern w:val="2"/>
                <w:sz w:val="24"/>
                <w:szCs w:val="22"/>
                <w:highlight w:val="none"/>
              </w:rPr>
            </w:pPr>
            <w:r>
              <w:rPr>
                <w:rFonts w:hint="eastAsia" w:cs="@仿宋_GB2312" w:asciiTheme="minorEastAsia" w:hAnsiTheme="minorEastAsia" w:eastAsiaTheme="minorEastAsia"/>
                <w:b/>
                <w:kern w:val="2"/>
                <w:sz w:val="24"/>
                <w:szCs w:val="22"/>
                <w:highlight w:val="none"/>
              </w:rPr>
              <w:t>内容</w:t>
            </w:r>
          </w:p>
        </w:tc>
        <w:tc>
          <w:tcPr>
            <w:tcW w:w="3688" w:type="pct"/>
            <w:vAlign w:val="center"/>
          </w:tcPr>
          <w:p w14:paraId="246E6593">
            <w:pPr>
              <w:spacing w:line="360" w:lineRule="auto"/>
              <w:ind w:firstLine="435"/>
              <w:jc w:val="center"/>
              <w:rPr>
                <w:rFonts w:cs="@仿宋_GB2312" w:asciiTheme="minorEastAsia" w:hAnsiTheme="minorEastAsia" w:eastAsiaTheme="minorEastAsia"/>
                <w:b/>
                <w:kern w:val="2"/>
                <w:sz w:val="24"/>
                <w:szCs w:val="22"/>
                <w:highlight w:val="none"/>
              </w:rPr>
            </w:pPr>
            <w:r>
              <w:rPr>
                <w:rFonts w:hint="eastAsia" w:cs="@仿宋_GB2312" w:asciiTheme="minorEastAsia" w:hAnsiTheme="minorEastAsia" w:eastAsiaTheme="minorEastAsia"/>
                <w:b/>
                <w:kern w:val="2"/>
                <w:sz w:val="24"/>
                <w:szCs w:val="22"/>
                <w:highlight w:val="none"/>
              </w:rPr>
              <w:t>说明和要求</w:t>
            </w:r>
          </w:p>
        </w:tc>
      </w:tr>
      <w:tr w14:paraId="0468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FCDC3E7">
            <w:pPr>
              <w:spacing w:line="360" w:lineRule="auto"/>
              <w:jc w:val="center"/>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1</w:t>
            </w:r>
          </w:p>
        </w:tc>
        <w:tc>
          <w:tcPr>
            <w:tcW w:w="749" w:type="pct"/>
            <w:vAlign w:val="center"/>
          </w:tcPr>
          <w:p w14:paraId="6FF55095">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人员到岗及履约要求</w:t>
            </w:r>
          </w:p>
        </w:tc>
        <w:tc>
          <w:tcPr>
            <w:tcW w:w="3688" w:type="pct"/>
            <w:vAlign w:val="center"/>
          </w:tcPr>
          <w:p w14:paraId="6AD020EB">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项目经理：全过程驻场管理，每月在岗时间不少于22天，每日在岗不少于8小时，不得擅自离岗、脱岗、更换，该项目也需配备足够的工程人员例如施工员、安全员、造价员等</w:t>
            </w:r>
            <w:r>
              <w:rPr>
                <w:rFonts w:hint="eastAsia" w:cs="@仿宋_GB2312" w:asciiTheme="minorEastAsia" w:hAnsiTheme="minorEastAsia" w:eastAsiaTheme="minorEastAsia"/>
                <w:kern w:val="2"/>
                <w:sz w:val="24"/>
                <w:szCs w:val="22"/>
                <w:highlight w:val="none"/>
                <w:lang w:eastAsia="zh-CN"/>
              </w:rPr>
              <w:t>。</w:t>
            </w:r>
          </w:p>
        </w:tc>
      </w:tr>
      <w:tr w14:paraId="5352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1C63AE0">
            <w:pPr>
              <w:spacing w:line="360" w:lineRule="auto"/>
              <w:jc w:val="center"/>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2</w:t>
            </w:r>
          </w:p>
        </w:tc>
        <w:tc>
          <w:tcPr>
            <w:tcW w:w="749" w:type="pct"/>
            <w:vAlign w:val="center"/>
          </w:tcPr>
          <w:p w14:paraId="29AFDB65">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工程施工重点难点</w:t>
            </w:r>
          </w:p>
        </w:tc>
        <w:tc>
          <w:tcPr>
            <w:tcW w:w="3688" w:type="pct"/>
            <w:vAlign w:val="center"/>
          </w:tcPr>
          <w:p w14:paraId="0C8434AB">
            <w:pPr>
              <w:spacing w:line="360" w:lineRule="auto"/>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rPr>
              <w:t>1.须注意校园施工特殊性</w:t>
            </w:r>
            <w:r>
              <w:rPr>
                <w:rFonts w:hint="eastAsia" w:cs="@仿宋_GB2312" w:asciiTheme="minorEastAsia" w:hAnsiTheme="minorEastAsia" w:eastAsiaTheme="minorEastAsia"/>
                <w:kern w:val="2"/>
                <w:sz w:val="24"/>
                <w:szCs w:val="22"/>
                <w:highlight w:val="none"/>
                <w:lang w:eastAsia="zh-CN"/>
              </w:rPr>
              <w:t>，</w:t>
            </w:r>
            <w:r>
              <w:rPr>
                <w:rFonts w:hint="eastAsia" w:cs="@仿宋_GB2312" w:asciiTheme="minorEastAsia" w:hAnsiTheme="minorEastAsia" w:eastAsiaTheme="minorEastAsia"/>
                <w:kern w:val="2"/>
                <w:sz w:val="24"/>
                <w:szCs w:val="22"/>
                <w:highlight w:val="none"/>
              </w:rPr>
              <w:t>重点注意人员和交通安全</w:t>
            </w:r>
            <w:r>
              <w:rPr>
                <w:rFonts w:hint="eastAsia" w:cs="@仿宋_GB2312" w:asciiTheme="minorEastAsia" w:hAnsiTheme="minorEastAsia" w:eastAsiaTheme="minorEastAsia"/>
                <w:kern w:val="2"/>
                <w:sz w:val="24"/>
                <w:szCs w:val="22"/>
                <w:highlight w:val="none"/>
                <w:lang w:eastAsia="zh-CN"/>
              </w:rPr>
              <w:t>；</w:t>
            </w:r>
          </w:p>
          <w:p w14:paraId="28A31218">
            <w:pPr>
              <w:spacing w:line="360" w:lineRule="auto"/>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rPr>
              <w:t>2.本项目重点保证防水工程质量</w:t>
            </w:r>
            <w:r>
              <w:rPr>
                <w:rFonts w:hint="eastAsia" w:cs="@仿宋_GB2312" w:asciiTheme="minorEastAsia" w:hAnsiTheme="minorEastAsia" w:eastAsiaTheme="minorEastAsia"/>
                <w:kern w:val="2"/>
                <w:sz w:val="24"/>
                <w:szCs w:val="22"/>
                <w:highlight w:val="none"/>
                <w:lang w:eastAsia="zh-CN"/>
              </w:rPr>
              <w:t>；</w:t>
            </w:r>
          </w:p>
          <w:p w14:paraId="6D8FC476">
            <w:pPr>
              <w:spacing w:line="360" w:lineRule="auto"/>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rPr>
              <w:t>3.多点分散施工与工期保障，须完善施工方案和施工日程表，科学划分施工区段、合理安排流水作业与交叉施工，严格按</w:t>
            </w:r>
            <w:r>
              <w:rPr>
                <w:rFonts w:hint="eastAsia" w:cs="@仿宋_GB2312" w:asciiTheme="minorEastAsia" w:hAnsiTheme="minorEastAsia" w:eastAsiaTheme="minorEastAsia"/>
                <w:kern w:val="2"/>
                <w:sz w:val="24"/>
                <w:szCs w:val="22"/>
                <w:highlight w:val="none"/>
                <w:lang w:val="en-US" w:eastAsia="zh-CN"/>
              </w:rPr>
              <w:t>70</w:t>
            </w:r>
            <w:r>
              <w:rPr>
                <w:rFonts w:hint="eastAsia" w:cs="@仿宋_GB2312" w:asciiTheme="minorEastAsia" w:hAnsiTheme="minorEastAsia" w:eastAsiaTheme="minorEastAsia"/>
                <w:kern w:val="2"/>
                <w:sz w:val="24"/>
                <w:szCs w:val="22"/>
                <w:highlight w:val="none"/>
              </w:rPr>
              <w:t>日历天总工期完成，不得延误交付使用</w:t>
            </w:r>
            <w:r>
              <w:rPr>
                <w:rFonts w:hint="eastAsia" w:cs="@仿宋_GB2312" w:asciiTheme="minorEastAsia" w:hAnsiTheme="minorEastAsia" w:eastAsiaTheme="minorEastAsia"/>
                <w:kern w:val="2"/>
                <w:sz w:val="24"/>
                <w:szCs w:val="22"/>
                <w:highlight w:val="none"/>
                <w:lang w:eastAsia="zh-CN"/>
              </w:rPr>
              <w:t>；</w:t>
            </w:r>
          </w:p>
          <w:p w14:paraId="4BCA449B">
            <w:pPr>
              <w:spacing w:line="360" w:lineRule="auto"/>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rPr>
              <w:t>4.须注意成品保护与验收移交</w:t>
            </w:r>
            <w:r>
              <w:rPr>
                <w:rFonts w:hint="eastAsia" w:cs="@仿宋_GB2312" w:asciiTheme="minorEastAsia" w:hAnsiTheme="minorEastAsia" w:eastAsiaTheme="minorEastAsia"/>
                <w:kern w:val="2"/>
                <w:sz w:val="24"/>
                <w:szCs w:val="22"/>
                <w:highlight w:val="none"/>
                <w:lang w:eastAsia="zh-CN"/>
              </w:rPr>
              <w:t>。</w:t>
            </w:r>
          </w:p>
        </w:tc>
      </w:tr>
      <w:tr w14:paraId="1930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E5F2EA7">
            <w:pPr>
              <w:spacing w:line="360" w:lineRule="auto"/>
              <w:jc w:val="center"/>
              <w:rPr>
                <w:rFonts w:hint="default" w:cs="@仿宋_GB2312" w:asciiTheme="minorEastAsia" w:hAnsiTheme="minorEastAsia" w:eastAsiaTheme="minorEastAsia"/>
                <w:kern w:val="2"/>
                <w:sz w:val="24"/>
                <w:szCs w:val="22"/>
                <w:highlight w:val="none"/>
                <w:lang w:val="en-US" w:eastAsia="zh-CN"/>
              </w:rPr>
            </w:pPr>
            <w:r>
              <w:rPr>
                <w:rFonts w:hint="eastAsia" w:cs="@仿宋_GB2312" w:asciiTheme="minorEastAsia" w:hAnsiTheme="minorEastAsia" w:eastAsiaTheme="minorEastAsia"/>
                <w:kern w:val="2"/>
                <w:sz w:val="24"/>
                <w:szCs w:val="22"/>
                <w:highlight w:val="none"/>
                <w:lang w:val="en-US" w:eastAsia="zh-CN"/>
              </w:rPr>
              <w:t>3</w:t>
            </w:r>
          </w:p>
        </w:tc>
        <w:tc>
          <w:tcPr>
            <w:tcW w:w="749" w:type="pct"/>
            <w:vAlign w:val="center"/>
          </w:tcPr>
          <w:p w14:paraId="18BB5313">
            <w:pPr>
              <w:spacing w:line="360" w:lineRule="auto"/>
              <w:rPr>
                <w:rFonts w:hint="default" w:cs="@仿宋_GB2312" w:asciiTheme="minorEastAsia" w:hAnsiTheme="minorEastAsia" w:eastAsiaTheme="minorEastAsia"/>
                <w:kern w:val="2"/>
                <w:sz w:val="24"/>
                <w:szCs w:val="22"/>
                <w:highlight w:val="none"/>
                <w:lang w:val="en-US" w:eastAsia="zh-CN"/>
              </w:rPr>
            </w:pPr>
            <w:r>
              <w:rPr>
                <w:rFonts w:hint="eastAsia" w:cs="@仿宋_GB2312" w:asciiTheme="minorEastAsia" w:hAnsiTheme="minorEastAsia" w:eastAsiaTheme="minorEastAsia"/>
                <w:kern w:val="2"/>
                <w:sz w:val="24"/>
                <w:szCs w:val="22"/>
                <w:highlight w:val="none"/>
                <w:lang w:val="en-US" w:eastAsia="zh-CN"/>
              </w:rPr>
              <w:t>材料要求</w:t>
            </w:r>
          </w:p>
        </w:tc>
        <w:tc>
          <w:tcPr>
            <w:tcW w:w="3688" w:type="pct"/>
            <w:vAlign w:val="center"/>
          </w:tcPr>
          <w:p w14:paraId="3AA39FB0">
            <w:pPr>
              <w:spacing w:line="360" w:lineRule="auto"/>
              <w:rPr>
                <w:rFonts w:hint="eastAsia"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lang w:eastAsia="zh-CN"/>
              </w:rPr>
              <w:t>（</w:t>
            </w:r>
            <w:r>
              <w:rPr>
                <w:rFonts w:hint="eastAsia" w:cs="@仿宋_GB2312" w:asciiTheme="minorEastAsia" w:hAnsiTheme="minorEastAsia" w:eastAsiaTheme="minorEastAsia"/>
                <w:kern w:val="2"/>
                <w:sz w:val="24"/>
                <w:szCs w:val="22"/>
                <w:highlight w:val="none"/>
              </w:rPr>
              <w:t>1</w:t>
            </w:r>
            <w:r>
              <w:rPr>
                <w:rFonts w:hint="eastAsia" w:cs="@仿宋_GB2312" w:asciiTheme="minorEastAsia" w:hAnsiTheme="minorEastAsia" w:eastAsiaTheme="minorEastAsia"/>
                <w:kern w:val="2"/>
                <w:sz w:val="24"/>
                <w:szCs w:val="22"/>
                <w:highlight w:val="none"/>
                <w:lang w:eastAsia="zh-CN"/>
              </w:rPr>
              <w:t>）</w:t>
            </w:r>
            <w:r>
              <w:rPr>
                <w:rFonts w:hint="eastAsia" w:cs="@仿宋_GB2312" w:asciiTheme="minorEastAsia" w:hAnsiTheme="minorEastAsia" w:eastAsiaTheme="minorEastAsia"/>
                <w:kern w:val="2"/>
                <w:sz w:val="24"/>
                <w:szCs w:val="22"/>
                <w:highlight w:val="none"/>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p w14:paraId="5C6A511C">
            <w:pPr>
              <w:spacing w:line="360" w:lineRule="auto"/>
              <w:rPr>
                <w:rFonts w:hint="eastAsia" w:cs="@仿宋_GB2312" w:asciiTheme="minorEastAsia" w:hAnsiTheme="minorEastAsia" w:eastAsiaTheme="minorEastAsia"/>
                <w:b/>
                <w:bCs/>
                <w:kern w:val="2"/>
                <w:sz w:val="24"/>
                <w:szCs w:val="22"/>
                <w:highlight w:val="none"/>
              </w:rPr>
            </w:pPr>
            <w:r>
              <w:rPr>
                <w:rFonts w:hint="eastAsia" w:cs="@仿宋_GB2312" w:asciiTheme="minorEastAsia" w:hAnsiTheme="minorEastAsia" w:eastAsiaTheme="minorEastAsia"/>
                <w:b/>
                <w:bCs/>
                <w:kern w:val="2"/>
                <w:sz w:val="24"/>
                <w:szCs w:val="22"/>
                <w:highlight w:val="none"/>
                <w:lang w:eastAsia="zh-CN"/>
              </w:rPr>
              <w:t>（</w:t>
            </w:r>
            <w:r>
              <w:rPr>
                <w:rFonts w:hint="eastAsia" w:cs="@仿宋_GB2312" w:asciiTheme="minorEastAsia" w:hAnsiTheme="minorEastAsia" w:eastAsiaTheme="minorEastAsia"/>
                <w:b/>
                <w:bCs/>
                <w:kern w:val="2"/>
                <w:sz w:val="24"/>
                <w:szCs w:val="22"/>
                <w:highlight w:val="none"/>
              </w:rPr>
              <w:t>2</w:t>
            </w:r>
            <w:r>
              <w:rPr>
                <w:rFonts w:hint="eastAsia" w:cs="@仿宋_GB2312" w:asciiTheme="minorEastAsia" w:hAnsiTheme="minorEastAsia" w:eastAsiaTheme="minorEastAsia"/>
                <w:b/>
                <w:bCs/>
                <w:kern w:val="2"/>
                <w:sz w:val="24"/>
                <w:szCs w:val="22"/>
                <w:highlight w:val="none"/>
                <w:lang w:eastAsia="zh-CN"/>
              </w:rPr>
              <w:t>）</w:t>
            </w:r>
            <w:r>
              <w:rPr>
                <w:rFonts w:hint="eastAsia" w:cs="@仿宋_GB2312" w:asciiTheme="minorEastAsia" w:hAnsiTheme="minorEastAsia" w:eastAsiaTheme="minorEastAsia"/>
                <w:b/>
                <w:bCs/>
                <w:kern w:val="2"/>
                <w:sz w:val="24"/>
                <w:szCs w:val="22"/>
                <w:highlight w:val="none"/>
              </w:rPr>
              <w:t>如本项目采购人对工程质量有特殊需求的，对主要设备及材料提供不少于三个的参考品牌，对于采购人参考品牌的材料，供应商可选用参考品牌或不低于参考品牌质量标准的其它品牌</w:t>
            </w:r>
            <w:r>
              <w:rPr>
                <w:rFonts w:hint="eastAsia" w:cs="@仿宋_GB2312" w:asciiTheme="minorEastAsia" w:hAnsiTheme="minorEastAsia" w:eastAsiaTheme="minorEastAsia"/>
                <w:b/>
                <w:bCs/>
                <w:kern w:val="2"/>
                <w:sz w:val="24"/>
                <w:szCs w:val="22"/>
                <w:highlight w:val="none"/>
                <w:lang w:eastAsia="zh-CN"/>
              </w:rPr>
              <w:t>；</w:t>
            </w:r>
            <w:r>
              <w:rPr>
                <w:rFonts w:hint="eastAsia" w:cs="@仿宋_GB2312" w:asciiTheme="minorEastAsia" w:hAnsiTheme="minorEastAsia" w:eastAsiaTheme="minorEastAsia"/>
                <w:b/>
                <w:bCs/>
                <w:kern w:val="2"/>
                <w:sz w:val="24"/>
                <w:szCs w:val="22"/>
                <w:highlight w:val="none"/>
              </w:rPr>
              <w:t>采用其它品牌的应在响应文件中提供相关技术参数证明材料供磋商小组评审，未提供相关技术参数证明材料或经磋商小组评审未通过的，成交后只能从采购人参考品牌中进行选择，价格不予调整。</w:t>
            </w:r>
          </w:p>
          <w:p w14:paraId="25A940B2">
            <w:pPr>
              <w:spacing w:line="360" w:lineRule="auto"/>
              <w:rPr>
                <w:rFonts w:hint="eastAsia"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b/>
                <w:bCs/>
                <w:kern w:val="2"/>
                <w:sz w:val="24"/>
                <w:szCs w:val="22"/>
                <w:highlight w:val="none"/>
                <w:lang w:eastAsia="zh-CN"/>
              </w:rPr>
              <w:t>（</w:t>
            </w:r>
            <w:r>
              <w:rPr>
                <w:rFonts w:hint="eastAsia" w:cs="@仿宋_GB2312" w:asciiTheme="minorEastAsia" w:hAnsiTheme="minorEastAsia" w:eastAsiaTheme="minorEastAsia"/>
                <w:b/>
                <w:bCs/>
                <w:kern w:val="2"/>
                <w:sz w:val="24"/>
                <w:szCs w:val="22"/>
                <w:highlight w:val="none"/>
              </w:rPr>
              <w:t>3</w:t>
            </w:r>
            <w:r>
              <w:rPr>
                <w:rFonts w:hint="eastAsia" w:cs="@仿宋_GB2312" w:asciiTheme="minorEastAsia" w:hAnsiTheme="minorEastAsia" w:eastAsiaTheme="minorEastAsia"/>
                <w:b/>
                <w:bCs/>
                <w:kern w:val="2"/>
                <w:sz w:val="24"/>
                <w:szCs w:val="22"/>
                <w:highlight w:val="none"/>
                <w:lang w:eastAsia="zh-CN"/>
              </w:rPr>
              <w:t>）</w:t>
            </w:r>
            <w:r>
              <w:rPr>
                <w:rFonts w:hint="eastAsia" w:cs="@仿宋_GB2312" w:asciiTheme="minorEastAsia" w:hAnsiTheme="minorEastAsia" w:eastAsiaTheme="minorEastAsia"/>
                <w:b/>
                <w:bCs/>
                <w:kern w:val="2"/>
                <w:sz w:val="24"/>
                <w:szCs w:val="22"/>
                <w:highlight w:val="none"/>
              </w:rPr>
              <w:t>对于采购人参考品牌的材料，供应商如认为参考品牌有限定性、唯一性、明显不在同一档次等级的或者其他异议的，应在本项目询问截止时间前以书面方式提交给采购人或代理机构。</w:t>
            </w:r>
          </w:p>
        </w:tc>
      </w:tr>
      <w:tr w14:paraId="30DA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E2E4F5">
            <w:pPr>
              <w:spacing w:line="360" w:lineRule="auto"/>
              <w:jc w:val="center"/>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lang w:val="en-US" w:eastAsia="zh-CN"/>
              </w:rPr>
              <w:t>4</w:t>
            </w:r>
          </w:p>
        </w:tc>
        <w:tc>
          <w:tcPr>
            <w:tcW w:w="749" w:type="pct"/>
            <w:vAlign w:val="center"/>
          </w:tcPr>
          <w:p w14:paraId="20B1392C">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报价须知</w:t>
            </w:r>
          </w:p>
        </w:tc>
        <w:tc>
          <w:tcPr>
            <w:tcW w:w="3688" w:type="pct"/>
            <w:vAlign w:val="center"/>
          </w:tcPr>
          <w:p w14:paraId="204A3400">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1</w:t>
            </w:r>
            <w:r>
              <w:rPr>
                <w:rFonts w:hint="eastAsia" w:cs="@仿宋_GB2312" w:asciiTheme="minorEastAsia" w:hAnsiTheme="minorEastAsia" w:eastAsiaTheme="minorEastAsia"/>
                <w:kern w:val="2"/>
                <w:sz w:val="24"/>
                <w:szCs w:val="22"/>
                <w:highlight w:val="none"/>
                <w:lang w:eastAsia="zh-CN"/>
              </w:rPr>
              <w:t>.</w:t>
            </w:r>
            <w:r>
              <w:rPr>
                <w:rFonts w:hint="eastAsia" w:cs="@仿宋_GB2312" w:asciiTheme="minorEastAsia" w:hAnsiTheme="minorEastAsia" w:eastAsiaTheme="minorEastAsia"/>
                <w:kern w:val="2"/>
                <w:sz w:val="24"/>
                <w:szCs w:val="22"/>
                <w:highlight w:val="none"/>
              </w:rPr>
              <w:t>供应商最后报价均不得高于磋商文件（公告）列明的项目预算、最高投标限价，否则其响应文件将被认定为响应无效。</w:t>
            </w:r>
          </w:p>
          <w:p w14:paraId="75315E7E">
            <w:pPr>
              <w:spacing w:line="360" w:lineRule="auto"/>
              <w:rPr>
                <w:rFonts w:hint="eastAsia" w:cs="@仿宋_GB2312" w:asciiTheme="minorEastAsia" w:hAnsiTheme="minorEastAsia" w:eastAsiaTheme="minorEastAsia"/>
                <w:kern w:val="2"/>
                <w:sz w:val="24"/>
                <w:szCs w:val="22"/>
                <w:highlight w:val="none"/>
                <w:lang w:val="en-US" w:eastAsia="zh-CN"/>
              </w:rPr>
            </w:pPr>
            <w:r>
              <w:rPr>
                <w:rFonts w:hint="eastAsia" w:cs="@仿宋_GB2312" w:asciiTheme="minorEastAsia" w:hAnsiTheme="minorEastAsia" w:eastAsiaTheme="minorEastAsia"/>
                <w:kern w:val="2"/>
                <w:sz w:val="24"/>
                <w:szCs w:val="22"/>
                <w:highlight w:val="none"/>
              </w:rPr>
              <w:t>2</w:t>
            </w:r>
            <w:r>
              <w:rPr>
                <w:rFonts w:hint="eastAsia" w:cs="@仿宋_GB2312" w:asciiTheme="minorEastAsia" w:hAnsiTheme="minorEastAsia" w:eastAsiaTheme="minorEastAsia"/>
                <w:kern w:val="2"/>
                <w:sz w:val="24"/>
                <w:szCs w:val="22"/>
                <w:highlight w:val="none"/>
                <w:lang w:eastAsia="zh-CN"/>
              </w:rPr>
              <w:t>.</w:t>
            </w:r>
            <w:r>
              <w:rPr>
                <w:rFonts w:hint="eastAsia" w:cs="@仿宋_GB2312" w:asciiTheme="minorEastAsia" w:hAnsiTheme="minorEastAsia" w:eastAsiaTheme="minorEastAsia"/>
                <w:kern w:val="2"/>
                <w:sz w:val="24"/>
                <w:szCs w:val="22"/>
                <w:highlight w:val="none"/>
              </w:rPr>
              <w:t>（1）发布的工程量清单为.18zhzb格式，供应商应及时升级造价软件，生成的已标价工程量清单文件后缀名须为.18zhtb。</w:t>
            </w:r>
            <w:permStart w:id="0" w:edGrp="everyone"/>
            <w:r>
              <w:rPr>
                <w:rFonts w:hint="eastAsia" w:cs="@仿宋_GB2312" w:asciiTheme="minorEastAsia" w:hAnsiTheme="minorEastAsia" w:eastAsiaTheme="minorEastAsia"/>
                <w:b/>
                <w:bCs/>
                <w:kern w:val="2"/>
                <w:sz w:val="24"/>
                <w:szCs w:val="22"/>
                <w:highlight w:val="none"/>
                <w:lang w:val="en-US" w:eastAsia="zh-CN"/>
              </w:rPr>
              <w:t>供应商以响应文件附件形式应另外上传</w:t>
            </w:r>
            <w:r>
              <w:rPr>
                <w:rFonts w:hint="eastAsia" w:cs="@仿宋_GB2312" w:asciiTheme="minorEastAsia" w:hAnsiTheme="minorEastAsia" w:eastAsiaTheme="minorEastAsia"/>
                <w:b/>
                <w:bCs/>
                <w:kern w:val="2"/>
                <w:sz w:val="24"/>
                <w:szCs w:val="22"/>
                <w:highlight w:val="none"/>
              </w:rPr>
              <w:t>与</w:t>
            </w:r>
            <w:r>
              <w:rPr>
                <w:rFonts w:hint="eastAsia" w:cs="@仿宋_GB2312" w:asciiTheme="minorEastAsia" w:hAnsiTheme="minorEastAsia" w:eastAsiaTheme="minorEastAsia"/>
                <w:b/>
                <w:bCs/>
                <w:kern w:val="2"/>
                <w:sz w:val="24"/>
                <w:szCs w:val="22"/>
                <w:highlight w:val="none"/>
                <w:lang w:val="en-US" w:eastAsia="zh-CN"/>
              </w:rPr>
              <w:t>响应</w:t>
            </w:r>
            <w:r>
              <w:rPr>
                <w:rFonts w:hint="eastAsia" w:cs="@仿宋_GB2312" w:asciiTheme="minorEastAsia" w:hAnsiTheme="minorEastAsia" w:eastAsiaTheme="minorEastAsia"/>
                <w:b/>
                <w:bCs/>
                <w:kern w:val="2"/>
                <w:sz w:val="24"/>
                <w:szCs w:val="22"/>
                <w:highlight w:val="none"/>
              </w:rPr>
              <w:t>文件中一致的工程量清单报价的EXCEL版本（EXCE格式清单文件仅作为招标人存档需要，不作为评审依据</w:t>
            </w:r>
            <w:r>
              <w:rPr>
                <w:rFonts w:hint="eastAsia" w:cs="@仿宋_GB2312" w:asciiTheme="minorEastAsia" w:hAnsiTheme="minorEastAsia" w:eastAsiaTheme="minorEastAsia"/>
                <w:kern w:val="2"/>
                <w:sz w:val="24"/>
                <w:szCs w:val="22"/>
                <w:highlight w:val="none"/>
              </w:rPr>
              <w:t>）</w:t>
            </w:r>
            <w:r>
              <w:rPr>
                <w:rFonts w:hint="eastAsia" w:cs="@仿宋_GB2312" w:asciiTheme="minorEastAsia" w:hAnsiTheme="minorEastAsia" w:eastAsiaTheme="minorEastAsia"/>
                <w:b/>
                <w:bCs/>
                <w:kern w:val="2"/>
                <w:sz w:val="24"/>
                <w:szCs w:val="22"/>
                <w:highlight w:val="none"/>
                <w:lang w:val="en-US" w:eastAsia="zh-CN"/>
              </w:rPr>
              <w:t>与</w:t>
            </w:r>
            <w:r>
              <w:rPr>
                <w:rFonts w:hint="eastAsia" w:cs="@仿宋_GB2312" w:asciiTheme="minorEastAsia" w:hAnsiTheme="minorEastAsia" w:eastAsiaTheme="minorEastAsia"/>
                <w:b/>
                <w:bCs/>
                <w:kern w:val="2"/>
                <w:sz w:val="24"/>
                <w:szCs w:val="22"/>
                <w:highlight w:val="none"/>
              </w:rPr>
              <w:t>.18zhtb</w:t>
            </w:r>
            <w:r>
              <w:rPr>
                <w:rFonts w:hint="eastAsia" w:cs="@仿宋_GB2312" w:asciiTheme="minorEastAsia" w:hAnsiTheme="minorEastAsia" w:eastAsiaTheme="minorEastAsia"/>
                <w:b/>
                <w:bCs/>
                <w:kern w:val="2"/>
                <w:sz w:val="24"/>
                <w:szCs w:val="22"/>
                <w:highlight w:val="none"/>
                <w:lang w:val="en-US" w:eastAsia="zh-CN"/>
              </w:rPr>
              <w:t>版本。</w:t>
            </w:r>
            <w:permEnd w:id="0"/>
          </w:p>
          <w:p w14:paraId="4D05FC97">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 xml:space="preserve">（2）投标人制作投标文件前，必须及时升级电子投标文件制作软件至最新版本。投标人如未及时更新电子投标文件制作软件和造价软件，产生的一切后果由投标人自行承担。 </w:t>
            </w:r>
          </w:p>
          <w:p w14:paraId="4398CBFA">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（3）在使用过程中如有技术问题，请致电电子交易系统服务电话。</w:t>
            </w:r>
          </w:p>
          <w:p w14:paraId="72B0079C">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4）工程量清单报价书编制人应为投标人或工程造价咨询单位具有造价执业资格的人员。鉴于现阶段为造价员取消过渡阶段，工程量清单报价书编制人可为造价员，评审过程中不对造价员执业专用章的时间有效性或电子执业章的时间有效性进行评审。</w:t>
            </w:r>
          </w:p>
          <w:p w14:paraId="76CC89BD">
            <w:pPr>
              <w:spacing w:line="360" w:lineRule="auto"/>
              <w:rPr>
                <w:rFonts w:eastAsia="@微软简标宋"/>
                <w:kern w:val="2"/>
                <w:sz w:val="21"/>
                <w:szCs w:val="22"/>
                <w:highlight w:val="none"/>
              </w:rPr>
            </w:pPr>
            <w:r>
              <w:rPr>
                <w:rFonts w:hint="eastAsia" w:cs="@仿宋_GB2312" w:asciiTheme="minorEastAsia" w:hAnsiTheme="minorEastAsia" w:eastAsiaTheme="minorEastAsia"/>
                <w:kern w:val="2"/>
                <w:sz w:val="24"/>
                <w:szCs w:val="22"/>
                <w:highlight w:val="none"/>
              </w:rPr>
              <w:t>（5）本标段工程量清单、最高投标限价（招标控制价）发出后，投标人应对其数据进行复核，如认为数据有误，可按照本招标文件规定的程序及时限要求提出。</w:t>
            </w:r>
          </w:p>
        </w:tc>
      </w:tr>
      <w:tr w14:paraId="4FA2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B4B2EA">
            <w:pPr>
              <w:spacing w:line="360" w:lineRule="auto"/>
              <w:jc w:val="center"/>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lang w:val="en-US" w:eastAsia="zh-CN"/>
              </w:rPr>
              <w:t>5</w:t>
            </w:r>
          </w:p>
        </w:tc>
        <w:tc>
          <w:tcPr>
            <w:tcW w:w="749" w:type="pct"/>
            <w:vAlign w:val="center"/>
          </w:tcPr>
          <w:p w14:paraId="5FEC4CB3">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重要说明</w:t>
            </w:r>
          </w:p>
        </w:tc>
        <w:tc>
          <w:tcPr>
            <w:tcW w:w="3688" w:type="pct"/>
            <w:vAlign w:val="center"/>
          </w:tcPr>
          <w:p w14:paraId="56D4A318">
            <w:pPr>
              <w:spacing w:line="360" w:lineRule="auto"/>
              <w:rPr>
                <w:rFonts w:eastAsiaTheme="minorEastAsia"/>
                <w:kern w:val="2"/>
                <w:sz w:val="24"/>
                <w:szCs w:val="18"/>
                <w:highlight w:val="none"/>
              </w:rPr>
            </w:pPr>
            <w:r>
              <w:rPr>
                <w:rFonts w:hint="eastAsia" w:cs="宋体" w:eastAsiaTheme="minorEastAsia"/>
                <w:kern w:val="2"/>
                <w:sz w:val="24"/>
                <w:szCs w:val="24"/>
                <w:highlight w:val="none"/>
              </w:rPr>
              <w:t>1</w:t>
            </w:r>
            <w:r>
              <w:rPr>
                <w:rFonts w:hint="eastAsia" w:cs="宋体" w:eastAsiaTheme="minorEastAsia"/>
                <w:kern w:val="2"/>
                <w:sz w:val="24"/>
                <w:szCs w:val="24"/>
                <w:highlight w:val="none"/>
                <w:lang w:eastAsia="zh-CN"/>
              </w:rPr>
              <w:t>.</w:t>
            </w:r>
            <w:r>
              <w:rPr>
                <w:rFonts w:cs="宋体" w:eastAsiaTheme="minorEastAsia"/>
                <w:kern w:val="2"/>
                <w:sz w:val="24"/>
                <w:szCs w:val="24"/>
                <w:highlight w:val="none"/>
              </w:rPr>
              <w:t>政府采购政策（包括但不限于下列具体政策要求</w:t>
            </w:r>
            <w:r>
              <w:rPr>
                <w:rFonts w:hint="eastAsia" w:cs="宋体" w:eastAsiaTheme="minorEastAsia"/>
                <w:kern w:val="2"/>
                <w:sz w:val="24"/>
                <w:szCs w:val="24"/>
                <w:highlight w:val="none"/>
              </w:rPr>
              <w:t>）</w:t>
            </w:r>
            <w:r>
              <w:rPr>
                <w:rFonts w:hint="eastAsia" w:eastAsiaTheme="minorEastAsia"/>
                <w:kern w:val="2"/>
                <w:sz w:val="24"/>
                <w:szCs w:val="18"/>
                <w:highlight w:val="none"/>
              </w:rPr>
              <w:t>：</w:t>
            </w:r>
          </w:p>
          <w:p w14:paraId="01F38600">
            <w:pPr>
              <w:spacing w:line="360" w:lineRule="auto"/>
              <w:rPr>
                <w:rFonts w:cs="宋体" w:eastAsiaTheme="minorEastAsia"/>
                <w:kern w:val="2"/>
                <w:sz w:val="24"/>
                <w:szCs w:val="24"/>
                <w:highlight w:val="none"/>
              </w:rPr>
            </w:pPr>
            <w:r>
              <w:rPr>
                <w:rFonts w:hint="eastAsia" w:cs="宋体" w:eastAsiaTheme="minorEastAsia"/>
                <w:kern w:val="2"/>
                <w:sz w:val="24"/>
                <w:szCs w:val="24"/>
                <w:highlight w:val="none"/>
              </w:rPr>
              <w:t>（1）</w:t>
            </w:r>
            <w:r>
              <w:rPr>
                <w:rFonts w:hint="eastAsia" w:cs="宋体" w:eastAsiaTheme="minorEastAsia"/>
                <w:b/>
                <w:bCs/>
                <w:kern w:val="2"/>
                <w:sz w:val="24"/>
                <w:szCs w:val="24"/>
                <w:highlight w:val="none"/>
              </w:rPr>
              <w:t>如属于《节能产品政府采购品目清单》中政府强制采购的节能产品，则供应商</w:t>
            </w:r>
            <w:r>
              <w:rPr>
                <w:rFonts w:hint="eastAsia" w:cs="宋体" w:eastAsiaTheme="minorEastAsia"/>
                <w:b/>
                <w:bCs/>
                <w:kern w:val="2"/>
                <w:sz w:val="24"/>
                <w:szCs w:val="24"/>
                <w:highlight w:val="none"/>
                <w:lang w:val="en-US" w:eastAsia="zh-CN"/>
              </w:rPr>
              <w:t>需在响应文件中提供</w:t>
            </w:r>
            <w:r>
              <w:rPr>
                <w:rFonts w:hint="eastAsia" w:cs="宋体" w:eastAsiaTheme="minorEastAsia"/>
                <w:b/>
                <w:bCs/>
                <w:kern w:val="2"/>
                <w:sz w:val="24"/>
                <w:szCs w:val="24"/>
                <w:highlight w:val="none"/>
              </w:rPr>
              <w:t>所投产品具有市场监管总局公布的《参与实施政府采购节能产品认证机构目录》中的认证机构出具的、处于有效期内的节能产品认证证书。</w:t>
            </w:r>
          </w:p>
          <w:p w14:paraId="62106685">
            <w:pPr>
              <w:spacing w:line="360" w:lineRule="auto"/>
              <w:rPr>
                <w:rFonts w:cs="@仿宋_GB2312" w:asciiTheme="minorEastAsia" w:hAnsiTheme="minorEastAsia" w:eastAsiaTheme="minorEastAsia"/>
                <w:kern w:val="2"/>
                <w:sz w:val="24"/>
                <w:szCs w:val="22"/>
                <w:highlight w:val="none"/>
              </w:rPr>
            </w:pPr>
            <w:r>
              <w:rPr>
                <w:rFonts w:hint="eastAsia" w:cs="宋体" w:eastAsiaTheme="minorEastAsia"/>
                <w:kern w:val="2"/>
                <w:sz w:val="24"/>
                <w:szCs w:val="24"/>
                <w:highlight w:val="none"/>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0BD9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8E046EF">
            <w:pPr>
              <w:spacing w:line="360" w:lineRule="auto"/>
              <w:jc w:val="center"/>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lang w:val="en-US" w:eastAsia="zh-CN"/>
              </w:rPr>
              <w:t>6</w:t>
            </w:r>
          </w:p>
        </w:tc>
        <w:tc>
          <w:tcPr>
            <w:tcW w:w="749" w:type="pct"/>
            <w:vAlign w:val="center"/>
          </w:tcPr>
          <w:p w14:paraId="74504AF6">
            <w:pPr>
              <w:pStyle w:val="67"/>
              <w:widowControl w:val="0"/>
              <w:spacing w:before="0" w:beforeAutospacing="0" w:after="0" w:afterAutospacing="0" w:line="360" w:lineRule="auto"/>
              <w:rPr>
                <w:rFonts w:asciiTheme="minorHAnsi" w:hAnsiTheme="minorHAnsi" w:eastAsiaTheme="minorEastAsia"/>
                <w:b w:val="0"/>
                <w:kern w:val="2"/>
                <w:sz w:val="24"/>
                <w:highlight w:val="none"/>
              </w:rPr>
            </w:pPr>
            <w:r>
              <w:rPr>
                <w:rFonts w:hint="eastAsia" w:asciiTheme="minorHAnsi" w:hAnsiTheme="minorHAnsi" w:eastAsiaTheme="minorEastAsia"/>
                <w:b w:val="0"/>
                <w:kern w:val="2"/>
                <w:sz w:val="24"/>
                <w:highlight w:val="none"/>
              </w:rPr>
              <w:t>付款方式</w:t>
            </w:r>
          </w:p>
        </w:tc>
        <w:tc>
          <w:tcPr>
            <w:tcW w:w="3688" w:type="pct"/>
            <w:vAlign w:val="center"/>
          </w:tcPr>
          <w:p w14:paraId="77C06E85">
            <w:pPr>
              <w:spacing w:line="360" w:lineRule="auto"/>
              <w:rPr>
                <w:rFonts w:asciiTheme="minorEastAsia" w:hAnsiTheme="minorEastAsia" w:eastAsiaTheme="minorEastAsia"/>
                <w:kern w:val="2"/>
                <w:sz w:val="24"/>
                <w:szCs w:val="22"/>
                <w:highlight w:val="none"/>
              </w:rPr>
            </w:pPr>
            <w:r>
              <w:rPr>
                <w:rFonts w:hint="eastAsia" w:asciiTheme="minorEastAsia" w:hAnsiTheme="minorEastAsia" w:eastAsiaTheme="minorEastAsia"/>
                <w:kern w:val="2"/>
                <w:sz w:val="24"/>
                <w:szCs w:val="22"/>
                <w:highlight w:val="none"/>
              </w:rPr>
              <w:t>拆除工程完成</w:t>
            </w:r>
            <w:r>
              <w:rPr>
                <w:rFonts w:hint="eastAsia" w:asciiTheme="minorEastAsia" w:hAnsiTheme="minorEastAsia" w:eastAsiaTheme="minorEastAsia"/>
                <w:kern w:val="2"/>
                <w:sz w:val="24"/>
                <w:szCs w:val="22"/>
                <w:highlight w:val="none"/>
                <w:lang w:val="en-US" w:eastAsia="zh-CN"/>
              </w:rPr>
              <w:t>后付至合同价的</w:t>
            </w:r>
            <w:r>
              <w:rPr>
                <w:rFonts w:hint="eastAsia" w:asciiTheme="minorEastAsia" w:hAnsiTheme="minorEastAsia" w:eastAsiaTheme="minorEastAsia"/>
                <w:kern w:val="2"/>
                <w:sz w:val="24"/>
                <w:szCs w:val="22"/>
                <w:highlight w:val="none"/>
              </w:rPr>
              <w:t>10%，</w:t>
            </w:r>
            <w:r>
              <w:rPr>
                <w:rFonts w:hint="eastAsia" w:asciiTheme="minorEastAsia" w:hAnsiTheme="minorEastAsia" w:eastAsiaTheme="minorEastAsia"/>
                <w:kern w:val="2"/>
                <w:sz w:val="24"/>
                <w:szCs w:val="22"/>
                <w:highlight w:val="none"/>
                <w:lang w:val="en-US" w:eastAsia="zh-CN"/>
              </w:rPr>
              <w:t>工程竣工验收合格后付至合同价的85</w:t>
            </w:r>
            <w:r>
              <w:rPr>
                <w:rFonts w:hint="eastAsia" w:asciiTheme="minorEastAsia" w:hAnsiTheme="minorEastAsia" w:eastAsiaTheme="minorEastAsia"/>
                <w:kern w:val="2"/>
                <w:sz w:val="24"/>
                <w:szCs w:val="22"/>
                <w:highlight w:val="none"/>
              </w:rPr>
              <w:t>%，结算审核完成后付款至100%，施工方需按照3%的结算审核款交至学校作为质保金，待</w:t>
            </w:r>
            <w:r>
              <w:rPr>
                <w:rFonts w:hint="eastAsia" w:asciiTheme="minorEastAsia" w:hAnsiTheme="minorEastAsia" w:eastAsiaTheme="minorEastAsia"/>
                <w:kern w:val="2"/>
                <w:sz w:val="24"/>
                <w:szCs w:val="22"/>
                <w:highlight w:val="none"/>
                <w:lang w:val="en-US" w:eastAsia="zh-CN"/>
              </w:rPr>
              <w:t>缺陷责任期满</w:t>
            </w:r>
            <w:r>
              <w:rPr>
                <w:rFonts w:hint="eastAsia" w:asciiTheme="minorEastAsia" w:hAnsiTheme="minorEastAsia" w:eastAsiaTheme="minorEastAsia"/>
                <w:kern w:val="2"/>
                <w:sz w:val="24"/>
                <w:szCs w:val="22"/>
                <w:highlight w:val="none"/>
              </w:rPr>
              <w:t>完成后退还。</w:t>
            </w:r>
          </w:p>
        </w:tc>
      </w:tr>
      <w:tr w14:paraId="65C1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2469480">
            <w:pPr>
              <w:spacing w:line="360" w:lineRule="auto"/>
              <w:jc w:val="center"/>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lang w:val="en-US" w:eastAsia="zh-CN"/>
              </w:rPr>
              <w:t>7</w:t>
            </w:r>
          </w:p>
        </w:tc>
        <w:tc>
          <w:tcPr>
            <w:tcW w:w="749" w:type="pct"/>
            <w:vAlign w:val="center"/>
          </w:tcPr>
          <w:p w14:paraId="7225248E">
            <w:pPr>
              <w:pStyle w:val="67"/>
              <w:widowControl w:val="0"/>
              <w:spacing w:before="0" w:beforeAutospacing="0" w:after="0" w:afterAutospacing="0" w:line="360" w:lineRule="auto"/>
              <w:rPr>
                <w:rFonts w:asciiTheme="minorHAnsi" w:hAnsiTheme="minorHAnsi" w:eastAsiaTheme="minorEastAsia"/>
                <w:b w:val="0"/>
                <w:kern w:val="2"/>
                <w:sz w:val="24"/>
                <w:highlight w:val="none"/>
              </w:rPr>
            </w:pPr>
            <w:r>
              <w:rPr>
                <w:rFonts w:hint="eastAsia" w:asciiTheme="minorHAnsi" w:hAnsiTheme="minorHAnsi" w:eastAsiaTheme="minorEastAsia"/>
                <w:b w:val="0"/>
                <w:kern w:val="2"/>
                <w:sz w:val="24"/>
                <w:highlight w:val="none"/>
              </w:rPr>
              <w:t>缺陷责任期</w:t>
            </w:r>
          </w:p>
        </w:tc>
        <w:tc>
          <w:tcPr>
            <w:tcW w:w="3688" w:type="pct"/>
            <w:vAlign w:val="center"/>
          </w:tcPr>
          <w:p w14:paraId="1216149B">
            <w:pPr>
              <w:spacing w:line="360" w:lineRule="auto"/>
              <w:rPr>
                <w:rFonts w:cs="宋体" w:eastAsiaTheme="minorEastAsia"/>
                <w:kern w:val="2"/>
                <w:sz w:val="24"/>
                <w:szCs w:val="24"/>
                <w:highlight w:val="none"/>
              </w:rPr>
            </w:pPr>
            <w:r>
              <w:rPr>
                <w:rFonts w:hint="eastAsia" w:cs="宋体" w:eastAsiaTheme="minorEastAsia"/>
                <w:kern w:val="2"/>
                <w:sz w:val="24"/>
                <w:szCs w:val="24"/>
                <w:highlight w:val="none"/>
              </w:rPr>
              <w:t>24个月</w:t>
            </w:r>
          </w:p>
        </w:tc>
      </w:tr>
      <w:tr w14:paraId="543C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7617298">
            <w:pPr>
              <w:spacing w:line="360" w:lineRule="auto"/>
              <w:jc w:val="center"/>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lang w:val="en-US" w:eastAsia="zh-CN"/>
              </w:rPr>
              <w:t>8</w:t>
            </w:r>
          </w:p>
        </w:tc>
        <w:tc>
          <w:tcPr>
            <w:tcW w:w="749" w:type="pct"/>
            <w:vAlign w:val="center"/>
          </w:tcPr>
          <w:p w14:paraId="5E06E277">
            <w:pPr>
              <w:pStyle w:val="67"/>
              <w:widowControl w:val="0"/>
              <w:spacing w:before="0" w:beforeAutospacing="0" w:after="0" w:afterAutospacing="0" w:line="360" w:lineRule="auto"/>
              <w:rPr>
                <w:rFonts w:cs="@仿宋_GB2312" w:asciiTheme="minorEastAsia" w:hAnsiTheme="minorEastAsia" w:eastAsiaTheme="minorEastAsia"/>
                <w:kern w:val="2"/>
                <w:sz w:val="24"/>
                <w:highlight w:val="none"/>
              </w:rPr>
            </w:pPr>
            <w:r>
              <w:rPr>
                <w:rFonts w:hint="eastAsia" w:asciiTheme="minorHAnsi" w:hAnsiTheme="minorHAnsi" w:eastAsiaTheme="minorEastAsia"/>
                <w:b w:val="0"/>
                <w:kern w:val="2"/>
                <w:sz w:val="24"/>
                <w:highlight w:val="none"/>
              </w:rPr>
              <w:t>本项目采购标的名称及所属行业</w:t>
            </w:r>
          </w:p>
        </w:tc>
        <w:tc>
          <w:tcPr>
            <w:tcW w:w="3688" w:type="pct"/>
            <w:vAlign w:val="center"/>
          </w:tcPr>
          <w:p w14:paraId="72E25DCD">
            <w:pPr>
              <w:spacing w:line="360" w:lineRule="auto"/>
              <w:jc w:val="left"/>
              <w:rPr>
                <w:rFonts w:hint="eastAsia" w:asciiTheme="minorEastAsia" w:hAnsiTheme="minorEastAsia" w:eastAsiaTheme="minorEastAsia"/>
                <w:kern w:val="2"/>
                <w:sz w:val="24"/>
                <w:szCs w:val="22"/>
                <w:highlight w:val="none"/>
                <w:lang w:eastAsia="zh-CN"/>
              </w:rPr>
            </w:pPr>
            <w:r>
              <w:rPr>
                <w:rFonts w:hint="eastAsia" w:asciiTheme="minorEastAsia" w:hAnsiTheme="minorEastAsia" w:eastAsiaTheme="minorEastAsia"/>
                <w:kern w:val="2"/>
                <w:sz w:val="24"/>
                <w:szCs w:val="22"/>
                <w:highlight w:val="none"/>
              </w:rPr>
              <w:t>标的名称：</w:t>
            </w:r>
            <w:r>
              <w:rPr>
                <w:rFonts w:hint="eastAsia" w:eastAsiaTheme="minorEastAsia"/>
                <w:bCs/>
                <w:kern w:val="2"/>
                <w:sz w:val="24"/>
                <w:szCs w:val="22"/>
                <w:highlight w:val="none"/>
                <w:lang w:eastAsia="zh-CN"/>
              </w:rPr>
              <w:t>安徽职业技术大学2026年公共区域卫生间维修项目（二次）</w:t>
            </w:r>
          </w:p>
          <w:p w14:paraId="7713CD22">
            <w:pPr>
              <w:rPr>
                <w:rFonts w:asciiTheme="minorHAnsi" w:hAnsiTheme="minorHAnsi" w:eastAsiaTheme="minorEastAsia"/>
                <w:kern w:val="2"/>
                <w:sz w:val="24"/>
                <w:szCs w:val="22"/>
                <w:highlight w:val="none"/>
              </w:rPr>
            </w:pPr>
            <w:r>
              <w:rPr>
                <w:rFonts w:hint="eastAsia" w:asciiTheme="minorEastAsia" w:hAnsiTheme="minorEastAsia" w:eastAsiaTheme="minorEastAsia"/>
                <w:kern w:val="2"/>
                <w:sz w:val="24"/>
                <w:szCs w:val="22"/>
                <w:highlight w:val="none"/>
              </w:rPr>
              <w:t>所属行业：建筑业</w:t>
            </w:r>
          </w:p>
        </w:tc>
      </w:tr>
      <w:tr w14:paraId="7028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4A85866">
            <w:pPr>
              <w:spacing w:line="360" w:lineRule="auto"/>
              <w:jc w:val="center"/>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lang w:val="en-US" w:eastAsia="zh-CN"/>
              </w:rPr>
              <w:t>9</w:t>
            </w:r>
          </w:p>
        </w:tc>
        <w:tc>
          <w:tcPr>
            <w:tcW w:w="749" w:type="pct"/>
            <w:vAlign w:val="center"/>
          </w:tcPr>
          <w:p w14:paraId="22D528ED">
            <w:pPr>
              <w:spacing w:line="360" w:lineRule="auto"/>
              <w:jc w:val="left"/>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其他要求</w:t>
            </w:r>
          </w:p>
        </w:tc>
        <w:tc>
          <w:tcPr>
            <w:tcW w:w="3688" w:type="pct"/>
            <w:vAlign w:val="center"/>
          </w:tcPr>
          <w:p w14:paraId="0F55C3E0">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（1）技术要求</w:t>
            </w:r>
          </w:p>
          <w:p w14:paraId="365DA841">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①防水性能：地面、墙面防水无渗漏、无积水，防水层耐用年限不低于5年；地面闭水试验蓄水高度≥20mm，持续时间≥48h，无渗漏、无湿痕；墙面无返潮、无霉变；</w:t>
            </w:r>
          </w:p>
          <w:p w14:paraId="205D2964">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②瓷砖性能：地面瓷砖湿态摩擦系数≥0.6，耐磨等级不低于4级，不易磨损、刮花，易清洁；墙面瓷砖附着力强，不易脱落，长期使用无褪色、变形；</w:t>
            </w:r>
          </w:p>
          <w:p w14:paraId="4D96031F">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③油漆性能：漆膜均匀、附着力强，防潮、防霉、抗污，不易脱落、变色，无粉化、开裂，适配卫生间潮湿环境；</w:t>
            </w:r>
          </w:p>
          <w:p w14:paraId="4CD9E9E6">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④水电性能：水管无滴漏、无堵塞，水流顺畅，耐压等级≥3.0MPa；电路绝缘性能良好，无漏电隐患，灯具防水防尘，干区防护等级≥IPX4，湿区≥IP64；</w:t>
            </w:r>
          </w:p>
          <w:p w14:paraId="71DB383B">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⑤洁具性能：大便器、小便池冲水顺畅、无堵塞、无滴漏，符合国家节水标准，表面易清洁，；小便器配备防臭装置；</w:t>
            </w:r>
          </w:p>
          <w:p w14:paraId="07D2688E">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⑥门窗性能：开关灵活、关闭严密，无卡顿、松动，防水、防潮、隔音，玻璃抗压抗冲击，无破损隐患，保障使用隐私；</w:t>
            </w:r>
          </w:p>
          <w:p w14:paraId="675E5115">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⑦隔断性能：防潮、防腐、抗冲击，不易变形、开裂，开关灵活，隔音效果良好，保障使用隐私；</w:t>
            </w:r>
          </w:p>
          <w:p w14:paraId="0239008C">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⑧吊顶性能：防潮、防火，无变形、松动，平整度高，拼接严密，不易霉变、脱落，便于后期检修</w:t>
            </w:r>
            <w:r>
              <w:rPr>
                <w:rFonts w:hint="eastAsia" w:eastAsiaTheme="minorEastAsia"/>
                <w:bCs/>
                <w:kern w:val="2"/>
                <w:sz w:val="24"/>
                <w:szCs w:val="22"/>
                <w:highlight w:val="none"/>
                <w:lang w:eastAsia="zh-CN"/>
              </w:rPr>
              <w:t>；</w:t>
            </w:r>
          </w:p>
          <w:p w14:paraId="1393E8A1">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⑨不锈钢扶手性能：防锈、耐腐蚀、耐磨，承重能力≥100kg，安装牢固无晃动，握持舒适，符合人体工学；</w:t>
            </w:r>
          </w:p>
          <w:p w14:paraId="77B02313">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⑩洗漱台性能：防潮、抗污、耐腐蚀，台面无瑕疵、易清洁，柜体不易变形，水龙头无滴漏，排水顺畅；</w:t>
            </w:r>
          </w:p>
          <w:p w14:paraId="58601D8C">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⑪镜面玻璃性能：防雾、防潮、抗腐蚀，镜面清晰无划痕，不易起雾、滋生霉斑，安装牢固</w:t>
            </w:r>
            <w:r>
              <w:rPr>
                <w:rFonts w:hint="eastAsia" w:eastAsiaTheme="minorEastAsia"/>
                <w:bCs/>
                <w:kern w:val="2"/>
                <w:sz w:val="24"/>
                <w:szCs w:val="22"/>
                <w:highlight w:val="none"/>
                <w:lang w:eastAsia="zh-CN"/>
              </w:rPr>
              <w:t>；</w:t>
            </w:r>
          </w:p>
          <w:p w14:paraId="21DE45C6">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⑫灯具性能：光源稳定，亮度充足，无频闪、眩光，显色指数≥80，符合国家一级能效标准</w:t>
            </w:r>
            <w:r>
              <w:rPr>
                <w:rFonts w:hint="eastAsia" w:eastAsiaTheme="minorEastAsia"/>
                <w:bCs/>
                <w:kern w:val="2"/>
                <w:sz w:val="24"/>
                <w:szCs w:val="22"/>
                <w:highlight w:val="none"/>
                <w:lang w:eastAsia="zh-CN"/>
              </w:rPr>
              <w:t>；</w:t>
            </w:r>
          </w:p>
          <w:p w14:paraId="08D60DA9">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⑬整体性能：所有施工区域适配公共区域高频使用需求，安全可靠、美观实用，符合</w:t>
            </w:r>
            <w:r>
              <w:rPr>
                <w:rFonts w:hint="eastAsia" w:eastAsiaTheme="minorEastAsia"/>
                <w:bCs/>
                <w:kern w:val="2"/>
                <w:sz w:val="24"/>
                <w:szCs w:val="22"/>
                <w:highlight w:val="none"/>
                <w:lang w:val="en-US" w:eastAsia="zh-CN"/>
              </w:rPr>
              <w:t>采购人</w:t>
            </w:r>
            <w:r>
              <w:rPr>
                <w:rFonts w:hint="eastAsia" w:eastAsiaTheme="minorEastAsia"/>
                <w:bCs/>
                <w:kern w:val="2"/>
                <w:sz w:val="24"/>
                <w:szCs w:val="22"/>
                <w:highlight w:val="none"/>
              </w:rPr>
              <w:t>要求。</w:t>
            </w:r>
          </w:p>
          <w:p w14:paraId="17B7B256">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（2）材料要求</w:t>
            </w:r>
          </w:p>
          <w:p w14:paraId="6DA233BE">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①防水材料：1.2厚聚合物水泥防水涂料，地面优先柔性防水，固含量≥65%，实干时间≤8h，耐水性≥7d，符合GB 18583-2008标准，严禁使用淘汰产品；</w:t>
            </w:r>
          </w:p>
          <w:p w14:paraId="692BBE06">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②、瓷砖材料：采用优质防滑陶瓷砖，吸水率≤0.5%，放射性符合 A 类标准，表面无瑕疵、无色差，符合 GB/T 4100-2015 要求；配套环保型瓷砖胶粘剂，粘结强度高，符合 GB 18583-2008、GB/T 4100-2015 标准；铺贴采用专用瓷砖胶，空鼓率≤5%，平整度、垂直度符合规范要求</w:t>
            </w:r>
          </w:p>
          <w:p w14:paraId="277BB494">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③油漆材料：环保型防霉防潮油漆，无异味、无污染，符合GB 18581-2020标准，严禁使用高污染、高异味产品；</w:t>
            </w:r>
          </w:p>
          <w:p w14:paraId="16F4E426">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④水管材料：详见</w:t>
            </w:r>
            <w:r>
              <w:rPr>
                <w:rFonts w:hint="eastAsia" w:eastAsiaTheme="minorEastAsia"/>
                <w:bCs/>
                <w:kern w:val="2"/>
                <w:sz w:val="24"/>
                <w:szCs w:val="22"/>
                <w:highlight w:val="none"/>
                <w:lang w:val="en-US" w:eastAsia="zh-CN"/>
              </w:rPr>
              <w:t>工程量及</w:t>
            </w:r>
            <w:r>
              <w:rPr>
                <w:rFonts w:hint="eastAsia" w:eastAsiaTheme="minorEastAsia"/>
                <w:bCs/>
                <w:kern w:val="2"/>
                <w:sz w:val="24"/>
                <w:szCs w:val="22"/>
                <w:highlight w:val="none"/>
              </w:rPr>
              <w:t>控制价清单</w:t>
            </w:r>
            <w:r>
              <w:rPr>
                <w:rFonts w:hint="eastAsia" w:eastAsiaTheme="minorEastAsia"/>
                <w:bCs/>
                <w:kern w:val="2"/>
                <w:sz w:val="24"/>
                <w:szCs w:val="22"/>
                <w:highlight w:val="none"/>
                <w:lang w:eastAsia="zh-CN"/>
              </w:rPr>
              <w:t>；</w:t>
            </w:r>
          </w:p>
          <w:p w14:paraId="5E60A073">
            <w:pPr>
              <w:spacing w:line="360" w:lineRule="auto"/>
              <w:jc w:val="both"/>
              <w:rPr>
                <w:rFonts w:hint="default" w:eastAsiaTheme="minorEastAsia"/>
                <w:bCs/>
                <w:kern w:val="2"/>
                <w:sz w:val="24"/>
                <w:szCs w:val="22"/>
                <w:highlight w:val="none"/>
                <w:lang w:val="en-US" w:eastAsia="zh-CN"/>
              </w:rPr>
            </w:pPr>
            <w:r>
              <w:rPr>
                <w:rFonts w:hint="eastAsia" w:eastAsiaTheme="minorEastAsia"/>
                <w:bCs/>
                <w:kern w:val="2"/>
                <w:sz w:val="24"/>
                <w:szCs w:val="22"/>
                <w:highlight w:val="none"/>
              </w:rPr>
              <w:t>⑤卫生洁具：优质节水陶瓷制品，表面光滑、釉面均匀，小便器带防臭装置，符合GB/T35603-2024标准</w:t>
            </w:r>
            <w:r>
              <w:rPr>
                <w:rFonts w:hint="eastAsia" w:eastAsiaTheme="minorEastAsia"/>
                <w:bCs/>
                <w:kern w:val="2"/>
                <w:sz w:val="24"/>
                <w:szCs w:val="22"/>
                <w:highlight w:val="none"/>
                <w:lang w:eastAsia="zh-CN"/>
              </w:rPr>
              <w:t>；</w:t>
            </w:r>
            <w:r>
              <w:rPr>
                <w:rFonts w:hint="eastAsia" w:eastAsiaTheme="minorEastAsia"/>
                <w:b/>
                <w:bCs w:val="0"/>
                <w:kern w:val="2"/>
                <w:sz w:val="24"/>
                <w:szCs w:val="22"/>
                <w:highlight w:val="none"/>
                <w:lang w:eastAsia="zh-CN"/>
              </w:rPr>
              <w:t>（</w:t>
            </w:r>
            <w:r>
              <w:rPr>
                <w:rFonts w:hint="eastAsia" w:eastAsiaTheme="minorEastAsia"/>
                <w:b/>
                <w:bCs w:val="0"/>
                <w:kern w:val="2"/>
                <w:sz w:val="24"/>
                <w:szCs w:val="22"/>
                <w:highlight w:val="none"/>
                <w:lang w:val="en-US" w:eastAsia="zh-CN"/>
              </w:rPr>
              <w:t>注：本项目所采购“便器”为政府强制采购产品，供应商须在响应文件中提供所响应“便器（包括：坐便器、蹲便器、小便器）”须具有市场监管总局公布的《参与实施政府采购节能产品认证机构目录》中的认证机构出具的、处于有效期内的节能产品认证证书，否则视为无效响应。）</w:t>
            </w:r>
          </w:p>
          <w:p w14:paraId="5A90F585">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⑥灯具材料：防水防尘LED灯具，外壳为不锈钢、亚克力或ABS材质，配套电线、开关为国标产品，绝缘性能良好</w:t>
            </w:r>
            <w:r>
              <w:rPr>
                <w:rFonts w:hint="eastAsia" w:eastAsiaTheme="minorEastAsia"/>
                <w:bCs/>
                <w:kern w:val="2"/>
                <w:sz w:val="24"/>
                <w:szCs w:val="22"/>
                <w:highlight w:val="none"/>
                <w:lang w:eastAsia="zh-CN"/>
              </w:rPr>
              <w:t>；</w:t>
            </w:r>
          </w:p>
          <w:p w14:paraId="1667F19C">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⑦门窗材料：成品钢制门，门扇钢板厚度≥0.8mm，门框钢板厚度≥1.2mm，整体防潮、防腐、防撞，含门套、合页、门锁、把手等全套五金，密封胶采用防水防霉中性硅酮胶，满足公共卫生间高频使用要求</w:t>
            </w:r>
            <w:r>
              <w:rPr>
                <w:rFonts w:hint="eastAsia" w:eastAsiaTheme="minorEastAsia"/>
                <w:bCs/>
                <w:kern w:val="2"/>
                <w:sz w:val="24"/>
                <w:szCs w:val="22"/>
                <w:highlight w:val="none"/>
                <w:lang w:eastAsia="zh-CN"/>
              </w:rPr>
              <w:t>；</w:t>
            </w:r>
          </w:p>
          <w:p w14:paraId="13E0B119">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⑧隔断材料：优质成品抗倍特板，厚度不低于 18mm，环保无异味；配套五金为不锈钢材质，含门锁、合页、挂钩、支撑脚等全套配件，安装牢固，适用于公共卫生间高频使用环境</w:t>
            </w:r>
            <w:r>
              <w:rPr>
                <w:rFonts w:hint="eastAsia" w:eastAsiaTheme="minorEastAsia"/>
                <w:bCs/>
                <w:kern w:val="2"/>
                <w:sz w:val="24"/>
                <w:szCs w:val="22"/>
                <w:highlight w:val="none"/>
                <w:lang w:eastAsia="zh-CN"/>
              </w:rPr>
              <w:t>；</w:t>
            </w:r>
          </w:p>
          <w:p w14:paraId="71783345">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⑨吊顶材料：吊顶采用 600×600mm 成品铝扣板，厚度不低于0.6mm；配套 热镀锌轻钢龙骨，主龙骨间距≤900mm，副龙骨间距≤600mm，龙骨厚度≥0.6mm；整体防潮、防火、便于后期检修，吊筋Φ8mm热镀锌全牙通丝杆</w:t>
            </w:r>
            <w:r>
              <w:rPr>
                <w:rFonts w:hint="eastAsia" w:eastAsiaTheme="minorEastAsia"/>
                <w:bCs/>
                <w:kern w:val="2"/>
                <w:sz w:val="24"/>
                <w:szCs w:val="22"/>
                <w:highlight w:val="none"/>
                <w:lang w:eastAsia="zh-CN"/>
              </w:rPr>
              <w:t>；</w:t>
            </w:r>
            <w:r>
              <w:rPr>
                <w:rFonts w:hint="eastAsia" w:eastAsiaTheme="minorEastAsia"/>
                <w:bCs/>
                <w:kern w:val="2"/>
                <w:sz w:val="24"/>
                <w:szCs w:val="22"/>
                <w:highlight w:val="none"/>
              </w:rPr>
              <w:t xml:space="preserve"> </w:t>
            </w:r>
          </w:p>
          <w:p w14:paraId="347FF838">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⑩不锈钢扶手材料：不锈钢扶手 / 栏杆采用 304 不锈钢材质；扶手主管 φ60×3mm，立柱 φ45×2mm，横杆 φ30×2mm；无障碍扶手采用 φ40×2mm 不锈钢圆管；所有支架、固定件为同材质不锈钢，安装牢固、防锈耐用</w:t>
            </w:r>
            <w:r>
              <w:rPr>
                <w:rFonts w:hint="eastAsia" w:eastAsiaTheme="minorEastAsia"/>
                <w:bCs/>
                <w:kern w:val="2"/>
                <w:sz w:val="24"/>
                <w:szCs w:val="22"/>
                <w:highlight w:val="none"/>
                <w:lang w:eastAsia="zh-CN"/>
              </w:rPr>
              <w:t>；</w:t>
            </w:r>
          </w:p>
          <w:p w14:paraId="308A4615">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⑪洗漱台材料：洗漱台采用大理石台面，厚度不低于 20mm，石材纹理均匀、无裂纹、无瑕疵；含台面孔洞加工、台下盆安装位；整体结构牢固、防潮、抗污、易清洁，适配公共卫生间高频使用</w:t>
            </w:r>
            <w:r>
              <w:rPr>
                <w:rFonts w:hint="eastAsia" w:eastAsiaTheme="minorEastAsia"/>
                <w:bCs/>
                <w:kern w:val="2"/>
                <w:sz w:val="24"/>
                <w:szCs w:val="22"/>
                <w:highlight w:val="none"/>
                <w:lang w:eastAsia="zh-CN"/>
              </w:rPr>
              <w:t>；</w:t>
            </w:r>
          </w:p>
          <w:p w14:paraId="60EF6DF5">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⑫辅助材料：水泥强度≥32.5级，中砂含泥量≤3%，防潮型腻子，所有材料均需环保合格，</w:t>
            </w:r>
            <w:r>
              <w:rPr>
                <w:rFonts w:hint="eastAsia" w:eastAsiaTheme="minorEastAsia"/>
                <w:bCs/>
                <w:kern w:val="2"/>
                <w:sz w:val="24"/>
                <w:szCs w:val="22"/>
                <w:highlight w:val="none"/>
                <w:lang w:val="en-US" w:eastAsia="zh-CN"/>
              </w:rPr>
              <w:t>供应商成交后</w:t>
            </w:r>
            <w:r>
              <w:rPr>
                <w:rFonts w:hint="eastAsia" w:eastAsiaTheme="minorEastAsia"/>
                <w:bCs/>
                <w:kern w:val="2"/>
                <w:sz w:val="24"/>
                <w:szCs w:val="22"/>
                <w:highlight w:val="none"/>
              </w:rPr>
              <w:t>提供合格证、检测报告，可追溯。</w:t>
            </w:r>
          </w:p>
          <w:p w14:paraId="2221C16C">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（3）结构要求</w:t>
            </w:r>
          </w:p>
          <w:p w14:paraId="1D8266CA">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①基层结构：基层坚实、平整、无空鼓，松动部位剔除找平；管根、地漏、阴阳角做R50以上圆弧倒角；地面找坡1%-2%，排水顺畅；</w:t>
            </w:r>
          </w:p>
          <w:p w14:paraId="3CB2CEAF">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②防水结构：防水层分层涂刷，无漏刷、针眼，涂刷次数不低于2次，总厚度不低于1.2mm，闭水试验合格后方可后续施工；</w:t>
            </w:r>
          </w:p>
          <w:p w14:paraId="7E928C61">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③瓷砖铺贴结构：干硬性水泥砂浆结合层（1:3），厚度25-35mm；瓷砖铺贴平整牢固，缝隙均匀（2-3mm），勾缝密实；空鼓率≤5%，垂直度、平整度误差≤2mm/2m</w:t>
            </w:r>
          </w:p>
          <w:p w14:paraId="0792CB23">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④洁具安装结构：安装平整牢固，与地面、墙面密封严密；排水管道连接顺畅，横管坡度2‰-3‰，存水弯水封≥50mm；排污口、安装高度符合规范；</w:t>
            </w:r>
          </w:p>
          <w:p w14:paraId="33F39809">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⑤灯具、开关安装结构：线路连接规范，无裸露电线；灯具安装牢固，与墙面、顶棚衔接紧密，防水密封到位；开关位置合理，符合电气规范；</w:t>
            </w:r>
          </w:p>
          <w:p w14:paraId="29EF905D">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⑥隔断安装结构：墙体固定点间距≤80cm，膨胀螺栓固定；高度≥1.8m，门体垂直水平，开关灵活，衔接紧密无缝隙</w:t>
            </w:r>
          </w:p>
          <w:p w14:paraId="1AEC482C">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⑦油漆施工结构：基层打磨清理到位，油漆分层涂刷，无流挂、气泡、漏刷，平整度误差≤2mm/2m，与基层结合紧密。</w:t>
            </w:r>
          </w:p>
          <w:p w14:paraId="0BC5FDDC">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（4）外观要求</w:t>
            </w:r>
          </w:p>
          <w:p w14:paraId="2E9F1989">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①整体外观：布局合理、整洁有序，墙面、地面、顶棚平整光滑，无污渍、划痕、破损，颜色搭配协调，适配校园环境；</w:t>
            </w:r>
          </w:p>
          <w:p w14:paraId="7BC795B4">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②瓷砖外观：表面洁净，无污渍、划痕、色差，缝隙均匀平整，勾缝光滑；排版整齐，切割块位于隐蔽处，门边瓷砖≥整砖15%；</w:t>
            </w:r>
          </w:p>
          <w:p w14:paraId="152C9F73">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③隔断外观：表面光滑，无污渍、毛刺、色差，边角整齐，无变形开裂；五金配件安装规范，无外露螺丝；</w:t>
            </w:r>
          </w:p>
          <w:p w14:paraId="7A5E034E">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④洁具外观：表面洁净光滑，无瑕疵、色差，安装规范，无歪斜松动；配套配件整洁无破损；</w:t>
            </w:r>
          </w:p>
          <w:p w14:paraId="210C9A80">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⑤灯具外观：表面洁净，无污渍、划痕，安装平整，与墙面、顶棚衔接紧密；开关面板整洁，标识清晰；</w:t>
            </w:r>
          </w:p>
          <w:p w14:paraId="694C35E6">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⑥油漆外观：表面均匀光滑，无流挂、气泡、裂纹、粉化，颜色均匀无色差，洁净无污渍；</w:t>
            </w:r>
          </w:p>
          <w:p w14:paraId="24AD3524">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⑦细节外观：施工节点处理精细，无缝隙、毛刺；排水口、通风口规范整洁，无杂物堵塞；</w:t>
            </w:r>
          </w:p>
          <w:p w14:paraId="51768B11">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（5）安全：需配备施工安全员，施工安全与用电安全由中标单位负责</w:t>
            </w:r>
            <w:r>
              <w:rPr>
                <w:rFonts w:hint="eastAsia" w:eastAsiaTheme="minorEastAsia"/>
                <w:bCs/>
                <w:kern w:val="2"/>
                <w:sz w:val="24"/>
                <w:szCs w:val="22"/>
                <w:highlight w:val="none"/>
                <w:lang w:eastAsia="zh-CN"/>
              </w:rPr>
              <w:t>；</w:t>
            </w:r>
          </w:p>
          <w:p w14:paraId="1DF0AB4B">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结构安全：严禁破坏建筑主体结构、承重构件及燃气管道；施工工序符合结构安全要求，验收合格无安全隐患；</w:t>
            </w:r>
          </w:p>
          <w:p w14:paraId="0293CF46">
            <w:pPr>
              <w:spacing w:line="360" w:lineRule="auto"/>
              <w:jc w:val="left"/>
              <w:rPr>
                <w:rFonts w:hint="eastAsia" w:cs="@仿宋_GB2312" w:asciiTheme="minorEastAsia" w:hAnsiTheme="minorEastAsia" w:eastAsiaTheme="minorEastAsia"/>
                <w:kern w:val="2"/>
                <w:sz w:val="24"/>
                <w:szCs w:val="22"/>
                <w:highlight w:val="none"/>
                <w:lang w:eastAsia="zh-CN"/>
              </w:rPr>
            </w:pPr>
            <w:r>
              <w:rPr>
                <w:rFonts w:hint="eastAsia" w:eastAsiaTheme="minorEastAsia"/>
                <w:bCs/>
                <w:kern w:val="2"/>
                <w:sz w:val="24"/>
                <w:szCs w:val="22"/>
                <w:highlight w:val="none"/>
              </w:rPr>
              <w:t>（6）服务内容和标准：合格</w:t>
            </w:r>
            <w:r>
              <w:rPr>
                <w:rFonts w:hint="eastAsia" w:eastAsiaTheme="minorEastAsia"/>
                <w:bCs/>
                <w:kern w:val="2"/>
                <w:sz w:val="24"/>
                <w:szCs w:val="22"/>
                <w:highlight w:val="none"/>
                <w:lang w:eastAsia="zh-CN"/>
              </w:rPr>
              <w:t>。</w:t>
            </w:r>
          </w:p>
        </w:tc>
      </w:tr>
      <w:tr w14:paraId="1029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5431EA2">
            <w:pPr>
              <w:spacing w:line="360" w:lineRule="auto"/>
              <w:jc w:val="center"/>
              <w:rPr>
                <w:rFonts w:hint="default" w:cs="@仿宋_GB2312" w:asciiTheme="minorEastAsia" w:hAnsiTheme="minorEastAsia" w:eastAsiaTheme="minorEastAsia"/>
                <w:kern w:val="2"/>
                <w:sz w:val="24"/>
                <w:szCs w:val="22"/>
                <w:highlight w:val="none"/>
                <w:lang w:val="en-US" w:eastAsia="zh-CN"/>
              </w:rPr>
            </w:pPr>
            <w:r>
              <w:rPr>
                <w:rFonts w:hint="eastAsia" w:cs="@仿宋_GB2312" w:asciiTheme="minorEastAsia" w:hAnsiTheme="minorEastAsia" w:eastAsiaTheme="minorEastAsia"/>
                <w:kern w:val="2"/>
                <w:sz w:val="24"/>
                <w:szCs w:val="22"/>
                <w:highlight w:val="none"/>
                <w:lang w:val="en-US" w:eastAsia="zh-CN"/>
              </w:rPr>
              <w:t>10</w:t>
            </w:r>
          </w:p>
        </w:tc>
        <w:tc>
          <w:tcPr>
            <w:tcW w:w="749" w:type="pct"/>
            <w:vAlign w:val="center"/>
          </w:tcPr>
          <w:p w14:paraId="0BF6E39F">
            <w:pPr>
              <w:spacing w:line="360" w:lineRule="auto"/>
              <w:jc w:val="left"/>
              <w:rPr>
                <w:rFonts w:hint="default" w:cs="@仿宋_GB2312" w:asciiTheme="minorEastAsia" w:hAnsiTheme="minorEastAsia" w:eastAsiaTheme="minorEastAsia"/>
                <w:kern w:val="2"/>
                <w:sz w:val="24"/>
                <w:szCs w:val="22"/>
                <w:highlight w:val="none"/>
                <w:lang w:val="en-US" w:eastAsia="zh-CN"/>
              </w:rPr>
            </w:pPr>
            <w:r>
              <w:rPr>
                <w:rFonts w:hint="eastAsia" w:cs="@仿宋_GB2312" w:asciiTheme="minorEastAsia" w:hAnsiTheme="minorEastAsia" w:eastAsiaTheme="minorEastAsia"/>
                <w:kern w:val="2"/>
                <w:sz w:val="24"/>
                <w:szCs w:val="22"/>
                <w:highlight w:val="none"/>
                <w:lang w:val="en-US" w:eastAsia="zh-CN"/>
              </w:rPr>
              <w:t>改造内容及做法</w:t>
            </w:r>
          </w:p>
        </w:tc>
        <w:tc>
          <w:tcPr>
            <w:tcW w:w="3688" w:type="pct"/>
            <w:vAlign w:val="center"/>
          </w:tcPr>
          <w:p w14:paraId="2C659B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b/>
                <w:bCs/>
                <w:kern w:val="2"/>
                <w:sz w:val="28"/>
                <w:szCs w:val="28"/>
                <w:highlight w:val="none"/>
                <w:lang w:val="en-US" w:eastAsia="zh-CN"/>
              </w:rPr>
              <w:t>实训楼8栋楼（共70间）</w:t>
            </w:r>
          </w:p>
          <w:p w14:paraId="4312FE10">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拆除内容：地面及墙面瓷砖（铲除面层+结合层+找平层）、墙面涂料、天棚涂料、隔断、洗漱台、梳妆镜、卫生间门、不锈钢栏杆、卫生洁具、灯具、开关</w:t>
            </w:r>
            <w:r>
              <w:rPr>
                <w:rFonts w:hint="eastAsia" w:cs="宋体"/>
                <w:kern w:val="2"/>
                <w:sz w:val="24"/>
                <w:szCs w:val="24"/>
                <w:highlight w:val="none"/>
                <w:lang w:val="en-US" w:eastAsia="zh-CN"/>
              </w:rPr>
              <w:t>；</w:t>
            </w:r>
          </w:p>
          <w:p w14:paraId="6E128E56">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恢复内容及做法：</w:t>
            </w:r>
          </w:p>
          <w:p w14:paraId="157EA59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（1）地面恢复做法：a、300*300防滑地砖面层 b、20厚1:3水泥砂浆结合层，表面撒水泥粉 c、1.2厚聚合物水泥防水涂料 d、15mm厚1:3水泥砂浆找平层（备注：卫生间内地面防水上翻1.5m，盥洗区上翻防水0.3m，洗漱台部位上翻1.5m）；</w:t>
            </w:r>
          </w:p>
          <w:p w14:paraId="5DECDEB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（2）瓷砖墙面高度为1.5m，恢复做法：a、300*600瓷砖面层，白水泥擦缝 b、专用瓷砖粘接剂粘接 c、1.2厚聚合物水泥防水涂料 d、15mm厚1:3水泥砂浆找平层；</w:t>
            </w:r>
          </w:p>
          <w:p w14:paraId="781CD6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（3）涂料墙面及天棚恢复做法：a、满刮腻子两遍 b、内墙乳胶漆一底两面；</w:t>
            </w:r>
          </w:p>
          <w:p w14:paraId="0C40B6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（4）卫生间隔断恢复做法：采用18厚抗倍特板，2m高；</w:t>
            </w:r>
          </w:p>
          <w:p w14:paraId="2EA955B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（5）洗漱台按照原样大理石洗漱台恢复；</w:t>
            </w:r>
          </w:p>
          <w:p w14:paraId="7AC6912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（6）梳妆镜采用5厚成品银镜</w:t>
            </w:r>
            <w:r>
              <w:rPr>
                <w:rFonts w:hint="eastAsia" w:cs="宋体"/>
                <w:kern w:val="2"/>
                <w:sz w:val="24"/>
                <w:szCs w:val="24"/>
                <w:highlight w:val="none"/>
                <w:lang w:val="en-US" w:eastAsia="zh-CN"/>
              </w:rPr>
              <w:t>；</w:t>
            </w:r>
          </w:p>
          <w:p w14:paraId="4E0DD7B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（7）卫生间门采用成品钢质门</w:t>
            </w:r>
            <w:r>
              <w:rPr>
                <w:rFonts w:hint="eastAsia" w:cs="宋体"/>
                <w:kern w:val="2"/>
                <w:sz w:val="24"/>
                <w:szCs w:val="24"/>
                <w:highlight w:val="none"/>
                <w:lang w:val="en-US" w:eastAsia="zh-CN"/>
              </w:rPr>
              <w:t>；</w:t>
            </w:r>
          </w:p>
          <w:p w14:paraId="7E29E7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（8）卫生间标识牌安装</w:t>
            </w:r>
            <w:r>
              <w:rPr>
                <w:rFonts w:hint="eastAsia" w:cs="宋体"/>
                <w:kern w:val="2"/>
                <w:sz w:val="24"/>
                <w:szCs w:val="24"/>
                <w:highlight w:val="none"/>
                <w:lang w:val="en-US" w:eastAsia="zh-CN"/>
              </w:rPr>
              <w:t>；</w:t>
            </w:r>
          </w:p>
          <w:p w14:paraId="2458CA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（9）小便器采用落地式感应冲洗阀小便器，蹲便器、拖把池、灯具（36W）、开关、面盆、水龙头等原样恢复（包含水电线路改造）</w:t>
            </w:r>
            <w:r>
              <w:rPr>
                <w:rFonts w:hint="eastAsia" w:cs="宋体"/>
                <w:kern w:val="2"/>
                <w:sz w:val="24"/>
                <w:szCs w:val="24"/>
                <w:highlight w:val="none"/>
                <w:lang w:val="en-US" w:eastAsia="zh-CN"/>
              </w:rPr>
              <w:t>；</w:t>
            </w:r>
          </w:p>
          <w:p w14:paraId="033A701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（10）一期实训楼B区卫生间B，一楼男卫只更换小便器和门。</w:t>
            </w:r>
          </w:p>
          <w:p w14:paraId="28CD5A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8"/>
                <w:szCs w:val="28"/>
                <w:highlight w:val="none"/>
                <w:lang w:val="en-US" w:eastAsia="zh-CN"/>
              </w:rPr>
            </w:pPr>
            <w:r>
              <w:rPr>
                <w:rFonts w:hint="eastAsia" w:ascii="宋体" w:hAnsi="宋体" w:eastAsia="宋体" w:cs="宋体"/>
                <w:b/>
                <w:bCs/>
                <w:kern w:val="2"/>
                <w:sz w:val="28"/>
                <w:szCs w:val="28"/>
                <w:highlight w:val="none"/>
                <w:lang w:val="en-US" w:eastAsia="zh-CN"/>
              </w:rPr>
              <w:t>至展楼（共20间）</w:t>
            </w:r>
          </w:p>
          <w:p w14:paraId="4406AEA9">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拆除内容：砖砌便池、砖砌隔断、地面及墙面瓷砖（铲除面层+结合层+找平层）、墙面涂料、天棚涂料、洗漱台、镜面玻璃、门帘、卫生洁具、灯具、开关</w:t>
            </w:r>
            <w:r>
              <w:rPr>
                <w:rFonts w:hint="eastAsia" w:cs="宋体"/>
                <w:kern w:val="2"/>
                <w:sz w:val="24"/>
                <w:szCs w:val="24"/>
                <w:highlight w:val="none"/>
                <w:lang w:val="en-US" w:eastAsia="zh-CN"/>
              </w:rPr>
              <w:t>；</w:t>
            </w:r>
          </w:p>
          <w:p w14:paraId="495E42F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恢复内容及做法：</w:t>
            </w:r>
          </w:p>
          <w:p w14:paraId="3D1D67D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val="en-US" w:eastAsia="zh-CN"/>
              </w:rPr>
              <w:t>原大便槽及小便池改为砖砌蹲位及落地式感应冲洗阀小便器，按建筑图纸施工（包含水电线路改造）；</w:t>
            </w:r>
          </w:p>
          <w:p w14:paraId="200E492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卫生间门帘后期由校方自行安装处理；</w:t>
            </w:r>
          </w:p>
          <w:p w14:paraId="5134E19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（3）</w:t>
            </w:r>
            <w:r>
              <w:rPr>
                <w:rFonts w:hint="eastAsia" w:ascii="宋体" w:hAnsi="宋体" w:eastAsia="宋体" w:cs="宋体"/>
                <w:kern w:val="2"/>
                <w:sz w:val="24"/>
                <w:szCs w:val="24"/>
                <w:highlight w:val="none"/>
                <w:lang w:val="en-US" w:eastAsia="zh-CN"/>
              </w:rPr>
              <w:t>原砖砌洗漱池改为大理石洗漱台，样式同实训楼一致；</w:t>
            </w:r>
          </w:p>
          <w:p w14:paraId="152FD3D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（4）</w:t>
            </w:r>
            <w:r>
              <w:rPr>
                <w:rFonts w:hint="eastAsia" w:ascii="宋体" w:hAnsi="宋体" w:eastAsia="宋体" w:cs="宋体"/>
                <w:kern w:val="2"/>
                <w:sz w:val="24"/>
                <w:szCs w:val="24"/>
                <w:highlight w:val="none"/>
                <w:lang w:val="en-US" w:eastAsia="zh-CN"/>
              </w:rPr>
              <w:t>其他做法按照实训楼施工</w:t>
            </w:r>
            <w:r>
              <w:rPr>
                <w:rFonts w:hint="eastAsia" w:cs="宋体"/>
                <w:kern w:val="2"/>
                <w:sz w:val="24"/>
                <w:szCs w:val="24"/>
                <w:highlight w:val="none"/>
                <w:lang w:val="en-US" w:eastAsia="zh-CN"/>
              </w:rPr>
              <w:t>。</w:t>
            </w:r>
          </w:p>
          <w:p w14:paraId="6A660C1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8"/>
                <w:szCs w:val="28"/>
                <w:highlight w:val="none"/>
                <w:lang w:val="en-US" w:eastAsia="zh-CN"/>
              </w:rPr>
            </w:pPr>
            <w:r>
              <w:rPr>
                <w:rFonts w:hint="eastAsia" w:ascii="宋体" w:hAnsi="宋体" w:eastAsia="宋体" w:cs="宋体"/>
                <w:b/>
                <w:bCs/>
                <w:kern w:val="2"/>
                <w:sz w:val="28"/>
                <w:szCs w:val="28"/>
                <w:highlight w:val="none"/>
                <w:lang w:val="en-US" w:eastAsia="zh-CN"/>
              </w:rPr>
              <w:t>至兴楼（共18间）</w:t>
            </w:r>
          </w:p>
          <w:p w14:paraId="579F6E7A">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拆除内容：砖砌小便池、隔断、卫生间门、小便池上方瓷砖（1.8m高）</w:t>
            </w:r>
            <w:r>
              <w:rPr>
                <w:rFonts w:hint="eastAsia" w:cs="宋体"/>
                <w:kern w:val="2"/>
                <w:sz w:val="24"/>
                <w:szCs w:val="24"/>
                <w:highlight w:val="none"/>
                <w:lang w:val="en-US" w:eastAsia="zh-CN"/>
              </w:rPr>
              <w:t>；</w:t>
            </w:r>
          </w:p>
          <w:p w14:paraId="117467E3">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恢复做法：</w:t>
            </w:r>
          </w:p>
          <w:p w14:paraId="0DF3D1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val="en-US" w:eastAsia="zh-CN"/>
              </w:rPr>
              <w:t>原小便池改为落地式感应冲洗阀小便器（包含水电线路改造）；</w:t>
            </w:r>
          </w:p>
          <w:p w14:paraId="58DED85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其他做法按照实训楼施工；</w:t>
            </w:r>
          </w:p>
          <w:p w14:paraId="6CB1A5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8"/>
                <w:szCs w:val="28"/>
                <w:highlight w:val="none"/>
                <w:lang w:val="en-US" w:eastAsia="zh-CN"/>
              </w:rPr>
            </w:pPr>
            <w:r>
              <w:rPr>
                <w:rFonts w:hint="eastAsia" w:ascii="宋体" w:hAnsi="宋体" w:eastAsia="宋体" w:cs="宋体"/>
                <w:b/>
                <w:bCs/>
                <w:kern w:val="2"/>
                <w:sz w:val="28"/>
                <w:szCs w:val="28"/>
                <w:highlight w:val="none"/>
                <w:lang w:val="en-US" w:eastAsia="zh-CN"/>
              </w:rPr>
              <w:t>北园东区食堂（共4间）</w:t>
            </w:r>
          </w:p>
          <w:p w14:paraId="2D6797C7">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拆除内容：男女卫生间内瓷砖墙面及地面、隔断、卫生间门、卫生间及盥洗区天棚、靠卫生间侧洗漱台、卫生洁具、灯具、开关</w:t>
            </w:r>
            <w:r>
              <w:rPr>
                <w:rFonts w:hint="eastAsia" w:cs="宋体"/>
                <w:kern w:val="2"/>
                <w:sz w:val="24"/>
                <w:szCs w:val="24"/>
                <w:highlight w:val="none"/>
                <w:lang w:val="en-US" w:eastAsia="zh-CN"/>
              </w:rPr>
              <w:t>；</w:t>
            </w:r>
          </w:p>
          <w:p w14:paraId="5764A7A4">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恢复内容及做法：</w:t>
            </w:r>
          </w:p>
          <w:p w14:paraId="556EDEA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val="en-US" w:eastAsia="zh-CN"/>
              </w:rPr>
              <w:t>原天棚采用600*600铝扣板及配套龙骨；</w:t>
            </w:r>
          </w:p>
          <w:p w14:paraId="2EE9A0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其他做法按照实训楼施工；</w:t>
            </w:r>
          </w:p>
          <w:p w14:paraId="1ABD92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8"/>
                <w:szCs w:val="28"/>
                <w:highlight w:val="none"/>
                <w:lang w:val="en-US" w:eastAsia="zh-CN"/>
              </w:rPr>
            </w:pPr>
            <w:r>
              <w:rPr>
                <w:rFonts w:hint="eastAsia" w:ascii="宋体" w:hAnsi="宋体" w:eastAsia="宋体" w:cs="宋体"/>
                <w:b/>
                <w:bCs/>
                <w:kern w:val="2"/>
                <w:sz w:val="28"/>
                <w:szCs w:val="28"/>
                <w:highlight w:val="none"/>
                <w:lang w:val="en-US" w:eastAsia="zh-CN"/>
              </w:rPr>
              <w:t>东园食堂</w:t>
            </w:r>
          </w:p>
          <w:p w14:paraId="360BCF1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拆除内容：盥洗区2.5m隔墙，卫生间蹲位、小便池、砖砌蹲位隔断、地面及墙面瓷砖（铲除面层+结合层+找平层）、入口门洞改至西侧，墙面涂料、天棚、洗漱台、卫生间门、不锈钢栏杆、卫生洁具、灯具、开关。</w:t>
            </w:r>
          </w:p>
          <w:p w14:paraId="2CCB1B81">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恢复内容及做法：</w:t>
            </w:r>
          </w:p>
          <w:p w14:paraId="2CF072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val="en-US" w:eastAsia="zh-CN"/>
              </w:rPr>
              <w:t>瓷砖墙面恢复高度为1.5m，以上部位墙面喷刷涂料，做法按照实训楼施工；</w:t>
            </w:r>
          </w:p>
          <w:p w14:paraId="40C7350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小便池改为落地式感应冲洗阀小便器，按建筑图纸施工（包含水电线路改造）；</w:t>
            </w:r>
          </w:p>
          <w:p w14:paraId="64AA811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（3）</w:t>
            </w:r>
            <w:r>
              <w:rPr>
                <w:rFonts w:hint="eastAsia" w:ascii="宋体" w:hAnsi="宋体" w:eastAsia="宋体" w:cs="宋体"/>
                <w:kern w:val="2"/>
                <w:sz w:val="24"/>
                <w:szCs w:val="24"/>
                <w:highlight w:val="none"/>
                <w:lang w:val="en-US" w:eastAsia="zh-CN"/>
              </w:rPr>
              <w:t>天棚采用600*600铝扣板及配套龙骨；</w:t>
            </w:r>
          </w:p>
          <w:p w14:paraId="486C551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（4）</w:t>
            </w:r>
            <w:r>
              <w:rPr>
                <w:rFonts w:hint="eastAsia" w:ascii="宋体" w:hAnsi="宋体" w:eastAsia="宋体" w:cs="宋体"/>
                <w:kern w:val="2"/>
                <w:sz w:val="24"/>
                <w:szCs w:val="24"/>
                <w:highlight w:val="none"/>
                <w:lang w:val="en-US" w:eastAsia="zh-CN"/>
              </w:rPr>
              <w:t>入口门洞封堵，西面开门洞（1.2m*2.1m）,增加砖砌台阶（花岗岩面层）</w:t>
            </w:r>
          </w:p>
          <w:p w14:paraId="370652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eastAsiaTheme="minorEastAsia"/>
                <w:bCs/>
                <w:kern w:val="2"/>
                <w:sz w:val="24"/>
                <w:szCs w:val="22"/>
                <w:highlight w:val="none"/>
              </w:rPr>
            </w:pPr>
            <w:r>
              <w:rPr>
                <w:rFonts w:hint="eastAsia" w:cs="宋体"/>
                <w:kern w:val="2"/>
                <w:sz w:val="24"/>
                <w:szCs w:val="24"/>
                <w:highlight w:val="none"/>
                <w:lang w:val="en-US" w:eastAsia="zh-CN"/>
              </w:rPr>
              <w:t>（5）</w:t>
            </w:r>
            <w:r>
              <w:rPr>
                <w:rFonts w:hint="eastAsia" w:ascii="宋体" w:hAnsi="宋体" w:eastAsia="宋体" w:cs="宋体"/>
                <w:kern w:val="2"/>
                <w:sz w:val="24"/>
                <w:szCs w:val="24"/>
                <w:highlight w:val="none"/>
                <w:lang w:val="en-US" w:eastAsia="zh-CN"/>
              </w:rPr>
              <w:t>其他做法按照实训楼施工。</w:t>
            </w:r>
          </w:p>
        </w:tc>
      </w:tr>
      <w:tr w14:paraId="3DE2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434B9DD">
            <w:pPr>
              <w:spacing w:line="360" w:lineRule="auto"/>
              <w:jc w:val="center"/>
              <w:rPr>
                <w:rFonts w:hint="default" w:cs="@仿宋_GB2312" w:asciiTheme="minorEastAsia" w:hAnsiTheme="minorEastAsia" w:eastAsiaTheme="minorEastAsia"/>
                <w:kern w:val="2"/>
                <w:sz w:val="24"/>
                <w:szCs w:val="22"/>
                <w:highlight w:val="none"/>
                <w:lang w:val="en-US" w:eastAsia="zh-CN"/>
              </w:rPr>
            </w:pPr>
            <w:r>
              <w:rPr>
                <w:rFonts w:hint="eastAsia" w:cs="@仿宋_GB2312" w:asciiTheme="minorEastAsia" w:hAnsiTheme="minorEastAsia" w:eastAsiaTheme="minorEastAsia"/>
                <w:kern w:val="2"/>
                <w:sz w:val="24"/>
                <w:szCs w:val="22"/>
                <w:highlight w:val="none"/>
                <w:lang w:val="en-US" w:eastAsia="zh-CN"/>
              </w:rPr>
              <w:t>11</w:t>
            </w:r>
          </w:p>
        </w:tc>
        <w:tc>
          <w:tcPr>
            <w:tcW w:w="749" w:type="pct"/>
            <w:vAlign w:val="center"/>
          </w:tcPr>
          <w:p w14:paraId="0E99805F">
            <w:pPr>
              <w:spacing w:line="360" w:lineRule="auto"/>
              <w:jc w:val="left"/>
              <w:rPr>
                <w:rFonts w:hint="default" w:cs="@仿宋_GB2312" w:asciiTheme="minorEastAsia" w:hAnsiTheme="minorEastAsia" w:eastAsiaTheme="minorEastAsia"/>
                <w:kern w:val="2"/>
                <w:sz w:val="24"/>
                <w:szCs w:val="22"/>
                <w:highlight w:val="none"/>
                <w:lang w:val="en-US" w:eastAsia="zh-CN"/>
              </w:rPr>
            </w:pPr>
            <w:r>
              <w:rPr>
                <w:rFonts w:hint="eastAsia" w:cs="@仿宋_GB2312" w:asciiTheme="minorEastAsia" w:hAnsiTheme="minorEastAsia" w:eastAsiaTheme="minorEastAsia"/>
                <w:kern w:val="2"/>
                <w:sz w:val="24"/>
                <w:szCs w:val="22"/>
                <w:highlight w:val="none"/>
                <w:lang w:val="en-US" w:eastAsia="zh-CN"/>
              </w:rPr>
              <w:t>参考品牌</w:t>
            </w:r>
          </w:p>
        </w:tc>
        <w:tc>
          <w:tcPr>
            <w:tcW w:w="3688" w:type="pct"/>
            <w:vAlign w:val="center"/>
          </w:tcPr>
          <w:tbl>
            <w:tblPr>
              <w:tblStyle w:val="5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5"/>
              <w:gridCol w:w="1465"/>
              <w:gridCol w:w="1465"/>
              <w:gridCol w:w="1465"/>
            </w:tblGrid>
            <w:tr w14:paraId="2AA5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7D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材料名称</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55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参考</w:t>
                  </w:r>
                  <w:r>
                    <w:rPr>
                      <w:rFonts w:hint="eastAsia" w:ascii="宋体" w:hAnsi="宋体" w:eastAsia="宋体" w:cs="宋体"/>
                      <w:kern w:val="2"/>
                      <w:sz w:val="24"/>
                      <w:szCs w:val="24"/>
                      <w:highlight w:val="none"/>
                      <w:lang w:val="en-US" w:eastAsia="zh-CN"/>
                    </w:rPr>
                    <w:t>品牌1</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CBB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参考</w:t>
                  </w:r>
                  <w:r>
                    <w:rPr>
                      <w:rFonts w:hint="eastAsia" w:ascii="宋体" w:hAnsi="宋体" w:eastAsia="宋体" w:cs="宋体"/>
                      <w:kern w:val="2"/>
                      <w:sz w:val="24"/>
                      <w:szCs w:val="24"/>
                      <w:highlight w:val="none"/>
                      <w:lang w:val="en-US" w:eastAsia="zh-CN"/>
                    </w:rPr>
                    <w:t>品牌2</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0C9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参考</w:t>
                  </w:r>
                  <w:r>
                    <w:rPr>
                      <w:rFonts w:hint="eastAsia" w:ascii="宋体" w:hAnsi="宋体" w:eastAsia="宋体" w:cs="宋体"/>
                      <w:kern w:val="2"/>
                      <w:sz w:val="24"/>
                      <w:szCs w:val="24"/>
                      <w:highlight w:val="none"/>
                      <w:lang w:val="en-US" w:eastAsia="zh-CN"/>
                    </w:rPr>
                    <w:t>品牌3</w:t>
                  </w:r>
                </w:p>
              </w:tc>
            </w:tr>
            <w:tr w14:paraId="14AC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10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瓷砖</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B8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蒙娜丽莎</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F9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马可波罗</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2E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东鹏</w:t>
                  </w:r>
                </w:p>
              </w:tc>
            </w:tr>
            <w:tr w14:paraId="7894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D5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防水涂料</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53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东方雨虹</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E7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三棵树</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62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科顺</w:t>
                  </w:r>
                </w:p>
              </w:tc>
            </w:tr>
            <w:tr w14:paraId="750C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0E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油漆</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F0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多乐士</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93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立邦</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9C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华润</w:t>
                  </w:r>
                </w:p>
              </w:tc>
            </w:tr>
            <w:tr w14:paraId="1D68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E6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马桶</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C7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箭牌</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9B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恒洁</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F8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惠达</w:t>
                  </w:r>
                </w:p>
              </w:tc>
            </w:tr>
            <w:tr w14:paraId="6AA1E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29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小便器</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81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箭牌</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CF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恒洁</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92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惠达</w:t>
                  </w:r>
                </w:p>
              </w:tc>
            </w:tr>
            <w:tr w14:paraId="6B49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F4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灯具</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FA6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佛山照明</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AA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欧普</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AE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三雄极光</w:t>
                  </w:r>
                </w:p>
              </w:tc>
            </w:tr>
            <w:tr w14:paraId="1256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22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水管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95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伟星</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1B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日丰</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74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中财</w:t>
                  </w:r>
                </w:p>
              </w:tc>
            </w:tr>
            <w:tr w14:paraId="4979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05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电线</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49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绿宝</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62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远东</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20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正泰</w:t>
                  </w:r>
                </w:p>
              </w:tc>
            </w:tr>
          </w:tbl>
          <w:p w14:paraId="6DB329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宋体"/>
                <w:kern w:val="2"/>
                <w:sz w:val="24"/>
                <w:szCs w:val="24"/>
                <w:highlight w:val="none"/>
                <w:lang w:val="en-US" w:eastAsia="zh-CN"/>
              </w:rPr>
            </w:pPr>
          </w:p>
        </w:tc>
      </w:tr>
    </w:tbl>
    <w:p w14:paraId="36D8E160">
      <w:pPr>
        <w:spacing w:line="360" w:lineRule="auto"/>
        <w:ind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bookmarkEnd w:id="751"/>
    <w:p w14:paraId="32F2CD66">
      <w:pPr>
        <w:spacing w:line="360" w:lineRule="auto"/>
        <w:jc w:val="center"/>
        <w:outlineLvl w:val="0"/>
        <w:rPr>
          <w:rFonts w:asciiTheme="minorEastAsia" w:hAnsiTheme="minorEastAsia" w:eastAsiaTheme="minorEastAsia"/>
          <w:b/>
          <w:sz w:val="28"/>
          <w:highlight w:val="none"/>
        </w:rPr>
      </w:pPr>
      <w:bookmarkStart w:id="34" w:name="_Toc11353"/>
      <w:r>
        <w:rPr>
          <w:rFonts w:hint="eastAsia" w:asciiTheme="minorEastAsia" w:hAnsiTheme="minorEastAsia" w:eastAsiaTheme="minorEastAsia"/>
          <w:b/>
          <w:sz w:val="28"/>
          <w:highlight w:val="none"/>
        </w:rPr>
        <w:t>第四章  评审方法和标准</w:t>
      </w:r>
      <w:bookmarkEnd w:id="34"/>
    </w:p>
    <w:p w14:paraId="459D194B">
      <w:pPr>
        <w:spacing w:line="360" w:lineRule="auto"/>
        <w:ind w:firstLine="437"/>
        <w:outlineLvl w:val="1"/>
        <w:rPr>
          <w:rFonts w:asciiTheme="minorEastAsia" w:hAnsiTheme="minorEastAsia" w:eastAsiaTheme="minorEastAsia"/>
          <w:b/>
          <w:sz w:val="24"/>
          <w:highlight w:val="none"/>
        </w:rPr>
      </w:pPr>
      <w:bookmarkStart w:id="35" w:name="_Toc3679"/>
      <w:bookmarkStart w:id="36" w:name="_Toc31533"/>
      <w:r>
        <w:rPr>
          <w:rFonts w:hint="eastAsia" w:asciiTheme="minorEastAsia" w:hAnsiTheme="minorEastAsia" w:eastAsiaTheme="minorEastAsia"/>
          <w:b/>
          <w:sz w:val="24"/>
          <w:highlight w:val="none"/>
        </w:rPr>
        <w:t>一、总则</w:t>
      </w:r>
      <w:bookmarkEnd w:id="35"/>
      <w:bookmarkEnd w:id="36"/>
    </w:p>
    <w:p w14:paraId="27EB83E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本项目将按照磋商文件第二章供应商须知的相关要求</w:t>
      </w:r>
      <w:r>
        <w:rPr>
          <w:rFonts w:asciiTheme="minorEastAsia" w:hAnsiTheme="minorEastAsia" w:eastAsiaTheme="minorEastAsia"/>
          <w:sz w:val="24"/>
          <w:highlight w:val="none"/>
        </w:rPr>
        <w:t>及本章的规定</w:t>
      </w:r>
      <w:r>
        <w:rPr>
          <w:rFonts w:hint="eastAsia" w:asciiTheme="minorEastAsia" w:hAnsiTheme="minorEastAsia" w:eastAsiaTheme="minorEastAsia"/>
          <w:sz w:val="24"/>
          <w:highlight w:val="none"/>
        </w:rPr>
        <w:t>评审</w:t>
      </w:r>
      <w:r>
        <w:rPr>
          <w:rFonts w:asciiTheme="minorEastAsia" w:hAnsiTheme="minorEastAsia" w:eastAsiaTheme="minorEastAsia"/>
          <w:sz w:val="24"/>
          <w:highlight w:val="none"/>
        </w:rPr>
        <w:t>。</w:t>
      </w:r>
    </w:p>
    <w:p w14:paraId="44647676">
      <w:pPr>
        <w:spacing w:line="360" w:lineRule="auto"/>
        <w:ind w:firstLine="437"/>
        <w:outlineLvl w:val="1"/>
        <w:rPr>
          <w:rFonts w:asciiTheme="minorEastAsia" w:hAnsiTheme="minorEastAsia" w:eastAsiaTheme="minorEastAsia"/>
          <w:b/>
          <w:sz w:val="24"/>
          <w:highlight w:val="none"/>
        </w:rPr>
      </w:pPr>
      <w:bookmarkStart w:id="37" w:name="_Toc16232"/>
      <w:bookmarkStart w:id="38" w:name="_Toc13405"/>
      <w:r>
        <w:rPr>
          <w:rFonts w:hint="eastAsia" w:asciiTheme="minorEastAsia" w:hAnsiTheme="minorEastAsia" w:eastAsiaTheme="minorEastAsia"/>
          <w:b/>
          <w:sz w:val="24"/>
          <w:highlight w:val="none"/>
        </w:rPr>
        <w:t>二、评审方法</w:t>
      </w:r>
      <w:bookmarkEnd w:id="37"/>
      <w:bookmarkEnd w:id="38"/>
    </w:p>
    <w:p w14:paraId="6A52B390">
      <w:pPr>
        <w:spacing w:line="360" w:lineRule="auto"/>
        <w:ind w:firstLine="435"/>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2.1初审</w:t>
      </w:r>
    </w:p>
    <w:p w14:paraId="1892E06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磋商小组对供应商的响应文件进行初审，以确定其是否满足磋商文件的实质性要求。初审表如下：</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1D44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BC51ABB">
            <w:pPr>
              <w:adjustRightInd w:val="0"/>
              <w:snapToGrid w:val="0"/>
              <w:ind w:right="-10"/>
              <w:jc w:val="center"/>
              <w:rPr>
                <w:rFonts w:ascii="Calibri" w:hAnsi="Calibri" w:cs="Times New Roman"/>
                <w:b/>
                <w:kern w:val="2"/>
                <w:sz w:val="24"/>
                <w:szCs w:val="22"/>
                <w:highlight w:val="none"/>
              </w:rPr>
            </w:pPr>
            <w:r>
              <w:rPr>
                <w:rFonts w:hint="eastAsia" w:ascii="Calibri" w:hAnsi="Calibri" w:cs="Times New Roman"/>
                <w:b/>
                <w:kern w:val="2"/>
                <w:sz w:val="24"/>
                <w:szCs w:val="22"/>
                <w:highlight w:val="none"/>
              </w:rPr>
              <w:t>初审表</w:t>
            </w:r>
          </w:p>
        </w:tc>
      </w:tr>
      <w:tr w14:paraId="57B7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3B045EF3">
            <w:pPr>
              <w:adjustRightInd w:val="0"/>
              <w:snapToGrid w:val="0"/>
              <w:spacing w:line="360" w:lineRule="auto"/>
              <w:ind w:right="-10"/>
              <w:jc w:val="center"/>
              <w:rPr>
                <w:rFonts w:ascii="Calibri" w:hAnsi="Calibri" w:cs="Times New Roman"/>
                <w:b/>
                <w:bCs/>
                <w:kern w:val="2"/>
                <w:sz w:val="24"/>
                <w:szCs w:val="22"/>
                <w:highlight w:val="none"/>
              </w:rPr>
            </w:pPr>
            <w:r>
              <w:rPr>
                <w:rFonts w:hint="eastAsia"/>
                <w:b/>
                <w:bCs/>
                <w:sz w:val="24"/>
                <w:highlight w:val="none"/>
              </w:rPr>
              <w:t>序号</w:t>
            </w:r>
          </w:p>
        </w:tc>
        <w:tc>
          <w:tcPr>
            <w:tcW w:w="796" w:type="pct"/>
            <w:tcBorders>
              <w:bottom w:val="single" w:color="auto" w:sz="4" w:space="0"/>
            </w:tcBorders>
            <w:vAlign w:val="center"/>
          </w:tcPr>
          <w:p w14:paraId="72F650AF">
            <w:pPr>
              <w:pStyle w:val="68"/>
              <w:pBdr>
                <w:bottom w:val="none" w:color="auto" w:sz="0" w:space="0"/>
              </w:pBdr>
              <w:tabs>
                <w:tab w:val="clear" w:pos="4153"/>
                <w:tab w:val="clear" w:pos="8306"/>
              </w:tabs>
              <w:snapToGrid w:val="0"/>
              <w:spacing w:line="360" w:lineRule="auto"/>
              <w:ind w:right="-10"/>
              <w:textAlignment w:val="auto"/>
              <w:rPr>
                <w:rFonts w:ascii="Calibri" w:hAnsi="Calibri" w:cs="Times New Roman"/>
                <w:b/>
                <w:bCs/>
                <w:kern w:val="2"/>
                <w:szCs w:val="24"/>
                <w:highlight w:val="none"/>
              </w:rPr>
            </w:pPr>
            <w:r>
              <w:rPr>
                <w:rFonts w:hint="eastAsia"/>
                <w:b/>
                <w:bCs/>
                <w:kern w:val="2"/>
                <w:szCs w:val="24"/>
                <w:highlight w:val="none"/>
              </w:rPr>
              <w:t>审查因素</w:t>
            </w:r>
          </w:p>
        </w:tc>
        <w:tc>
          <w:tcPr>
            <w:tcW w:w="2268" w:type="pct"/>
            <w:tcBorders>
              <w:bottom w:val="single" w:color="auto" w:sz="4" w:space="0"/>
            </w:tcBorders>
            <w:vAlign w:val="center"/>
          </w:tcPr>
          <w:p w14:paraId="0F04C520">
            <w:pPr>
              <w:adjustRightInd w:val="0"/>
              <w:snapToGrid w:val="0"/>
              <w:spacing w:line="360" w:lineRule="auto"/>
              <w:ind w:right="-10"/>
              <w:jc w:val="center"/>
              <w:rPr>
                <w:rFonts w:ascii="Calibri" w:hAnsi="Calibri" w:cs="Times New Roman"/>
                <w:b/>
                <w:bCs/>
                <w:kern w:val="2"/>
                <w:sz w:val="24"/>
                <w:szCs w:val="22"/>
                <w:highlight w:val="none"/>
              </w:rPr>
            </w:pPr>
            <w:r>
              <w:rPr>
                <w:rFonts w:hint="eastAsia"/>
                <w:b/>
                <w:bCs/>
                <w:sz w:val="24"/>
                <w:highlight w:val="none"/>
              </w:rPr>
              <w:t>审查内容</w:t>
            </w:r>
          </w:p>
        </w:tc>
        <w:tc>
          <w:tcPr>
            <w:tcW w:w="1524" w:type="pct"/>
            <w:tcBorders>
              <w:bottom w:val="single" w:color="auto" w:sz="4" w:space="0"/>
            </w:tcBorders>
            <w:vAlign w:val="center"/>
          </w:tcPr>
          <w:p w14:paraId="3CB5A281">
            <w:pPr>
              <w:adjustRightInd w:val="0"/>
              <w:snapToGrid w:val="0"/>
              <w:spacing w:line="360" w:lineRule="auto"/>
              <w:ind w:right="-10"/>
              <w:jc w:val="center"/>
              <w:rPr>
                <w:rFonts w:ascii="Calibri" w:hAnsi="Calibri" w:cs="Times New Roman"/>
                <w:b/>
                <w:bCs/>
                <w:kern w:val="2"/>
                <w:sz w:val="24"/>
                <w:szCs w:val="22"/>
                <w:highlight w:val="none"/>
              </w:rPr>
            </w:pPr>
            <w:r>
              <w:rPr>
                <w:rFonts w:hint="eastAsia"/>
                <w:b/>
                <w:bCs/>
                <w:sz w:val="24"/>
                <w:highlight w:val="none"/>
              </w:rPr>
              <w:t>格式要求</w:t>
            </w:r>
          </w:p>
        </w:tc>
      </w:tr>
      <w:tr w14:paraId="665C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4256A7DF">
            <w:pPr>
              <w:adjustRightInd w:val="0"/>
              <w:snapToGrid w:val="0"/>
              <w:spacing w:line="360" w:lineRule="auto"/>
              <w:ind w:right="-10"/>
              <w:jc w:val="center"/>
              <w:rPr>
                <w:rFonts w:cs="Times New Roman"/>
                <w:kern w:val="2"/>
                <w:sz w:val="24"/>
                <w:szCs w:val="22"/>
                <w:highlight w:val="none"/>
              </w:rPr>
            </w:pPr>
            <w:r>
              <w:rPr>
                <w:rFonts w:hint="eastAsia"/>
                <w:sz w:val="24"/>
                <w:highlight w:val="none"/>
              </w:rPr>
              <w:t>1</w:t>
            </w:r>
          </w:p>
        </w:tc>
        <w:tc>
          <w:tcPr>
            <w:tcW w:w="796" w:type="pct"/>
            <w:tcBorders>
              <w:bottom w:val="single" w:color="auto" w:sz="4" w:space="0"/>
            </w:tcBorders>
            <w:vAlign w:val="center"/>
          </w:tcPr>
          <w:p w14:paraId="79E83013">
            <w:pPr>
              <w:spacing w:after="50" w:line="360" w:lineRule="auto"/>
              <w:ind w:right="-10"/>
              <w:jc w:val="center"/>
              <w:rPr>
                <w:rFonts w:ascii="Calibri" w:hAnsi="Calibri" w:cs="Times New Roman"/>
                <w:kern w:val="2"/>
                <w:sz w:val="24"/>
                <w:szCs w:val="24"/>
                <w:highlight w:val="none"/>
              </w:rPr>
            </w:pPr>
            <w:r>
              <w:rPr>
                <w:rFonts w:cs="宋体"/>
                <w:spacing w:val="9"/>
                <w:sz w:val="24"/>
                <w:szCs w:val="24"/>
                <w:highlight w:val="none"/>
              </w:rPr>
              <w:t>营业执照等证明</w:t>
            </w:r>
            <w:r>
              <w:rPr>
                <w:rFonts w:cs="宋体"/>
                <w:spacing w:val="-3"/>
                <w:sz w:val="24"/>
                <w:szCs w:val="24"/>
                <w:highlight w:val="none"/>
              </w:rPr>
              <w:t>文件</w:t>
            </w:r>
          </w:p>
        </w:tc>
        <w:tc>
          <w:tcPr>
            <w:tcW w:w="2268" w:type="pct"/>
            <w:tcBorders>
              <w:bottom w:val="single" w:color="auto" w:sz="4" w:space="0"/>
            </w:tcBorders>
            <w:vAlign w:val="center"/>
          </w:tcPr>
          <w:p w14:paraId="2956AF49">
            <w:pPr>
              <w:spacing w:after="50" w:line="360" w:lineRule="auto"/>
              <w:ind w:right="-10"/>
              <w:jc w:val="left"/>
              <w:rPr>
                <w:rFonts w:cs="宋体"/>
                <w:sz w:val="24"/>
                <w:szCs w:val="24"/>
                <w:highlight w:val="none"/>
              </w:rPr>
            </w:pPr>
            <w:r>
              <w:rPr>
                <w:rFonts w:hint="eastAsia" w:cs="宋体"/>
                <w:sz w:val="24"/>
                <w:szCs w:val="24"/>
                <w:highlight w:val="none"/>
              </w:rPr>
              <w:t>（1）供应商</w:t>
            </w:r>
            <w:r>
              <w:rPr>
                <w:rFonts w:cs="宋体"/>
                <w:sz w:val="24"/>
                <w:szCs w:val="24"/>
                <w:highlight w:val="none"/>
              </w:rPr>
              <w:t>为企业（包括合伙企业）的，应</w:t>
            </w:r>
            <w:r>
              <w:rPr>
                <w:rFonts w:hint="eastAsia" w:cs="宋体"/>
                <w:sz w:val="24"/>
                <w:szCs w:val="24"/>
                <w:highlight w:val="none"/>
              </w:rPr>
              <w:t>提</w:t>
            </w:r>
            <w:r>
              <w:rPr>
                <w:rFonts w:cs="宋体"/>
                <w:sz w:val="24"/>
                <w:szCs w:val="24"/>
                <w:highlight w:val="none"/>
              </w:rPr>
              <w:t>供有效的营业执照；</w:t>
            </w:r>
          </w:p>
          <w:p w14:paraId="2915ED64">
            <w:pPr>
              <w:spacing w:after="50" w:line="360" w:lineRule="auto"/>
              <w:ind w:right="-10"/>
              <w:jc w:val="left"/>
              <w:rPr>
                <w:rFonts w:cs="宋体"/>
                <w:sz w:val="24"/>
                <w:szCs w:val="24"/>
                <w:highlight w:val="none"/>
              </w:rPr>
            </w:pPr>
            <w:r>
              <w:rPr>
                <w:rFonts w:hint="eastAsia" w:cs="宋体"/>
                <w:sz w:val="24"/>
                <w:szCs w:val="24"/>
                <w:highlight w:val="none"/>
              </w:rPr>
              <w:t>（2）供应商</w:t>
            </w:r>
            <w:r>
              <w:rPr>
                <w:rFonts w:cs="宋体"/>
                <w:sz w:val="24"/>
                <w:szCs w:val="24"/>
                <w:highlight w:val="none"/>
              </w:rPr>
              <w:t>为事业单位的，应</w:t>
            </w:r>
            <w:r>
              <w:rPr>
                <w:rFonts w:hint="eastAsia" w:cs="宋体"/>
                <w:sz w:val="24"/>
                <w:szCs w:val="24"/>
                <w:highlight w:val="none"/>
              </w:rPr>
              <w:t>提</w:t>
            </w:r>
            <w:r>
              <w:rPr>
                <w:rFonts w:cs="宋体"/>
                <w:sz w:val="24"/>
                <w:szCs w:val="24"/>
                <w:highlight w:val="none"/>
              </w:rPr>
              <w:t>供有效的事业单位法人证书；</w:t>
            </w:r>
          </w:p>
          <w:p w14:paraId="37B99095">
            <w:pPr>
              <w:spacing w:after="50" w:line="360" w:lineRule="auto"/>
              <w:ind w:right="-10"/>
              <w:jc w:val="left"/>
              <w:rPr>
                <w:rFonts w:cs="宋体"/>
                <w:sz w:val="24"/>
                <w:szCs w:val="24"/>
                <w:highlight w:val="none"/>
              </w:rPr>
            </w:pPr>
            <w:r>
              <w:rPr>
                <w:rFonts w:hint="eastAsia" w:cs="宋体"/>
                <w:sz w:val="24"/>
                <w:szCs w:val="24"/>
                <w:highlight w:val="none"/>
              </w:rPr>
              <w:t>（3）供应商</w:t>
            </w:r>
            <w:r>
              <w:rPr>
                <w:rFonts w:cs="宋体"/>
                <w:sz w:val="24"/>
                <w:szCs w:val="24"/>
                <w:highlight w:val="none"/>
              </w:rPr>
              <w:t>是非企业机构的，应</w:t>
            </w:r>
            <w:r>
              <w:rPr>
                <w:rFonts w:hint="eastAsia" w:cs="宋体"/>
                <w:sz w:val="24"/>
                <w:szCs w:val="24"/>
                <w:highlight w:val="none"/>
              </w:rPr>
              <w:t>提</w:t>
            </w:r>
            <w:r>
              <w:rPr>
                <w:rFonts w:cs="宋体"/>
                <w:sz w:val="24"/>
                <w:szCs w:val="24"/>
                <w:highlight w:val="none"/>
              </w:rPr>
              <w:t>供有效的执业许可证</w:t>
            </w:r>
            <w:r>
              <w:rPr>
                <w:rFonts w:hint="eastAsia" w:cs="宋体"/>
                <w:sz w:val="24"/>
                <w:szCs w:val="24"/>
                <w:highlight w:val="none"/>
              </w:rPr>
              <w:t>或</w:t>
            </w:r>
            <w:r>
              <w:rPr>
                <w:rFonts w:cs="宋体"/>
                <w:sz w:val="24"/>
                <w:szCs w:val="24"/>
                <w:highlight w:val="none"/>
              </w:rPr>
              <w:t>登记证书等证明文件；</w:t>
            </w:r>
          </w:p>
          <w:p w14:paraId="1EE6938D">
            <w:pPr>
              <w:spacing w:after="50" w:line="360" w:lineRule="auto"/>
              <w:ind w:right="-10"/>
              <w:jc w:val="left"/>
              <w:rPr>
                <w:rFonts w:cs="宋体"/>
                <w:sz w:val="24"/>
                <w:szCs w:val="24"/>
                <w:highlight w:val="none"/>
              </w:rPr>
            </w:pPr>
            <w:r>
              <w:rPr>
                <w:rFonts w:hint="eastAsia" w:cs="宋体"/>
                <w:sz w:val="24"/>
                <w:szCs w:val="24"/>
                <w:highlight w:val="none"/>
              </w:rPr>
              <w:t>（4）供应商</w:t>
            </w:r>
            <w:r>
              <w:rPr>
                <w:rFonts w:cs="宋体"/>
                <w:sz w:val="24"/>
                <w:szCs w:val="24"/>
                <w:highlight w:val="none"/>
              </w:rPr>
              <w:t>是个体工商户的，应</w:t>
            </w:r>
            <w:r>
              <w:rPr>
                <w:rFonts w:hint="eastAsia" w:cs="宋体"/>
                <w:sz w:val="24"/>
                <w:szCs w:val="24"/>
                <w:highlight w:val="none"/>
              </w:rPr>
              <w:t>提</w:t>
            </w:r>
            <w:r>
              <w:rPr>
                <w:rFonts w:cs="宋体"/>
                <w:sz w:val="24"/>
                <w:szCs w:val="24"/>
                <w:highlight w:val="none"/>
              </w:rPr>
              <w:t>供有效的个体工商户营业执照；</w:t>
            </w:r>
          </w:p>
          <w:p w14:paraId="73950577">
            <w:pPr>
              <w:spacing w:after="50" w:line="360" w:lineRule="auto"/>
              <w:ind w:right="-10"/>
              <w:jc w:val="left"/>
              <w:rPr>
                <w:rFonts w:ascii="Calibri" w:hAnsi="Calibri" w:cs="Times New Roman"/>
                <w:kern w:val="2"/>
                <w:sz w:val="24"/>
                <w:szCs w:val="22"/>
                <w:highlight w:val="none"/>
              </w:rPr>
            </w:pPr>
            <w:r>
              <w:rPr>
                <w:rFonts w:hint="eastAsia" w:cs="宋体"/>
                <w:sz w:val="24"/>
                <w:szCs w:val="24"/>
                <w:highlight w:val="none"/>
              </w:rPr>
              <w:t>（5）供应商</w:t>
            </w:r>
            <w:r>
              <w:rPr>
                <w:rFonts w:cs="宋体"/>
                <w:sz w:val="24"/>
                <w:szCs w:val="24"/>
                <w:highlight w:val="none"/>
              </w:rPr>
              <w:t>是自然人的，应</w:t>
            </w:r>
            <w:r>
              <w:rPr>
                <w:rFonts w:hint="eastAsia" w:cs="宋体"/>
                <w:sz w:val="24"/>
                <w:szCs w:val="24"/>
                <w:highlight w:val="none"/>
              </w:rPr>
              <w:t>提</w:t>
            </w:r>
            <w:r>
              <w:rPr>
                <w:rFonts w:cs="宋体"/>
                <w:sz w:val="24"/>
                <w:szCs w:val="24"/>
                <w:highlight w:val="none"/>
              </w:rPr>
              <w:t>供有效的自然人身份证明。</w:t>
            </w:r>
          </w:p>
        </w:tc>
        <w:tc>
          <w:tcPr>
            <w:tcW w:w="1524" w:type="pct"/>
            <w:tcBorders>
              <w:bottom w:val="single" w:color="auto" w:sz="4" w:space="0"/>
            </w:tcBorders>
            <w:vAlign w:val="center"/>
          </w:tcPr>
          <w:p w14:paraId="33105444">
            <w:pPr>
              <w:spacing w:line="360" w:lineRule="auto"/>
              <w:jc w:val="left"/>
              <w:rPr>
                <w:rFonts w:cs="Times New Roman"/>
                <w:kern w:val="2"/>
                <w:sz w:val="24"/>
                <w:szCs w:val="22"/>
                <w:highlight w:val="none"/>
              </w:rPr>
            </w:pPr>
            <w:r>
              <w:rPr>
                <w:rFonts w:hint="eastAsia" w:cs="宋体"/>
                <w:sz w:val="24"/>
                <w:szCs w:val="24"/>
                <w:highlight w:val="none"/>
              </w:rPr>
              <w:t>提供材料扫描件或电子证照，应完整的体现出材料或电子证照全部内容。联合体磋商的联合体各方均须提供。</w:t>
            </w:r>
          </w:p>
        </w:tc>
      </w:tr>
      <w:tr w14:paraId="132D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108453B">
            <w:pPr>
              <w:adjustRightInd w:val="0"/>
              <w:snapToGrid w:val="0"/>
              <w:spacing w:line="360" w:lineRule="auto"/>
              <w:ind w:right="-10"/>
              <w:jc w:val="center"/>
              <w:rPr>
                <w:rFonts w:cs="Times New Roman"/>
                <w:kern w:val="2"/>
                <w:sz w:val="24"/>
                <w:szCs w:val="22"/>
                <w:highlight w:val="none"/>
              </w:rPr>
            </w:pPr>
            <w:r>
              <w:rPr>
                <w:rFonts w:hint="eastAsia"/>
                <w:sz w:val="24"/>
                <w:highlight w:val="none"/>
              </w:rPr>
              <w:t>2</w:t>
            </w:r>
          </w:p>
        </w:tc>
        <w:tc>
          <w:tcPr>
            <w:tcW w:w="796" w:type="pct"/>
            <w:vAlign w:val="center"/>
          </w:tcPr>
          <w:p w14:paraId="47F0D1B5">
            <w:pPr>
              <w:spacing w:after="50" w:line="360" w:lineRule="auto"/>
              <w:ind w:right="-10"/>
              <w:jc w:val="center"/>
              <w:rPr>
                <w:rFonts w:ascii="Calibri" w:hAnsi="Calibri" w:cs="Times New Roman"/>
                <w:kern w:val="2"/>
                <w:sz w:val="24"/>
                <w:szCs w:val="24"/>
                <w:highlight w:val="none"/>
              </w:rPr>
            </w:pPr>
            <w:r>
              <w:rPr>
                <w:rFonts w:hint="eastAsia"/>
                <w:sz w:val="24"/>
                <w:szCs w:val="18"/>
                <w:highlight w:val="none"/>
              </w:rPr>
              <w:t>供应商资格声明书</w:t>
            </w:r>
          </w:p>
        </w:tc>
        <w:tc>
          <w:tcPr>
            <w:tcW w:w="2268" w:type="pct"/>
            <w:vAlign w:val="center"/>
          </w:tcPr>
          <w:p w14:paraId="1CF035B0">
            <w:pPr>
              <w:spacing w:after="50" w:line="360" w:lineRule="auto"/>
              <w:ind w:right="-10"/>
              <w:jc w:val="left"/>
              <w:rPr>
                <w:rFonts w:ascii="Calibri" w:hAnsi="Calibri" w:cs="Times New Roman"/>
                <w:kern w:val="2"/>
                <w:sz w:val="24"/>
                <w:szCs w:val="22"/>
                <w:highlight w:val="none"/>
              </w:rPr>
            </w:pPr>
            <w:r>
              <w:rPr>
                <w:rFonts w:hint="eastAsia" w:cs="宋体"/>
                <w:sz w:val="24"/>
                <w:szCs w:val="24"/>
                <w:highlight w:val="none"/>
              </w:rPr>
              <w:t>提</w:t>
            </w:r>
            <w:r>
              <w:rPr>
                <w:rFonts w:cs="宋体"/>
                <w:sz w:val="24"/>
                <w:szCs w:val="24"/>
                <w:highlight w:val="none"/>
              </w:rPr>
              <w:t>供符合</w:t>
            </w:r>
            <w:r>
              <w:rPr>
                <w:rFonts w:hint="eastAsia" w:cs="宋体"/>
                <w:sz w:val="24"/>
                <w:szCs w:val="24"/>
                <w:highlight w:val="none"/>
              </w:rPr>
              <w:t>磋商</w:t>
            </w:r>
            <w:r>
              <w:rPr>
                <w:rFonts w:cs="宋体"/>
                <w:sz w:val="24"/>
                <w:szCs w:val="24"/>
                <w:highlight w:val="none"/>
              </w:rPr>
              <w:t>文件要求的《</w:t>
            </w:r>
            <w:r>
              <w:rPr>
                <w:rFonts w:hint="eastAsia" w:cs="宋体"/>
                <w:sz w:val="24"/>
                <w:szCs w:val="24"/>
                <w:highlight w:val="none"/>
              </w:rPr>
              <w:t>供应商</w:t>
            </w:r>
            <w:r>
              <w:rPr>
                <w:rFonts w:cs="宋体"/>
                <w:sz w:val="24"/>
                <w:szCs w:val="24"/>
                <w:highlight w:val="none"/>
              </w:rPr>
              <w:t>资格声明书》</w:t>
            </w:r>
            <w:r>
              <w:rPr>
                <w:rFonts w:hint="eastAsia" w:cs="宋体"/>
                <w:sz w:val="24"/>
                <w:szCs w:val="24"/>
                <w:highlight w:val="none"/>
              </w:rPr>
              <w:t>。</w:t>
            </w:r>
          </w:p>
        </w:tc>
        <w:tc>
          <w:tcPr>
            <w:tcW w:w="1524" w:type="pct"/>
            <w:vAlign w:val="center"/>
          </w:tcPr>
          <w:p w14:paraId="00C9E936">
            <w:pPr>
              <w:spacing w:line="360" w:lineRule="auto"/>
              <w:jc w:val="left"/>
              <w:rPr>
                <w:rFonts w:cs="Times New Roman"/>
                <w:kern w:val="2"/>
                <w:sz w:val="24"/>
                <w:szCs w:val="22"/>
                <w:highlight w:val="none"/>
              </w:rPr>
            </w:pPr>
            <w:r>
              <w:rPr>
                <w:rFonts w:hint="eastAsia"/>
                <w:sz w:val="24"/>
                <w:highlight w:val="none"/>
              </w:rPr>
              <w:t>详见第六章响应文件格式。</w:t>
            </w:r>
          </w:p>
        </w:tc>
      </w:tr>
      <w:tr w14:paraId="01E1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5840DCE">
            <w:pPr>
              <w:adjustRightInd w:val="0"/>
              <w:snapToGrid w:val="0"/>
              <w:spacing w:line="360" w:lineRule="auto"/>
              <w:ind w:right="-10"/>
              <w:jc w:val="center"/>
              <w:rPr>
                <w:rFonts w:cs="Times New Roman"/>
                <w:kern w:val="2"/>
                <w:sz w:val="24"/>
                <w:szCs w:val="22"/>
                <w:highlight w:val="none"/>
              </w:rPr>
            </w:pPr>
            <w:r>
              <w:rPr>
                <w:rFonts w:hint="eastAsia"/>
                <w:sz w:val="24"/>
                <w:highlight w:val="none"/>
              </w:rPr>
              <w:t>3</w:t>
            </w:r>
          </w:p>
        </w:tc>
        <w:tc>
          <w:tcPr>
            <w:tcW w:w="796" w:type="pct"/>
            <w:vAlign w:val="center"/>
          </w:tcPr>
          <w:p w14:paraId="749FDBB3">
            <w:pPr>
              <w:spacing w:after="50" w:line="360" w:lineRule="auto"/>
              <w:ind w:right="-10"/>
              <w:jc w:val="center"/>
              <w:rPr>
                <w:rFonts w:ascii="Calibri" w:hAnsi="Calibri" w:cs="Times New Roman"/>
                <w:kern w:val="2"/>
                <w:sz w:val="24"/>
                <w:szCs w:val="24"/>
                <w:highlight w:val="none"/>
              </w:rPr>
            </w:pPr>
            <w:r>
              <w:rPr>
                <w:rFonts w:hint="eastAsia"/>
                <w:sz w:val="24"/>
                <w:szCs w:val="18"/>
                <w:highlight w:val="none"/>
              </w:rPr>
              <w:t>供应商</w:t>
            </w:r>
            <w:r>
              <w:rPr>
                <w:rFonts w:hint="eastAsia" w:cs="宋体"/>
                <w:sz w:val="24"/>
                <w:szCs w:val="24"/>
                <w:highlight w:val="none"/>
              </w:rPr>
              <w:t>信用记录</w:t>
            </w:r>
          </w:p>
        </w:tc>
        <w:tc>
          <w:tcPr>
            <w:tcW w:w="2268" w:type="pct"/>
            <w:vAlign w:val="center"/>
          </w:tcPr>
          <w:p w14:paraId="626264F9">
            <w:pPr>
              <w:spacing w:after="50" w:line="360" w:lineRule="auto"/>
              <w:ind w:right="-10"/>
              <w:jc w:val="left"/>
              <w:rPr>
                <w:rFonts w:ascii="Calibri" w:hAnsi="Calibri" w:cs="Times New Roman"/>
                <w:kern w:val="2"/>
                <w:sz w:val="24"/>
                <w:szCs w:val="22"/>
                <w:highlight w:val="none"/>
              </w:rPr>
            </w:pPr>
            <w:r>
              <w:rPr>
                <w:rFonts w:hint="eastAsia" w:cs="宋体"/>
                <w:sz w:val="24"/>
                <w:szCs w:val="24"/>
                <w:highlight w:val="none"/>
              </w:rPr>
              <w:t>供应商</w:t>
            </w:r>
            <w:r>
              <w:rPr>
                <w:rFonts w:hint="eastAsia" w:cs="宋体"/>
                <w:sz w:val="24"/>
                <w:szCs w:val="24"/>
                <w:highlight w:val="none"/>
                <w:lang w:val="zh-CN"/>
              </w:rPr>
              <w:t>不得存在</w:t>
            </w:r>
            <w:r>
              <w:rPr>
                <w:rFonts w:hint="eastAsia" w:cs="宋体"/>
                <w:sz w:val="24"/>
                <w:szCs w:val="24"/>
                <w:highlight w:val="none"/>
              </w:rPr>
              <w:t>供应商</w:t>
            </w:r>
            <w:r>
              <w:rPr>
                <w:rFonts w:hint="eastAsia" w:cs="宋体"/>
                <w:sz w:val="24"/>
                <w:szCs w:val="24"/>
                <w:highlight w:val="none"/>
                <w:lang w:val="zh-CN"/>
              </w:rPr>
              <w:t>须知正文第1</w:t>
            </w:r>
            <w:r>
              <w:rPr>
                <w:rFonts w:hint="eastAsia" w:cs="宋体"/>
                <w:sz w:val="24"/>
                <w:szCs w:val="24"/>
                <w:highlight w:val="none"/>
              </w:rPr>
              <w:t>4</w:t>
            </w:r>
            <w:r>
              <w:rPr>
                <w:rFonts w:hint="eastAsia" w:cs="宋体"/>
                <w:sz w:val="24"/>
                <w:szCs w:val="24"/>
                <w:highlight w:val="none"/>
                <w:lang w:val="zh-CN"/>
              </w:rPr>
              <w:t>.</w:t>
            </w:r>
            <w:r>
              <w:rPr>
                <w:rFonts w:hint="eastAsia" w:cs="宋体"/>
                <w:sz w:val="24"/>
                <w:szCs w:val="24"/>
                <w:highlight w:val="none"/>
              </w:rPr>
              <w:t>3条中</w:t>
            </w:r>
            <w:r>
              <w:rPr>
                <w:rFonts w:hint="eastAsia"/>
                <w:sz w:val="24"/>
                <w:szCs w:val="28"/>
                <w:highlight w:val="none"/>
              </w:rPr>
              <w:t>的</w:t>
            </w:r>
            <w:r>
              <w:rPr>
                <w:rFonts w:hint="eastAsia"/>
                <w:sz w:val="24"/>
                <w:szCs w:val="18"/>
                <w:highlight w:val="none"/>
              </w:rPr>
              <w:t>不良信用记录情形</w:t>
            </w:r>
          </w:p>
        </w:tc>
        <w:tc>
          <w:tcPr>
            <w:tcW w:w="1524" w:type="pct"/>
            <w:vAlign w:val="center"/>
          </w:tcPr>
          <w:p w14:paraId="4CACEF27">
            <w:pPr>
              <w:spacing w:line="360" w:lineRule="auto"/>
              <w:jc w:val="left"/>
              <w:rPr>
                <w:rFonts w:cs="Times New Roman"/>
                <w:kern w:val="2"/>
                <w:sz w:val="24"/>
                <w:szCs w:val="22"/>
                <w:highlight w:val="none"/>
              </w:rPr>
            </w:pPr>
            <w:r>
              <w:rPr>
                <w:rFonts w:hint="eastAsia" w:cs="宋体"/>
                <w:sz w:val="24"/>
                <w:szCs w:val="24"/>
                <w:highlight w:val="none"/>
              </w:rPr>
              <w:t>无须供应商提供，由采购人或采购代理机构查询。</w:t>
            </w:r>
          </w:p>
        </w:tc>
      </w:tr>
      <w:tr w14:paraId="0EAC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05C0A6D">
            <w:pPr>
              <w:adjustRightInd w:val="0"/>
              <w:snapToGrid w:val="0"/>
              <w:spacing w:line="360" w:lineRule="auto"/>
              <w:ind w:right="-10"/>
              <w:jc w:val="center"/>
              <w:rPr>
                <w:rFonts w:cs="Times New Roman"/>
                <w:kern w:val="2"/>
                <w:sz w:val="24"/>
                <w:szCs w:val="22"/>
                <w:highlight w:val="none"/>
              </w:rPr>
            </w:pPr>
            <w:r>
              <w:rPr>
                <w:rFonts w:hint="eastAsia"/>
                <w:sz w:val="24"/>
                <w:highlight w:val="none"/>
              </w:rPr>
              <w:t>4</w:t>
            </w:r>
          </w:p>
        </w:tc>
        <w:tc>
          <w:tcPr>
            <w:tcW w:w="796" w:type="pct"/>
            <w:vAlign w:val="center"/>
          </w:tcPr>
          <w:p w14:paraId="5065BA04">
            <w:pPr>
              <w:spacing w:after="50" w:line="360" w:lineRule="auto"/>
              <w:ind w:right="-10"/>
              <w:jc w:val="center"/>
              <w:rPr>
                <w:rFonts w:ascii="Calibri" w:hAnsi="Calibri" w:cs="Times New Roman"/>
                <w:kern w:val="2"/>
                <w:sz w:val="24"/>
                <w:szCs w:val="24"/>
                <w:highlight w:val="none"/>
              </w:rPr>
            </w:pPr>
            <w:r>
              <w:rPr>
                <w:rFonts w:hint="eastAsia" w:cs="宋体"/>
                <w:sz w:val="24"/>
                <w:szCs w:val="24"/>
                <w:highlight w:val="none"/>
              </w:rPr>
              <w:t>中小企业证明文件（</w:t>
            </w:r>
            <w:r>
              <w:rPr>
                <w:rFonts w:hint="eastAsia" w:cs="宋体"/>
                <w:i/>
                <w:iCs/>
                <w:sz w:val="24"/>
                <w:szCs w:val="24"/>
                <w:highlight w:val="none"/>
              </w:rPr>
              <w:t>适用于专门面向中小企业采购项目或预留中小企业采购份额项目</w:t>
            </w:r>
            <w:r>
              <w:rPr>
                <w:rFonts w:hint="eastAsia" w:cs="宋体"/>
                <w:sz w:val="24"/>
                <w:szCs w:val="24"/>
                <w:highlight w:val="none"/>
              </w:rPr>
              <w:t>）</w:t>
            </w:r>
          </w:p>
        </w:tc>
        <w:tc>
          <w:tcPr>
            <w:tcW w:w="2268" w:type="pct"/>
          </w:tcPr>
          <w:p w14:paraId="76B53B0F">
            <w:pPr>
              <w:spacing w:after="50" w:line="360" w:lineRule="auto"/>
              <w:ind w:right="-10"/>
              <w:jc w:val="left"/>
              <w:rPr>
                <w:rFonts w:cs="宋体"/>
                <w:sz w:val="24"/>
                <w:szCs w:val="24"/>
                <w:highlight w:val="none"/>
              </w:rPr>
            </w:pPr>
            <w:r>
              <w:rPr>
                <w:rFonts w:hint="eastAsia"/>
                <w:sz w:val="24"/>
                <w:szCs w:val="28"/>
                <w:highlight w:val="none"/>
              </w:rPr>
              <w:t>符合申请人的资格要求中落实政府采购政策需满足的资格要求：</w:t>
            </w:r>
          </w:p>
          <w:p w14:paraId="2138365E">
            <w:pPr>
              <w:spacing w:after="50" w:line="360" w:lineRule="auto"/>
              <w:ind w:right="-10"/>
              <w:jc w:val="left"/>
              <w:rPr>
                <w:rFonts w:cs="宋体"/>
                <w:sz w:val="24"/>
                <w:szCs w:val="24"/>
                <w:highlight w:val="none"/>
              </w:rPr>
            </w:pPr>
            <w:r>
              <w:rPr>
                <w:rFonts w:hint="eastAsia" w:cs="宋体"/>
                <w:sz w:val="24"/>
                <w:szCs w:val="24"/>
                <w:highlight w:val="none"/>
              </w:rPr>
              <w:t>（1）专门面向中小企业采购的，供应商应提供《中小企业声明函》或《残疾人福利性单位声明函》或由省级以上监狱管理局、戒毒管理局（含新疆 生产建设兵团）出具的属于监狱企业的证明文件。</w:t>
            </w:r>
          </w:p>
          <w:p w14:paraId="79663C26">
            <w:pPr>
              <w:spacing w:after="50" w:line="360" w:lineRule="auto"/>
              <w:ind w:right="-10"/>
              <w:jc w:val="left"/>
              <w:rPr>
                <w:rFonts w:ascii="Calibri" w:hAnsi="Calibri" w:cs="Times New Roman"/>
                <w:kern w:val="2"/>
                <w:sz w:val="24"/>
                <w:szCs w:val="22"/>
                <w:highlight w:val="none"/>
              </w:rPr>
            </w:pPr>
            <w:r>
              <w:rPr>
                <w:rFonts w:hint="eastAsia" w:cs="宋体"/>
                <w:sz w:val="24"/>
                <w:szCs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磋商文件关于预留份额的要求。</w:t>
            </w:r>
          </w:p>
        </w:tc>
        <w:tc>
          <w:tcPr>
            <w:tcW w:w="1524" w:type="pct"/>
            <w:vAlign w:val="center"/>
          </w:tcPr>
          <w:p w14:paraId="75C037CA">
            <w:pPr>
              <w:spacing w:after="50" w:line="360" w:lineRule="auto"/>
              <w:ind w:right="-10"/>
              <w:jc w:val="center"/>
              <w:rPr>
                <w:rFonts w:cs="Times New Roman"/>
                <w:kern w:val="2"/>
                <w:sz w:val="24"/>
                <w:szCs w:val="22"/>
                <w:highlight w:val="none"/>
              </w:rPr>
            </w:pPr>
            <w:r>
              <w:rPr>
                <w:rFonts w:hint="eastAsia"/>
                <w:sz w:val="24"/>
                <w:highlight w:val="none"/>
              </w:rPr>
              <w:t>详见第六章响应文件格式。</w:t>
            </w:r>
          </w:p>
        </w:tc>
      </w:tr>
      <w:tr w14:paraId="56E6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10" w:type="pct"/>
            <w:vAlign w:val="center"/>
          </w:tcPr>
          <w:p w14:paraId="33D32208">
            <w:pPr>
              <w:adjustRightInd w:val="0"/>
              <w:snapToGrid w:val="0"/>
              <w:spacing w:line="360" w:lineRule="auto"/>
              <w:ind w:right="-10"/>
              <w:jc w:val="center"/>
              <w:rPr>
                <w:rFonts w:cs="Times New Roman"/>
                <w:kern w:val="2"/>
                <w:sz w:val="24"/>
                <w:szCs w:val="22"/>
                <w:highlight w:val="none"/>
              </w:rPr>
            </w:pPr>
            <w:r>
              <w:rPr>
                <w:rFonts w:hint="eastAsia"/>
                <w:sz w:val="24"/>
                <w:highlight w:val="none"/>
              </w:rPr>
              <w:t>5</w:t>
            </w:r>
          </w:p>
        </w:tc>
        <w:tc>
          <w:tcPr>
            <w:tcW w:w="796" w:type="pct"/>
          </w:tcPr>
          <w:p w14:paraId="236E19E3">
            <w:pPr>
              <w:spacing w:after="50" w:line="360" w:lineRule="auto"/>
              <w:ind w:right="-10"/>
              <w:jc w:val="center"/>
              <w:rPr>
                <w:rFonts w:ascii="Calibri" w:hAnsi="Calibri" w:cs="Times New Roman"/>
                <w:kern w:val="2"/>
                <w:sz w:val="24"/>
                <w:szCs w:val="24"/>
                <w:highlight w:val="none"/>
              </w:rPr>
            </w:pPr>
            <w:r>
              <w:rPr>
                <w:rFonts w:hint="eastAsia" w:cs="宋体"/>
                <w:sz w:val="24"/>
                <w:szCs w:val="24"/>
                <w:highlight w:val="none"/>
              </w:rPr>
              <w:t>拟分包情况说明及分包意向协议（</w:t>
            </w:r>
            <w:r>
              <w:rPr>
                <w:rFonts w:hint="eastAsia" w:cs="宋体"/>
                <w:i/>
                <w:iCs/>
                <w:sz w:val="24"/>
                <w:szCs w:val="24"/>
                <w:highlight w:val="none"/>
              </w:rPr>
              <w:t>适用于合同分包预留中小企业采购份额项目</w:t>
            </w:r>
            <w:r>
              <w:rPr>
                <w:rFonts w:hint="eastAsia" w:cs="宋体"/>
                <w:sz w:val="24"/>
                <w:szCs w:val="24"/>
                <w:highlight w:val="none"/>
              </w:rPr>
              <w:t>）</w:t>
            </w:r>
          </w:p>
        </w:tc>
        <w:tc>
          <w:tcPr>
            <w:tcW w:w="2268" w:type="pct"/>
            <w:vAlign w:val="center"/>
          </w:tcPr>
          <w:p w14:paraId="536200D2">
            <w:pPr>
              <w:spacing w:after="50" w:line="360" w:lineRule="auto"/>
              <w:ind w:right="-10"/>
              <w:rPr>
                <w:rFonts w:ascii="Calibri" w:hAnsi="Calibri" w:cs="Times New Roman"/>
                <w:kern w:val="2"/>
                <w:sz w:val="24"/>
                <w:szCs w:val="22"/>
                <w:highlight w:val="none"/>
              </w:rPr>
            </w:pPr>
            <w:r>
              <w:rPr>
                <w:rFonts w:hint="eastAsia" w:cs="宋体"/>
                <w:sz w:val="24"/>
                <w:szCs w:val="24"/>
                <w:highlight w:val="none"/>
              </w:rPr>
              <w:t>通过分包措施预留部分采购份额面向中小企业采购、且供应商因落实政府采购政策拟进行分包的。</w:t>
            </w:r>
          </w:p>
        </w:tc>
        <w:tc>
          <w:tcPr>
            <w:tcW w:w="1524" w:type="pct"/>
            <w:vAlign w:val="center"/>
          </w:tcPr>
          <w:p w14:paraId="1FA2A927">
            <w:pPr>
              <w:spacing w:after="50" w:line="360" w:lineRule="auto"/>
              <w:ind w:right="-10"/>
              <w:rPr>
                <w:rFonts w:cs="Times New Roman"/>
                <w:kern w:val="2"/>
                <w:sz w:val="24"/>
                <w:szCs w:val="22"/>
                <w:highlight w:val="none"/>
              </w:rPr>
            </w:pPr>
            <w:r>
              <w:rPr>
                <w:rFonts w:hint="eastAsia"/>
                <w:sz w:val="24"/>
                <w:highlight w:val="none"/>
              </w:rPr>
              <w:t>详见第六章响应文件格式。</w:t>
            </w:r>
          </w:p>
        </w:tc>
      </w:tr>
      <w:tr w14:paraId="039A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F267808">
            <w:pPr>
              <w:adjustRightInd w:val="0"/>
              <w:snapToGrid w:val="0"/>
              <w:spacing w:line="360" w:lineRule="auto"/>
              <w:ind w:right="-10"/>
              <w:jc w:val="center"/>
              <w:rPr>
                <w:rFonts w:cs="Times New Roman"/>
                <w:kern w:val="2"/>
                <w:sz w:val="24"/>
                <w:szCs w:val="22"/>
                <w:highlight w:val="none"/>
              </w:rPr>
            </w:pPr>
            <w:r>
              <w:rPr>
                <w:rFonts w:hint="eastAsia"/>
                <w:sz w:val="24"/>
                <w:highlight w:val="none"/>
              </w:rPr>
              <w:t>6</w:t>
            </w:r>
          </w:p>
        </w:tc>
        <w:tc>
          <w:tcPr>
            <w:tcW w:w="796" w:type="pct"/>
            <w:vAlign w:val="center"/>
          </w:tcPr>
          <w:p w14:paraId="00D52298">
            <w:pPr>
              <w:spacing w:after="50" w:line="360" w:lineRule="auto"/>
              <w:ind w:right="-10"/>
              <w:rPr>
                <w:rFonts w:ascii="Calibri" w:hAnsi="Calibri" w:cs="Times New Roman"/>
                <w:kern w:val="2"/>
                <w:sz w:val="24"/>
                <w:szCs w:val="24"/>
                <w:highlight w:val="none"/>
              </w:rPr>
            </w:pPr>
            <w:r>
              <w:rPr>
                <w:rFonts w:cs="宋体"/>
                <w:spacing w:val="10"/>
                <w:sz w:val="24"/>
                <w:szCs w:val="24"/>
                <w:highlight w:val="none"/>
              </w:rPr>
              <w:t>其它落实政府采</w:t>
            </w:r>
            <w:r>
              <w:rPr>
                <w:rFonts w:cs="宋体"/>
                <w:spacing w:val="11"/>
                <w:sz w:val="24"/>
                <w:szCs w:val="24"/>
                <w:highlight w:val="none"/>
              </w:rPr>
              <w:t>购政策的资格要</w:t>
            </w:r>
            <w:r>
              <w:rPr>
                <w:rFonts w:cs="宋体"/>
                <w:sz w:val="24"/>
                <w:szCs w:val="24"/>
                <w:highlight w:val="none"/>
              </w:rPr>
              <w:t>求</w:t>
            </w:r>
          </w:p>
        </w:tc>
        <w:tc>
          <w:tcPr>
            <w:tcW w:w="2268" w:type="pct"/>
            <w:vAlign w:val="center"/>
          </w:tcPr>
          <w:p w14:paraId="54056A32">
            <w:pPr>
              <w:spacing w:after="50" w:line="360" w:lineRule="auto"/>
              <w:ind w:right="-10"/>
              <w:rPr>
                <w:rFonts w:ascii="Calibri" w:hAnsi="Calibri" w:cs="Times New Roman"/>
                <w:kern w:val="2"/>
                <w:sz w:val="24"/>
                <w:szCs w:val="22"/>
                <w:highlight w:val="none"/>
              </w:rPr>
            </w:pPr>
            <w:r>
              <w:rPr>
                <w:rFonts w:cs="宋体"/>
                <w:spacing w:val="-2"/>
                <w:sz w:val="24"/>
                <w:szCs w:val="24"/>
                <w:highlight w:val="none"/>
              </w:rPr>
              <w:t>如有，见第一章《投标邀请》</w:t>
            </w:r>
          </w:p>
        </w:tc>
        <w:tc>
          <w:tcPr>
            <w:tcW w:w="1524" w:type="pct"/>
            <w:vAlign w:val="center"/>
          </w:tcPr>
          <w:p w14:paraId="67383B9B">
            <w:pPr>
              <w:spacing w:after="50" w:line="360" w:lineRule="auto"/>
              <w:ind w:right="-10"/>
              <w:rPr>
                <w:rFonts w:cs="Times New Roman"/>
                <w:kern w:val="2"/>
                <w:sz w:val="24"/>
                <w:szCs w:val="22"/>
                <w:highlight w:val="none"/>
              </w:rPr>
            </w:pPr>
            <w:r>
              <w:rPr>
                <w:rFonts w:hint="eastAsia" w:cs="宋体"/>
                <w:sz w:val="24"/>
                <w:szCs w:val="24"/>
                <w:highlight w:val="none"/>
              </w:rPr>
              <w:t>提供材料扫描件或电子证照，应完整的体现出材料或电子证照全部内容。</w:t>
            </w:r>
          </w:p>
        </w:tc>
      </w:tr>
      <w:tr w14:paraId="599D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1B53AC2">
            <w:pPr>
              <w:adjustRightInd w:val="0"/>
              <w:snapToGrid w:val="0"/>
              <w:spacing w:line="360" w:lineRule="auto"/>
              <w:ind w:right="-10"/>
              <w:jc w:val="center"/>
              <w:rPr>
                <w:rFonts w:cs="Times New Roman"/>
                <w:kern w:val="2"/>
                <w:sz w:val="24"/>
                <w:szCs w:val="22"/>
                <w:highlight w:val="none"/>
              </w:rPr>
            </w:pPr>
            <w:r>
              <w:rPr>
                <w:rFonts w:hint="eastAsia"/>
                <w:sz w:val="24"/>
                <w:highlight w:val="none"/>
              </w:rPr>
              <w:t>7</w:t>
            </w:r>
          </w:p>
        </w:tc>
        <w:tc>
          <w:tcPr>
            <w:tcW w:w="796" w:type="pct"/>
            <w:vAlign w:val="center"/>
          </w:tcPr>
          <w:p w14:paraId="44E39C4C">
            <w:pPr>
              <w:spacing w:after="50" w:line="360" w:lineRule="auto"/>
              <w:ind w:right="-10"/>
              <w:rPr>
                <w:rFonts w:ascii="Calibri" w:hAnsi="Calibri" w:cs="Times New Roman"/>
                <w:kern w:val="2"/>
                <w:sz w:val="24"/>
                <w:szCs w:val="24"/>
                <w:highlight w:val="none"/>
              </w:rPr>
            </w:pPr>
            <w:r>
              <w:rPr>
                <w:rFonts w:cs="宋体"/>
                <w:spacing w:val="10"/>
                <w:sz w:val="24"/>
                <w:szCs w:val="24"/>
                <w:highlight w:val="none"/>
              </w:rPr>
              <w:t>本项目对于联合</w:t>
            </w:r>
            <w:r>
              <w:rPr>
                <w:rFonts w:cs="宋体"/>
                <w:spacing w:val="-2"/>
                <w:sz w:val="24"/>
                <w:szCs w:val="24"/>
                <w:highlight w:val="none"/>
              </w:rPr>
              <w:t>体的要求</w:t>
            </w:r>
            <w:r>
              <w:rPr>
                <w:rFonts w:hint="eastAsia" w:cs="宋体"/>
                <w:spacing w:val="-2"/>
                <w:sz w:val="24"/>
                <w:szCs w:val="24"/>
                <w:highlight w:val="none"/>
              </w:rPr>
              <w:t>（</w:t>
            </w:r>
            <w:r>
              <w:rPr>
                <w:rFonts w:hint="eastAsia" w:cs="宋体"/>
                <w:i/>
                <w:iCs/>
                <w:spacing w:val="-2"/>
                <w:sz w:val="24"/>
                <w:szCs w:val="24"/>
                <w:highlight w:val="none"/>
              </w:rPr>
              <w:t>适用于接受联合体磋商项目</w:t>
            </w:r>
            <w:r>
              <w:rPr>
                <w:rFonts w:hint="eastAsia" w:cs="宋体"/>
                <w:spacing w:val="-2"/>
                <w:sz w:val="24"/>
                <w:szCs w:val="24"/>
                <w:highlight w:val="none"/>
              </w:rPr>
              <w:t>）</w:t>
            </w:r>
          </w:p>
        </w:tc>
        <w:tc>
          <w:tcPr>
            <w:tcW w:w="2268" w:type="pct"/>
            <w:vAlign w:val="center"/>
          </w:tcPr>
          <w:p w14:paraId="5326BD34">
            <w:pPr>
              <w:spacing w:after="50" w:line="360" w:lineRule="auto"/>
              <w:ind w:right="-10"/>
              <w:rPr>
                <w:rFonts w:ascii="Calibri" w:hAnsi="Calibri" w:cs="Times New Roman"/>
                <w:kern w:val="2"/>
                <w:sz w:val="24"/>
                <w:szCs w:val="22"/>
                <w:highlight w:val="none"/>
              </w:rPr>
            </w:pPr>
            <w:r>
              <w:rPr>
                <w:rFonts w:hint="eastAsia" w:cs="宋体"/>
                <w:spacing w:val="-2"/>
                <w:sz w:val="24"/>
                <w:szCs w:val="24"/>
                <w:highlight w:val="none"/>
              </w:rPr>
              <w:t>联合体磋商的</w:t>
            </w:r>
            <w:r>
              <w:rPr>
                <w:rFonts w:hint="eastAsia" w:cs="宋体"/>
                <w:spacing w:val="10"/>
                <w:kern w:val="2"/>
                <w:sz w:val="24"/>
                <w:szCs w:val="24"/>
                <w:highlight w:val="none"/>
              </w:rPr>
              <w:t>详见</w:t>
            </w:r>
            <w:r>
              <w:rPr>
                <w:rFonts w:hint="eastAsia" w:cs="宋体"/>
                <w:sz w:val="24"/>
                <w:szCs w:val="24"/>
                <w:highlight w:val="none"/>
              </w:rPr>
              <w:t>供应商</w:t>
            </w:r>
            <w:r>
              <w:rPr>
                <w:rFonts w:hint="eastAsia" w:cs="宋体"/>
                <w:sz w:val="24"/>
                <w:szCs w:val="24"/>
                <w:highlight w:val="none"/>
                <w:lang w:val="zh-CN"/>
              </w:rPr>
              <w:t>须知正文第</w:t>
            </w:r>
            <w:r>
              <w:rPr>
                <w:rFonts w:hint="eastAsia" w:cs="宋体"/>
                <w:sz w:val="24"/>
                <w:szCs w:val="24"/>
                <w:highlight w:val="none"/>
              </w:rPr>
              <w:t>1.5，且</w:t>
            </w:r>
            <w:r>
              <w:rPr>
                <w:rFonts w:hint="eastAsia" w:cs="宋体"/>
                <w:spacing w:val="10"/>
                <w:kern w:val="2"/>
                <w:sz w:val="24"/>
                <w:szCs w:val="24"/>
                <w:highlight w:val="none"/>
              </w:rPr>
              <w:t>提</w:t>
            </w:r>
            <w:r>
              <w:rPr>
                <w:rFonts w:cs="宋体"/>
                <w:spacing w:val="10"/>
                <w:kern w:val="2"/>
                <w:sz w:val="24"/>
                <w:szCs w:val="24"/>
                <w:highlight w:val="none"/>
              </w:rPr>
              <w:t>供《联合协议》。</w:t>
            </w:r>
          </w:p>
        </w:tc>
        <w:tc>
          <w:tcPr>
            <w:tcW w:w="1524" w:type="pct"/>
            <w:vAlign w:val="center"/>
          </w:tcPr>
          <w:p w14:paraId="5ABA3475">
            <w:pPr>
              <w:spacing w:after="50" w:line="360" w:lineRule="auto"/>
              <w:ind w:right="-10"/>
              <w:rPr>
                <w:rFonts w:cs="Times New Roman"/>
                <w:kern w:val="2"/>
                <w:sz w:val="24"/>
                <w:szCs w:val="22"/>
                <w:highlight w:val="none"/>
              </w:rPr>
            </w:pPr>
            <w:r>
              <w:rPr>
                <w:rFonts w:cs="宋体"/>
                <w:spacing w:val="10"/>
                <w:kern w:val="2"/>
                <w:sz w:val="24"/>
                <w:szCs w:val="24"/>
                <w:highlight w:val="none"/>
              </w:rPr>
              <w:t>《联合协议》</w:t>
            </w:r>
            <w:r>
              <w:rPr>
                <w:rFonts w:hint="eastAsia"/>
                <w:sz w:val="24"/>
                <w:highlight w:val="none"/>
              </w:rPr>
              <w:t>详见第六章响应文件格式。</w:t>
            </w:r>
          </w:p>
        </w:tc>
      </w:tr>
      <w:tr w14:paraId="5A9A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79344B58">
            <w:pPr>
              <w:adjustRightInd w:val="0"/>
              <w:snapToGrid w:val="0"/>
              <w:spacing w:line="360" w:lineRule="auto"/>
              <w:ind w:right="-10"/>
              <w:jc w:val="center"/>
              <w:rPr>
                <w:rFonts w:cs="Times New Roman"/>
                <w:kern w:val="2"/>
                <w:sz w:val="24"/>
                <w:szCs w:val="22"/>
                <w:highlight w:val="none"/>
              </w:rPr>
            </w:pPr>
            <w:r>
              <w:rPr>
                <w:rFonts w:hint="eastAsia"/>
                <w:sz w:val="24"/>
                <w:highlight w:val="none"/>
              </w:rPr>
              <w:t>8</w:t>
            </w:r>
          </w:p>
        </w:tc>
        <w:tc>
          <w:tcPr>
            <w:tcW w:w="796" w:type="pct"/>
            <w:vAlign w:val="center"/>
          </w:tcPr>
          <w:p w14:paraId="7937374C">
            <w:pPr>
              <w:spacing w:after="50" w:line="360" w:lineRule="auto"/>
              <w:ind w:right="-10"/>
              <w:rPr>
                <w:rFonts w:ascii="Calibri" w:hAnsi="Calibri" w:cs="Times New Roman"/>
                <w:kern w:val="2"/>
                <w:sz w:val="24"/>
                <w:szCs w:val="24"/>
                <w:highlight w:val="none"/>
              </w:rPr>
            </w:pPr>
            <w:r>
              <w:rPr>
                <w:rFonts w:hint="eastAsia" w:cs="宋体"/>
                <w:spacing w:val="10"/>
                <w:sz w:val="24"/>
                <w:szCs w:val="24"/>
                <w:highlight w:val="none"/>
              </w:rPr>
              <w:t>本项目的</w:t>
            </w:r>
            <w:r>
              <w:rPr>
                <w:rFonts w:cs="宋体"/>
                <w:spacing w:val="10"/>
                <w:sz w:val="24"/>
                <w:szCs w:val="24"/>
                <w:highlight w:val="none"/>
              </w:rPr>
              <w:t>特定资格要求</w:t>
            </w:r>
          </w:p>
        </w:tc>
        <w:tc>
          <w:tcPr>
            <w:tcW w:w="2268" w:type="pct"/>
            <w:vAlign w:val="center"/>
          </w:tcPr>
          <w:p w14:paraId="2D94AD5B">
            <w:pPr>
              <w:spacing w:after="50" w:line="360" w:lineRule="auto"/>
              <w:ind w:right="-10"/>
              <w:rPr>
                <w:rFonts w:ascii="Calibri" w:hAnsi="Calibri" w:cs="Times New Roman"/>
                <w:kern w:val="2"/>
                <w:sz w:val="24"/>
                <w:szCs w:val="22"/>
                <w:highlight w:val="none"/>
              </w:rPr>
            </w:pPr>
            <w:r>
              <w:rPr>
                <w:rFonts w:cs="宋体"/>
                <w:spacing w:val="10"/>
                <w:sz w:val="24"/>
                <w:szCs w:val="24"/>
                <w:highlight w:val="none"/>
              </w:rPr>
              <w:t>如有，见第一章《</w:t>
            </w:r>
            <w:r>
              <w:rPr>
                <w:rFonts w:hint="eastAsia" w:cs="宋体"/>
                <w:spacing w:val="10"/>
                <w:sz w:val="24"/>
                <w:szCs w:val="24"/>
                <w:highlight w:val="none"/>
              </w:rPr>
              <w:t>磋商</w:t>
            </w:r>
            <w:r>
              <w:rPr>
                <w:rFonts w:cs="宋体"/>
                <w:spacing w:val="10"/>
                <w:sz w:val="24"/>
                <w:szCs w:val="24"/>
                <w:highlight w:val="none"/>
              </w:rPr>
              <w:t>邀请》</w:t>
            </w:r>
          </w:p>
        </w:tc>
        <w:tc>
          <w:tcPr>
            <w:tcW w:w="1524" w:type="pct"/>
            <w:vAlign w:val="center"/>
          </w:tcPr>
          <w:p w14:paraId="43B15FF3">
            <w:pPr>
              <w:spacing w:after="50" w:line="360" w:lineRule="auto"/>
              <w:ind w:right="-10"/>
              <w:rPr>
                <w:rFonts w:cs="Times New Roman"/>
                <w:kern w:val="2"/>
                <w:sz w:val="24"/>
                <w:szCs w:val="28"/>
                <w:highlight w:val="none"/>
              </w:rPr>
            </w:pPr>
            <w:r>
              <w:rPr>
                <w:rFonts w:hint="eastAsia" w:cs="宋体"/>
                <w:sz w:val="24"/>
                <w:szCs w:val="24"/>
                <w:highlight w:val="none"/>
              </w:rPr>
              <w:t>提供材料扫描件或电子证照，应完整的体现出材料或电子证照全部内容。其中项目经理的其他要求需提供承诺函，格式详见</w:t>
            </w:r>
            <w:r>
              <w:rPr>
                <w:rFonts w:hint="eastAsia"/>
                <w:sz w:val="24"/>
                <w:highlight w:val="none"/>
              </w:rPr>
              <w:t>第六章响应文件格式。</w:t>
            </w:r>
          </w:p>
        </w:tc>
      </w:tr>
      <w:tr w14:paraId="1758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6940735">
            <w:pPr>
              <w:adjustRightInd w:val="0"/>
              <w:snapToGrid w:val="0"/>
              <w:spacing w:line="360" w:lineRule="auto"/>
              <w:ind w:right="-10"/>
              <w:jc w:val="center"/>
              <w:rPr>
                <w:rFonts w:cs="Times New Roman"/>
                <w:kern w:val="2"/>
                <w:sz w:val="24"/>
                <w:szCs w:val="22"/>
                <w:highlight w:val="none"/>
              </w:rPr>
            </w:pPr>
            <w:r>
              <w:rPr>
                <w:rFonts w:hint="eastAsia" w:cs="Times New Roman" w:asciiTheme="minorEastAsia" w:hAnsiTheme="minorEastAsia" w:eastAsiaTheme="minorEastAsia"/>
                <w:kern w:val="2"/>
                <w:sz w:val="24"/>
                <w:szCs w:val="22"/>
                <w:highlight w:val="none"/>
              </w:rPr>
              <w:t>9</w:t>
            </w:r>
          </w:p>
        </w:tc>
        <w:tc>
          <w:tcPr>
            <w:tcW w:w="796" w:type="pct"/>
            <w:vAlign w:val="center"/>
          </w:tcPr>
          <w:p w14:paraId="2759F1B1">
            <w:pPr>
              <w:adjustRightInd w:val="0"/>
              <w:snapToGrid w:val="0"/>
              <w:spacing w:line="360" w:lineRule="auto"/>
              <w:ind w:right="-10"/>
              <w:jc w:val="center"/>
              <w:rPr>
                <w:rFonts w:ascii="Calibri" w:hAnsi="Calibri" w:cs="Times New Roman"/>
                <w:kern w:val="2"/>
                <w:sz w:val="24"/>
                <w:szCs w:val="24"/>
                <w:highlight w:val="none"/>
              </w:rPr>
            </w:pPr>
            <w:r>
              <w:rPr>
                <w:rFonts w:hint="eastAsia" w:cs="Times New Roman"/>
                <w:kern w:val="2"/>
                <w:sz w:val="24"/>
                <w:highlight w:val="none"/>
              </w:rPr>
              <w:t>授权书</w:t>
            </w:r>
          </w:p>
        </w:tc>
        <w:tc>
          <w:tcPr>
            <w:tcW w:w="2268" w:type="pct"/>
            <w:vAlign w:val="center"/>
          </w:tcPr>
          <w:p w14:paraId="56562862">
            <w:pPr>
              <w:adjustRightInd w:val="0"/>
              <w:snapToGrid w:val="0"/>
              <w:spacing w:line="360" w:lineRule="auto"/>
              <w:ind w:right="-10"/>
              <w:jc w:val="left"/>
              <w:rPr>
                <w:rFonts w:ascii="Calibri" w:hAnsi="Calibri" w:cs="Times New Roman"/>
                <w:kern w:val="2"/>
                <w:sz w:val="24"/>
                <w:szCs w:val="22"/>
                <w:highlight w:val="none"/>
              </w:rPr>
            </w:pPr>
            <w:r>
              <w:rPr>
                <w:rFonts w:hint="eastAsia" w:cs="Times New Roman"/>
                <w:kern w:val="2"/>
                <w:sz w:val="24"/>
                <w:szCs w:val="22"/>
                <w:highlight w:val="none"/>
              </w:rPr>
              <w:t>符合磋商文件要求。</w:t>
            </w:r>
          </w:p>
        </w:tc>
        <w:tc>
          <w:tcPr>
            <w:tcW w:w="1524" w:type="pct"/>
            <w:vAlign w:val="center"/>
          </w:tcPr>
          <w:p w14:paraId="040B4175">
            <w:pPr>
              <w:adjustRightInd w:val="0"/>
              <w:snapToGrid w:val="0"/>
              <w:spacing w:line="360" w:lineRule="auto"/>
              <w:ind w:right="-10"/>
              <w:jc w:val="left"/>
              <w:rPr>
                <w:rFonts w:cs="Times New Roman"/>
                <w:kern w:val="2"/>
                <w:sz w:val="24"/>
                <w:szCs w:val="22"/>
                <w:highlight w:val="none"/>
              </w:rPr>
            </w:pPr>
          </w:p>
        </w:tc>
      </w:tr>
      <w:tr w14:paraId="5D58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94E571D">
            <w:pPr>
              <w:adjustRightInd w:val="0"/>
              <w:snapToGrid w:val="0"/>
              <w:spacing w:line="360" w:lineRule="auto"/>
              <w:ind w:right="-10"/>
              <w:jc w:val="center"/>
              <w:rPr>
                <w:rFonts w:cs="Times New Roman"/>
                <w:kern w:val="2"/>
                <w:sz w:val="24"/>
                <w:szCs w:val="22"/>
                <w:highlight w:val="none"/>
              </w:rPr>
            </w:pPr>
            <w:r>
              <w:rPr>
                <w:rFonts w:hint="eastAsia" w:cs="Times New Roman" w:asciiTheme="minorEastAsia" w:hAnsiTheme="minorEastAsia" w:eastAsiaTheme="minorEastAsia"/>
                <w:kern w:val="2"/>
                <w:sz w:val="24"/>
                <w:szCs w:val="22"/>
                <w:highlight w:val="none"/>
              </w:rPr>
              <w:t>10</w:t>
            </w:r>
          </w:p>
        </w:tc>
        <w:tc>
          <w:tcPr>
            <w:tcW w:w="796" w:type="pct"/>
            <w:vAlign w:val="center"/>
          </w:tcPr>
          <w:p w14:paraId="5E439E15">
            <w:pPr>
              <w:adjustRightInd w:val="0"/>
              <w:snapToGrid w:val="0"/>
              <w:spacing w:line="360" w:lineRule="auto"/>
              <w:ind w:right="-10"/>
              <w:jc w:val="center"/>
              <w:rPr>
                <w:rFonts w:ascii="Calibri" w:hAnsi="Calibri" w:cs="Times New Roman"/>
                <w:kern w:val="2"/>
                <w:sz w:val="24"/>
                <w:szCs w:val="24"/>
                <w:highlight w:val="none"/>
              </w:rPr>
            </w:pPr>
            <w:r>
              <w:rPr>
                <w:rFonts w:hint="eastAsia" w:cs="Times New Roman"/>
                <w:kern w:val="2"/>
                <w:sz w:val="24"/>
                <w:highlight w:val="none"/>
              </w:rPr>
              <w:t>磋商响应函</w:t>
            </w:r>
          </w:p>
        </w:tc>
        <w:tc>
          <w:tcPr>
            <w:tcW w:w="2268" w:type="pct"/>
            <w:vAlign w:val="center"/>
          </w:tcPr>
          <w:p w14:paraId="5FFA8A90">
            <w:pPr>
              <w:adjustRightInd w:val="0"/>
              <w:snapToGrid w:val="0"/>
              <w:spacing w:line="360" w:lineRule="auto"/>
              <w:ind w:right="-10"/>
              <w:jc w:val="left"/>
              <w:rPr>
                <w:rFonts w:ascii="Calibri" w:hAnsi="Calibri" w:cs="Times New Roman"/>
                <w:kern w:val="2"/>
                <w:sz w:val="24"/>
                <w:szCs w:val="22"/>
                <w:highlight w:val="none"/>
              </w:rPr>
            </w:pPr>
            <w:r>
              <w:rPr>
                <w:rFonts w:hint="eastAsia" w:cs="Times New Roman"/>
                <w:kern w:val="2"/>
                <w:sz w:val="24"/>
                <w:szCs w:val="22"/>
                <w:highlight w:val="none"/>
              </w:rPr>
              <w:t>符合磋商文件要求。</w:t>
            </w:r>
          </w:p>
        </w:tc>
        <w:tc>
          <w:tcPr>
            <w:tcW w:w="1524" w:type="pct"/>
            <w:vAlign w:val="center"/>
          </w:tcPr>
          <w:p w14:paraId="5E4B7BF6">
            <w:pPr>
              <w:adjustRightInd w:val="0"/>
              <w:snapToGrid w:val="0"/>
              <w:spacing w:line="360" w:lineRule="auto"/>
              <w:ind w:right="-10"/>
              <w:jc w:val="left"/>
              <w:rPr>
                <w:rFonts w:cs="Times New Roman"/>
                <w:kern w:val="2"/>
                <w:sz w:val="24"/>
                <w:szCs w:val="22"/>
                <w:highlight w:val="none"/>
              </w:rPr>
            </w:pPr>
          </w:p>
        </w:tc>
      </w:tr>
      <w:tr w14:paraId="4906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F2B6084">
            <w:pPr>
              <w:adjustRightInd w:val="0"/>
              <w:snapToGrid w:val="0"/>
              <w:spacing w:line="360" w:lineRule="auto"/>
              <w:ind w:right="-10"/>
              <w:jc w:val="center"/>
              <w:rPr>
                <w:rFonts w:cs="Times New Roman"/>
                <w:kern w:val="2"/>
                <w:sz w:val="24"/>
                <w:szCs w:val="22"/>
                <w:highlight w:val="none"/>
              </w:rPr>
            </w:pPr>
            <w:r>
              <w:rPr>
                <w:rFonts w:hint="eastAsia"/>
                <w:sz w:val="24"/>
                <w:highlight w:val="none"/>
              </w:rPr>
              <w:t>11</w:t>
            </w:r>
          </w:p>
        </w:tc>
        <w:tc>
          <w:tcPr>
            <w:tcW w:w="796" w:type="pct"/>
            <w:vAlign w:val="center"/>
          </w:tcPr>
          <w:p w14:paraId="07494185">
            <w:pPr>
              <w:spacing w:after="50" w:line="360" w:lineRule="auto"/>
              <w:ind w:right="-10"/>
              <w:jc w:val="center"/>
              <w:rPr>
                <w:rFonts w:ascii="Calibri" w:hAnsi="Calibri" w:cs="Times New Roman"/>
                <w:kern w:val="2"/>
                <w:sz w:val="24"/>
                <w:szCs w:val="24"/>
                <w:highlight w:val="none"/>
              </w:rPr>
            </w:pPr>
            <w:r>
              <w:rPr>
                <w:rFonts w:hint="eastAsia" w:asciiTheme="minorEastAsia" w:hAnsiTheme="minorEastAsia" w:eastAsiaTheme="minorEastAsia"/>
                <w:sz w:val="24"/>
                <w:szCs w:val="28"/>
                <w:highlight w:val="none"/>
              </w:rPr>
              <w:t>磋商报价</w:t>
            </w:r>
          </w:p>
        </w:tc>
        <w:tc>
          <w:tcPr>
            <w:tcW w:w="2268" w:type="pct"/>
            <w:vAlign w:val="center"/>
          </w:tcPr>
          <w:p w14:paraId="1355D374">
            <w:pPr>
              <w:spacing w:after="50" w:line="360" w:lineRule="auto"/>
              <w:ind w:right="-10"/>
              <w:rPr>
                <w:rFonts w:ascii="Calibri" w:hAnsi="Calibri" w:cs="Times New Roman"/>
                <w:kern w:val="2"/>
                <w:sz w:val="24"/>
                <w:szCs w:val="22"/>
                <w:highlight w:val="none"/>
              </w:rPr>
            </w:pPr>
            <w:r>
              <w:rPr>
                <w:rFonts w:hint="eastAsia" w:asciiTheme="minorEastAsia" w:hAnsiTheme="minorEastAsia" w:eastAsiaTheme="minorEastAsia"/>
                <w:sz w:val="24"/>
                <w:szCs w:val="28"/>
                <w:highlight w:val="none"/>
              </w:rPr>
              <w:t>符合</w:t>
            </w:r>
            <w:r>
              <w:rPr>
                <w:rFonts w:hint="eastAsia" w:cs="Times New Roman"/>
                <w:kern w:val="2"/>
                <w:sz w:val="24"/>
                <w:szCs w:val="22"/>
                <w:highlight w:val="none"/>
              </w:rPr>
              <w:t>磋商</w:t>
            </w:r>
            <w:r>
              <w:rPr>
                <w:rFonts w:hint="eastAsia" w:asciiTheme="minorEastAsia" w:hAnsiTheme="minorEastAsia" w:eastAsiaTheme="minorEastAsia"/>
                <w:sz w:val="24"/>
                <w:highlight w:val="none"/>
              </w:rPr>
              <w:t>文件要求</w:t>
            </w:r>
          </w:p>
        </w:tc>
        <w:tc>
          <w:tcPr>
            <w:tcW w:w="1524" w:type="pct"/>
            <w:vAlign w:val="center"/>
          </w:tcPr>
          <w:p w14:paraId="2738C074">
            <w:pPr>
              <w:adjustRightInd w:val="0"/>
              <w:snapToGrid w:val="0"/>
              <w:spacing w:line="360" w:lineRule="auto"/>
              <w:ind w:right="-10"/>
              <w:jc w:val="center"/>
              <w:rPr>
                <w:rFonts w:cs="Times New Roman"/>
                <w:kern w:val="2"/>
                <w:sz w:val="24"/>
                <w:szCs w:val="22"/>
                <w:highlight w:val="none"/>
              </w:rPr>
            </w:pPr>
          </w:p>
        </w:tc>
      </w:tr>
      <w:tr w14:paraId="7D09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59649DFC">
            <w:pPr>
              <w:adjustRightInd w:val="0"/>
              <w:snapToGrid w:val="0"/>
              <w:ind w:right="-10"/>
              <w:jc w:val="left"/>
              <w:rPr>
                <w:rFonts w:ascii="Calibri" w:hAnsi="Calibri" w:cs="Times New Roman"/>
                <w:kern w:val="2"/>
                <w:sz w:val="24"/>
                <w:szCs w:val="22"/>
                <w:highlight w:val="none"/>
              </w:rPr>
            </w:pPr>
            <w:r>
              <w:rPr>
                <w:rFonts w:hint="eastAsia" w:ascii="Calibri" w:hAnsi="Calibri" w:cs="Times New Roman"/>
                <w:kern w:val="2"/>
                <w:sz w:val="24"/>
                <w:szCs w:val="22"/>
                <w:highlight w:val="none"/>
              </w:rPr>
              <w:t>评审指标通过标准：供应商必须通过上述全部指标。</w:t>
            </w:r>
          </w:p>
        </w:tc>
        <w:tc>
          <w:tcPr>
            <w:tcW w:w="1524" w:type="pct"/>
            <w:tcBorders>
              <w:bottom w:val="single" w:color="auto" w:sz="4" w:space="0"/>
            </w:tcBorders>
            <w:vAlign w:val="center"/>
          </w:tcPr>
          <w:p w14:paraId="246E7972">
            <w:pPr>
              <w:adjustRightInd w:val="0"/>
              <w:snapToGrid w:val="0"/>
              <w:ind w:right="-10"/>
              <w:jc w:val="left"/>
              <w:rPr>
                <w:rFonts w:ascii="Calibri" w:hAnsi="Calibri" w:cs="Times New Roman"/>
                <w:kern w:val="2"/>
                <w:sz w:val="24"/>
                <w:szCs w:val="22"/>
                <w:highlight w:val="none"/>
              </w:rPr>
            </w:pPr>
          </w:p>
        </w:tc>
      </w:tr>
    </w:tbl>
    <w:p w14:paraId="07B2CE9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初审指标通过标准：</w:t>
      </w:r>
      <w:r>
        <w:rPr>
          <w:rFonts w:hint="eastAsia" w:asciiTheme="minorEastAsia" w:hAnsiTheme="minorEastAsia" w:eastAsiaTheme="minorEastAsia"/>
          <w:sz w:val="24"/>
          <w:highlight w:val="none"/>
        </w:rPr>
        <w:t>供应商必须通过初审表中的全部评审指标。</w:t>
      </w:r>
    </w:p>
    <w:p w14:paraId="5D5554B6">
      <w:pPr>
        <w:spacing w:line="360" w:lineRule="auto"/>
        <w:ind w:firstLine="435"/>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2.2异常低价响应审查</w:t>
      </w:r>
    </w:p>
    <w:tbl>
      <w:tblPr>
        <w:tblStyle w:val="5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22CD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917DA1C">
            <w:pPr>
              <w:adjustRightInd w:val="0"/>
              <w:snapToGrid w:val="0"/>
              <w:spacing w:line="360" w:lineRule="auto"/>
              <w:ind w:right="-10"/>
              <w:jc w:val="center"/>
              <w:rPr>
                <w:sz w:val="24"/>
                <w:highlight w:val="none"/>
              </w:rPr>
            </w:pPr>
            <w:r>
              <w:rPr>
                <w:rFonts w:hint="eastAsia" w:cs="Times New Roman"/>
                <w:b/>
                <w:bCs/>
                <w:sz w:val="24"/>
                <w:highlight w:val="none"/>
              </w:rPr>
              <w:t>异常低价响应审查表</w:t>
            </w:r>
          </w:p>
        </w:tc>
      </w:tr>
      <w:tr w14:paraId="4A2A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3C18AC0D">
            <w:pPr>
              <w:spacing w:line="360" w:lineRule="auto"/>
              <w:jc w:val="center"/>
              <w:rPr>
                <w:sz w:val="24"/>
                <w:highlight w:val="none"/>
              </w:rPr>
            </w:pPr>
            <w:r>
              <w:rPr>
                <w:rFonts w:hint="eastAsia" w:cs="Times New Roman"/>
                <w:sz w:val="24"/>
                <w:highlight w:val="none"/>
              </w:rPr>
              <w:t>序号</w:t>
            </w:r>
          </w:p>
        </w:tc>
        <w:tc>
          <w:tcPr>
            <w:tcW w:w="1450" w:type="dxa"/>
            <w:tcBorders>
              <w:bottom w:val="single" w:color="auto" w:sz="4" w:space="0"/>
            </w:tcBorders>
            <w:vAlign w:val="center"/>
          </w:tcPr>
          <w:p w14:paraId="0E2D03F0">
            <w:pPr>
              <w:spacing w:line="360" w:lineRule="auto"/>
              <w:ind w:firstLine="240" w:firstLineChars="100"/>
              <w:jc w:val="center"/>
              <w:rPr>
                <w:kern w:val="2"/>
                <w:szCs w:val="24"/>
                <w:highlight w:val="none"/>
              </w:rPr>
            </w:pPr>
            <w:r>
              <w:rPr>
                <w:rFonts w:hint="eastAsia" w:cs="Times New Roman"/>
                <w:sz w:val="24"/>
                <w:highlight w:val="none"/>
              </w:rPr>
              <w:t>评审指标</w:t>
            </w:r>
          </w:p>
        </w:tc>
        <w:tc>
          <w:tcPr>
            <w:tcW w:w="4439" w:type="dxa"/>
            <w:tcBorders>
              <w:bottom w:val="single" w:color="auto" w:sz="4" w:space="0"/>
            </w:tcBorders>
            <w:vAlign w:val="center"/>
          </w:tcPr>
          <w:p w14:paraId="08F9CF01">
            <w:pPr>
              <w:spacing w:line="360" w:lineRule="auto"/>
              <w:ind w:firstLine="240" w:firstLineChars="100"/>
              <w:jc w:val="center"/>
              <w:rPr>
                <w:sz w:val="24"/>
                <w:highlight w:val="none"/>
              </w:rPr>
            </w:pPr>
            <w:r>
              <w:rPr>
                <w:rFonts w:hint="eastAsia" w:cs="Times New Roman"/>
                <w:sz w:val="24"/>
                <w:highlight w:val="none"/>
              </w:rPr>
              <w:t>评审标准</w:t>
            </w:r>
          </w:p>
        </w:tc>
        <w:tc>
          <w:tcPr>
            <w:tcW w:w="2260" w:type="dxa"/>
            <w:tcBorders>
              <w:bottom w:val="single" w:color="auto" w:sz="4" w:space="0"/>
            </w:tcBorders>
            <w:vAlign w:val="center"/>
          </w:tcPr>
          <w:p w14:paraId="120FCFDE">
            <w:pPr>
              <w:spacing w:line="360" w:lineRule="auto"/>
              <w:jc w:val="center"/>
              <w:rPr>
                <w:sz w:val="24"/>
                <w:highlight w:val="none"/>
              </w:rPr>
            </w:pPr>
            <w:r>
              <w:rPr>
                <w:rFonts w:hint="eastAsia" w:cs="Times New Roman"/>
                <w:sz w:val="24"/>
                <w:highlight w:val="none"/>
              </w:rPr>
              <w:t>格式及材料要求</w:t>
            </w:r>
          </w:p>
        </w:tc>
      </w:tr>
      <w:tr w14:paraId="5732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4B49B9F">
            <w:pPr>
              <w:spacing w:line="360" w:lineRule="auto"/>
              <w:ind w:firstLine="240" w:firstLineChars="100"/>
              <w:rPr>
                <w:rFonts w:cs="宋体"/>
                <w:sz w:val="24"/>
                <w:highlight w:val="none"/>
              </w:rPr>
            </w:pPr>
            <w:r>
              <w:rPr>
                <w:rFonts w:hint="eastAsia" w:cs="宋体"/>
                <w:sz w:val="24"/>
                <w:highlight w:val="none"/>
              </w:rPr>
              <w:t>1</w:t>
            </w:r>
          </w:p>
        </w:tc>
        <w:tc>
          <w:tcPr>
            <w:tcW w:w="1450" w:type="dxa"/>
            <w:tcBorders>
              <w:bottom w:val="single" w:color="auto" w:sz="4" w:space="0"/>
            </w:tcBorders>
            <w:vAlign w:val="center"/>
          </w:tcPr>
          <w:p w14:paraId="630E499D">
            <w:pPr>
              <w:spacing w:line="360" w:lineRule="auto"/>
              <w:rPr>
                <w:rFonts w:cs="宋体"/>
                <w:sz w:val="24"/>
                <w:szCs w:val="28"/>
                <w:highlight w:val="none"/>
              </w:rPr>
            </w:pPr>
            <w:r>
              <w:rPr>
                <w:rFonts w:hint="eastAsia" w:cs="宋体"/>
                <w:sz w:val="24"/>
                <w:highlight w:val="none"/>
              </w:rPr>
              <w:t>异常低价响应审查</w:t>
            </w:r>
          </w:p>
        </w:tc>
        <w:tc>
          <w:tcPr>
            <w:tcW w:w="4439" w:type="dxa"/>
            <w:tcBorders>
              <w:bottom w:val="single" w:color="auto" w:sz="4" w:space="0"/>
            </w:tcBorders>
            <w:vAlign w:val="center"/>
          </w:tcPr>
          <w:p w14:paraId="7190E734">
            <w:pPr>
              <w:pStyle w:val="16"/>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（1）报价＜全部通过初审供应商响应报价平均值×</w:t>
            </w:r>
            <w:r>
              <w:rPr>
                <w:rFonts w:hint="eastAsia" w:ascii="宋体" w:hAnsi="宋体" w:eastAsia="宋体" w:cs="宋体"/>
                <w:color w:val="FF0000"/>
                <w:sz w:val="24"/>
                <w:szCs w:val="24"/>
                <w:highlight w:val="none"/>
                <w:u w:val="single"/>
              </w:rPr>
              <w:t>50%</w:t>
            </w:r>
            <w:r>
              <w:rPr>
                <w:rFonts w:hint="eastAsia" w:ascii="宋体" w:hAnsi="宋体" w:eastAsia="宋体" w:cs="宋体"/>
                <w:sz w:val="24"/>
                <w:szCs w:val="24"/>
                <w:highlight w:val="none"/>
              </w:rPr>
              <w:t>；</w:t>
            </w:r>
          </w:p>
          <w:p w14:paraId="06E253C4">
            <w:pPr>
              <w:pStyle w:val="16"/>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（2）报价＜通过初审的次低报价供应商响应报价×</w:t>
            </w:r>
            <w:r>
              <w:rPr>
                <w:rFonts w:hint="eastAsia" w:ascii="宋体" w:hAnsi="宋体" w:eastAsia="宋体" w:cs="宋体"/>
                <w:color w:val="FF0000"/>
                <w:sz w:val="24"/>
                <w:szCs w:val="24"/>
                <w:highlight w:val="none"/>
                <w:u w:val="single"/>
              </w:rPr>
              <w:t>50%</w:t>
            </w:r>
            <w:r>
              <w:rPr>
                <w:rFonts w:hint="eastAsia" w:ascii="宋体" w:hAnsi="宋体" w:eastAsia="宋体" w:cs="宋体"/>
                <w:sz w:val="24"/>
                <w:szCs w:val="24"/>
                <w:highlight w:val="none"/>
              </w:rPr>
              <w:t>；</w:t>
            </w:r>
          </w:p>
          <w:p w14:paraId="2EC2836E">
            <w:pPr>
              <w:pStyle w:val="16"/>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（3）报价＜采购项目最高限价（如采购项目未设定最高限价的，以采购项目预算金额作为最高限价）×</w:t>
            </w:r>
            <w:r>
              <w:rPr>
                <w:rFonts w:hint="eastAsia" w:ascii="宋体" w:hAnsi="宋体" w:eastAsia="宋体" w:cs="宋体"/>
                <w:color w:val="FF0000"/>
                <w:sz w:val="24"/>
                <w:szCs w:val="24"/>
                <w:highlight w:val="none"/>
                <w:u w:val="single"/>
              </w:rPr>
              <w:t>45%</w:t>
            </w:r>
            <w:r>
              <w:rPr>
                <w:rFonts w:hint="eastAsia" w:ascii="宋体" w:hAnsi="宋体" w:eastAsia="宋体" w:cs="宋体"/>
                <w:sz w:val="24"/>
                <w:szCs w:val="24"/>
                <w:highlight w:val="none"/>
              </w:rPr>
              <w:t>；</w:t>
            </w:r>
          </w:p>
          <w:p w14:paraId="70726119">
            <w:pPr>
              <w:pStyle w:val="16"/>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（4）磋商小组基于专业判断，认为供应商报价过低，有可能影响产品质量或者不能诚信履约的其他情形。</w:t>
            </w:r>
          </w:p>
          <w:p w14:paraId="696A5EC0">
            <w:pPr>
              <w:pStyle w:val="16"/>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提醒：</w:t>
            </w:r>
          </w:p>
          <w:p w14:paraId="51CD1C60">
            <w:pPr>
              <w:pStyle w:val="16"/>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（1）上述第（1）项数值计算：涉及总价、单价的精确到“分”并四舍五入，涉及费率的精确到小数点后两位，第三位四舍五入（例：如平均值为123.456元，即为123.46元；如平均值为80.126%，即为80.13%）。</w:t>
            </w:r>
          </w:p>
          <w:p w14:paraId="00E01544">
            <w:pPr>
              <w:pStyle w:val="16"/>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（2）上述报价均为供应商最后报价。</w:t>
            </w:r>
          </w:p>
        </w:tc>
        <w:tc>
          <w:tcPr>
            <w:tcW w:w="2260" w:type="dxa"/>
            <w:vAlign w:val="center"/>
          </w:tcPr>
          <w:p w14:paraId="2F34547F">
            <w:pPr>
              <w:spacing w:line="360" w:lineRule="auto"/>
              <w:ind w:firstLine="240" w:firstLineChars="100"/>
              <w:rPr>
                <w:rFonts w:cs="宋体"/>
                <w:sz w:val="24"/>
                <w:highlight w:val="none"/>
              </w:rPr>
            </w:pPr>
            <w:r>
              <w:rPr>
                <w:rFonts w:hint="eastAsia" w:cs="宋体"/>
                <w:sz w:val="24"/>
                <w:highlight w:val="none"/>
              </w:rPr>
              <w:t>供应商在评审现场合理的时间内对价格作出解释，提供项目具体成本测算等与报价合理性相关的书面说明及必要的证明材料，包括但不限于原材料成本、人工成本、制造费用等。</w:t>
            </w:r>
          </w:p>
        </w:tc>
      </w:tr>
    </w:tbl>
    <w:p w14:paraId="431AE58E">
      <w:pPr>
        <w:spacing w:line="360" w:lineRule="auto"/>
        <w:rPr>
          <w:rFonts w:cs="Arial"/>
          <w:sz w:val="24"/>
          <w:highlight w:val="none"/>
        </w:rPr>
      </w:pPr>
      <w:r>
        <w:rPr>
          <w:rFonts w:hint="eastAsia" w:cs="Times New Roman"/>
          <w:sz w:val="24"/>
          <w:highlight w:val="none"/>
        </w:rPr>
        <w:t>注：</w:t>
      </w:r>
    </w:p>
    <w:p w14:paraId="2EB6390F">
      <w:pPr>
        <w:pStyle w:val="16"/>
        <w:spacing w:line="360" w:lineRule="auto"/>
        <w:ind w:firstLine="480" w:firstLineChars="200"/>
        <w:rPr>
          <w:rFonts w:ascii="宋体" w:hAnsi="宋体" w:eastAsia="宋体"/>
          <w:sz w:val="24"/>
          <w:highlight w:val="none"/>
        </w:rPr>
      </w:pPr>
      <w:r>
        <w:rPr>
          <w:rFonts w:hint="eastAsia" w:ascii="宋体" w:hAnsi="宋体" w:eastAsia="宋体"/>
          <w:sz w:val="24"/>
          <w:highlight w:val="none"/>
        </w:rPr>
        <w:t>根据《关于推动解决政府采购异常低价问题的通知》（财库〔2026〕2号），采购人可以结合具体项目实际情况，提高上述</w:t>
      </w:r>
      <w:r>
        <w:rPr>
          <w:rFonts w:hint="eastAsia" w:ascii="宋体" w:hAnsi="宋体" w:eastAsia="宋体" w:cs="Times New Roman"/>
          <w:sz w:val="24"/>
          <w:highlight w:val="none"/>
        </w:rPr>
        <w:t>评审标准</w:t>
      </w:r>
      <w:r>
        <w:rPr>
          <w:rFonts w:hint="eastAsia" w:ascii="宋体" w:hAnsi="宋体" w:eastAsia="宋体"/>
          <w:sz w:val="24"/>
          <w:highlight w:val="none"/>
        </w:rPr>
        <w:t>第（1）项至第（3）项中的数值标准，但是最高不得超过65%。</w:t>
      </w:r>
    </w:p>
    <w:p w14:paraId="3384F267">
      <w:pPr>
        <w:pStyle w:val="16"/>
        <w:spacing w:line="360" w:lineRule="auto"/>
        <w:ind w:firstLine="480" w:firstLineChars="200"/>
        <w:rPr>
          <w:rFonts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7EFF3534">
      <w:pPr>
        <w:pStyle w:val="16"/>
        <w:spacing w:line="360" w:lineRule="auto"/>
        <w:ind w:firstLine="480" w:firstLineChars="200"/>
        <w:rPr>
          <w:rFonts w:asciiTheme="minorEastAsia" w:hAnsiTheme="minorEastAsia" w:eastAsiaTheme="minorEastAsia"/>
          <w:b/>
          <w:sz w:val="24"/>
          <w:highlight w:val="none"/>
        </w:rPr>
      </w:pPr>
      <w:r>
        <w:rPr>
          <w:rFonts w:hint="eastAsia" w:ascii="宋体" w:hAnsi="宋体" w:eastAsia="宋体"/>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1917E390">
      <w:pPr>
        <w:spacing w:line="360" w:lineRule="auto"/>
        <w:ind w:firstLine="435"/>
        <w:outlineLvl w:val="2"/>
        <w:rPr>
          <w:rFonts w:asciiTheme="minorEastAsia" w:hAnsiTheme="minorEastAsia" w:eastAsiaTheme="minorEastAsia"/>
          <w:b/>
          <w:sz w:val="24"/>
          <w:highlight w:val="none"/>
        </w:rPr>
      </w:pPr>
      <w:r>
        <w:rPr>
          <w:rFonts w:hint="eastAsia"/>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4331E00E">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2.3综合评分</w:t>
      </w:r>
    </w:p>
    <w:p w14:paraId="00B92EF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磋商小组按照下表对</w:t>
      </w:r>
      <w:r>
        <w:rPr>
          <w:rFonts w:hint="eastAsia"/>
          <w:sz w:val="24"/>
          <w:highlight w:val="none"/>
        </w:rPr>
        <w:t>进入综合评分的所有供应商的</w:t>
      </w:r>
      <w:r>
        <w:rPr>
          <w:rFonts w:hint="eastAsia" w:asciiTheme="minorEastAsia" w:hAnsiTheme="minorEastAsia" w:eastAsiaTheme="minorEastAsia"/>
          <w:sz w:val="24"/>
          <w:highlight w:val="none"/>
        </w:rPr>
        <w:t>响应文件进行综合评分。</w:t>
      </w:r>
    </w:p>
    <w:p w14:paraId="3194F0C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hint="eastAsia" w:asciiTheme="minorEastAsia" w:hAnsiTheme="minorEastAsia" w:eastAsiaTheme="minorEastAsia"/>
          <w:sz w:val="24"/>
          <w:highlight w:val="none"/>
          <w:u w:val="single"/>
        </w:rPr>
        <w:t>60</w:t>
      </w:r>
      <w:r>
        <w:rPr>
          <w:rFonts w:asciiTheme="minorEastAsia" w:hAnsiTheme="minorEastAsia" w:eastAsiaTheme="minorEastAsia"/>
          <w:sz w:val="24"/>
          <w:highlight w:val="none"/>
        </w:rPr>
        <w:t>%，价格分值占总分值的权重为</w:t>
      </w:r>
      <w:r>
        <w:rPr>
          <w:rFonts w:hint="eastAsia" w:asciiTheme="minorEastAsia" w:hAnsiTheme="minorEastAsia" w:eastAsiaTheme="minorEastAsia"/>
          <w:sz w:val="24"/>
          <w:highlight w:val="none"/>
          <w:u w:val="single"/>
        </w:rPr>
        <w:t>40</w:t>
      </w:r>
      <w:r>
        <w:rPr>
          <w:rFonts w:asciiTheme="minorEastAsia" w:hAnsiTheme="minorEastAsia" w:eastAsiaTheme="minorEastAsia"/>
          <w:sz w:val="24"/>
          <w:highlight w:val="none"/>
        </w:rPr>
        <w:t>%。具体评分细则如下：</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132"/>
        <w:gridCol w:w="4719"/>
        <w:gridCol w:w="1193"/>
      </w:tblGrid>
      <w:tr w14:paraId="375B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2578A79B">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类别</w:t>
            </w:r>
          </w:p>
        </w:tc>
        <w:tc>
          <w:tcPr>
            <w:tcW w:w="664" w:type="pct"/>
            <w:tcBorders>
              <w:top w:val="single" w:color="auto" w:sz="4" w:space="0"/>
              <w:left w:val="single" w:color="auto" w:sz="4" w:space="0"/>
              <w:bottom w:val="single" w:color="auto" w:sz="4" w:space="0"/>
              <w:right w:val="single" w:color="auto" w:sz="4" w:space="0"/>
            </w:tcBorders>
            <w:vAlign w:val="center"/>
          </w:tcPr>
          <w:p w14:paraId="73E034B6">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评分内容</w:t>
            </w:r>
          </w:p>
        </w:tc>
        <w:tc>
          <w:tcPr>
            <w:tcW w:w="2768" w:type="pct"/>
            <w:tcBorders>
              <w:top w:val="single" w:color="auto" w:sz="4" w:space="0"/>
              <w:left w:val="single" w:color="auto" w:sz="4" w:space="0"/>
              <w:bottom w:val="single" w:color="auto" w:sz="4" w:space="0"/>
              <w:right w:val="single" w:color="auto" w:sz="4" w:space="0"/>
            </w:tcBorders>
            <w:vAlign w:val="center"/>
          </w:tcPr>
          <w:p w14:paraId="5D3181E5">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评分标准</w:t>
            </w:r>
          </w:p>
        </w:tc>
        <w:tc>
          <w:tcPr>
            <w:tcW w:w="699" w:type="pct"/>
            <w:tcBorders>
              <w:top w:val="single" w:color="auto" w:sz="4" w:space="0"/>
              <w:left w:val="single" w:color="auto" w:sz="4" w:space="0"/>
              <w:bottom w:val="single" w:color="auto" w:sz="4" w:space="0"/>
              <w:right w:val="single" w:color="auto" w:sz="4" w:space="0"/>
            </w:tcBorders>
            <w:vAlign w:val="center"/>
          </w:tcPr>
          <w:p w14:paraId="7C774C0A">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分值范围</w:t>
            </w:r>
          </w:p>
        </w:tc>
      </w:tr>
      <w:tr w14:paraId="100A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65321C17">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技术资信分</w:t>
            </w:r>
          </w:p>
          <w:p w14:paraId="5B3B712B">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60</w:t>
            </w:r>
            <w:r>
              <w:rPr>
                <w:rFonts w:hint="eastAsia" w:asciiTheme="minorEastAsia" w:hAnsiTheme="minorEastAsia" w:eastAsiaTheme="minorEastAsia"/>
                <w:sz w:val="24"/>
                <w:highlight w:val="none"/>
              </w:rPr>
              <w:t>分）</w:t>
            </w:r>
          </w:p>
        </w:tc>
        <w:tc>
          <w:tcPr>
            <w:tcW w:w="664" w:type="pct"/>
            <w:tcBorders>
              <w:top w:val="single" w:color="auto" w:sz="4" w:space="0"/>
              <w:left w:val="single" w:color="auto" w:sz="4" w:space="0"/>
              <w:bottom w:val="single" w:color="auto" w:sz="4" w:space="0"/>
              <w:right w:val="single" w:color="auto" w:sz="4" w:space="0"/>
            </w:tcBorders>
            <w:vAlign w:val="center"/>
          </w:tcPr>
          <w:p w14:paraId="2C145935">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供应商类似业绩</w:t>
            </w:r>
          </w:p>
        </w:tc>
        <w:tc>
          <w:tcPr>
            <w:tcW w:w="2768" w:type="pct"/>
            <w:tcBorders>
              <w:top w:val="single" w:color="auto" w:sz="4" w:space="0"/>
              <w:left w:val="single" w:color="auto" w:sz="4" w:space="0"/>
              <w:bottom w:val="single" w:color="auto" w:sz="4" w:space="0"/>
              <w:right w:val="single" w:color="auto" w:sz="4" w:space="0"/>
            </w:tcBorders>
            <w:vAlign w:val="center"/>
          </w:tcPr>
          <w:p w14:paraId="63A712C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202</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年1月1日至今（以合同签订时间为准），供应商每提供一个公共建筑施工业绩，得2分，本项满分8分。</w:t>
            </w:r>
          </w:p>
          <w:p w14:paraId="0EFDA03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同时提供①合同扫描件和②相应的完工或交（竣工）验收证明文件扫描件或合同甲方出具的相关已完成证明材料扫描件。以上涉及到的证明资料信息应完整或能充分反映评审因素。若合同未能体现评审因素，需另行提供合同甲方盖章的证明材料。</w:t>
            </w:r>
          </w:p>
        </w:tc>
        <w:tc>
          <w:tcPr>
            <w:tcW w:w="699" w:type="pct"/>
            <w:tcBorders>
              <w:top w:val="single" w:color="auto" w:sz="4" w:space="0"/>
              <w:left w:val="single" w:color="auto" w:sz="4" w:space="0"/>
              <w:bottom w:val="single" w:color="auto" w:sz="4" w:space="0"/>
              <w:right w:val="single" w:color="auto" w:sz="4" w:space="0"/>
            </w:tcBorders>
            <w:vAlign w:val="center"/>
          </w:tcPr>
          <w:p w14:paraId="082C9F5F">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8分</w:t>
            </w:r>
          </w:p>
        </w:tc>
      </w:tr>
      <w:tr w14:paraId="13F6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4A18739D">
            <w:pPr>
              <w:spacing w:line="360" w:lineRule="auto"/>
              <w:jc w:val="center"/>
              <w:rPr>
                <w:rFonts w:asciiTheme="minorEastAsia" w:hAnsiTheme="minorEastAsia" w:eastAsiaTheme="minorEastAsia"/>
                <w:sz w:val="24"/>
                <w:highlight w:val="none"/>
              </w:rPr>
            </w:pPr>
          </w:p>
        </w:tc>
        <w:tc>
          <w:tcPr>
            <w:tcW w:w="664" w:type="pct"/>
            <w:tcBorders>
              <w:top w:val="single" w:color="auto" w:sz="4" w:space="0"/>
              <w:left w:val="single" w:color="auto" w:sz="4" w:space="0"/>
              <w:bottom w:val="single" w:color="auto" w:sz="4" w:space="0"/>
              <w:right w:val="single" w:color="auto" w:sz="4" w:space="0"/>
            </w:tcBorders>
            <w:vAlign w:val="center"/>
          </w:tcPr>
          <w:p w14:paraId="19559855">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项目经理业绩</w:t>
            </w:r>
          </w:p>
        </w:tc>
        <w:tc>
          <w:tcPr>
            <w:tcW w:w="2768" w:type="pct"/>
            <w:tcBorders>
              <w:top w:val="single" w:color="auto" w:sz="4" w:space="0"/>
              <w:left w:val="single" w:color="auto" w:sz="4" w:space="0"/>
              <w:bottom w:val="single" w:color="auto" w:sz="4" w:space="0"/>
              <w:right w:val="single" w:color="auto" w:sz="4" w:space="0"/>
            </w:tcBorders>
            <w:vAlign w:val="center"/>
          </w:tcPr>
          <w:p w14:paraId="19ABF7C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202</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年1月1日至今（以合同签订时间为准），供应商拟派项目经理每提供一个公共建筑施工业绩，得2分，本项满分6分。</w:t>
            </w:r>
          </w:p>
          <w:p w14:paraId="04623A2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项目经理业绩须在响应文件中同时提供①合同扫描件和②相应的完工或交（竣工）验收证明文件扫描件或合同甲方出具的相关已完成证明材料扫描件。如以上证明材料不能完整或不能充分反映相关评审因素，另须提供能够完整或能充分反映相关评审因素的有效证明材料（如业绩合同甲方出具的明示评审因素的证明材料）。项目经理业绩是指供应商提供的业绩证明资料中能反映出本项目拟委任项目经理在此业绩中担任过项目经理岗位的业绩。拟派项目经理业绩与供应商业绩可重复。</w:t>
            </w:r>
          </w:p>
        </w:tc>
        <w:tc>
          <w:tcPr>
            <w:tcW w:w="699" w:type="pct"/>
            <w:tcBorders>
              <w:top w:val="single" w:color="auto" w:sz="4" w:space="0"/>
              <w:left w:val="single" w:color="auto" w:sz="4" w:space="0"/>
              <w:bottom w:val="single" w:color="auto" w:sz="4" w:space="0"/>
              <w:right w:val="single" w:color="auto" w:sz="4" w:space="0"/>
            </w:tcBorders>
            <w:vAlign w:val="center"/>
          </w:tcPr>
          <w:p w14:paraId="758647A9">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6分</w:t>
            </w:r>
          </w:p>
        </w:tc>
      </w:tr>
      <w:tr w14:paraId="42C6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59FBD07">
            <w:pPr>
              <w:spacing w:line="360" w:lineRule="auto"/>
              <w:ind w:firstLine="435"/>
              <w:jc w:val="center"/>
              <w:rPr>
                <w:rFonts w:asciiTheme="minorEastAsia" w:hAnsiTheme="minorEastAsia" w:eastAsiaTheme="minorEastAsia"/>
                <w:b/>
                <w:bCs/>
                <w:sz w:val="24"/>
                <w:highlight w:val="none"/>
              </w:rPr>
            </w:pPr>
          </w:p>
        </w:tc>
        <w:tc>
          <w:tcPr>
            <w:tcW w:w="664" w:type="pct"/>
            <w:tcBorders>
              <w:top w:val="single" w:color="auto" w:sz="4" w:space="0"/>
              <w:left w:val="single" w:color="auto" w:sz="4" w:space="0"/>
              <w:bottom w:val="single" w:color="auto" w:sz="4" w:space="0"/>
              <w:right w:val="single" w:color="auto" w:sz="4" w:space="0"/>
            </w:tcBorders>
            <w:vAlign w:val="center"/>
          </w:tcPr>
          <w:p w14:paraId="137143A4">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拟派项目组成员</w:t>
            </w:r>
          </w:p>
        </w:tc>
        <w:tc>
          <w:tcPr>
            <w:tcW w:w="2768" w:type="pct"/>
            <w:tcBorders>
              <w:top w:val="single" w:color="auto" w:sz="4" w:space="0"/>
              <w:left w:val="single" w:color="auto" w:sz="4" w:space="0"/>
              <w:bottom w:val="single" w:color="auto" w:sz="4" w:space="0"/>
              <w:right w:val="single" w:color="auto" w:sz="4" w:space="0"/>
            </w:tcBorders>
            <w:vAlign w:val="center"/>
          </w:tcPr>
          <w:p w14:paraId="6EEB423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1.拟派项目经理具有工程类高级及以上技术职称得3分；具有工程类中级技术职称得1分，本小项满分3分。</w:t>
            </w:r>
          </w:p>
          <w:p w14:paraId="6BE88FB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2.拟派技术负责人具备工程类高级及以上技术职称得3分；具有工程类中级技术职称得1分，本小项满分3分。</w:t>
            </w:r>
          </w:p>
          <w:p w14:paraId="6A3ADC7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注：（1）响应文件中同时提供以下证明材料：</w:t>
            </w:r>
          </w:p>
          <w:p w14:paraId="01A95F3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①人员名单（格式自拟）；</w:t>
            </w:r>
          </w:p>
          <w:p w14:paraId="1D910E1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②上述人员证书扫描件；</w:t>
            </w:r>
          </w:p>
          <w:p w14:paraId="6BB42360">
            <w:pPr>
              <w:numPr>
                <w:ilvl w:val="0"/>
                <w:numId w:val="7"/>
              </w:num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须提供以上人员身份证、职称证及供应商为其缴纳的近3个月中任意1个月的社保证明材料。</w:t>
            </w:r>
          </w:p>
          <w:p w14:paraId="07EEBB7D">
            <w:pPr>
              <w:spacing w:line="360" w:lineRule="auto"/>
              <w:ind w:firstLine="480" w:firstLineChars="200"/>
              <w:rPr>
                <w:highlight w:val="none"/>
              </w:rPr>
            </w:pPr>
            <w:r>
              <w:rPr>
                <w:rFonts w:hint="eastAsia" w:asciiTheme="minorEastAsia" w:hAnsiTheme="minorEastAsia" w:eastAsiaTheme="minorEastAsia"/>
                <w:sz w:val="24"/>
                <w:highlight w:val="none"/>
              </w:rPr>
              <w:t>（3）拟派项目经理与项目负责人不得兼任</w:t>
            </w:r>
          </w:p>
        </w:tc>
        <w:tc>
          <w:tcPr>
            <w:tcW w:w="699" w:type="pct"/>
            <w:tcBorders>
              <w:top w:val="single" w:color="auto" w:sz="4" w:space="0"/>
              <w:left w:val="single" w:color="auto" w:sz="4" w:space="0"/>
              <w:bottom w:val="single" w:color="auto" w:sz="4" w:space="0"/>
              <w:right w:val="single" w:color="auto" w:sz="4" w:space="0"/>
            </w:tcBorders>
            <w:vAlign w:val="center"/>
          </w:tcPr>
          <w:p w14:paraId="23E5C6EE">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6分</w:t>
            </w:r>
          </w:p>
        </w:tc>
      </w:tr>
      <w:tr w14:paraId="551D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B91AFE9">
            <w:pPr>
              <w:spacing w:line="360" w:lineRule="auto"/>
              <w:ind w:firstLine="435"/>
              <w:jc w:val="center"/>
              <w:rPr>
                <w:rFonts w:asciiTheme="minorEastAsia" w:hAnsiTheme="minorEastAsia" w:eastAsiaTheme="minorEastAsia"/>
                <w:b/>
                <w:bCs/>
                <w:sz w:val="24"/>
                <w:highlight w:val="none"/>
              </w:rPr>
            </w:pPr>
          </w:p>
        </w:tc>
        <w:tc>
          <w:tcPr>
            <w:tcW w:w="664" w:type="pct"/>
            <w:tcBorders>
              <w:top w:val="single" w:color="auto" w:sz="4" w:space="0"/>
              <w:left w:val="single" w:color="auto" w:sz="4" w:space="0"/>
              <w:bottom w:val="single" w:color="auto" w:sz="4" w:space="0"/>
              <w:right w:val="single" w:color="auto" w:sz="4" w:space="0"/>
            </w:tcBorders>
            <w:vAlign w:val="center"/>
          </w:tcPr>
          <w:p w14:paraId="691BBA1D">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施工方案与技术措施</w:t>
            </w:r>
          </w:p>
        </w:tc>
        <w:tc>
          <w:tcPr>
            <w:tcW w:w="2768" w:type="pct"/>
            <w:tcBorders>
              <w:top w:val="single" w:color="auto" w:sz="4" w:space="0"/>
              <w:left w:val="single" w:color="auto" w:sz="4" w:space="0"/>
              <w:bottom w:val="single" w:color="auto" w:sz="4" w:space="0"/>
              <w:right w:val="single" w:color="auto" w:sz="4" w:space="0"/>
            </w:tcBorders>
            <w:vAlign w:val="center"/>
          </w:tcPr>
          <w:p w14:paraId="263BD4C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供应商针对本项目提出的主要施工方案与技术措施情况，包括施工进度计划（物资、设备、劳动力等）、质量、安全、文明施工体系和措施等，由磋商小组进行综合评分。 </w:t>
            </w:r>
          </w:p>
          <w:p w14:paraId="38953EF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（1）方案与技术措施内容详实、完整、条理清晰，充分理解采购需求，对现场环境熟悉的，得5分；</w:t>
            </w:r>
          </w:p>
          <w:p w14:paraId="5B64B3E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（2）方案与技术措施内容齐全，条理有待完善的，基本理解采购需求，对现场环境有一定熟悉的，得3分；</w:t>
            </w:r>
          </w:p>
          <w:p w14:paraId="2E69093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（3）方案与技术措施内容需要进一步完善的，对现场需要进一步熟悉的，得1分；</w:t>
            </w:r>
          </w:p>
          <w:p w14:paraId="1492F06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（4）差或未提供的不得分。</w:t>
            </w:r>
          </w:p>
        </w:tc>
        <w:tc>
          <w:tcPr>
            <w:tcW w:w="699" w:type="pct"/>
            <w:tcBorders>
              <w:top w:val="single" w:color="auto" w:sz="4" w:space="0"/>
              <w:left w:val="single" w:color="auto" w:sz="4" w:space="0"/>
              <w:bottom w:val="single" w:color="auto" w:sz="4" w:space="0"/>
              <w:right w:val="single" w:color="auto" w:sz="4" w:space="0"/>
            </w:tcBorders>
            <w:vAlign w:val="center"/>
          </w:tcPr>
          <w:p w14:paraId="3BA9188C">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5分</w:t>
            </w:r>
          </w:p>
        </w:tc>
      </w:tr>
      <w:tr w14:paraId="489D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FB75808">
            <w:pPr>
              <w:spacing w:line="360" w:lineRule="auto"/>
              <w:ind w:firstLine="435"/>
              <w:jc w:val="center"/>
              <w:rPr>
                <w:rFonts w:asciiTheme="minorEastAsia" w:hAnsiTheme="minorEastAsia" w:eastAsiaTheme="minorEastAsia"/>
                <w:b/>
                <w:bCs/>
                <w:sz w:val="24"/>
                <w:highlight w:val="none"/>
              </w:rPr>
            </w:pPr>
          </w:p>
        </w:tc>
        <w:tc>
          <w:tcPr>
            <w:tcW w:w="664" w:type="pct"/>
            <w:tcBorders>
              <w:top w:val="single" w:color="auto" w:sz="4" w:space="0"/>
              <w:left w:val="single" w:color="auto" w:sz="4" w:space="0"/>
              <w:bottom w:val="single" w:color="auto" w:sz="4" w:space="0"/>
              <w:right w:val="single" w:color="auto" w:sz="4" w:space="0"/>
            </w:tcBorders>
            <w:vAlign w:val="center"/>
          </w:tcPr>
          <w:p w14:paraId="4CA24104">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工程重难点及措施</w:t>
            </w:r>
          </w:p>
        </w:tc>
        <w:tc>
          <w:tcPr>
            <w:tcW w:w="2768" w:type="pct"/>
            <w:tcBorders>
              <w:top w:val="single" w:color="auto" w:sz="4" w:space="0"/>
              <w:left w:val="single" w:color="auto" w:sz="4" w:space="0"/>
              <w:bottom w:val="single" w:color="auto" w:sz="4" w:space="0"/>
              <w:right w:val="single" w:color="auto" w:sz="4" w:space="0"/>
            </w:tcBorders>
            <w:vAlign w:val="center"/>
          </w:tcPr>
          <w:p w14:paraId="58D24FF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结合本工程特点，依据供应商提出的重难点分析、对应保证措施进行评审。 </w:t>
            </w:r>
          </w:p>
          <w:p w14:paraId="4808890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（1）对本项目重点、难点理解准确，分析透彻，对应的保证措施优于本项目采购需求，针对性强的，得5分； </w:t>
            </w:r>
          </w:p>
          <w:p w14:paraId="1F21B89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（2）对本项目重点、难点理解基本准确，对应的保证措施适合本项目采购需求，具有针对性的，得3分； </w:t>
            </w:r>
          </w:p>
          <w:p w14:paraId="672DEEA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（3）对本项目重点、难点理解有待提升，对应的保证措施基本适合本项目采购需求，针对性有待改善的的，得1分； </w:t>
            </w:r>
          </w:p>
          <w:p w14:paraId="3BBBC5E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（4）差或未提供的不得分。 </w:t>
            </w:r>
          </w:p>
        </w:tc>
        <w:tc>
          <w:tcPr>
            <w:tcW w:w="699" w:type="pct"/>
            <w:tcBorders>
              <w:top w:val="single" w:color="auto" w:sz="4" w:space="0"/>
              <w:left w:val="single" w:color="auto" w:sz="4" w:space="0"/>
              <w:bottom w:val="single" w:color="auto" w:sz="4" w:space="0"/>
              <w:right w:val="single" w:color="auto" w:sz="4" w:space="0"/>
            </w:tcBorders>
            <w:vAlign w:val="center"/>
          </w:tcPr>
          <w:p w14:paraId="0E722B5C">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5分</w:t>
            </w:r>
          </w:p>
        </w:tc>
      </w:tr>
      <w:tr w14:paraId="0FBD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228F060">
            <w:pPr>
              <w:spacing w:line="360" w:lineRule="auto"/>
              <w:ind w:firstLine="435"/>
              <w:jc w:val="center"/>
              <w:rPr>
                <w:rFonts w:asciiTheme="minorEastAsia" w:hAnsiTheme="minorEastAsia" w:eastAsiaTheme="minorEastAsia"/>
                <w:b/>
                <w:bCs/>
                <w:sz w:val="24"/>
                <w:highlight w:val="none"/>
              </w:rPr>
            </w:pPr>
          </w:p>
        </w:tc>
        <w:tc>
          <w:tcPr>
            <w:tcW w:w="664" w:type="pct"/>
            <w:tcBorders>
              <w:top w:val="single" w:color="auto" w:sz="4" w:space="0"/>
              <w:left w:val="single" w:color="auto" w:sz="4" w:space="0"/>
              <w:bottom w:val="single" w:color="auto" w:sz="4" w:space="0"/>
              <w:right w:val="single" w:color="auto" w:sz="4" w:space="0"/>
            </w:tcBorders>
            <w:vAlign w:val="center"/>
          </w:tcPr>
          <w:p w14:paraId="77D4C028">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各分部分项工程的施工方案与技术措施</w:t>
            </w:r>
          </w:p>
        </w:tc>
        <w:tc>
          <w:tcPr>
            <w:tcW w:w="2768" w:type="pct"/>
            <w:tcBorders>
              <w:top w:val="single" w:color="auto" w:sz="4" w:space="0"/>
              <w:left w:val="single" w:color="auto" w:sz="4" w:space="0"/>
              <w:bottom w:val="single" w:color="auto" w:sz="4" w:space="0"/>
              <w:right w:val="single" w:color="auto" w:sz="4" w:space="0"/>
            </w:tcBorders>
            <w:vAlign w:val="center"/>
          </w:tcPr>
          <w:p w14:paraId="68FCF06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依据各分部分项工程的主要施工方案与技术措 施进行评审。结合本工程特点，依据供应商提出的各分部分项工程的施工筹划、目标、节点、关键工序及工期保障，施工场地布置和降低施工对于师生交通出行影响的措施等进行评审。 </w:t>
            </w:r>
          </w:p>
          <w:p w14:paraId="699EB03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（1）措施对本项目特点和难点理解基本准确，措施优于本项目采购需求，完整详细，可行性、实用性、针对性强，得5分； </w:t>
            </w:r>
          </w:p>
          <w:p w14:paraId="38BB5C6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（2）措施对本项目特点和难点理解基本准确，措施适合本项目的采购需求，完整详细，具有可行性、实用性和针对性，得3分；</w:t>
            </w:r>
          </w:p>
          <w:p w14:paraId="5E5E73D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（3）措施对本项目特点和难点理解有待提升，措施基本适合本项目采购需求可行性、实用性、针对性有待改善，得1分；</w:t>
            </w:r>
          </w:p>
          <w:p w14:paraId="39B626D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（4）措施不可行或者未提供的不得分。</w:t>
            </w:r>
          </w:p>
        </w:tc>
        <w:tc>
          <w:tcPr>
            <w:tcW w:w="699" w:type="pct"/>
            <w:tcBorders>
              <w:top w:val="single" w:color="auto" w:sz="4" w:space="0"/>
              <w:left w:val="single" w:color="auto" w:sz="4" w:space="0"/>
              <w:bottom w:val="single" w:color="auto" w:sz="4" w:space="0"/>
              <w:right w:val="single" w:color="auto" w:sz="4" w:space="0"/>
            </w:tcBorders>
            <w:vAlign w:val="center"/>
          </w:tcPr>
          <w:p w14:paraId="749F3062">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5分</w:t>
            </w:r>
          </w:p>
        </w:tc>
      </w:tr>
      <w:tr w14:paraId="26EB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4773D86">
            <w:pPr>
              <w:spacing w:line="360" w:lineRule="auto"/>
              <w:ind w:firstLine="435"/>
              <w:jc w:val="center"/>
              <w:rPr>
                <w:rFonts w:asciiTheme="minorEastAsia" w:hAnsiTheme="minorEastAsia" w:eastAsiaTheme="minorEastAsia"/>
                <w:b/>
                <w:bCs/>
                <w:sz w:val="24"/>
                <w:highlight w:val="none"/>
              </w:rPr>
            </w:pPr>
          </w:p>
        </w:tc>
        <w:tc>
          <w:tcPr>
            <w:tcW w:w="664" w:type="pct"/>
            <w:tcBorders>
              <w:top w:val="single" w:color="auto" w:sz="4" w:space="0"/>
              <w:left w:val="single" w:color="auto" w:sz="4" w:space="0"/>
              <w:bottom w:val="single" w:color="auto" w:sz="4" w:space="0"/>
              <w:right w:val="single" w:color="auto" w:sz="4" w:space="0"/>
            </w:tcBorders>
            <w:vAlign w:val="center"/>
          </w:tcPr>
          <w:p w14:paraId="4037D24B">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主要用材配备计划</w:t>
            </w:r>
          </w:p>
        </w:tc>
        <w:tc>
          <w:tcPr>
            <w:tcW w:w="2768" w:type="pct"/>
            <w:tcBorders>
              <w:top w:val="single" w:color="auto" w:sz="4" w:space="0"/>
              <w:left w:val="single" w:color="auto" w:sz="4" w:space="0"/>
              <w:bottom w:val="single" w:color="auto" w:sz="4" w:space="0"/>
              <w:right w:val="single" w:color="auto" w:sz="4" w:space="0"/>
            </w:tcBorders>
            <w:vAlign w:val="center"/>
          </w:tcPr>
          <w:p w14:paraId="073FA3B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依据供应商对本项目所需材料的理解及承诺使用主材与本项目的契合度进行评分。 </w:t>
            </w:r>
          </w:p>
          <w:p w14:paraId="04B27D0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（1）理解内容详实、完整、条理清晰，所投主材与本项目契合度高，可以很好的满足本项目的需求,得5分；</w:t>
            </w:r>
          </w:p>
          <w:p w14:paraId="3DAB918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（2）理解内容齐全、条理有待完善，所投主材与本项目有较好的针对性，得3分；</w:t>
            </w:r>
          </w:p>
          <w:p w14:paraId="5FBE225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（3）主材理解内容需要进一步完善、所投主材需要 </w:t>
            </w:r>
          </w:p>
          <w:p w14:paraId="3D6797E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根据本项目进一步提高的，得1分;</w:t>
            </w:r>
          </w:p>
          <w:p w14:paraId="4FFF61A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（4）差或未提供的不得分。  </w:t>
            </w:r>
          </w:p>
        </w:tc>
        <w:tc>
          <w:tcPr>
            <w:tcW w:w="699" w:type="pct"/>
            <w:tcBorders>
              <w:top w:val="single" w:color="auto" w:sz="4" w:space="0"/>
              <w:left w:val="single" w:color="auto" w:sz="4" w:space="0"/>
              <w:bottom w:val="single" w:color="auto" w:sz="4" w:space="0"/>
              <w:right w:val="single" w:color="auto" w:sz="4" w:space="0"/>
            </w:tcBorders>
            <w:vAlign w:val="center"/>
          </w:tcPr>
          <w:p w14:paraId="25C7F97D">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5分</w:t>
            </w:r>
          </w:p>
        </w:tc>
      </w:tr>
      <w:tr w14:paraId="46D6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00001C6">
            <w:pPr>
              <w:spacing w:line="360" w:lineRule="auto"/>
              <w:ind w:firstLine="435"/>
              <w:jc w:val="center"/>
              <w:rPr>
                <w:rFonts w:asciiTheme="minorEastAsia" w:hAnsiTheme="minorEastAsia" w:eastAsiaTheme="minorEastAsia"/>
                <w:b/>
                <w:bCs/>
                <w:sz w:val="24"/>
                <w:highlight w:val="none"/>
              </w:rPr>
            </w:pPr>
          </w:p>
        </w:tc>
        <w:tc>
          <w:tcPr>
            <w:tcW w:w="664" w:type="pct"/>
            <w:tcBorders>
              <w:top w:val="single" w:color="auto" w:sz="4" w:space="0"/>
              <w:left w:val="single" w:color="auto" w:sz="4" w:space="0"/>
              <w:bottom w:val="single" w:color="auto" w:sz="4" w:space="0"/>
              <w:right w:val="single" w:color="auto" w:sz="4" w:space="0"/>
            </w:tcBorders>
            <w:vAlign w:val="center"/>
          </w:tcPr>
          <w:p w14:paraId="45CCBAA2">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施工工期计划</w:t>
            </w:r>
          </w:p>
        </w:tc>
        <w:tc>
          <w:tcPr>
            <w:tcW w:w="2768" w:type="pct"/>
            <w:tcBorders>
              <w:top w:val="single" w:color="auto" w:sz="4" w:space="0"/>
              <w:left w:val="single" w:color="auto" w:sz="4" w:space="0"/>
              <w:bottom w:val="single" w:color="auto" w:sz="4" w:space="0"/>
              <w:right w:val="single" w:color="auto" w:sz="4" w:space="0"/>
            </w:tcBorders>
            <w:vAlign w:val="center"/>
          </w:tcPr>
          <w:p w14:paraId="274FDEB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依据供应商针对本项目实际情况，有相应的施工工期计划保证措施，针对于具体的措施有完整性、可行性等，由磋商小组进行综合评分。 </w:t>
            </w:r>
          </w:p>
          <w:p w14:paraId="3B0068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（1）计划详实、完整，具有针对性和可行性的，得5分</w:t>
            </w:r>
          </w:p>
          <w:p w14:paraId="6D18296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（2）计划比较详细，具有一定的针对性的，得3分；</w:t>
            </w:r>
          </w:p>
          <w:p w14:paraId="6DDFBAF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（3）计划内容需要进一步完善的，得1分； </w:t>
            </w:r>
          </w:p>
          <w:p w14:paraId="1372731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（4）差或未提供的不得分。</w:t>
            </w:r>
          </w:p>
        </w:tc>
        <w:tc>
          <w:tcPr>
            <w:tcW w:w="699" w:type="pct"/>
            <w:tcBorders>
              <w:top w:val="single" w:color="auto" w:sz="4" w:space="0"/>
              <w:left w:val="single" w:color="auto" w:sz="4" w:space="0"/>
              <w:bottom w:val="single" w:color="auto" w:sz="4" w:space="0"/>
              <w:right w:val="single" w:color="auto" w:sz="4" w:space="0"/>
            </w:tcBorders>
            <w:vAlign w:val="center"/>
          </w:tcPr>
          <w:p w14:paraId="313A6F9B">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5分</w:t>
            </w:r>
          </w:p>
        </w:tc>
      </w:tr>
      <w:tr w14:paraId="14A8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2126389">
            <w:pPr>
              <w:spacing w:line="360" w:lineRule="auto"/>
              <w:ind w:firstLine="435"/>
              <w:jc w:val="center"/>
              <w:rPr>
                <w:rFonts w:asciiTheme="minorEastAsia" w:hAnsiTheme="minorEastAsia" w:eastAsiaTheme="minorEastAsia"/>
                <w:b/>
                <w:bCs/>
                <w:sz w:val="24"/>
                <w:highlight w:val="none"/>
              </w:rPr>
            </w:pPr>
          </w:p>
        </w:tc>
        <w:tc>
          <w:tcPr>
            <w:tcW w:w="664" w:type="pct"/>
            <w:tcBorders>
              <w:top w:val="single" w:color="auto" w:sz="4" w:space="0"/>
              <w:left w:val="single" w:color="auto" w:sz="4" w:space="0"/>
              <w:bottom w:val="single" w:color="auto" w:sz="4" w:space="0"/>
              <w:right w:val="single" w:color="auto" w:sz="4" w:space="0"/>
            </w:tcBorders>
            <w:vAlign w:val="center"/>
          </w:tcPr>
          <w:p w14:paraId="07837135">
            <w:pPr>
              <w:spacing w:line="360" w:lineRule="auto"/>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确保工程质量的管理体系与措</w:t>
            </w:r>
            <w:r>
              <w:rPr>
                <w:rFonts w:hint="eastAsia" w:asciiTheme="minorEastAsia" w:hAnsiTheme="minorEastAsia" w:eastAsiaTheme="minorEastAsia"/>
                <w:sz w:val="24"/>
                <w:highlight w:val="none"/>
                <w:lang w:val="en-US" w:eastAsia="zh-CN"/>
              </w:rPr>
              <w:t>施</w:t>
            </w:r>
          </w:p>
        </w:tc>
        <w:tc>
          <w:tcPr>
            <w:tcW w:w="2768" w:type="pct"/>
            <w:tcBorders>
              <w:top w:val="single" w:color="auto" w:sz="4" w:space="0"/>
              <w:left w:val="single" w:color="auto" w:sz="4" w:space="0"/>
              <w:bottom w:val="single" w:color="auto" w:sz="4" w:space="0"/>
              <w:right w:val="single" w:color="auto" w:sz="4" w:space="0"/>
            </w:tcBorders>
            <w:vAlign w:val="center"/>
          </w:tcPr>
          <w:p w14:paraId="170EF2B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结合本工程特点，依据供应商提出的确保工程质量的管理体系与措施进行评审。 </w:t>
            </w:r>
          </w:p>
          <w:p w14:paraId="35A2DB1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（1）措施详细、完善，针对性和可行性好的，得5分； </w:t>
            </w:r>
          </w:p>
          <w:p w14:paraId="4B5A7A0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（2）措施比较详细，具有一定的针对性的，得3分； </w:t>
            </w:r>
          </w:p>
          <w:p w14:paraId="6D2E890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（3）措施内容需要进一步完善的，得1分； </w:t>
            </w:r>
          </w:p>
          <w:p w14:paraId="4476B17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（4）差或未提供的不得分。</w:t>
            </w:r>
          </w:p>
        </w:tc>
        <w:tc>
          <w:tcPr>
            <w:tcW w:w="699" w:type="pct"/>
            <w:tcBorders>
              <w:top w:val="single" w:color="auto" w:sz="4" w:space="0"/>
              <w:left w:val="single" w:color="auto" w:sz="4" w:space="0"/>
              <w:bottom w:val="single" w:color="auto" w:sz="4" w:space="0"/>
              <w:right w:val="single" w:color="auto" w:sz="4" w:space="0"/>
            </w:tcBorders>
            <w:vAlign w:val="center"/>
          </w:tcPr>
          <w:p w14:paraId="17BFB792">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5分</w:t>
            </w:r>
          </w:p>
        </w:tc>
      </w:tr>
      <w:tr w14:paraId="42E9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B45427D">
            <w:pPr>
              <w:spacing w:line="360" w:lineRule="auto"/>
              <w:ind w:firstLine="435"/>
              <w:jc w:val="center"/>
              <w:rPr>
                <w:rFonts w:asciiTheme="minorEastAsia" w:hAnsiTheme="minorEastAsia" w:eastAsiaTheme="minorEastAsia"/>
                <w:b/>
                <w:bCs/>
                <w:sz w:val="24"/>
                <w:highlight w:val="none"/>
              </w:rPr>
            </w:pPr>
          </w:p>
        </w:tc>
        <w:tc>
          <w:tcPr>
            <w:tcW w:w="664" w:type="pct"/>
            <w:tcBorders>
              <w:top w:val="single" w:color="auto" w:sz="4" w:space="0"/>
              <w:left w:val="single" w:color="auto" w:sz="4" w:space="0"/>
              <w:bottom w:val="single" w:color="auto" w:sz="4" w:space="0"/>
              <w:right w:val="single" w:color="auto" w:sz="4" w:space="0"/>
            </w:tcBorders>
            <w:vAlign w:val="center"/>
          </w:tcPr>
          <w:p w14:paraId="69956F02">
            <w:pPr>
              <w:spacing w:line="360" w:lineRule="auto"/>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应急工作方</w:t>
            </w:r>
            <w:r>
              <w:rPr>
                <w:rFonts w:hint="eastAsia" w:asciiTheme="minorEastAsia" w:hAnsiTheme="minorEastAsia" w:eastAsiaTheme="minorEastAsia"/>
                <w:sz w:val="24"/>
                <w:highlight w:val="none"/>
                <w:lang w:val="en-US" w:eastAsia="zh-CN"/>
              </w:rPr>
              <w:t>案</w:t>
            </w:r>
          </w:p>
        </w:tc>
        <w:tc>
          <w:tcPr>
            <w:tcW w:w="2768" w:type="pct"/>
            <w:tcBorders>
              <w:top w:val="single" w:color="auto" w:sz="4" w:space="0"/>
              <w:left w:val="single" w:color="auto" w:sz="4" w:space="0"/>
              <w:bottom w:val="single" w:color="auto" w:sz="4" w:space="0"/>
              <w:right w:val="single" w:color="auto" w:sz="4" w:space="0"/>
            </w:tcBorders>
            <w:vAlign w:val="center"/>
          </w:tcPr>
          <w:p w14:paraId="642E7EA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根据供应商提供的应急工作方案进行综合评审。内容包括但不限于应急预案、响应和恢复措施等。 </w:t>
            </w:r>
          </w:p>
          <w:p w14:paraId="4CAFA3B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（1）方案十分完整，内容全面、清晰，具有很强的系统性的，得5分； </w:t>
            </w:r>
          </w:p>
          <w:p w14:paraId="7899644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（2）方案完整，内容较为全面、清晰，具有较强的系统性的，得3分； </w:t>
            </w:r>
          </w:p>
          <w:p w14:paraId="7753C8C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（3）方案有一定内容，基本满足本项目需求的，得1分； </w:t>
            </w:r>
          </w:p>
          <w:p w14:paraId="46F1A9F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（4）差的或未提供的不得分。</w:t>
            </w:r>
          </w:p>
        </w:tc>
        <w:tc>
          <w:tcPr>
            <w:tcW w:w="699" w:type="pct"/>
            <w:tcBorders>
              <w:top w:val="single" w:color="auto" w:sz="4" w:space="0"/>
              <w:left w:val="single" w:color="auto" w:sz="4" w:space="0"/>
              <w:bottom w:val="single" w:color="auto" w:sz="4" w:space="0"/>
              <w:right w:val="single" w:color="auto" w:sz="4" w:space="0"/>
            </w:tcBorders>
            <w:vAlign w:val="center"/>
          </w:tcPr>
          <w:p w14:paraId="25031F93">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5分</w:t>
            </w:r>
          </w:p>
        </w:tc>
      </w:tr>
      <w:tr w14:paraId="4E4B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4DBA9B0">
            <w:pPr>
              <w:spacing w:line="360" w:lineRule="auto"/>
              <w:ind w:firstLine="435"/>
              <w:jc w:val="center"/>
              <w:rPr>
                <w:rFonts w:asciiTheme="minorEastAsia" w:hAnsiTheme="minorEastAsia" w:eastAsiaTheme="minorEastAsia"/>
                <w:b/>
                <w:bCs/>
                <w:sz w:val="24"/>
                <w:highlight w:val="none"/>
              </w:rPr>
            </w:pPr>
          </w:p>
        </w:tc>
        <w:tc>
          <w:tcPr>
            <w:tcW w:w="664" w:type="pct"/>
            <w:tcBorders>
              <w:top w:val="single" w:color="auto" w:sz="4" w:space="0"/>
              <w:left w:val="single" w:color="auto" w:sz="4" w:space="0"/>
              <w:bottom w:val="single" w:color="auto" w:sz="4" w:space="0"/>
              <w:right w:val="single" w:color="auto" w:sz="4" w:space="0"/>
            </w:tcBorders>
            <w:vAlign w:val="center"/>
          </w:tcPr>
          <w:p w14:paraId="48685CCA">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确保安全生产的管理体系与措施</w:t>
            </w:r>
          </w:p>
        </w:tc>
        <w:tc>
          <w:tcPr>
            <w:tcW w:w="2768" w:type="pct"/>
            <w:tcBorders>
              <w:top w:val="single" w:color="auto" w:sz="4" w:space="0"/>
              <w:left w:val="single" w:color="auto" w:sz="4" w:space="0"/>
              <w:bottom w:val="single" w:color="auto" w:sz="4" w:space="0"/>
              <w:right w:val="single" w:color="auto" w:sz="4" w:space="0"/>
            </w:tcBorders>
            <w:vAlign w:val="center"/>
          </w:tcPr>
          <w:p w14:paraId="1AF86E6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结合本工程特点，依据供应商提出的确保安全生产的管理体系与措施进行评审。 </w:t>
            </w:r>
          </w:p>
          <w:p w14:paraId="32C79C6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（1）措施详细、完善，安全生产方案针对性和可行性强的，得5分； </w:t>
            </w:r>
          </w:p>
          <w:p w14:paraId="7DAAF4D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（2）措施比较详细，基本满足项目实现安全生产目标要求的，得3分； </w:t>
            </w:r>
          </w:p>
          <w:p w14:paraId="5B5464B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（3）措施不够详细，需要进一步完善的，得1分； </w:t>
            </w:r>
          </w:p>
          <w:p w14:paraId="2A49CFA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（4）差或未提供的不得分。</w:t>
            </w:r>
          </w:p>
        </w:tc>
        <w:tc>
          <w:tcPr>
            <w:tcW w:w="699" w:type="pct"/>
            <w:tcBorders>
              <w:top w:val="single" w:color="auto" w:sz="4" w:space="0"/>
              <w:left w:val="single" w:color="auto" w:sz="4" w:space="0"/>
              <w:bottom w:val="single" w:color="auto" w:sz="4" w:space="0"/>
              <w:right w:val="single" w:color="auto" w:sz="4" w:space="0"/>
            </w:tcBorders>
            <w:vAlign w:val="center"/>
          </w:tcPr>
          <w:p w14:paraId="403BF98D">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5分</w:t>
            </w:r>
          </w:p>
        </w:tc>
      </w:tr>
      <w:tr w14:paraId="1239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06C71C7B">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w:t>
            </w:r>
          </w:p>
          <w:p w14:paraId="6B77DD27">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40</w:t>
            </w:r>
            <w:r>
              <w:rPr>
                <w:rFonts w:hint="eastAsia" w:asciiTheme="minorEastAsia" w:hAnsiTheme="minorEastAsia" w:eastAsiaTheme="minorEastAsia"/>
                <w:sz w:val="24"/>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595D3216">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sz w:val="24"/>
                <w:highlight w:val="none"/>
                <w:u w:val="single"/>
              </w:rPr>
              <w:t>40</w:t>
            </w:r>
            <w:r>
              <w:rPr>
                <w:rFonts w:hint="eastAsia" w:asciiTheme="minorEastAsia" w:hAnsiTheme="minorEastAsia" w:eastAsiaTheme="minorEastAsia"/>
                <w:sz w:val="24"/>
                <w:highlight w:val="none"/>
              </w:rPr>
              <w:t>分。其他供应商的价格分统一按照下列公式计算：</w:t>
            </w:r>
          </w:p>
          <w:p w14:paraId="5297814F">
            <w:pPr>
              <w:spacing w:line="360" w:lineRule="auto"/>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磋商报价得分＝（磋商基准价/</w:t>
            </w:r>
            <w:r>
              <w:rPr>
                <w:rFonts w:hint="eastAsia"/>
                <w:sz w:val="24"/>
                <w:highlight w:val="none"/>
              </w:rPr>
              <w:t>最后磋商</w:t>
            </w:r>
            <w:r>
              <w:rPr>
                <w:rFonts w:hint="eastAsia" w:asciiTheme="minorEastAsia" w:hAnsiTheme="minorEastAsia" w:eastAsiaTheme="minorEastAsia"/>
                <w:sz w:val="24"/>
                <w:highlight w:val="none"/>
              </w:rPr>
              <w:t>报价）×</w:t>
            </w:r>
            <w:r>
              <w:rPr>
                <w:rFonts w:hint="eastAsia" w:asciiTheme="minorEastAsia" w:hAnsiTheme="minorEastAsia" w:eastAsiaTheme="minorEastAsia"/>
                <w:sz w:val="24"/>
                <w:highlight w:val="none"/>
                <w:u w:val="single"/>
              </w:rPr>
              <w:t>40</w:t>
            </w:r>
            <w:r>
              <w:rPr>
                <w:rFonts w:hint="eastAsia" w:asciiTheme="minorEastAsia" w:hAnsiTheme="minorEastAsia" w:eastAsiaTheme="minorEastAsia"/>
                <w:sz w:val="24"/>
                <w:highlight w:val="none"/>
              </w:rPr>
              <w:t>％×100</w:t>
            </w:r>
          </w:p>
        </w:tc>
      </w:tr>
    </w:tbl>
    <w:p w14:paraId="51C183DF">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b/>
          <w:bCs/>
          <w:sz w:val="24"/>
          <w:highlight w:val="none"/>
          <w:lang w:val="en-US" w:eastAsia="zh-CN"/>
        </w:rPr>
        <w:t>注：“公共建筑”根据《民用建筑设计统一标准》（GB50352-2019）第2条术语第2.0.3款界定，公共建筑指供人们进行各种公共活动的建筑；系指办公建筑（包括写字楼、政府部门办公室等），商业建筑（如商场、金融建筑等），旅游建筑（如酒店、娱乐场所等），科教文卫建筑（包括文化、教育、科研、医疗、卫生、体育建筑等），通信建筑（如邮电、通讯、数据中心、广播用房）、交通运输类建筑（如机场、高铁站、火车站、地铁、汽车站、冷藏库等）以及其他（派出所、仓库、拘留所）等。如为学校项目，则学校内宿舍、公寓、地下室等均视为公共建筑。</w:t>
      </w:r>
    </w:p>
    <w:p w14:paraId="0EA1F12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分值汇总</w:t>
      </w:r>
    </w:p>
    <w:p w14:paraId="3FA0D8E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0A66D3E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2）将每个供应商的技术资信分加上根据上述标准计算出的价格分，即为该供应商的综合总得分。</w:t>
      </w:r>
    </w:p>
    <w:p w14:paraId="23030F38">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17108009">
      <w:pPr>
        <w:spacing w:line="360" w:lineRule="auto"/>
        <w:jc w:val="center"/>
        <w:outlineLvl w:val="0"/>
        <w:rPr>
          <w:rFonts w:asciiTheme="minorEastAsia" w:hAnsiTheme="minorEastAsia" w:eastAsiaTheme="minorEastAsia"/>
          <w:b/>
          <w:sz w:val="28"/>
          <w:highlight w:val="none"/>
        </w:rPr>
      </w:pPr>
      <w:bookmarkStart w:id="39" w:name="_Toc31277"/>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39"/>
    </w:p>
    <w:p w14:paraId="63F18BE3">
      <w:pPr>
        <w:keepNext/>
        <w:keepLines/>
        <w:snapToGrid w:val="0"/>
        <w:spacing w:before="312" w:beforeLines="100" w:after="312" w:afterLines="100" w:line="360" w:lineRule="auto"/>
        <w:jc w:val="center"/>
        <w:outlineLvl w:val="1"/>
        <w:rPr>
          <w:rFonts w:cs="宋体"/>
          <w:b/>
          <w:bCs/>
          <w:sz w:val="21"/>
          <w:szCs w:val="21"/>
          <w:highlight w:val="none"/>
        </w:rPr>
      </w:pPr>
      <w:bookmarkStart w:id="40" w:name="_Toc130919120"/>
      <w:bookmarkStart w:id="41" w:name="_Toc9907"/>
      <w:bookmarkStart w:id="42" w:name="_Toc28799376"/>
      <w:r>
        <w:rPr>
          <w:rFonts w:hint="eastAsia" w:cs="宋体"/>
          <w:b/>
          <w:bCs/>
          <w:sz w:val="21"/>
          <w:szCs w:val="21"/>
          <w:highlight w:val="none"/>
        </w:rPr>
        <w:t>第一节  合同协议书</w:t>
      </w:r>
      <w:bookmarkEnd w:id="40"/>
      <w:bookmarkEnd w:id="41"/>
      <w:bookmarkEnd w:id="42"/>
    </w:p>
    <w:p w14:paraId="06FAF258">
      <w:pPr>
        <w:spacing w:line="360" w:lineRule="auto"/>
        <w:rPr>
          <w:rFonts w:cs="宋体"/>
          <w:b/>
          <w:sz w:val="24"/>
          <w:szCs w:val="24"/>
          <w:highlight w:val="none"/>
          <w:u w:val="single"/>
        </w:rPr>
      </w:pPr>
      <w:r>
        <w:rPr>
          <w:rFonts w:hint="eastAsia" w:cs="宋体"/>
          <w:b/>
          <w:sz w:val="24"/>
          <w:szCs w:val="24"/>
          <w:highlight w:val="none"/>
        </w:rPr>
        <w:t>发包人（全称）：</w:t>
      </w:r>
      <w:r>
        <w:rPr>
          <w:rFonts w:hint="eastAsia" w:cs="宋体"/>
          <w:b/>
          <w:sz w:val="24"/>
          <w:szCs w:val="24"/>
          <w:highlight w:val="none"/>
          <w:u w:val="single"/>
        </w:rPr>
        <w:t xml:space="preserve">        </w:t>
      </w:r>
    </w:p>
    <w:p w14:paraId="080FF8DB">
      <w:pPr>
        <w:spacing w:line="360" w:lineRule="auto"/>
        <w:rPr>
          <w:rFonts w:cs="宋体"/>
          <w:b/>
          <w:sz w:val="24"/>
          <w:szCs w:val="24"/>
          <w:highlight w:val="none"/>
          <w:u w:val="single"/>
        </w:rPr>
      </w:pPr>
      <w:r>
        <w:rPr>
          <w:rFonts w:hint="eastAsia" w:cs="宋体"/>
          <w:b/>
          <w:sz w:val="24"/>
          <w:szCs w:val="24"/>
          <w:highlight w:val="none"/>
        </w:rPr>
        <w:t>承包人（全称）：</w:t>
      </w:r>
      <w:r>
        <w:rPr>
          <w:rFonts w:hint="eastAsia" w:cs="宋体"/>
          <w:b/>
          <w:sz w:val="24"/>
          <w:szCs w:val="24"/>
          <w:highlight w:val="none"/>
          <w:u w:val="single"/>
        </w:rPr>
        <w:t xml:space="preserve">        </w:t>
      </w:r>
    </w:p>
    <w:p w14:paraId="23495E35">
      <w:pPr>
        <w:spacing w:line="360" w:lineRule="auto"/>
        <w:rPr>
          <w:rFonts w:ascii="Times New Roman" w:hAnsi="Times New Roman" w:eastAsia="仿宋_GB2312" w:cs="Times New Roman"/>
          <w:b/>
          <w:kern w:val="2"/>
          <w:sz w:val="30"/>
          <w:szCs w:val="30"/>
          <w:highlight w:val="none"/>
          <w:u w:val="single"/>
        </w:rPr>
      </w:pPr>
    </w:p>
    <w:p w14:paraId="24C3CB9F">
      <w:pPr>
        <w:snapToGrid w:val="0"/>
        <w:spacing w:line="360" w:lineRule="auto"/>
        <w:ind w:firstLine="420" w:firstLineChars="200"/>
        <w:rPr>
          <w:rFonts w:cs="宋体"/>
          <w:sz w:val="21"/>
          <w:szCs w:val="21"/>
          <w:highlight w:val="none"/>
        </w:rPr>
      </w:pPr>
      <w:r>
        <w:rPr>
          <w:rFonts w:hint="eastAsia" w:cs="宋体"/>
          <w:sz w:val="21"/>
          <w:szCs w:val="21"/>
          <w:highlight w:val="none"/>
        </w:rPr>
        <w:t>根据《中华人民共和国民法典》《中华人民共和国建筑法》及有关法律规定，遵循平等、自愿、公平和诚实信用的原则，双方就</w:t>
      </w:r>
      <w:r>
        <w:rPr>
          <w:rFonts w:hint="eastAsia" w:cs="宋体"/>
          <w:sz w:val="21"/>
          <w:szCs w:val="21"/>
          <w:highlight w:val="none"/>
          <w:u w:val="single"/>
        </w:rPr>
        <w:t xml:space="preserve">                       </w:t>
      </w:r>
      <w:r>
        <w:rPr>
          <w:rFonts w:hint="eastAsia" w:cs="宋体"/>
          <w:sz w:val="21"/>
          <w:szCs w:val="21"/>
          <w:highlight w:val="none"/>
        </w:rPr>
        <w:t>工程施工及有关事项协商一致，共同达成如下协议：</w:t>
      </w:r>
    </w:p>
    <w:p w14:paraId="03709D64">
      <w:pPr>
        <w:snapToGrid w:val="0"/>
        <w:spacing w:line="360" w:lineRule="auto"/>
        <w:ind w:firstLine="422" w:firstLineChars="200"/>
        <w:rPr>
          <w:rFonts w:cs="宋体"/>
          <w:sz w:val="21"/>
          <w:szCs w:val="21"/>
          <w:highlight w:val="none"/>
        </w:rPr>
      </w:pPr>
      <w:r>
        <w:rPr>
          <w:rFonts w:hint="eastAsia" w:cs="宋体"/>
          <w:b/>
          <w:sz w:val="21"/>
          <w:szCs w:val="21"/>
          <w:highlight w:val="none"/>
        </w:rPr>
        <w:t>一、工程概况</w:t>
      </w:r>
    </w:p>
    <w:p w14:paraId="553A56DB">
      <w:pPr>
        <w:snapToGrid w:val="0"/>
        <w:spacing w:line="360" w:lineRule="auto"/>
        <w:ind w:firstLine="411" w:firstLineChars="196"/>
        <w:rPr>
          <w:rFonts w:cs="宋体"/>
          <w:sz w:val="21"/>
          <w:szCs w:val="21"/>
          <w:highlight w:val="none"/>
          <w:u w:val="single"/>
        </w:rPr>
      </w:pPr>
      <w:r>
        <w:rPr>
          <w:rFonts w:hint="eastAsia" w:cs="宋体"/>
          <w:bCs/>
          <w:sz w:val="21"/>
          <w:szCs w:val="21"/>
          <w:highlight w:val="none"/>
        </w:rPr>
        <w:t>1. 工程名称</w:t>
      </w:r>
      <w:r>
        <w:rPr>
          <w:rFonts w:hint="eastAsia" w:cs="宋体"/>
          <w:sz w:val="21"/>
          <w:szCs w:val="21"/>
          <w:highlight w:val="none"/>
        </w:rPr>
        <w:t>：</w:t>
      </w:r>
      <w:r>
        <w:rPr>
          <w:rFonts w:hint="eastAsia" w:cs="宋体"/>
          <w:sz w:val="21"/>
          <w:szCs w:val="21"/>
          <w:highlight w:val="none"/>
          <w:u w:val="single"/>
        </w:rPr>
        <w:t xml:space="preserve">       </w:t>
      </w:r>
      <w:r>
        <w:rPr>
          <w:rFonts w:hint="eastAsia" w:cs="宋体"/>
          <w:sz w:val="21"/>
          <w:szCs w:val="21"/>
          <w:highlight w:val="none"/>
        </w:rPr>
        <w:t>。</w:t>
      </w:r>
    </w:p>
    <w:p w14:paraId="25536BC5">
      <w:pPr>
        <w:snapToGrid w:val="0"/>
        <w:spacing w:line="360" w:lineRule="auto"/>
        <w:ind w:firstLine="411" w:firstLineChars="196"/>
        <w:rPr>
          <w:rFonts w:cs="宋体"/>
          <w:bCs/>
          <w:sz w:val="21"/>
          <w:szCs w:val="21"/>
          <w:highlight w:val="none"/>
        </w:rPr>
      </w:pPr>
      <w:r>
        <w:rPr>
          <w:rFonts w:hint="eastAsia" w:cs="宋体"/>
          <w:bCs/>
          <w:sz w:val="21"/>
          <w:szCs w:val="21"/>
          <w:highlight w:val="none"/>
        </w:rPr>
        <w:t>2. 工程地点：</w:t>
      </w:r>
      <w:r>
        <w:rPr>
          <w:rFonts w:hint="eastAsia" w:cs="宋体"/>
          <w:sz w:val="21"/>
          <w:szCs w:val="21"/>
          <w:highlight w:val="none"/>
          <w:u w:val="single"/>
        </w:rPr>
        <w:t xml:space="preserve">       </w:t>
      </w:r>
      <w:r>
        <w:rPr>
          <w:rFonts w:hint="eastAsia" w:cs="宋体"/>
          <w:sz w:val="21"/>
          <w:szCs w:val="21"/>
          <w:highlight w:val="none"/>
        </w:rPr>
        <w:t>。</w:t>
      </w:r>
    </w:p>
    <w:p w14:paraId="2A638CE9">
      <w:pPr>
        <w:snapToGrid w:val="0"/>
        <w:spacing w:line="360" w:lineRule="auto"/>
        <w:ind w:firstLine="411" w:firstLineChars="196"/>
        <w:rPr>
          <w:rFonts w:cs="宋体"/>
          <w:bCs/>
          <w:sz w:val="21"/>
          <w:szCs w:val="21"/>
          <w:highlight w:val="none"/>
        </w:rPr>
      </w:pPr>
      <w:r>
        <w:rPr>
          <w:rFonts w:hint="eastAsia" w:cs="宋体"/>
          <w:bCs/>
          <w:sz w:val="21"/>
          <w:szCs w:val="21"/>
          <w:highlight w:val="none"/>
        </w:rPr>
        <w:t>3. 工程立项批准文号：</w:t>
      </w:r>
      <w:r>
        <w:rPr>
          <w:rFonts w:hint="eastAsia" w:cs="宋体"/>
          <w:sz w:val="21"/>
          <w:szCs w:val="21"/>
          <w:highlight w:val="none"/>
          <w:u w:val="single"/>
        </w:rPr>
        <w:t xml:space="preserve">       </w:t>
      </w:r>
      <w:r>
        <w:rPr>
          <w:rFonts w:hint="eastAsia" w:cs="宋体"/>
          <w:bCs/>
          <w:sz w:val="21"/>
          <w:szCs w:val="21"/>
          <w:highlight w:val="none"/>
        </w:rPr>
        <w:t>。</w:t>
      </w:r>
    </w:p>
    <w:p w14:paraId="77301448">
      <w:pPr>
        <w:snapToGrid w:val="0"/>
        <w:spacing w:line="360" w:lineRule="auto"/>
        <w:ind w:firstLine="411" w:firstLineChars="196"/>
        <w:rPr>
          <w:rFonts w:cs="宋体"/>
          <w:bCs/>
          <w:sz w:val="21"/>
          <w:szCs w:val="21"/>
          <w:highlight w:val="none"/>
        </w:rPr>
      </w:pPr>
      <w:r>
        <w:rPr>
          <w:rFonts w:hint="eastAsia" w:cs="宋体"/>
          <w:bCs/>
          <w:sz w:val="21"/>
          <w:szCs w:val="21"/>
          <w:highlight w:val="none"/>
        </w:rPr>
        <w:t>4. 资金来源：</w:t>
      </w:r>
      <w:r>
        <w:rPr>
          <w:rFonts w:hint="eastAsia" w:cs="宋体"/>
          <w:sz w:val="21"/>
          <w:szCs w:val="21"/>
          <w:highlight w:val="none"/>
          <w:u w:val="single"/>
        </w:rPr>
        <w:t xml:space="preserve">       </w:t>
      </w:r>
      <w:r>
        <w:rPr>
          <w:rFonts w:hint="eastAsia" w:cs="宋体"/>
          <w:bCs/>
          <w:sz w:val="21"/>
          <w:szCs w:val="21"/>
          <w:highlight w:val="none"/>
        </w:rPr>
        <w:t>。</w:t>
      </w:r>
    </w:p>
    <w:p w14:paraId="4079A51B">
      <w:pPr>
        <w:snapToGrid w:val="0"/>
        <w:spacing w:line="360" w:lineRule="auto"/>
        <w:ind w:firstLine="411" w:firstLineChars="196"/>
        <w:rPr>
          <w:rFonts w:cs="宋体"/>
          <w:bCs/>
          <w:sz w:val="21"/>
          <w:szCs w:val="21"/>
          <w:highlight w:val="none"/>
        </w:rPr>
      </w:pPr>
      <w:r>
        <w:rPr>
          <w:rFonts w:hint="eastAsia" w:cs="宋体"/>
          <w:bCs/>
          <w:sz w:val="21"/>
          <w:szCs w:val="21"/>
          <w:highlight w:val="none"/>
        </w:rPr>
        <w:t>5. 工程内容：</w:t>
      </w:r>
      <w:r>
        <w:rPr>
          <w:rFonts w:hint="eastAsia" w:cs="宋体"/>
          <w:sz w:val="21"/>
          <w:szCs w:val="21"/>
          <w:highlight w:val="none"/>
          <w:u w:val="single"/>
        </w:rPr>
        <w:t xml:space="preserve">       </w:t>
      </w:r>
      <w:r>
        <w:rPr>
          <w:rFonts w:hint="eastAsia" w:cs="宋体"/>
          <w:bCs/>
          <w:sz w:val="21"/>
          <w:szCs w:val="21"/>
          <w:highlight w:val="none"/>
        </w:rPr>
        <w:t>。</w:t>
      </w:r>
    </w:p>
    <w:p w14:paraId="24EB36C2">
      <w:pPr>
        <w:snapToGrid w:val="0"/>
        <w:spacing w:line="360" w:lineRule="auto"/>
        <w:ind w:firstLine="411" w:firstLineChars="196"/>
        <w:rPr>
          <w:rFonts w:cs="宋体"/>
          <w:bCs/>
          <w:sz w:val="21"/>
          <w:szCs w:val="21"/>
          <w:highlight w:val="none"/>
        </w:rPr>
      </w:pPr>
      <w:r>
        <w:rPr>
          <w:rFonts w:hint="eastAsia" w:cs="宋体"/>
          <w:sz w:val="21"/>
          <w:szCs w:val="21"/>
          <w:highlight w:val="none"/>
        </w:rPr>
        <w:t>群体工程应附《承包人承揽工程项目一览表》（附件1）。</w:t>
      </w:r>
    </w:p>
    <w:p w14:paraId="657DA2AD">
      <w:pPr>
        <w:snapToGrid w:val="0"/>
        <w:spacing w:line="360" w:lineRule="auto"/>
        <w:ind w:firstLine="411" w:firstLineChars="196"/>
        <w:rPr>
          <w:rFonts w:cs="宋体"/>
          <w:bCs/>
          <w:sz w:val="21"/>
          <w:szCs w:val="21"/>
          <w:highlight w:val="none"/>
        </w:rPr>
      </w:pPr>
      <w:r>
        <w:rPr>
          <w:rFonts w:hint="eastAsia" w:cs="宋体"/>
          <w:bCs/>
          <w:sz w:val="21"/>
          <w:szCs w:val="21"/>
          <w:highlight w:val="none"/>
        </w:rPr>
        <w:t>6. 工程承包范围：</w:t>
      </w:r>
    </w:p>
    <w:p w14:paraId="5CA17C47">
      <w:pPr>
        <w:snapToGrid w:val="0"/>
        <w:spacing w:line="360" w:lineRule="auto"/>
        <w:ind w:firstLine="405" w:firstLineChars="193"/>
        <w:rPr>
          <w:rFonts w:cs="宋体"/>
          <w:sz w:val="21"/>
          <w:szCs w:val="21"/>
          <w:highlight w:val="none"/>
        </w:rPr>
      </w:pPr>
      <w:r>
        <w:rPr>
          <w:rFonts w:hint="eastAsia" w:cs="宋体"/>
          <w:sz w:val="21"/>
          <w:szCs w:val="21"/>
          <w:highlight w:val="none"/>
          <w:u w:val="single"/>
        </w:rPr>
        <w:t xml:space="preserve">      </w:t>
      </w:r>
    </w:p>
    <w:p w14:paraId="759D17A6">
      <w:pPr>
        <w:snapToGrid w:val="0"/>
        <w:spacing w:line="360" w:lineRule="auto"/>
        <w:ind w:firstLine="420" w:firstLineChars="200"/>
        <w:rPr>
          <w:rFonts w:cs="宋体"/>
          <w:sz w:val="21"/>
          <w:szCs w:val="21"/>
          <w:highlight w:val="none"/>
        </w:rPr>
      </w:pPr>
      <w:r>
        <w:rPr>
          <w:rFonts w:hint="eastAsia" w:cs="宋体"/>
          <w:sz w:val="21"/>
          <w:szCs w:val="21"/>
          <w:highlight w:val="none"/>
          <w:u w:val="single"/>
        </w:rPr>
        <w:t> </w:t>
      </w:r>
      <w:r>
        <w:rPr>
          <w:rFonts w:hint="eastAsia" w:cs="宋体"/>
          <w:sz w:val="21"/>
          <w:szCs w:val="21"/>
          <w:highlight w:val="none"/>
        </w:rPr>
        <w:t>。</w:t>
      </w:r>
    </w:p>
    <w:p w14:paraId="404CD3CA">
      <w:pPr>
        <w:snapToGrid w:val="0"/>
        <w:spacing w:line="360" w:lineRule="auto"/>
        <w:ind w:firstLine="422" w:firstLineChars="200"/>
        <w:rPr>
          <w:rFonts w:cs="宋体"/>
          <w:b/>
          <w:sz w:val="21"/>
          <w:szCs w:val="21"/>
          <w:highlight w:val="none"/>
        </w:rPr>
      </w:pPr>
      <w:bookmarkStart w:id="43" w:name="_Toc351203482"/>
      <w:r>
        <w:rPr>
          <w:rFonts w:hint="eastAsia" w:cs="宋体"/>
          <w:b/>
          <w:sz w:val="21"/>
          <w:szCs w:val="21"/>
          <w:highlight w:val="none"/>
        </w:rPr>
        <w:t>二、合同工期</w:t>
      </w:r>
      <w:bookmarkEnd w:id="43"/>
    </w:p>
    <w:p w14:paraId="7B9575C5">
      <w:pPr>
        <w:snapToGrid w:val="0"/>
        <w:spacing w:line="360" w:lineRule="auto"/>
        <w:ind w:firstLine="459"/>
        <w:rPr>
          <w:rFonts w:cs="宋体"/>
          <w:sz w:val="21"/>
          <w:szCs w:val="21"/>
          <w:highlight w:val="none"/>
        </w:rPr>
      </w:pPr>
      <w:r>
        <w:rPr>
          <w:rFonts w:hint="eastAsia" w:cs="宋体"/>
          <w:sz w:val="21"/>
          <w:szCs w:val="21"/>
          <w:highlight w:val="none"/>
        </w:rPr>
        <w:t>计划开工日期：</w:t>
      </w:r>
      <w:r>
        <w:rPr>
          <w:rFonts w:hint="eastAsia" w:cs="宋体"/>
          <w:sz w:val="21"/>
          <w:szCs w:val="21"/>
          <w:highlight w:val="none"/>
          <w:u w:val="single"/>
        </w:rPr>
        <w:t></w:t>
      </w:r>
      <w:r>
        <w:rPr>
          <w:rFonts w:hint="eastAsia" w:cs="宋体"/>
          <w:sz w:val="21"/>
          <w:szCs w:val="21"/>
          <w:highlight w:val="none"/>
        </w:rPr>
        <w:t>年</w:t>
      </w:r>
      <w:r>
        <w:rPr>
          <w:rFonts w:hint="eastAsia" w:cs="宋体"/>
          <w:sz w:val="21"/>
          <w:szCs w:val="21"/>
          <w:highlight w:val="none"/>
          <w:u w:val="single"/>
        </w:rPr>
        <w:t></w:t>
      </w:r>
      <w:r>
        <w:rPr>
          <w:rFonts w:hint="eastAsia" w:cs="宋体"/>
          <w:sz w:val="21"/>
          <w:szCs w:val="21"/>
          <w:highlight w:val="none"/>
        </w:rPr>
        <w:t>月</w:t>
      </w:r>
      <w:r>
        <w:rPr>
          <w:rFonts w:hint="eastAsia" w:cs="宋体"/>
          <w:sz w:val="21"/>
          <w:szCs w:val="21"/>
          <w:highlight w:val="none"/>
          <w:u w:val="single"/>
        </w:rPr>
        <w:t></w:t>
      </w:r>
      <w:r>
        <w:rPr>
          <w:rFonts w:hint="eastAsia" w:cs="宋体"/>
          <w:sz w:val="21"/>
          <w:szCs w:val="21"/>
          <w:highlight w:val="none"/>
        </w:rPr>
        <w:t>日。</w:t>
      </w:r>
    </w:p>
    <w:p w14:paraId="1FCA69F6">
      <w:pPr>
        <w:snapToGrid w:val="0"/>
        <w:spacing w:line="360" w:lineRule="auto"/>
        <w:ind w:firstLine="459"/>
        <w:rPr>
          <w:rFonts w:cs="宋体"/>
          <w:sz w:val="21"/>
          <w:szCs w:val="21"/>
          <w:highlight w:val="none"/>
        </w:rPr>
      </w:pPr>
      <w:r>
        <w:rPr>
          <w:rFonts w:hint="eastAsia" w:cs="宋体"/>
          <w:sz w:val="21"/>
          <w:szCs w:val="21"/>
          <w:highlight w:val="none"/>
        </w:rPr>
        <w:t>计划竣工日期：</w:t>
      </w:r>
      <w:r>
        <w:rPr>
          <w:rFonts w:hint="eastAsia" w:cs="宋体"/>
          <w:sz w:val="21"/>
          <w:szCs w:val="21"/>
          <w:highlight w:val="none"/>
          <w:u w:val="single"/>
        </w:rPr>
        <w:t></w:t>
      </w:r>
      <w:r>
        <w:rPr>
          <w:rFonts w:hint="eastAsia" w:cs="宋体"/>
          <w:sz w:val="21"/>
          <w:szCs w:val="21"/>
          <w:highlight w:val="none"/>
        </w:rPr>
        <w:t>年</w:t>
      </w:r>
      <w:r>
        <w:rPr>
          <w:rFonts w:hint="eastAsia" w:cs="宋体"/>
          <w:sz w:val="21"/>
          <w:szCs w:val="21"/>
          <w:highlight w:val="none"/>
          <w:u w:val="single"/>
        </w:rPr>
        <w:t></w:t>
      </w:r>
      <w:r>
        <w:rPr>
          <w:rFonts w:hint="eastAsia" w:cs="宋体"/>
          <w:sz w:val="21"/>
          <w:szCs w:val="21"/>
          <w:highlight w:val="none"/>
        </w:rPr>
        <w:t>月</w:t>
      </w:r>
      <w:r>
        <w:rPr>
          <w:rFonts w:hint="eastAsia" w:cs="宋体"/>
          <w:sz w:val="21"/>
          <w:szCs w:val="21"/>
          <w:highlight w:val="none"/>
          <w:u w:val="single"/>
        </w:rPr>
        <w:t></w:t>
      </w:r>
      <w:r>
        <w:rPr>
          <w:rFonts w:hint="eastAsia" w:cs="宋体"/>
          <w:sz w:val="21"/>
          <w:szCs w:val="21"/>
          <w:highlight w:val="none"/>
        </w:rPr>
        <w:t>日。</w:t>
      </w:r>
    </w:p>
    <w:p w14:paraId="7F589EA4">
      <w:pPr>
        <w:snapToGrid w:val="0"/>
        <w:spacing w:line="360" w:lineRule="auto"/>
        <w:ind w:firstLine="459"/>
        <w:rPr>
          <w:rFonts w:cs="宋体"/>
          <w:sz w:val="21"/>
          <w:szCs w:val="21"/>
          <w:highlight w:val="none"/>
        </w:rPr>
      </w:pPr>
      <w:r>
        <w:rPr>
          <w:rFonts w:hint="eastAsia" w:cs="宋体"/>
          <w:sz w:val="21"/>
          <w:szCs w:val="21"/>
          <w:highlight w:val="none"/>
        </w:rPr>
        <w:t>工期总日历天数：</w:t>
      </w:r>
      <w:r>
        <w:rPr>
          <w:rFonts w:hint="eastAsia" w:cs="宋体"/>
          <w:sz w:val="21"/>
          <w:szCs w:val="21"/>
          <w:highlight w:val="none"/>
          <w:u w:val="single"/>
        </w:rPr>
        <w:t></w:t>
      </w:r>
      <w:r>
        <w:rPr>
          <w:rFonts w:hint="eastAsia" w:cs="宋体"/>
          <w:sz w:val="21"/>
          <w:szCs w:val="21"/>
          <w:highlight w:val="none"/>
        </w:rPr>
        <w:t>天。工期总日历天数与根据前述计划开竣工日期计算的工期天数不一致的，以工期总日历天数为准。</w:t>
      </w:r>
    </w:p>
    <w:p w14:paraId="5EAD6E33">
      <w:pPr>
        <w:snapToGrid w:val="0"/>
        <w:spacing w:line="360" w:lineRule="auto"/>
        <w:ind w:firstLine="422" w:firstLineChars="200"/>
        <w:rPr>
          <w:rFonts w:cs="宋体"/>
          <w:b/>
          <w:sz w:val="21"/>
          <w:szCs w:val="21"/>
          <w:highlight w:val="none"/>
        </w:rPr>
      </w:pPr>
      <w:bookmarkStart w:id="44" w:name="_Toc351203483"/>
      <w:r>
        <w:rPr>
          <w:rFonts w:hint="eastAsia" w:cs="宋体"/>
          <w:b/>
          <w:sz w:val="21"/>
          <w:szCs w:val="21"/>
          <w:highlight w:val="none"/>
        </w:rPr>
        <w:t>三、质量标准</w:t>
      </w:r>
      <w:bookmarkEnd w:id="44"/>
    </w:p>
    <w:p w14:paraId="7270857D">
      <w:pPr>
        <w:snapToGrid w:val="0"/>
        <w:spacing w:line="360" w:lineRule="auto"/>
        <w:ind w:firstLine="459"/>
        <w:rPr>
          <w:rFonts w:cs="宋体"/>
          <w:sz w:val="21"/>
          <w:szCs w:val="21"/>
          <w:highlight w:val="none"/>
        </w:rPr>
      </w:pPr>
      <w:r>
        <w:rPr>
          <w:rFonts w:hint="eastAsia" w:cs="宋体"/>
          <w:sz w:val="21"/>
          <w:szCs w:val="21"/>
          <w:highlight w:val="none"/>
        </w:rPr>
        <w:t>工程质量符合</w:t>
      </w:r>
      <w:r>
        <w:rPr>
          <w:rFonts w:hint="eastAsia" w:cs="宋体"/>
          <w:sz w:val="21"/>
          <w:szCs w:val="21"/>
          <w:highlight w:val="none"/>
          <w:u w:val="single"/>
        </w:rPr>
        <w:t xml:space="preserve"> 合格 </w:t>
      </w:r>
      <w:r>
        <w:rPr>
          <w:rFonts w:hint="eastAsia" w:cs="宋体"/>
          <w:sz w:val="21"/>
          <w:szCs w:val="21"/>
          <w:highlight w:val="none"/>
        </w:rPr>
        <w:t>标准。</w:t>
      </w:r>
    </w:p>
    <w:p w14:paraId="5D34D58D">
      <w:pPr>
        <w:snapToGrid w:val="0"/>
        <w:spacing w:line="360" w:lineRule="auto"/>
        <w:ind w:firstLine="422" w:firstLineChars="200"/>
        <w:rPr>
          <w:rFonts w:cs="宋体"/>
          <w:b/>
          <w:sz w:val="21"/>
          <w:szCs w:val="21"/>
          <w:highlight w:val="none"/>
        </w:rPr>
      </w:pPr>
      <w:bookmarkStart w:id="45" w:name="_Toc351203484"/>
      <w:r>
        <w:rPr>
          <w:rFonts w:hint="eastAsia" w:cs="宋体"/>
          <w:b/>
          <w:sz w:val="21"/>
          <w:szCs w:val="21"/>
          <w:highlight w:val="none"/>
        </w:rPr>
        <w:t>四、签约合同价与合同价格形式</w:t>
      </w:r>
      <w:bookmarkEnd w:id="45"/>
    </w:p>
    <w:p w14:paraId="5003E047">
      <w:pPr>
        <w:snapToGrid w:val="0"/>
        <w:spacing w:line="360" w:lineRule="auto"/>
        <w:ind w:firstLine="420" w:firstLineChars="200"/>
        <w:rPr>
          <w:rFonts w:cs="宋体"/>
          <w:sz w:val="21"/>
          <w:szCs w:val="21"/>
          <w:highlight w:val="none"/>
        </w:rPr>
      </w:pPr>
      <w:r>
        <w:rPr>
          <w:rFonts w:hint="eastAsia" w:cs="宋体"/>
          <w:sz w:val="21"/>
          <w:szCs w:val="21"/>
          <w:highlight w:val="none"/>
        </w:rPr>
        <w:t>1. 签约合同价为：</w:t>
      </w:r>
    </w:p>
    <w:p w14:paraId="07E06151">
      <w:pPr>
        <w:snapToGrid w:val="0"/>
        <w:spacing w:line="360" w:lineRule="auto"/>
        <w:ind w:firstLine="525" w:firstLineChars="250"/>
        <w:rPr>
          <w:rFonts w:cs="宋体"/>
          <w:sz w:val="21"/>
          <w:szCs w:val="21"/>
          <w:highlight w:val="none"/>
        </w:rPr>
      </w:pPr>
      <w:r>
        <w:rPr>
          <w:rFonts w:hint="eastAsia" w:cs="宋体"/>
          <w:sz w:val="21"/>
          <w:szCs w:val="21"/>
          <w:highlight w:val="none"/>
        </w:rPr>
        <w:t>人民币（大写）</w:t>
      </w:r>
      <w:r>
        <w:rPr>
          <w:rFonts w:hint="eastAsia" w:cs="宋体"/>
          <w:sz w:val="21"/>
          <w:szCs w:val="21"/>
          <w:highlight w:val="none"/>
          <w:u w:val="single"/>
        </w:rPr>
        <w:t xml:space="preserve">                 （</w:t>
      </w:r>
      <w:r>
        <w:rPr>
          <w:rFonts w:hint="eastAsia" w:cs="宋体"/>
          <w:sz w:val="21"/>
          <w:szCs w:val="21"/>
          <w:highlight w:val="none"/>
        </w:rPr>
        <w:t>¥</w:t>
      </w:r>
      <w:r>
        <w:rPr>
          <w:rFonts w:hint="eastAsia" w:cs="宋体"/>
          <w:sz w:val="21"/>
          <w:szCs w:val="21"/>
          <w:highlight w:val="none"/>
          <w:u w:val="single"/>
        </w:rPr>
        <w:t xml:space="preserve">            </w:t>
      </w:r>
      <w:r>
        <w:rPr>
          <w:rFonts w:hint="eastAsia" w:cs="宋体"/>
          <w:sz w:val="21"/>
          <w:szCs w:val="21"/>
          <w:highlight w:val="none"/>
        </w:rPr>
        <w:t>元）；</w:t>
      </w:r>
    </w:p>
    <w:p w14:paraId="285FA7D7">
      <w:pPr>
        <w:snapToGrid w:val="0"/>
        <w:spacing w:line="360" w:lineRule="auto"/>
        <w:ind w:firstLine="420" w:firstLineChars="200"/>
        <w:rPr>
          <w:rFonts w:cs="宋体"/>
          <w:sz w:val="21"/>
          <w:szCs w:val="21"/>
          <w:highlight w:val="none"/>
        </w:rPr>
      </w:pPr>
      <w:r>
        <w:rPr>
          <w:rFonts w:hint="eastAsia" w:cs="宋体"/>
          <w:sz w:val="21"/>
          <w:szCs w:val="21"/>
          <w:highlight w:val="none"/>
        </w:rPr>
        <w:t>其中：</w:t>
      </w:r>
    </w:p>
    <w:p w14:paraId="5781D99E">
      <w:pPr>
        <w:snapToGrid w:val="0"/>
        <w:spacing w:line="360" w:lineRule="auto"/>
        <w:ind w:firstLine="420" w:firstLineChars="200"/>
        <w:rPr>
          <w:rFonts w:cs="宋体"/>
          <w:sz w:val="21"/>
          <w:szCs w:val="21"/>
          <w:highlight w:val="none"/>
        </w:rPr>
      </w:pPr>
      <w:r>
        <w:rPr>
          <w:rFonts w:hint="eastAsia" w:cs="宋体"/>
          <w:sz w:val="21"/>
          <w:szCs w:val="21"/>
          <w:highlight w:val="none"/>
        </w:rPr>
        <w:t>（1）安全文明施工费：</w:t>
      </w:r>
    </w:p>
    <w:p w14:paraId="1ACEF8C9">
      <w:pPr>
        <w:snapToGrid w:val="0"/>
        <w:spacing w:line="360" w:lineRule="auto"/>
        <w:ind w:firstLine="945" w:firstLineChars="450"/>
        <w:rPr>
          <w:rFonts w:cs="宋体"/>
          <w:sz w:val="21"/>
          <w:szCs w:val="21"/>
          <w:highlight w:val="none"/>
        </w:rPr>
      </w:pPr>
      <w:r>
        <w:rPr>
          <w:rFonts w:hint="eastAsia" w:cs="宋体"/>
          <w:sz w:val="21"/>
          <w:szCs w:val="21"/>
          <w:highlight w:val="none"/>
        </w:rPr>
        <w:t>人民币（大写）</w:t>
      </w:r>
      <w:r>
        <w:rPr>
          <w:rFonts w:hint="eastAsia" w:cs="宋体"/>
          <w:sz w:val="21"/>
          <w:szCs w:val="21"/>
          <w:highlight w:val="none"/>
          <w:u w:val="single"/>
        </w:rPr>
        <w:t xml:space="preserve">              </w:t>
      </w:r>
      <w:r>
        <w:rPr>
          <w:rFonts w:hint="eastAsia" w:cs="宋体"/>
          <w:sz w:val="21"/>
          <w:szCs w:val="21"/>
          <w:highlight w:val="none"/>
        </w:rPr>
        <w:t xml:space="preserve"> （¥</w:t>
      </w:r>
      <w:r>
        <w:rPr>
          <w:rFonts w:hint="eastAsia" w:cs="宋体"/>
          <w:sz w:val="21"/>
          <w:szCs w:val="21"/>
          <w:highlight w:val="none"/>
          <w:u w:val="single"/>
        </w:rPr>
        <w:t xml:space="preserve">          </w:t>
      </w:r>
      <w:r>
        <w:rPr>
          <w:rFonts w:hint="eastAsia" w:cs="宋体"/>
          <w:sz w:val="21"/>
          <w:szCs w:val="21"/>
          <w:highlight w:val="none"/>
        </w:rPr>
        <w:t>元）；</w:t>
      </w:r>
    </w:p>
    <w:p w14:paraId="5536EFB2">
      <w:pPr>
        <w:snapToGrid w:val="0"/>
        <w:spacing w:line="360" w:lineRule="auto"/>
        <w:ind w:firstLine="420" w:firstLineChars="200"/>
        <w:rPr>
          <w:rFonts w:cs="宋体"/>
          <w:sz w:val="21"/>
          <w:szCs w:val="21"/>
          <w:highlight w:val="none"/>
        </w:rPr>
      </w:pPr>
      <w:r>
        <w:rPr>
          <w:rFonts w:hint="eastAsia" w:cs="宋体"/>
          <w:sz w:val="21"/>
          <w:szCs w:val="21"/>
          <w:highlight w:val="none"/>
        </w:rPr>
        <w:t>（2）材料和工程设备暂估价金额：</w:t>
      </w:r>
    </w:p>
    <w:p w14:paraId="662C954F">
      <w:pPr>
        <w:snapToGrid w:val="0"/>
        <w:spacing w:line="360" w:lineRule="auto"/>
        <w:ind w:firstLine="945" w:firstLineChars="450"/>
        <w:rPr>
          <w:rFonts w:cs="宋体"/>
          <w:sz w:val="21"/>
          <w:szCs w:val="21"/>
          <w:highlight w:val="none"/>
        </w:rPr>
      </w:pPr>
      <w:r>
        <w:rPr>
          <w:rFonts w:hint="eastAsia" w:cs="宋体"/>
          <w:sz w:val="21"/>
          <w:szCs w:val="21"/>
          <w:highlight w:val="none"/>
        </w:rPr>
        <w:t>人民币（大写）</w:t>
      </w:r>
      <w:r>
        <w:rPr>
          <w:rFonts w:hint="eastAsia" w:cs="宋体"/>
          <w:sz w:val="21"/>
          <w:szCs w:val="21"/>
          <w:highlight w:val="none"/>
          <w:u w:val="single"/>
        </w:rPr>
        <w:t xml:space="preserve">              </w:t>
      </w:r>
      <w:r>
        <w:rPr>
          <w:rFonts w:hint="eastAsia" w:cs="宋体"/>
          <w:sz w:val="21"/>
          <w:szCs w:val="21"/>
          <w:highlight w:val="none"/>
        </w:rPr>
        <w:t xml:space="preserve"> （¥</w:t>
      </w:r>
      <w:r>
        <w:rPr>
          <w:rFonts w:hint="eastAsia" w:cs="宋体"/>
          <w:sz w:val="21"/>
          <w:szCs w:val="21"/>
          <w:highlight w:val="none"/>
          <w:u w:val="single"/>
        </w:rPr>
        <w:t xml:space="preserve">          </w:t>
      </w:r>
      <w:r>
        <w:rPr>
          <w:rFonts w:hint="eastAsia" w:cs="宋体"/>
          <w:sz w:val="21"/>
          <w:szCs w:val="21"/>
          <w:highlight w:val="none"/>
        </w:rPr>
        <w:t>元）；</w:t>
      </w:r>
    </w:p>
    <w:p w14:paraId="6CCFBB21">
      <w:pPr>
        <w:snapToGrid w:val="0"/>
        <w:spacing w:line="360" w:lineRule="auto"/>
        <w:ind w:firstLine="420" w:firstLineChars="200"/>
        <w:rPr>
          <w:rFonts w:cs="宋体"/>
          <w:sz w:val="21"/>
          <w:szCs w:val="21"/>
          <w:highlight w:val="none"/>
        </w:rPr>
      </w:pPr>
      <w:r>
        <w:rPr>
          <w:rFonts w:hint="eastAsia" w:cs="宋体"/>
          <w:sz w:val="21"/>
          <w:szCs w:val="21"/>
          <w:highlight w:val="none"/>
        </w:rPr>
        <w:t>（3）专业工程暂估价金额：</w:t>
      </w:r>
    </w:p>
    <w:p w14:paraId="6AD9C74E">
      <w:pPr>
        <w:snapToGrid w:val="0"/>
        <w:spacing w:line="360" w:lineRule="auto"/>
        <w:ind w:firstLine="945" w:firstLineChars="450"/>
        <w:rPr>
          <w:rFonts w:cs="宋体"/>
          <w:sz w:val="21"/>
          <w:szCs w:val="21"/>
          <w:highlight w:val="none"/>
        </w:rPr>
      </w:pPr>
      <w:r>
        <w:rPr>
          <w:rFonts w:hint="eastAsia" w:cs="宋体"/>
          <w:sz w:val="21"/>
          <w:szCs w:val="21"/>
          <w:highlight w:val="none"/>
        </w:rPr>
        <w:t>人民币（大写）</w:t>
      </w:r>
      <w:r>
        <w:rPr>
          <w:rFonts w:hint="eastAsia" w:cs="宋体"/>
          <w:sz w:val="21"/>
          <w:szCs w:val="21"/>
          <w:highlight w:val="none"/>
          <w:u w:val="single"/>
        </w:rPr>
        <w:t xml:space="preserve">              </w:t>
      </w:r>
      <w:r>
        <w:rPr>
          <w:rFonts w:hint="eastAsia" w:cs="宋体"/>
          <w:sz w:val="21"/>
          <w:szCs w:val="21"/>
          <w:highlight w:val="none"/>
        </w:rPr>
        <w:t xml:space="preserve"> （¥</w:t>
      </w:r>
      <w:r>
        <w:rPr>
          <w:rFonts w:hint="eastAsia" w:cs="宋体"/>
          <w:sz w:val="21"/>
          <w:szCs w:val="21"/>
          <w:highlight w:val="none"/>
          <w:u w:val="single"/>
        </w:rPr>
        <w:t xml:space="preserve">          </w:t>
      </w:r>
      <w:r>
        <w:rPr>
          <w:rFonts w:hint="eastAsia" w:cs="宋体"/>
          <w:sz w:val="21"/>
          <w:szCs w:val="21"/>
          <w:highlight w:val="none"/>
        </w:rPr>
        <w:t>元）；</w:t>
      </w:r>
    </w:p>
    <w:p w14:paraId="74B29D63">
      <w:pPr>
        <w:snapToGrid w:val="0"/>
        <w:spacing w:line="360" w:lineRule="auto"/>
        <w:ind w:firstLine="420" w:firstLineChars="200"/>
        <w:rPr>
          <w:rFonts w:cs="宋体"/>
          <w:sz w:val="21"/>
          <w:szCs w:val="21"/>
          <w:highlight w:val="none"/>
        </w:rPr>
      </w:pPr>
      <w:r>
        <w:rPr>
          <w:rFonts w:hint="eastAsia" w:cs="宋体"/>
          <w:sz w:val="21"/>
          <w:szCs w:val="21"/>
          <w:highlight w:val="none"/>
        </w:rPr>
        <w:t>（4）暂列金额：</w:t>
      </w:r>
    </w:p>
    <w:p w14:paraId="305F8EB8">
      <w:pPr>
        <w:snapToGrid w:val="0"/>
        <w:spacing w:line="360" w:lineRule="auto"/>
        <w:ind w:firstLine="945" w:firstLineChars="450"/>
        <w:rPr>
          <w:rFonts w:cs="宋体"/>
          <w:sz w:val="21"/>
          <w:szCs w:val="21"/>
          <w:highlight w:val="none"/>
        </w:rPr>
      </w:pPr>
      <w:r>
        <w:rPr>
          <w:rFonts w:hint="eastAsia" w:cs="宋体"/>
          <w:sz w:val="21"/>
          <w:szCs w:val="21"/>
          <w:highlight w:val="none"/>
        </w:rPr>
        <w:t>人民币（大写）</w:t>
      </w:r>
      <w:r>
        <w:rPr>
          <w:rFonts w:hint="eastAsia" w:cs="宋体"/>
          <w:sz w:val="21"/>
          <w:szCs w:val="21"/>
          <w:highlight w:val="none"/>
          <w:u w:val="single"/>
        </w:rPr>
        <w:t xml:space="preserve">              </w:t>
      </w:r>
      <w:r>
        <w:rPr>
          <w:rFonts w:hint="eastAsia" w:cs="宋体"/>
          <w:sz w:val="21"/>
          <w:szCs w:val="21"/>
          <w:highlight w:val="none"/>
        </w:rPr>
        <w:t xml:space="preserve"> （¥</w:t>
      </w:r>
      <w:r>
        <w:rPr>
          <w:rFonts w:hint="eastAsia" w:cs="宋体"/>
          <w:sz w:val="21"/>
          <w:szCs w:val="21"/>
          <w:highlight w:val="none"/>
          <w:u w:val="single"/>
        </w:rPr>
        <w:t xml:space="preserve">          </w:t>
      </w:r>
      <w:r>
        <w:rPr>
          <w:rFonts w:hint="eastAsia" w:cs="宋体"/>
          <w:sz w:val="21"/>
          <w:szCs w:val="21"/>
          <w:highlight w:val="none"/>
        </w:rPr>
        <w:t>元）。</w:t>
      </w:r>
    </w:p>
    <w:p w14:paraId="528BF01E">
      <w:pPr>
        <w:snapToGrid w:val="0"/>
        <w:spacing w:line="360" w:lineRule="auto"/>
        <w:ind w:firstLine="420" w:firstLineChars="200"/>
        <w:rPr>
          <w:rFonts w:cs="宋体"/>
          <w:sz w:val="21"/>
          <w:szCs w:val="21"/>
          <w:highlight w:val="none"/>
        </w:rPr>
      </w:pPr>
      <w:r>
        <w:rPr>
          <w:rFonts w:hint="eastAsia" w:cs="宋体"/>
          <w:sz w:val="21"/>
          <w:szCs w:val="21"/>
          <w:highlight w:val="none"/>
        </w:rPr>
        <w:t>2. 合同价格形式：</w:t>
      </w:r>
      <w:r>
        <w:rPr>
          <w:rFonts w:hint="eastAsia" w:cs="宋体"/>
          <w:sz w:val="21"/>
          <w:szCs w:val="21"/>
          <w:highlight w:val="none"/>
          <w:u w:val="single"/>
        </w:rPr>
        <w:t xml:space="preserve">    </w:t>
      </w:r>
      <w:r>
        <w:rPr>
          <w:rFonts w:hint="eastAsia" w:cs="宋体"/>
          <w:sz w:val="21"/>
          <w:szCs w:val="21"/>
          <w:highlight w:val="none"/>
        </w:rPr>
        <w:t>。</w:t>
      </w:r>
    </w:p>
    <w:p w14:paraId="2DB5D840">
      <w:pPr>
        <w:snapToGrid w:val="0"/>
        <w:spacing w:line="360" w:lineRule="auto"/>
        <w:ind w:firstLine="422" w:firstLineChars="200"/>
        <w:rPr>
          <w:rFonts w:cs="宋体"/>
          <w:b/>
          <w:sz w:val="21"/>
          <w:szCs w:val="21"/>
          <w:highlight w:val="none"/>
        </w:rPr>
      </w:pPr>
      <w:bookmarkStart w:id="46" w:name="_Toc351203485"/>
      <w:r>
        <w:rPr>
          <w:rFonts w:hint="eastAsia" w:cs="宋体"/>
          <w:b/>
          <w:sz w:val="21"/>
          <w:szCs w:val="21"/>
          <w:highlight w:val="none"/>
        </w:rPr>
        <w:t>五、</w:t>
      </w:r>
      <w:bookmarkEnd w:id="46"/>
      <w:r>
        <w:rPr>
          <w:rFonts w:hint="eastAsia" w:cs="宋体"/>
          <w:b/>
          <w:sz w:val="21"/>
          <w:szCs w:val="21"/>
          <w:highlight w:val="none"/>
        </w:rPr>
        <w:t>项目经理</w:t>
      </w:r>
    </w:p>
    <w:p w14:paraId="19D804EB">
      <w:pPr>
        <w:snapToGrid w:val="0"/>
        <w:spacing w:line="360" w:lineRule="auto"/>
        <w:ind w:firstLine="420" w:firstLineChars="200"/>
        <w:rPr>
          <w:rFonts w:cs="宋体"/>
          <w:sz w:val="21"/>
          <w:szCs w:val="21"/>
          <w:highlight w:val="none"/>
        </w:rPr>
      </w:pPr>
      <w:r>
        <w:rPr>
          <w:rFonts w:hint="eastAsia" w:cs="宋体"/>
          <w:sz w:val="21"/>
          <w:szCs w:val="21"/>
          <w:highlight w:val="none"/>
        </w:rPr>
        <w:t>承包人项目经理：</w:t>
      </w:r>
      <w:r>
        <w:rPr>
          <w:rFonts w:hint="eastAsia" w:cs="宋体"/>
          <w:sz w:val="21"/>
          <w:szCs w:val="21"/>
          <w:highlight w:val="none"/>
          <w:u w:val="single"/>
        </w:rPr>
        <w:t>                     </w:t>
      </w:r>
      <w:r>
        <w:rPr>
          <w:rFonts w:hint="eastAsia" w:cs="宋体"/>
          <w:sz w:val="21"/>
          <w:szCs w:val="21"/>
          <w:highlight w:val="none"/>
        </w:rPr>
        <w:t>。</w:t>
      </w:r>
    </w:p>
    <w:p w14:paraId="0BC98E88">
      <w:pPr>
        <w:snapToGrid w:val="0"/>
        <w:spacing w:line="360" w:lineRule="auto"/>
        <w:ind w:firstLine="422" w:firstLineChars="200"/>
        <w:rPr>
          <w:rFonts w:cs="宋体"/>
          <w:b/>
          <w:sz w:val="21"/>
          <w:szCs w:val="21"/>
          <w:highlight w:val="none"/>
        </w:rPr>
      </w:pPr>
      <w:bookmarkStart w:id="47" w:name="_Toc351203486"/>
      <w:r>
        <w:rPr>
          <w:rFonts w:hint="eastAsia" w:cs="宋体"/>
          <w:b/>
          <w:sz w:val="21"/>
          <w:szCs w:val="21"/>
          <w:highlight w:val="none"/>
        </w:rPr>
        <w:t>六、合同文件构成</w:t>
      </w:r>
      <w:bookmarkEnd w:id="47"/>
    </w:p>
    <w:p w14:paraId="5E79203D">
      <w:pPr>
        <w:snapToGrid w:val="0"/>
        <w:spacing w:line="360" w:lineRule="auto"/>
        <w:ind w:firstLine="420" w:firstLineChars="200"/>
        <w:rPr>
          <w:rFonts w:cs="宋体"/>
          <w:bCs/>
          <w:sz w:val="21"/>
          <w:szCs w:val="21"/>
          <w:highlight w:val="none"/>
        </w:rPr>
      </w:pPr>
      <w:r>
        <w:rPr>
          <w:rFonts w:hint="eastAsia" w:cs="宋体"/>
          <w:bCs/>
          <w:sz w:val="21"/>
          <w:szCs w:val="21"/>
          <w:highlight w:val="none"/>
        </w:rPr>
        <w:t>本协议书与下列文件一起构成合同文件：</w:t>
      </w:r>
    </w:p>
    <w:p w14:paraId="6664E483">
      <w:pPr>
        <w:autoSpaceDE w:val="0"/>
        <w:autoSpaceDN w:val="0"/>
        <w:adjustRightInd w:val="0"/>
        <w:snapToGrid w:val="0"/>
        <w:spacing w:line="360" w:lineRule="auto"/>
        <w:ind w:firstLine="420" w:firstLineChars="200"/>
        <w:jc w:val="left"/>
        <w:rPr>
          <w:rFonts w:cs="宋体"/>
          <w:sz w:val="21"/>
          <w:szCs w:val="21"/>
          <w:highlight w:val="none"/>
        </w:rPr>
      </w:pPr>
      <w:r>
        <w:rPr>
          <w:rFonts w:hint="eastAsia" w:cs="宋体"/>
          <w:sz w:val="21"/>
          <w:szCs w:val="21"/>
          <w:highlight w:val="none"/>
        </w:rPr>
        <w:t>（1）中标通知书（如果有）；</w:t>
      </w:r>
    </w:p>
    <w:p w14:paraId="6A771FD2">
      <w:pPr>
        <w:autoSpaceDE w:val="0"/>
        <w:autoSpaceDN w:val="0"/>
        <w:adjustRightInd w:val="0"/>
        <w:snapToGrid w:val="0"/>
        <w:spacing w:line="360" w:lineRule="auto"/>
        <w:ind w:firstLine="420" w:firstLineChars="200"/>
        <w:jc w:val="left"/>
        <w:rPr>
          <w:rFonts w:cs="宋体"/>
          <w:sz w:val="21"/>
          <w:szCs w:val="21"/>
          <w:highlight w:val="none"/>
        </w:rPr>
      </w:pPr>
      <w:r>
        <w:rPr>
          <w:rFonts w:hint="eastAsia" w:cs="宋体"/>
          <w:sz w:val="21"/>
          <w:szCs w:val="21"/>
          <w:highlight w:val="none"/>
        </w:rPr>
        <w:t xml:space="preserve">（2）投标函及其附录（如果有）； </w:t>
      </w:r>
    </w:p>
    <w:p w14:paraId="4CE9A2E1">
      <w:pPr>
        <w:autoSpaceDE w:val="0"/>
        <w:autoSpaceDN w:val="0"/>
        <w:adjustRightInd w:val="0"/>
        <w:snapToGrid w:val="0"/>
        <w:spacing w:line="360" w:lineRule="auto"/>
        <w:ind w:firstLine="420" w:firstLineChars="200"/>
        <w:jc w:val="left"/>
        <w:rPr>
          <w:rFonts w:cs="宋体"/>
          <w:sz w:val="21"/>
          <w:szCs w:val="21"/>
          <w:highlight w:val="none"/>
        </w:rPr>
      </w:pPr>
      <w:r>
        <w:rPr>
          <w:rFonts w:hint="eastAsia" w:cs="宋体"/>
          <w:sz w:val="21"/>
          <w:szCs w:val="21"/>
          <w:highlight w:val="none"/>
        </w:rPr>
        <w:t>（3）专用合同条款及其附件；</w:t>
      </w:r>
    </w:p>
    <w:p w14:paraId="12372319">
      <w:pPr>
        <w:autoSpaceDE w:val="0"/>
        <w:autoSpaceDN w:val="0"/>
        <w:adjustRightInd w:val="0"/>
        <w:snapToGrid w:val="0"/>
        <w:spacing w:line="360" w:lineRule="auto"/>
        <w:ind w:firstLine="420" w:firstLineChars="200"/>
        <w:jc w:val="left"/>
        <w:rPr>
          <w:rFonts w:cs="宋体"/>
          <w:sz w:val="21"/>
          <w:szCs w:val="21"/>
          <w:highlight w:val="none"/>
        </w:rPr>
      </w:pPr>
      <w:r>
        <w:rPr>
          <w:rFonts w:hint="eastAsia" w:cs="宋体"/>
          <w:sz w:val="21"/>
          <w:szCs w:val="21"/>
          <w:highlight w:val="none"/>
        </w:rPr>
        <w:t>（4）通用合同条款；</w:t>
      </w:r>
    </w:p>
    <w:p w14:paraId="0E1B70EF">
      <w:pPr>
        <w:autoSpaceDE w:val="0"/>
        <w:autoSpaceDN w:val="0"/>
        <w:adjustRightInd w:val="0"/>
        <w:snapToGrid w:val="0"/>
        <w:spacing w:line="360" w:lineRule="auto"/>
        <w:ind w:firstLine="420" w:firstLineChars="200"/>
        <w:jc w:val="left"/>
        <w:rPr>
          <w:rFonts w:cs="宋体"/>
          <w:sz w:val="21"/>
          <w:szCs w:val="21"/>
          <w:highlight w:val="none"/>
        </w:rPr>
      </w:pPr>
      <w:r>
        <w:rPr>
          <w:rFonts w:hint="eastAsia" w:cs="宋体"/>
          <w:sz w:val="21"/>
          <w:szCs w:val="21"/>
          <w:highlight w:val="none"/>
        </w:rPr>
        <w:t>（5）技术标准和要求；</w:t>
      </w:r>
    </w:p>
    <w:p w14:paraId="158B755A">
      <w:pPr>
        <w:autoSpaceDE w:val="0"/>
        <w:autoSpaceDN w:val="0"/>
        <w:adjustRightInd w:val="0"/>
        <w:snapToGrid w:val="0"/>
        <w:spacing w:line="360" w:lineRule="auto"/>
        <w:ind w:firstLine="420" w:firstLineChars="200"/>
        <w:jc w:val="left"/>
        <w:rPr>
          <w:rFonts w:cs="宋体"/>
          <w:sz w:val="21"/>
          <w:szCs w:val="21"/>
          <w:highlight w:val="none"/>
        </w:rPr>
      </w:pPr>
      <w:r>
        <w:rPr>
          <w:rFonts w:hint="eastAsia" w:cs="宋体"/>
          <w:sz w:val="21"/>
          <w:szCs w:val="21"/>
          <w:highlight w:val="none"/>
        </w:rPr>
        <w:t>（6）图纸；</w:t>
      </w:r>
    </w:p>
    <w:p w14:paraId="15961F2C">
      <w:pPr>
        <w:autoSpaceDE w:val="0"/>
        <w:autoSpaceDN w:val="0"/>
        <w:adjustRightInd w:val="0"/>
        <w:snapToGrid w:val="0"/>
        <w:spacing w:line="360" w:lineRule="auto"/>
        <w:ind w:firstLine="420" w:firstLineChars="200"/>
        <w:jc w:val="left"/>
        <w:rPr>
          <w:rFonts w:cs="宋体"/>
          <w:sz w:val="21"/>
          <w:szCs w:val="21"/>
          <w:highlight w:val="none"/>
        </w:rPr>
      </w:pPr>
      <w:r>
        <w:rPr>
          <w:rFonts w:hint="eastAsia" w:cs="宋体"/>
          <w:sz w:val="21"/>
          <w:szCs w:val="21"/>
          <w:highlight w:val="none"/>
        </w:rPr>
        <w:t>（7）已标价工程量清单或预算书；</w:t>
      </w:r>
    </w:p>
    <w:p w14:paraId="376D87A8">
      <w:pPr>
        <w:autoSpaceDE w:val="0"/>
        <w:autoSpaceDN w:val="0"/>
        <w:adjustRightInd w:val="0"/>
        <w:snapToGrid w:val="0"/>
        <w:spacing w:line="360" w:lineRule="auto"/>
        <w:ind w:firstLine="420" w:firstLineChars="200"/>
        <w:jc w:val="left"/>
        <w:rPr>
          <w:rFonts w:cs="宋体"/>
          <w:sz w:val="21"/>
          <w:szCs w:val="21"/>
          <w:highlight w:val="none"/>
        </w:rPr>
      </w:pPr>
      <w:r>
        <w:rPr>
          <w:rFonts w:hint="eastAsia" w:cs="宋体"/>
          <w:sz w:val="21"/>
          <w:szCs w:val="21"/>
          <w:highlight w:val="none"/>
        </w:rPr>
        <w:t>（8）其他合同文件。</w:t>
      </w:r>
    </w:p>
    <w:p w14:paraId="0F7936B4">
      <w:pPr>
        <w:autoSpaceDE w:val="0"/>
        <w:autoSpaceDN w:val="0"/>
        <w:adjustRightInd w:val="0"/>
        <w:snapToGrid w:val="0"/>
        <w:spacing w:line="360" w:lineRule="auto"/>
        <w:ind w:firstLine="420" w:firstLineChars="200"/>
        <w:jc w:val="left"/>
        <w:rPr>
          <w:rFonts w:cs="宋体"/>
          <w:sz w:val="21"/>
          <w:szCs w:val="21"/>
          <w:highlight w:val="none"/>
        </w:rPr>
      </w:pPr>
      <w:r>
        <w:rPr>
          <w:rFonts w:hint="eastAsia" w:cs="宋体"/>
          <w:sz w:val="21"/>
          <w:szCs w:val="21"/>
          <w:highlight w:val="none"/>
        </w:rPr>
        <w:t>在合同订立及履行过程中形成的与合同有关的文件均构成合同文件组成部分。</w:t>
      </w:r>
    </w:p>
    <w:p w14:paraId="720A4FC9">
      <w:pPr>
        <w:autoSpaceDE w:val="0"/>
        <w:autoSpaceDN w:val="0"/>
        <w:adjustRightInd w:val="0"/>
        <w:snapToGrid w:val="0"/>
        <w:spacing w:line="360" w:lineRule="auto"/>
        <w:ind w:firstLine="420" w:firstLineChars="200"/>
        <w:jc w:val="left"/>
        <w:rPr>
          <w:rFonts w:cs="宋体"/>
          <w:sz w:val="21"/>
          <w:szCs w:val="21"/>
          <w:highlight w:val="none"/>
        </w:rPr>
      </w:pPr>
      <w:r>
        <w:rPr>
          <w:rFonts w:hint="eastAsia" w:cs="宋体"/>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85C96C">
      <w:pPr>
        <w:snapToGrid w:val="0"/>
        <w:spacing w:line="360" w:lineRule="auto"/>
        <w:ind w:firstLine="422" w:firstLineChars="200"/>
        <w:rPr>
          <w:rFonts w:cs="宋体"/>
          <w:b/>
          <w:sz w:val="21"/>
          <w:szCs w:val="21"/>
          <w:highlight w:val="none"/>
        </w:rPr>
      </w:pPr>
      <w:bookmarkStart w:id="48" w:name="_Toc351203487"/>
      <w:r>
        <w:rPr>
          <w:rFonts w:hint="eastAsia" w:cs="宋体"/>
          <w:b/>
          <w:sz w:val="21"/>
          <w:szCs w:val="21"/>
          <w:highlight w:val="none"/>
        </w:rPr>
        <w:t>七、承诺</w:t>
      </w:r>
      <w:bookmarkEnd w:id="48"/>
    </w:p>
    <w:p w14:paraId="7293758D">
      <w:pPr>
        <w:snapToGrid w:val="0"/>
        <w:spacing w:line="360" w:lineRule="auto"/>
        <w:ind w:firstLine="420" w:firstLineChars="200"/>
        <w:rPr>
          <w:rFonts w:cs="宋体"/>
          <w:bCs/>
          <w:sz w:val="21"/>
          <w:szCs w:val="21"/>
          <w:highlight w:val="none"/>
        </w:rPr>
      </w:pPr>
      <w:r>
        <w:rPr>
          <w:rFonts w:hint="eastAsia" w:cs="宋体"/>
          <w:bCs/>
          <w:sz w:val="21"/>
          <w:szCs w:val="21"/>
          <w:highlight w:val="none"/>
        </w:rPr>
        <w:t>1. 发包人承诺按照法律规定履行项目审批手续、筹集工程建设资金并按照合同约定的期限和方式支付合同价款。</w:t>
      </w:r>
    </w:p>
    <w:p w14:paraId="10C9CB1D">
      <w:pPr>
        <w:snapToGrid w:val="0"/>
        <w:spacing w:line="360" w:lineRule="auto"/>
        <w:ind w:firstLine="420" w:firstLineChars="200"/>
        <w:rPr>
          <w:rFonts w:cs="宋体"/>
          <w:bCs/>
          <w:sz w:val="21"/>
          <w:szCs w:val="21"/>
          <w:highlight w:val="none"/>
        </w:rPr>
      </w:pPr>
      <w:r>
        <w:rPr>
          <w:rFonts w:hint="eastAsia" w:cs="宋体"/>
          <w:bCs/>
          <w:sz w:val="21"/>
          <w:szCs w:val="21"/>
          <w:highlight w:val="none"/>
        </w:rPr>
        <w:t>2. 承包人承诺按照法律规定及合同约定组织完成工程施工，确保工程质量和安全，不进行转包及违法分包，并在缺陷责任期及保修期内承担相应的工程维修责任。</w:t>
      </w:r>
    </w:p>
    <w:p w14:paraId="0FBB5141">
      <w:pPr>
        <w:snapToGrid w:val="0"/>
        <w:spacing w:line="360" w:lineRule="auto"/>
        <w:ind w:firstLine="420" w:firstLineChars="200"/>
        <w:rPr>
          <w:rFonts w:cs="宋体"/>
          <w:bCs/>
          <w:sz w:val="21"/>
          <w:szCs w:val="21"/>
          <w:highlight w:val="none"/>
        </w:rPr>
      </w:pPr>
      <w:r>
        <w:rPr>
          <w:rFonts w:hint="eastAsia" w:cs="宋体"/>
          <w:bCs/>
          <w:sz w:val="21"/>
          <w:szCs w:val="21"/>
          <w:highlight w:val="none"/>
        </w:rPr>
        <w:t>3. 发包人和承包人通过招投标形式签订合同的，双方理解并承诺不再就同一工程另行签订与合同实质性内容相背离的协议。</w:t>
      </w:r>
    </w:p>
    <w:p w14:paraId="17CE2736">
      <w:pPr>
        <w:snapToGrid w:val="0"/>
        <w:spacing w:line="360" w:lineRule="auto"/>
        <w:ind w:firstLine="422" w:firstLineChars="200"/>
        <w:rPr>
          <w:rFonts w:cs="宋体"/>
          <w:b/>
          <w:sz w:val="21"/>
          <w:szCs w:val="21"/>
          <w:highlight w:val="none"/>
        </w:rPr>
      </w:pPr>
      <w:bookmarkStart w:id="49" w:name="_Toc351203488"/>
      <w:r>
        <w:rPr>
          <w:rFonts w:hint="eastAsia" w:cs="宋体"/>
          <w:b/>
          <w:sz w:val="21"/>
          <w:szCs w:val="21"/>
          <w:highlight w:val="none"/>
        </w:rPr>
        <w:t>八、词语含义</w:t>
      </w:r>
      <w:bookmarkEnd w:id="49"/>
    </w:p>
    <w:p w14:paraId="613D1201">
      <w:pPr>
        <w:snapToGrid w:val="0"/>
        <w:spacing w:line="360" w:lineRule="auto"/>
        <w:ind w:firstLine="420" w:firstLineChars="200"/>
        <w:rPr>
          <w:rFonts w:cs="宋体"/>
          <w:bCs/>
          <w:sz w:val="21"/>
          <w:szCs w:val="21"/>
          <w:highlight w:val="none"/>
        </w:rPr>
      </w:pPr>
      <w:r>
        <w:rPr>
          <w:rFonts w:hint="eastAsia" w:cs="宋体"/>
          <w:bCs/>
          <w:sz w:val="21"/>
          <w:szCs w:val="21"/>
          <w:highlight w:val="none"/>
        </w:rPr>
        <w:t>本协议书中词语含义与第二部分通用合同条款中赋予的含义相同。</w:t>
      </w:r>
    </w:p>
    <w:p w14:paraId="6A6F637C">
      <w:pPr>
        <w:snapToGrid w:val="0"/>
        <w:spacing w:line="360" w:lineRule="auto"/>
        <w:ind w:firstLine="422" w:firstLineChars="200"/>
        <w:rPr>
          <w:rFonts w:cs="宋体"/>
          <w:b/>
          <w:sz w:val="21"/>
          <w:szCs w:val="21"/>
          <w:highlight w:val="none"/>
        </w:rPr>
      </w:pPr>
      <w:bookmarkStart w:id="50" w:name="_Toc351203489"/>
      <w:r>
        <w:rPr>
          <w:rFonts w:hint="eastAsia" w:cs="宋体"/>
          <w:b/>
          <w:sz w:val="21"/>
          <w:szCs w:val="21"/>
          <w:highlight w:val="none"/>
        </w:rPr>
        <w:t>九、签订时间</w:t>
      </w:r>
      <w:bookmarkEnd w:id="50"/>
    </w:p>
    <w:p w14:paraId="06ABC26C">
      <w:pPr>
        <w:snapToGrid w:val="0"/>
        <w:spacing w:line="360" w:lineRule="auto"/>
        <w:ind w:firstLine="420" w:firstLineChars="200"/>
        <w:rPr>
          <w:rFonts w:cs="宋体"/>
          <w:bCs/>
          <w:sz w:val="21"/>
          <w:szCs w:val="21"/>
          <w:highlight w:val="none"/>
        </w:rPr>
      </w:pPr>
      <w:r>
        <w:rPr>
          <w:rFonts w:hint="eastAsia" w:cs="宋体"/>
          <w:bCs/>
          <w:sz w:val="21"/>
          <w:szCs w:val="21"/>
          <w:highlight w:val="none"/>
        </w:rPr>
        <w:t>本合同于</w:t>
      </w:r>
      <w:r>
        <w:rPr>
          <w:rFonts w:hint="eastAsia" w:cs="宋体"/>
          <w:bCs/>
          <w:sz w:val="21"/>
          <w:szCs w:val="21"/>
          <w:highlight w:val="none"/>
          <w:u w:val="single"/>
        </w:rPr>
        <w:t xml:space="preserve">         </w:t>
      </w:r>
      <w:r>
        <w:rPr>
          <w:rFonts w:hint="eastAsia" w:cs="宋体"/>
          <w:bCs/>
          <w:sz w:val="21"/>
          <w:szCs w:val="21"/>
          <w:highlight w:val="none"/>
        </w:rPr>
        <w:t>年</w:t>
      </w:r>
      <w:r>
        <w:rPr>
          <w:rFonts w:hint="eastAsia" w:cs="宋体"/>
          <w:bCs/>
          <w:sz w:val="21"/>
          <w:szCs w:val="21"/>
          <w:highlight w:val="none"/>
          <w:u w:val="single"/>
        </w:rPr>
        <w:t xml:space="preserve">    </w:t>
      </w:r>
      <w:r>
        <w:rPr>
          <w:rFonts w:hint="eastAsia" w:cs="宋体"/>
          <w:bCs/>
          <w:sz w:val="21"/>
          <w:szCs w:val="21"/>
          <w:highlight w:val="none"/>
        </w:rPr>
        <w:t>月</w:t>
      </w:r>
      <w:r>
        <w:rPr>
          <w:rFonts w:hint="eastAsia" w:cs="宋体"/>
          <w:bCs/>
          <w:sz w:val="21"/>
          <w:szCs w:val="21"/>
          <w:highlight w:val="none"/>
          <w:u w:val="single"/>
        </w:rPr>
        <w:t xml:space="preserve">    </w:t>
      </w:r>
      <w:r>
        <w:rPr>
          <w:rFonts w:hint="eastAsia" w:cs="宋体"/>
          <w:bCs/>
          <w:sz w:val="21"/>
          <w:szCs w:val="21"/>
          <w:highlight w:val="none"/>
        </w:rPr>
        <w:t>日签订。</w:t>
      </w:r>
    </w:p>
    <w:p w14:paraId="0DC2709D">
      <w:pPr>
        <w:snapToGrid w:val="0"/>
        <w:spacing w:line="360" w:lineRule="auto"/>
        <w:ind w:firstLine="422" w:firstLineChars="200"/>
        <w:rPr>
          <w:rFonts w:cs="宋体"/>
          <w:b/>
          <w:sz w:val="21"/>
          <w:szCs w:val="21"/>
          <w:highlight w:val="none"/>
        </w:rPr>
      </w:pPr>
      <w:bookmarkStart w:id="51" w:name="_Toc351203490"/>
      <w:r>
        <w:rPr>
          <w:rFonts w:hint="eastAsia" w:cs="宋体"/>
          <w:b/>
          <w:sz w:val="21"/>
          <w:szCs w:val="21"/>
          <w:highlight w:val="none"/>
        </w:rPr>
        <w:t>十、签订地点</w:t>
      </w:r>
      <w:bookmarkEnd w:id="51"/>
    </w:p>
    <w:p w14:paraId="7204F208">
      <w:pPr>
        <w:snapToGrid w:val="0"/>
        <w:spacing w:line="360" w:lineRule="auto"/>
        <w:ind w:firstLine="420" w:firstLineChars="200"/>
        <w:rPr>
          <w:rFonts w:cs="宋体"/>
          <w:bCs/>
          <w:sz w:val="21"/>
          <w:szCs w:val="21"/>
          <w:highlight w:val="none"/>
        </w:rPr>
      </w:pPr>
      <w:r>
        <w:rPr>
          <w:rFonts w:hint="eastAsia" w:cs="宋体"/>
          <w:bCs/>
          <w:sz w:val="21"/>
          <w:szCs w:val="21"/>
          <w:highlight w:val="none"/>
        </w:rPr>
        <w:t>本合同在</w:t>
      </w:r>
      <w:r>
        <w:rPr>
          <w:rFonts w:hint="eastAsia" w:cs="宋体"/>
          <w:bCs/>
          <w:sz w:val="21"/>
          <w:szCs w:val="21"/>
          <w:highlight w:val="none"/>
          <w:u w:val="single"/>
        </w:rPr>
        <w:t xml:space="preserve">                                    </w:t>
      </w:r>
      <w:r>
        <w:rPr>
          <w:rFonts w:hint="eastAsia" w:cs="宋体"/>
          <w:bCs/>
          <w:sz w:val="21"/>
          <w:szCs w:val="21"/>
          <w:highlight w:val="none"/>
        </w:rPr>
        <w:t>签订。</w:t>
      </w:r>
    </w:p>
    <w:p w14:paraId="1B721BDE">
      <w:pPr>
        <w:snapToGrid w:val="0"/>
        <w:spacing w:line="360" w:lineRule="auto"/>
        <w:ind w:firstLine="422" w:firstLineChars="200"/>
        <w:rPr>
          <w:rFonts w:cs="宋体"/>
          <w:b/>
          <w:sz w:val="21"/>
          <w:szCs w:val="21"/>
          <w:highlight w:val="none"/>
        </w:rPr>
      </w:pPr>
      <w:bookmarkStart w:id="52" w:name="_Toc351203491"/>
      <w:r>
        <w:rPr>
          <w:rFonts w:hint="eastAsia" w:cs="宋体"/>
          <w:b/>
          <w:sz w:val="21"/>
          <w:szCs w:val="21"/>
          <w:highlight w:val="none"/>
        </w:rPr>
        <w:t>十一、补充协议</w:t>
      </w:r>
      <w:bookmarkEnd w:id="52"/>
    </w:p>
    <w:p w14:paraId="57AC495B">
      <w:pPr>
        <w:snapToGrid w:val="0"/>
        <w:spacing w:line="360" w:lineRule="auto"/>
        <w:ind w:firstLine="420" w:firstLineChars="200"/>
        <w:rPr>
          <w:rFonts w:cs="宋体"/>
          <w:b/>
          <w:bCs/>
          <w:sz w:val="21"/>
          <w:szCs w:val="21"/>
          <w:highlight w:val="none"/>
        </w:rPr>
      </w:pPr>
      <w:r>
        <w:rPr>
          <w:rFonts w:hint="eastAsia" w:cs="宋体"/>
          <w:bCs/>
          <w:sz w:val="21"/>
          <w:szCs w:val="21"/>
          <w:highlight w:val="none"/>
        </w:rPr>
        <w:t>合同未尽事宜，合同当事人另行签订补充协议，补充协议是合同的组成部分。</w:t>
      </w:r>
    </w:p>
    <w:p w14:paraId="5D438026">
      <w:pPr>
        <w:snapToGrid w:val="0"/>
        <w:spacing w:line="360" w:lineRule="auto"/>
        <w:ind w:firstLine="422" w:firstLineChars="200"/>
        <w:rPr>
          <w:rFonts w:cs="宋体"/>
          <w:b/>
          <w:sz w:val="21"/>
          <w:szCs w:val="21"/>
          <w:highlight w:val="none"/>
        </w:rPr>
      </w:pPr>
      <w:bookmarkStart w:id="53" w:name="_Toc351203492"/>
      <w:r>
        <w:rPr>
          <w:rFonts w:hint="eastAsia" w:cs="宋体"/>
          <w:b/>
          <w:sz w:val="21"/>
          <w:szCs w:val="21"/>
          <w:highlight w:val="none"/>
        </w:rPr>
        <w:t>十二、合同生效</w:t>
      </w:r>
      <w:bookmarkEnd w:id="53"/>
    </w:p>
    <w:p w14:paraId="683C7B1F">
      <w:pPr>
        <w:snapToGrid w:val="0"/>
        <w:spacing w:line="360" w:lineRule="auto"/>
        <w:ind w:firstLine="420" w:firstLineChars="200"/>
        <w:rPr>
          <w:rFonts w:cs="宋体"/>
          <w:bCs/>
          <w:sz w:val="21"/>
          <w:szCs w:val="21"/>
          <w:highlight w:val="none"/>
        </w:rPr>
      </w:pPr>
      <w:r>
        <w:rPr>
          <w:rFonts w:hint="eastAsia" w:cs="宋体"/>
          <w:bCs/>
          <w:sz w:val="21"/>
          <w:szCs w:val="21"/>
          <w:highlight w:val="none"/>
        </w:rPr>
        <w:t>本合同自</w:t>
      </w:r>
      <w:r>
        <w:rPr>
          <w:rFonts w:hint="eastAsia" w:cs="宋体"/>
          <w:bCs/>
          <w:sz w:val="21"/>
          <w:szCs w:val="21"/>
          <w:highlight w:val="none"/>
          <w:u w:val="single"/>
        </w:rPr>
        <w:t xml:space="preserve">                                   </w:t>
      </w:r>
      <w:r>
        <w:rPr>
          <w:rFonts w:hint="eastAsia" w:cs="宋体"/>
          <w:bCs/>
          <w:sz w:val="21"/>
          <w:szCs w:val="21"/>
          <w:highlight w:val="none"/>
        </w:rPr>
        <w:t>生效。</w:t>
      </w:r>
    </w:p>
    <w:p w14:paraId="2AA5FA77">
      <w:pPr>
        <w:snapToGrid w:val="0"/>
        <w:spacing w:line="360" w:lineRule="auto"/>
        <w:ind w:firstLine="422" w:firstLineChars="200"/>
        <w:rPr>
          <w:rFonts w:cs="宋体"/>
          <w:b/>
          <w:sz w:val="21"/>
          <w:szCs w:val="21"/>
          <w:highlight w:val="none"/>
        </w:rPr>
      </w:pPr>
      <w:bookmarkStart w:id="54" w:name="_Toc351203493"/>
      <w:r>
        <w:rPr>
          <w:rFonts w:hint="eastAsia" w:cs="宋体"/>
          <w:b/>
          <w:sz w:val="21"/>
          <w:szCs w:val="21"/>
          <w:highlight w:val="none"/>
        </w:rPr>
        <w:t>十三、合同份数</w:t>
      </w:r>
      <w:bookmarkEnd w:id="54"/>
    </w:p>
    <w:p w14:paraId="72CA0807">
      <w:pPr>
        <w:snapToGrid w:val="0"/>
        <w:spacing w:line="360" w:lineRule="auto"/>
        <w:ind w:firstLine="420" w:firstLineChars="200"/>
        <w:rPr>
          <w:rFonts w:cs="宋体"/>
          <w:bCs/>
          <w:sz w:val="21"/>
          <w:szCs w:val="21"/>
          <w:highlight w:val="none"/>
        </w:rPr>
      </w:pPr>
      <w:r>
        <w:rPr>
          <w:rFonts w:hint="eastAsia" w:cs="宋体"/>
          <w:bCs/>
          <w:sz w:val="21"/>
          <w:szCs w:val="21"/>
          <w:highlight w:val="none"/>
        </w:rPr>
        <w:t>本合同一式</w:t>
      </w:r>
      <w:r>
        <w:rPr>
          <w:rFonts w:hint="eastAsia" w:cs="宋体"/>
          <w:bCs/>
          <w:sz w:val="21"/>
          <w:szCs w:val="21"/>
          <w:highlight w:val="none"/>
          <w:u w:val="single"/>
        </w:rPr>
        <w:t xml:space="preserve">    </w:t>
      </w:r>
      <w:r>
        <w:rPr>
          <w:rFonts w:hint="eastAsia" w:cs="宋体"/>
          <w:bCs/>
          <w:sz w:val="21"/>
          <w:szCs w:val="21"/>
          <w:highlight w:val="none"/>
        </w:rPr>
        <w:t>份，均具有同等法律效力，发包人执</w:t>
      </w:r>
      <w:r>
        <w:rPr>
          <w:rFonts w:hint="eastAsia" w:cs="宋体"/>
          <w:bCs/>
          <w:sz w:val="21"/>
          <w:szCs w:val="21"/>
          <w:highlight w:val="none"/>
          <w:u w:val="single"/>
        </w:rPr>
        <w:t xml:space="preserve">    </w:t>
      </w:r>
      <w:r>
        <w:rPr>
          <w:rFonts w:hint="eastAsia" w:cs="宋体"/>
          <w:bCs/>
          <w:sz w:val="21"/>
          <w:szCs w:val="21"/>
          <w:highlight w:val="none"/>
        </w:rPr>
        <w:t>份，承包人执</w:t>
      </w:r>
      <w:r>
        <w:rPr>
          <w:rFonts w:hint="eastAsia" w:cs="宋体"/>
          <w:bCs/>
          <w:sz w:val="21"/>
          <w:szCs w:val="21"/>
          <w:highlight w:val="none"/>
          <w:u w:val="single"/>
        </w:rPr>
        <w:t xml:space="preserve">    </w:t>
      </w:r>
      <w:r>
        <w:rPr>
          <w:rFonts w:hint="eastAsia" w:cs="宋体"/>
          <w:bCs/>
          <w:sz w:val="21"/>
          <w:szCs w:val="21"/>
          <w:highlight w:val="none"/>
        </w:rPr>
        <w:t>份。</w:t>
      </w:r>
    </w:p>
    <w:p w14:paraId="14F7F907">
      <w:pPr>
        <w:snapToGrid w:val="0"/>
        <w:spacing w:line="360" w:lineRule="auto"/>
        <w:rPr>
          <w:rFonts w:cs="宋体"/>
          <w:bCs/>
          <w:sz w:val="21"/>
          <w:szCs w:val="21"/>
          <w:highlight w:val="none"/>
        </w:rPr>
      </w:pPr>
    </w:p>
    <w:p w14:paraId="40728A76">
      <w:pPr>
        <w:snapToGrid w:val="0"/>
        <w:spacing w:line="360" w:lineRule="auto"/>
        <w:rPr>
          <w:rFonts w:cs="宋体"/>
          <w:sz w:val="21"/>
          <w:szCs w:val="21"/>
          <w:highlight w:val="none"/>
        </w:rPr>
      </w:pPr>
      <w:r>
        <w:rPr>
          <w:rFonts w:hint="eastAsia" w:cs="宋体"/>
          <w:sz w:val="21"/>
          <w:szCs w:val="21"/>
          <w:highlight w:val="none"/>
        </w:rPr>
        <w:t>发包人：</w:t>
      </w:r>
      <w:r>
        <w:rPr>
          <w:rFonts w:hint="eastAsia" w:cs="宋体"/>
          <w:sz w:val="21"/>
          <w:szCs w:val="21"/>
          <w:highlight w:val="none"/>
          <w:u w:val="single"/>
        </w:rPr>
        <w:t>      （</w:t>
      </w:r>
      <w:r>
        <w:rPr>
          <w:rFonts w:hint="eastAsia" w:cs="宋体"/>
          <w:sz w:val="21"/>
          <w:szCs w:val="21"/>
          <w:highlight w:val="none"/>
        </w:rPr>
        <w:t>公章）                 承包人：</w:t>
      </w:r>
      <w:r>
        <w:rPr>
          <w:rFonts w:hint="eastAsia" w:cs="宋体"/>
          <w:sz w:val="21"/>
          <w:szCs w:val="21"/>
          <w:highlight w:val="none"/>
          <w:u w:val="single"/>
        </w:rPr>
        <w:t>        （</w:t>
      </w:r>
      <w:r>
        <w:rPr>
          <w:rFonts w:hint="eastAsia" w:cs="宋体"/>
          <w:sz w:val="21"/>
          <w:szCs w:val="21"/>
          <w:highlight w:val="none"/>
        </w:rPr>
        <w:t>公章）</w:t>
      </w:r>
    </w:p>
    <w:p w14:paraId="41B59C2D">
      <w:pPr>
        <w:snapToGrid w:val="0"/>
        <w:spacing w:line="360" w:lineRule="auto"/>
        <w:rPr>
          <w:rFonts w:cs="宋体"/>
          <w:sz w:val="21"/>
          <w:szCs w:val="21"/>
          <w:highlight w:val="none"/>
        </w:rPr>
      </w:pPr>
      <w:r>
        <w:rPr>
          <w:rFonts w:hint="eastAsia" w:cs="宋体"/>
          <w:sz w:val="21"/>
          <w:szCs w:val="21"/>
          <w:highlight w:val="none"/>
        </w:rPr>
        <w:t>法定代表人或其委托代理人：                 法定代表人或其委托代理人：</w:t>
      </w:r>
    </w:p>
    <w:p w14:paraId="6B98A7CC">
      <w:pPr>
        <w:snapToGrid w:val="0"/>
        <w:spacing w:line="360" w:lineRule="auto"/>
        <w:rPr>
          <w:rFonts w:cs="宋体"/>
          <w:sz w:val="21"/>
          <w:szCs w:val="21"/>
          <w:highlight w:val="none"/>
        </w:rPr>
      </w:pPr>
      <w:r>
        <w:rPr>
          <w:rFonts w:hint="eastAsia" w:cs="宋体"/>
          <w:sz w:val="21"/>
          <w:szCs w:val="21"/>
          <w:highlight w:val="none"/>
        </w:rPr>
        <w:t>（签字）</w:t>
      </w:r>
      <w:r>
        <w:rPr>
          <w:rFonts w:hint="eastAsia" w:cs="宋体"/>
          <w:sz w:val="21"/>
          <w:szCs w:val="21"/>
          <w:highlight w:val="none"/>
          <w:u w:val="single"/>
        </w:rPr>
        <w:t xml:space="preserve">                    </w:t>
      </w:r>
      <w:r>
        <w:rPr>
          <w:rFonts w:hint="eastAsia" w:cs="宋体"/>
          <w:sz w:val="21"/>
          <w:szCs w:val="21"/>
          <w:highlight w:val="none"/>
        </w:rPr>
        <w:t xml:space="preserve">              （签字）</w:t>
      </w:r>
      <w:r>
        <w:rPr>
          <w:rFonts w:hint="eastAsia" w:cs="宋体"/>
          <w:sz w:val="21"/>
          <w:szCs w:val="21"/>
          <w:highlight w:val="none"/>
          <w:u w:val="single"/>
        </w:rPr>
        <w:t xml:space="preserve">                   </w:t>
      </w:r>
    </w:p>
    <w:p w14:paraId="25C79EC1">
      <w:pPr>
        <w:tabs>
          <w:tab w:val="left" w:pos="4410"/>
        </w:tabs>
        <w:snapToGrid w:val="0"/>
        <w:spacing w:line="360" w:lineRule="auto"/>
        <w:rPr>
          <w:rFonts w:cs="宋体"/>
          <w:sz w:val="21"/>
          <w:szCs w:val="21"/>
          <w:highlight w:val="none"/>
        </w:rPr>
      </w:pPr>
      <w:r>
        <w:rPr>
          <w:rFonts w:hint="eastAsia" w:cs="宋体"/>
          <w:sz w:val="21"/>
          <w:szCs w:val="21"/>
          <w:highlight w:val="none"/>
        </w:rPr>
        <w:t>组织机构代码：</w:t>
      </w:r>
      <w:r>
        <w:rPr>
          <w:rFonts w:hint="eastAsia" w:cs="宋体"/>
          <w:sz w:val="21"/>
          <w:szCs w:val="21"/>
          <w:highlight w:val="none"/>
          <w:u w:val="single"/>
        </w:rPr>
        <w:t xml:space="preserve">       </w:t>
      </w:r>
      <w:r>
        <w:rPr>
          <w:rFonts w:hint="eastAsia" w:cs="宋体"/>
          <w:sz w:val="21"/>
          <w:szCs w:val="21"/>
          <w:highlight w:val="none"/>
        </w:rPr>
        <w:t xml:space="preserve">                组织机构代码：</w:t>
      </w:r>
      <w:r>
        <w:rPr>
          <w:rFonts w:hint="eastAsia" w:cs="宋体"/>
          <w:sz w:val="21"/>
          <w:szCs w:val="21"/>
          <w:highlight w:val="none"/>
          <w:u w:val="single"/>
        </w:rPr>
        <w:t xml:space="preserve">        </w:t>
      </w:r>
    </w:p>
    <w:p w14:paraId="77640FC0">
      <w:pPr>
        <w:snapToGrid w:val="0"/>
        <w:spacing w:line="360" w:lineRule="auto"/>
        <w:rPr>
          <w:rFonts w:cs="宋体"/>
          <w:sz w:val="21"/>
          <w:szCs w:val="21"/>
          <w:highlight w:val="none"/>
        </w:rPr>
      </w:pPr>
      <w:r>
        <w:rPr>
          <w:rFonts w:hint="eastAsia" w:cs="宋体"/>
          <w:sz w:val="21"/>
          <w:szCs w:val="21"/>
          <w:highlight w:val="none"/>
        </w:rPr>
        <w:t>地  址：</w:t>
      </w:r>
      <w:r>
        <w:rPr>
          <w:rFonts w:hint="eastAsia" w:cs="宋体"/>
          <w:sz w:val="21"/>
          <w:szCs w:val="21"/>
          <w:highlight w:val="none"/>
          <w:u w:val="single"/>
        </w:rPr>
        <w:t xml:space="preserve">     </w:t>
      </w:r>
      <w:r>
        <w:rPr>
          <w:rFonts w:hint="eastAsia" w:cs="宋体"/>
          <w:sz w:val="21"/>
          <w:szCs w:val="21"/>
          <w:highlight w:val="none"/>
        </w:rPr>
        <w:t xml:space="preserve">                地  址：</w:t>
      </w:r>
      <w:r>
        <w:rPr>
          <w:rFonts w:hint="eastAsia" w:cs="宋体"/>
          <w:sz w:val="21"/>
          <w:szCs w:val="21"/>
          <w:highlight w:val="none"/>
          <w:u w:val="single"/>
        </w:rPr>
        <w:t xml:space="preserve">     </w:t>
      </w:r>
    </w:p>
    <w:p w14:paraId="676A6518">
      <w:pPr>
        <w:snapToGrid w:val="0"/>
        <w:spacing w:line="360" w:lineRule="auto"/>
        <w:rPr>
          <w:rFonts w:cs="宋体"/>
          <w:sz w:val="21"/>
          <w:szCs w:val="21"/>
          <w:highlight w:val="none"/>
        </w:rPr>
      </w:pPr>
      <w:r>
        <w:rPr>
          <w:rFonts w:hint="eastAsia" w:cs="宋体"/>
          <w:sz w:val="21"/>
          <w:szCs w:val="21"/>
          <w:highlight w:val="none"/>
        </w:rPr>
        <w:t>邮政编码：</w:t>
      </w:r>
      <w:r>
        <w:rPr>
          <w:rFonts w:hint="eastAsia" w:cs="宋体"/>
          <w:sz w:val="21"/>
          <w:szCs w:val="21"/>
          <w:highlight w:val="none"/>
          <w:u w:val="single"/>
        </w:rPr>
        <w:t xml:space="preserve">      </w:t>
      </w:r>
      <w:r>
        <w:rPr>
          <w:rFonts w:hint="eastAsia" w:cs="宋体"/>
          <w:sz w:val="21"/>
          <w:szCs w:val="21"/>
          <w:highlight w:val="none"/>
        </w:rPr>
        <w:t xml:space="preserve">               邮政编码：</w:t>
      </w:r>
      <w:r>
        <w:rPr>
          <w:rFonts w:hint="eastAsia" w:cs="宋体"/>
          <w:sz w:val="21"/>
          <w:szCs w:val="21"/>
          <w:highlight w:val="none"/>
          <w:u w:val="single"/>
        </w:rPr>
        <w:t xml:space="preserve"> </w:t>
      </w:r>
    </w:p>
    <w:p w14:paraId="2B19C4D1">
      <w:pPr>
        <w:snapToGrid w:val="0"/>
        <w:spacing w:line="360" w:lineRule="auto"/>
        <w:rPr>
          <w:rFonts w:cs="宋体"/>
          <w:sz w:val="21"/>
          <w:szCs w:val="21"/>
          <w:highlight w:val="none"/>
        </w:rPr>
      </w:pPr>
      <w:r>
        <w:rPr>
          <w:rFonts w:hint="eastAsia" w:cs="宋体"/>
          <w:sz w:val="21"/>
          <w:szCs w:val="21"/>
          <w:highlight w:val="none"/>
        </w:rPr>
        <w:t>法定代表人：</w:t>
      </w:r>
      <w:r>
        <w:rPr>
          <w:rFonts w:hint="eastAsia" w:cs="宋体"/>
          <w:sz w:val="21"/>
          <w:szCs w:val="21"/>
          <w:highlight w:val="none"/>
          <w:u w:val="single"/>
        </w:rPr>
        <w:t xml:space="preserve">           </w:t>
      </w:r>
      <w:r>
        <w:rPr>
          <w:rFonts w:hint="eastAsia" w:cs="宋体"/>
          <w:sz w:val="21"/>
          <w:szCs w:val="21"/>
          <w:highlight w:val="none"/>
        </w:rPr>
        <w:t xml:space="preserve">                法定代表人：</w:t>
      </w:r>
      <w:r>
        <w:rPr>
          <w:rFonts w:hint="eastAsia" w:cs="宋体"/>
          <w:sz w:val="21"/>
          <w:szCs w:val="21"/>
          <w:highlight w:val="none"/>
          <w:u w:val="single"/>
        </w:rPr>
        <w:t xml:space="preserve">          </w:t>
      </w:r>
    </w:p>
    <w:p w14:paraId="080B77CF">
      <w:pPr>
        <w:snapToGrid w:val="0"/>
        <w:spacing w:line="360" w:lineRule="auto"/>
        <w:rPr>
          <w:rFonts w:cs="宋体"/>
          <w:sz w:val="21"/>
          <w:szCs w:val="21"/>
          <w:highlight w:val="none"/>
        </w:rPr>
      </w:pPr>
      <w:r>
        <w:rPr>
          <w:rFonts w:hint="eastAsia" w:cs="宋体"/>
          <w:sz w:val="21"/>
          <w:szCs w:val="21"/>
          <w:highlight w:val="none"/>
        </w:rPr>
        <w:t>委托代理人：</w:t>
      </w:r>
      <w:r>
        <w:rPr>
          <w:rFonts w:hint="eastAsia" w:cs="宋体"/>
          <w:sz w:val="21"/>
          <w:szCs w:val="21"/>
          <w:highlight w:val="none"/>
          <w:u w:val="single"/>
        </w:rPr>
        <w:t xml:space="preserve">           </w:t>
      </w:r>
      <w:r>
        <w:rPr>
          <w:rFonts w:hint="eastAsia" w:cs="宋体"/>
          <w:sz w:val="21"/>
          <w:szCs w:val="21"/>
          <w:highlight w:val="none"/>
        </w:rPr>
        <w:t xml:space="preserve">                委托代理人：</w:t>
      </w:r>
      <w:r>
        <w:rPr>
          <w:rFonts w:hint="eastAsia" w:cs="宋体"/>
          <w:sz w:val="21"/>
          <w:szCs w:val="21"/>
          <w:highlight w:val="none"/>
          <w:u w:val="single"/>
        </w:rPr>
        <w:t xml:space="preserve">          </w:t>
      </w:r>
    </w:p>
    <w:p w14:paraId="03F6562F">
      <w:pPr>
        <w:snapToGrid w:val="0"/>
        <w:spacing w:line="360" w:lineRule="auto"/>
        <w:rPr>
          <w:rFonts w:cs="宋体"/>
          <w:sz w:val="21"/>
          <w:szCs w:val="21"/>
          <w:highlight w:val="none"/>
        </w:rPr>
      </w:pPr>
      <w:r>
        <w:rPr>
          <w:rFonts w:hint="eastAsia" w:cs="宋体"/>
          <w:sz w:val="21"/>
          <w:szCs w:val="21"/>
          <w:highlight w:val="none"/>
        </w:rPr>
        <w:t>电  话：</w:t>
      </w:r>
      <w:r>
        <w:rPr>
          <w:rFonts w:hint="eastAsia" w:cs="宋体"/>
          <w:sz w:val="21"/>
          <w:szCs w:val="21"/>
          <w:highlight w:val="none"/>
          <w:u w:val="single"/>
        </w:rPr>
        <w:t xml:space="preserve">   </w:t>
      </w:r>
      <w:r>
        <w:rPr>
          <w:rFonts w:hint="eastAsia" w:cs="宋体"/>
          <w:sz w:val="21"/>
          <w:szCs w:val="21"/>
          <w:highlight w:val="none"/>
        </w:rPr>
        <w:t xml:space="preserve">                电  话：</w:t>
      </w:r>
      <w:r>
        <w:rPr>
          <w:rFonts w:hint="eastAsia" w:cs="宋体"/>
          <w:sz w:val="21"/>
          <w:szCs w:val="21"/>
          <w:highlight w:val="none"/>
          <w:u w:val="single"/>
        </w:rPr>
        <w:t xml:space="preserve">  </w:t>
      </w:r>
    </w:p>
    <w:p w14:paraId="17F558D0">
      <w:pPr>
        <w:snapToGrid w:val="0"/>
        <w:spacing w:line="360" w:lineRule="auto"/>
        <w:rPr>
          <w:rFonts w:cs="宋体"/>
          <w:sz w:val="21"/>
          <w:szCs w:val="21"/>
          <w:highlight w:val="none"/>
        </w:rPr>
      </w:pPr>
      <w:r>
        <w:rPr>
          <w:rFonts w:hint="eastAsia" w:cs="宋体"/>
          <w:sz w:val="21"/>
          <w:szCs w:val="21"/>
          <w:highlight w:val="none"/>
        </w:rPr>
        <w:t>传  真：</w:t>
      </w:r>
      <w:r>
        <w:rPr>
          <w:rFonts w:hint="eastAsia" w:cs="宋体"/>
          <w:sz w:val="21"/>
          <w:szCs w:val="21"/>
          <w:highlight w:val="none"/>
          <w:u w:val="single"/>
        </w:rPr>
        <w:t xml:space="preserve">   </w:t>
      </w:r>
      <w:r>
        <w:rPr>
          <w:rFonts w:hint="eastAsia" w:cs="宋体"/>
          <w:sz w:val="21"/>
          <w:szCs w:val="21"/>
          <w:highlight w:val="none"/>
        </w:rPr>
        <w:t xml:space="preserve">                传  真：</w:t>
      </w:r>
      <w:r>
        <w:rPr>
          <w:rFonts w:hint="eastAsia" w:cs="宋体"/>
          <w:sz w:val="21"/>
          <w:szCs w:val="21"/>
          <w:highlight w:val="none"/>
          <w:u w:val="single"/>
        </w:rPr>
        <w:t>  </w:t>
      </w:r>
    </w:p>
    <w:p w14:paraId="7542EAB2">
      <w:pPr>
        <w:snapToGrid w:val="0"/>
        <w:spacing w:line="360" w:lineRule="auto"/>
        <w:rPr>
          <w:rFonts w:cs="宋体"/>
          <w:sz w:val="21"/>
          <w:szCs w:val="21"/>
          <w:highlight w:val="none"/>
        </w:rPr>
      </w:pPr>
      <w:r>
        <w:rPr>
          <w:rFonts w:hint="eastAsia" w:cs="宋体"/>
          <w:sz w:val="21"/>
          <w:szCs w:val="21"/>
          <w:highlight w:val="none"/>
        </w:rPr>
        <w:t>电子信箱：</w:t>
      </w:r>
      <w:r>
        <w:rPr>
          <w:rFonts w:hint="eastAsia" w:cs="宋体"/>
          <w:sz w:val="21"/>
          <w:szCs w:val="21"/>
          <w:highlight w:val="none"/>
          <w:u w:val="single"/>
        </w:rPr>
        <w:t xml:space="preserve">                 </w:t>
      </w:r>
      <w:r>
        <w:rPr>
          <w:rFonts w:hint="eastAsia" w:cs="宋体"/>
          <w:sz w:val="21"/>
          <w:szCs w:val="21"/>
          <w:highlight w:val="none"/>
        </w:rPr>
        <w:t xml:space="preserve">                电子信箱：</w:t>
      </w:r>
      <w:r>
        <w:rPr>
          <w:rFonts w:hint="eastAsia" w:cs="宋体"/>
          <w:sz w:val="21"/>
          <w:szCs w:val="21"/>
          <w:highlight w:val="none"/>
          <w:u w:val="single"/>
        </w:rPr>
        <w:t></w:t>
      </w:r>
    </w:p>
    <w:p w14:paraId="0AE8830B">
      <w:pPr>
        <w:snapToGrid w:val="0"/>
        <w:spacing w:line="360" w:lineRule="auto"/>
        <w:rPr>
          <w:rFonts w:cs="宋体"/>
          <w:sz w:val="21"/>
          <w:szCs w:val="21"/>
          <w:highlight w:val="none"/>
        </w:rPr>
      </w:pPr>
      <w:r>
        <w:rPr>
          <w:rFonts w:hint="eastAsia" w:cs="宋体"/>
          <w:sz w:val="21"/>
          <w:szCs w:val="21"/>
          <w:highlight w:val="none"/>
        </w:rPr>
        <w:t>开户银行：</w:t>
      </w:r>
      <w:r>
        <w:rPr>
          <w:rFonts w:hint="eastAsia" w:cs="宋体"/>
          <w:sz w:val="21"/>
          <w:szCs w:val="21"/>
          <w:highlight w:val="none"/>
          <w:u w:val="single"/>
        </w:rPr>
        <w:t xml:space="preserve">   </w:t>
      </w:r>
      <w:r>
        <w:rPr>
          <w:rFonts w:hint="eastAsia" w:cs="宋体"/>
          <w:sz w:val="21"/>
          <w:szCs w:val="21"/>
          <w:highlight w:val="none"/>
        </w:rPr>
        <w:t xml:space="preserve">                开户银行：</w:t>
      </w:r>
      <w:r>
        <w:rPr>
          <w:rFonts w:hint="eastAsia" w:cs="宋体"/>
          <w:sz w:val="21"/>
          <w:szCs w:val="21"/>
          <w:highlight w:val="none"/>
          <w:u w:val="single"/>
        </w:rPr>
        <w:t></w:t>
      </w:r>
    </w:p>
    <w:p w14:paraId="3C3043C1">
      <w:pPr>
        <w:snapToGrid w:val="0"/>
        <w:spacing w:line="360" w:lineRule="auto"/>
        <w:rPr>
          <w:rFonts w:cs="宋体"/>
          <w:sz w:val="21"/>
          <w:szCs w:val="21"/>
          <w:highlight w:val="none"/>
        </w:rPr>
      </w:pPr>
      <w:r>
        <w:rPr>
          <w:rFonts w:hint="eastAsia" w:cs="宋体"/>
          <w:sz w:val="21"/>
          <w:szCs w:val="21"/>
          <w:highlight w:val="none"/>
        </w:rPr>
        <w:t>账  号：</w:t>
      </w:r>
      <w:r>
        <w:rPr>
          <w:rFonts w:hint="eastAsia" w:cs="宋体"/>
          <w:sz w:val="21"/>
          <w:szCs w:val="21"/>
          <w:highlight w:val="none"/>
          <w:u w:val="single"/>
        </w:rPr>
        <w:t xml:space="preserve">       </w:t>
      </w:r>
      <w:r>
        <w:rPr>
          <w:rFonts w:hint="eastAsia" w:cs="宋体"/>
          <w:sz w:val="21"/>
          <w:szCs w:val="21"/>
          <w:highlight w:val="none"/>
        </w:rPr>
        <w:t xml:space="preserve">                账  号：</w:t>
      </w:r>
      <w:r>
        <w:rPr>
          <w:rFonts w:hint="eastAsia" w:cs="宋体"/>
          <w:sz w:val="21"/>
          <w:szCs w:val="21"/>
          <w:highlight w:val="none"/>
          <w:u w:val="single"/>
        </w:rPr>
        <w:t xml:space="preserve">   </w:t>
      </w:r>
    </w:p>
    <w:p w14:paraId="6AE88C51">
      <w:pPr>
        <w:keepNext/>
        <w:keepLines/>
        <w:snapToGrid w:val="0"/>
        <w:spacing w:before="312" w:beforeLines="100" w:after="312" w:afterLines="100" w:line="360" w:lineRule="auto"/>
        <w:jc w:val="center"/>
        <w:outlineLvl w:val="1"/>
        <w:rPr>
          <w:rFonts w:cs="宋体"/>
          <w:bCs/>
          <w:sz w:val="21"/>
          <w:szCs w:val="21"/>
          <w:highlight w:val="none"/>
        </w:rPr>
      </w:pPr>
      <w:r>
        <w:rPr>
          <w:rFonts w:hint="eastAsia" w:cs="宋体"/>
          <w:b/>
          <w:bCs/>
          <w:sz w:val="21"/>
          <w:szCs w:val="21"/>
          <w:highlight w:val="none"/>
        </w:rPr>
        <w:br w:type="page"/>
      </w:r>
      <w:bookmarkStart w:id="55" w:name="_Toc30550"/>
      <w:bookmarkStart w:id="56" w:name="_Toc130919121"/>
      <w:bookmarkStart w:id="57" w:name="_Toc28799377"/>
      <w:r>
        <w:rPr>
          <w:rFonts w:hint="eastAsia" w:ascii="等线" w:hAnsi="等线" w:eastAsia="等线" w:cs="@仿宋_GB2312"/>
          <w:b/>
          <w:kern w:val="2"/>
          <w:sz w:val="24"/>
          <w:highlight w:val="none"/>
        </w:rPr>
        <w:t>第二节  通用合同条款</w:t>
      </w:r>
      <w:bookmarkEnd w:id="55"/>
      <w:bookmarkEnd w:id="56"/>
      <w:bookmarkEnd w:id="57"/>
    </w:p>
    <w:p w14:paraId="4CC3C36F">
      <w:pPr>
        <w:spacing w:line="360" w:lineRule="auto"/>
        <w:ind w:firstLine="560" w:firstLineChars="200"/>
        <w:rPr>
          <w:rFonts w:cs="Times New Roman"/>
          <w:snapToGrid w:val="0"/>
          <w:sz w:val="28"/>
          <w:szCs w:val="24"/>
          <w:highlight w:val="none"/>
        </w:rPr>
      </w:pPr>
      <w:r>
        <w:rPr>
          <w:rFonts w:hint="eastAsia" w:cs="Times New Roman"/>
          <w:snapToGrid w:val="0"/>
          <w:sz w:val="28"/>
          <w:szCs w:val="24"/>
          <w:highlight w:val="none"/>
        </w:rPr>
        <w:t>采用《建设工程施工合同（示范文本）》（GF-2017-0201）中通用合同条款。上述资料由承包人自行准备。</w:t>
      </w:r>
    </w:p>
    <w:p w14:paraId="25DA9A7D">
      <w:pPr>
        <w:keepNext/>
        <w:keepLines/>
        <w:snapToGrid w:val="0"/>
        <w:spacing w:before="312" w:beforeLines="100" w:after="312" w:afterLines="100" w:line="360" w:lineRule="auto"/>
        <w:jc w:val="center"/>
        <w:outlineLvl w:val="1"/>
        <w:rPr>
          <w:rFonts w:cs="宋体"/>
          <w:bCs/>
          <w:sz w:val="21"/>
          <w:szCs w:val="21"/>
          <w:highlight w:val="none"/>
        </w:rPr>
      </w:pPr>
      <w:r>
        <w:rPr>
          <w:rFonts w:hint="eastAsia" w:cs="宋体"/>
          <w:b/>
          <w:bCs/>
          <w:sz w:val="21"/>
          <w:szCs w:val="21"/>
          <w:highlight w:val="none"/>
        </w:rPr>
        <w:br w:type="page"/>
      </w:r>
      <w:bookmarkStart w:id="58" w:name="_Toc28799378"/>
      <w:bookmarkStart w:id="59" w:name="_Toc130919122"/>
      <w:bookmarkStart w:id="60" w:name="_Toc31931"/>
      <w:r>
        <w:rPr>
          <w:rFonts w:hint="eastAsia" w:ascii="等线" w:hAnsi="等线" w:eastAsia="等线" w:cs="@仿宋_GB2312"/>
          <w:b/>
          <w:kern w:val="2"/>
          <w:sz w:val="24"/>
          <w:highlight w:val="none"/>
        </w:rPr>
        <w:t>第三节  专用合同条款</w:t>
      </w:r>
      <w:bookmarkEnd w:id="58"/>
      <w:bookmarkEnd w:id="59"/>
      <w:bookmarkEnd w:id="60"/>
    </w:p>
    <w:p w14:paraId="633F9402">
      <w:pPr>
        <w:snapToGrid w:val="0"/>
        <w:spacing w:before="312" w:beforeLines="100" w:after="312" w:afterLines="100" w:line="360" w:lineRule="auto"/>
        <w:jc w:val="center"/>
        <w:outlineLvl w:val="2"/>
        <w:rPr>
          <w:rFonts w:cs="宋体"/>
          <w:sz w:val="21"/>
          <w:szCs w:val="21"/>
          <w:highlight w:val="none"/>
        </w:rPr>
      </w:pPr>
      <w:bookmarkStart w:id="61" w:name="_Toc351203633"/>
      <w:r>
        <w:rPr>
          <w:rFonts w:hint="eastAsia" w:cs="宋体"/>
          <w:sz w:val="21"/>
          <w:szCs w:val="21"/>
          <w:highlight w:val="none"/>
        </w:rPr>
        <w:t>专用合同条款数据表</w:t>
      </w:r>
    </w:p>
    <w:p w14:paraId="3C1FE83C">
      <w:pPr>
        <w:pStyle w:val="20"/>
        <w:snapToGrid w:val="0"/>
        <w:spacing w:line="360" w:lineRule="auto"/>
        <w:ind w:left="400" w:firstLine="480"/>
        <w:rPr>
          <w:rFonts w:ascii="宋体" w:hAnsi="宋体" w:cs="宋体"/>
          <w:szCs w:val="21"/>
          <w:highlight w:val="none"/>
        </w:rPr>
      </w:pPr>
      <w:r>
        <w:rPr>
          <w:rFonts w:hint="eastAsia" w:ascii="宋体" w:hAnsi="宋体" w:cs="宋体"/>
          <w:szCs w:val="21"/>
          <w:highlight w:val="none"/>
        </w:rPr>
        <w:t>说明：本数据表是项目专用合同条款中适用于本招标项目的信息和数据的归纳与提示，是项目专用合同条款的组成部分。</w:t>
      </w:r>
    </w:p>
    <w:tbl>
      <w:tblPr>
        <w:tblStyle w:val="53"/>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037C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1D99B660">
            <w:pPr>
              <w:snapToGrid w:val="0"/>
              <w:spacing w:before="100" w:beforeAutospacing="1" w:line="360" w:lineRule="auto"/>
              <w:ind w:left="-100" w:leftChars="-50" w:right="-100" w:rightChars="-50"/>
              <w:jc w:val="center"/>
              <w:rPr>
                <w:rFonts w:cs="宋体"/>
                <w:b/>
                <w:sz w:val="21"/>
                <w:szCs w:val="21"/>
                <w:highlight w:val="none"/>
              </w:rPr>
            </w:pPr>
            <w:r>
              <w:rPr>
                <w:rFonts w:hint="eastAsia" w:cs="宋体"/>
                <w:b/>
                <w:sz w:val="21"/>
                <w:szCs w:val="21"/>
                <w:highlight w:val="none"/>
              </w:rPr>
              <w:t>序号</w:t>
            </w:r>
          </w:p>
        </w:tc>
        <w:tc>
          <w:tcPr>
            <w:tcW w:w="1111" w:type="dxa"/>
            <w:vAlign w:val="center"/>
          </w:tcPr>
          <w:p w14:paraId="7F45D175">
            <w:pPr>
              <w:snapToGrid w:val="0"/>
              <w:spacing w:line="360" w:lineRule="auto"/>
              <w:ind w:left="-100" w:leftChars="-50" w:right="-100" w:rightChars="-50"/>
              <w:jc w:val="center"/>
              <w:rPr>
                <w:rFonts w:cs="宋体"/>
                <w:b/>
                <w:sz w:val="21"/>
                <w:szCs w:val="21"/>
                <w:highlight w:val="none"/>
              </w:rPr>
            </w:pPr>
            <w:r>
              <w:rPr>
                <w:rFonts w:hint="eastAsia" w:cs="宋体"/>
                <w:b/>
                <w:sz w:val="21"/>
                <w:szCs w:val="21"/>
                <w:highlight w:val="none"/>
              </w:rPr>
              <w:t>条目号</w:t>
            </w:r>
          </w:p>
        </w:tc>
        <w:tc>
          <w:tcPr>
            <w:tcW w:w="7304" w:type="dxa"/>
            <w:vAlign w:val="center"/>
          </w:tcPr>
          <w:p w14:paraId="09CDC420">
            <w:pPr>
              <w:snapToGrid w:val="0"/>
              <w:spacing w:line="360" w:lineRule="auto"/>
              <w:jc w:val="center"/>
              <w:rPr>
                <w:rFonts w:cs="宋体"/>
                <w:b/>
                <w:sz w:val="21"/>
                <w:szCs w:val="21"/>
                <w:highlight w:val="none"/>
              </w:rPr>
            </w:pPr>
            <w:r>
              <w:rPr>
                <w:rFonts w:hint="eastAsia" w:cs="宋体"/>
                <w:b/>
                <w:sz w:val="21"/>
                <w:szCs w:val="21"/>
                <w:highlight w:val="none"/>
              </w:rPr>
              <w:t>信息或数据</w:t>
            </w:r>
          </w:p>
        </w:tc>
      </w:tr>
      <w:tr w14:paraId="512D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C740F00">
            <w:pPr>
              <w:numPr>
                <w:ilvl w:val="0"/>
                <w:numId w:val="8"/>
              </w:numPr>
              <w:snapToGrid w:val="0"/>
              <w:spacing w:line="360" w:lineRule="auto"/>
              <w:jc w:val="center"/>
              <w:rPr>
                <w:rFonts w:cs="宋体"/>
                <w:bCs/>
                <w:kern w:val="2"/>
                <w:sz w:val="21"/>
                <w:szCs w:val="21"/>
                <w:highlight w:val="none"/>
              </w:rPr>
            </w:pPr>
          </w:p>
        </w:tc>
        <w:tc>
          <w:tcPr>
            <w:tcW w:w="1111" w:type="dxa"/>
            <w:vAlign w:val="center"/>
          </w:tcPr>
          <w:p w14:paraId="29CA6475">
            <w:pPr>
              <w:snapToGrid w:val="0"/>
              <w:spacing w:line="360" w:lineRule="auto"/>
              <w:jc w:val="center"/>
              <w:rPr>
                <w:rFonts w:cs="宋体"/>
                <w:bCs/>
                <w:sz w:val="21"/>
                <w:szCs w:val="21"/>
                <w:highlight w:val="none"/>
              </w:rPr>
            </w:pPr>
            <w:r>
              <w:rPr>
                <w:rFonts w:hint="eastAsia" w:cs="宋体"/>
                <w:bCs/>
                <w:sz w:val="21"/>
                <w:szCs w:val="21"/>
                <w:highlight w:val="none"/>
              </w:rPr>
              <w:t>2.5</w:t>
            </w:r>
          </w:p>
        </w:tc>
        <w:tc>
          <w:tcPr>
            <w:tcW w:w="7304" w:type="dxa"/>
            <w:vAlign w:val="center"/>
          </w:tcPr>
          <w:p w14:paraId="61937A8C">
            <w:pPr>
              <w:snapToGrid w:val="0"/>
              <w:spacing w:line="360" w:lineRule="auto"/>
              <w:rPr>
                <w:rFonts w:cs="宋体"/>
                <w:bCs/>
                <w:sz w:val="21"/>
                <w:szCs w:val="21"/>
                <w:highlight w:val="none"/>
                <w:u w:val="single"/>
              </w:rPr>
            </w:pPr>
            <w:r>
              <w:rPr>
                <w:rFonts w:hint="eastAsia" w:cs="宋体"/>
                <w:bCs/>
                <w:sz w:val="21"/>
                <w:szCs w:val="21"/>
                <w:highlight w:val="none"/>
              </w:rPr>
              <w:t xml:space="preserve">发包人提供资金来源证明的期限要求： </w:t>
            </w:r>
            <w:r>
              <w:rPr>
                <w:rFonts w:hint="eastAsia" w:cs="宋体"/>
                <w:bCs/>
                <w:sz w:val="21"/>
                <w:szCs w:val="21"/>
                <w:highlight w:val="none"/>
                <w:u w:val="single"/>
              </w:rPr>
              <w:t xml:space="preserve">         </w:t>
            </w:r>
          </w:p>
          <w:p w14:paraId="260B3AB2">
            <w:pPr>
              <w:snapToGrid w:val="0"/>
              <w:spacing w:line="360" w:lineRule="auto"/>
              <w:rPr>
                <w:rFonts w:cs="宋体"/>
                <w:bCs/>
                <w:sz w:val="21"/>
                <w:szCs w:val="21"/>
                <w:highlight w:val="none"/>
              </w:rPr>
            </w:pPr>
            <w:r>
              <w:rPr>
                <w:rFonts w:hint="eastAsia" w:cs="宋体"/>
                <w:bCs/>
                <w:sz w:val="21"/>
                <w:szCs w:val="21"/>
                <w:highlight w:val="none"/>
              </w:rPr>
              <w:t xml:space="preserve">发包人是否提供支付担保：  </w:t>
            </w:r>
            <w:r>
              <w:rPr>
                <w:rFonts w:hint="eastAsia" w:cs="宋体"/>
                <w:bCs/>
                <w:sz w:val="21"/>
                <w:szCs w:val="21"/>
                <w:highlight w:val="none"/>
                <w:u w:val="single"/>
              </w:rPr>
              <w:t xml:space="preserve">        </w:t>
            </w:r>
          </w:p>
          <w:p w14:paraId="51849DB3">
            <w:pPr>
              <w:snapToGrid w:val="0"/>
              <w:spacing w:line="360" w:lineRule="auto"/>
              <w:rPr>
                <w:rFonts w:cs="宋体"/>
                <w:bCs/>
                <w:sz w:val="21"/>
                <w:szCs w:val="21"/>
                <w:highlight w:val="none"/>
                <w:u w:val="single"/>
              </w:rPr>
            </w:pPr>
            <w:r>
              <w:rPr>
                <w:rFonts w:hint="eastAsia" w:cs="宋体"/>
                <w:bCs/>
                <w:sz w:val="21"/>
                <w:szCs w:val="21"/>
                <w:highlight w:val="none"/>
              </w:rPr>
              <w:t>发包人提供支付担保的形式：</w:t>
            </w:r>
            <w:r>
              <w:rPr>
                <w:rFonts w:hint="eastAsia" w:cs="宋体"/>
                <w:bCs/>
                <w:sz w:val="21"/>
                <w:szCs w:val="21"/>
                <w:highlight w:val="none"/>
                <w:u w:val="single"/>
              </w:rPr>
              <w:t xml:space="preserve">          </w:t>
            </w:r>
          </w:p>
        </w:tc>
      </w:tr>
      <w:tr w14:paraId="584E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F6F8D37">
            <w:pPr>
              <w:numPr>
                <w:ilvl w:val="0"/>
                <w:numId w:val="8"/>
              </w:numPr>
              <w:snapToGrid w:val="0"/>
              <w:spacing w:line="360" w:lineRule="auto"/>
              <w:jc w:val="center"/>
              <w:rPr>
                <w:rFonts w:cs="宋体"/>
                <w:bCs/>
                <w:kern w:val="2"/>
                <w:sz w:val="21"/>
                <w:szCs w:val="21"/>
                <w:highlight w:val="none"/>
              </w:rPr>
            </w:pPr>
          </w:p>
        </w:tc>
        <w:tc>
          <w:tcPr>
            <w:tcW w:w="1111" w:type="dxa"/>
            <w:vAlign w:val="center"/>
          </w:tcPr>
          <w:p w14:paraId="421E9883">
            <w:pPr>
              <w:snapToGrid w:val="0"/>
              <w:spacing w:line="360" w:lineRule="auto"/>
              <w:jc w:val="center"/>
              <w:rPr>
                <w:rFonts w:cs="宋体"/>
                <w:bCs/>
                <w:kern w:val="2"/>
                <w:sz w:val="21"/>
                <w:szCs w:val="21"/>
                <w:highlight w:val="none"/>
              </w:rPr>
            </w:pPr>
            <w:r>
              <w:rPr>
                <w:rFonts w:hint="eastAsia" w:cs="宋体"/>
                <w:bCs/>
                <w:sz w:val="21"/>
                <w:szCs w:val="21"/>
                <w:highlight w:val="none"/>
              </w:rPr>
              <w:t>3.2.1</w:t>
            </w:r>
          </w:p>
        </w:tc>
        <w:tc>
          <w:tcPr>
            <w:tcW w:w="7304" w:type="dxa"/>
            <w:vAlign w:val="center"/>
          </w:tcPr>
          <w:p w14:paraId="1F75B3CB">
            <w:pPr>
              <w:snapToGrid w:val="0"/>
              <w:spacing w:line="360" w:lineRule="auto"/>
              <w:rPr>
                <w:rFonts w:cs="宋体"/>
                <w:bCs/>
                <w:sz w:val="21"/>
                <w:szCs w:val="21"/>
                <w:highlight w:val="none"/>
              </w:rPr>
            </w:pPr>
            <w:r>
              <w:rPr>
                <w:rFonts w:hint="eastAsia" w:cs="宋体"/>
                <w:bCs/>
                <w:sz w:val="21"/>
                <w:szCs w:val="21"/>
                <w:highlight w:val="none"/>
              </w:rPr>
              <w:t>项目经理</w:t>
            </w:r>
          </w:p>
          <w:p w14:paraId="60058AA4">
            <w:pPr>
              <w:snapToGrid w:val="0"/>
              <w:spacing w:line="360" w:lineRule="auto"/>
              <w:rPr>
                <w:rFonts w:cs="宋体"/>
                <w:bCs/>
                <w:sz w:val="21"/>
                <w:szCs w:val="21"/>
                <w:highlight w:val="none"/>
              </w:rPr>
            </w:pPr>
            <w:r>
              <w:rPr>
                <w:rFonts w:hint="eastAsia" w:cs="宋体"/>
                <w:bCs/>
                <w:sz w:val="21"/>
                <w:szCs w:val="21"/>
                <w:highlight w:val="none"/>
              </w:rPr>
              <w:t>姓    名：</w:t>
            </w:r>
            <w:r>
              <w:rPr>
                <w:rFonts w:hint="eastAsia" w:cs="宋体"/>
                <w:bCs/>
                <w:sz w:val="21"/>
                <w:szCs w:val="21"/>
                <w:highlight w:val="none"/>
                <w:u w:val="single"/>
              </w:rPr>
              <w:t xml:space="preserve">          </w:t>
            </w:r>
          </w:p>
          <w:p w14:paraId="21605F87">
            <w:pPr>
              <w:snapToGrid w:val="0"/>
              <w:spacing w:line="360" w:lineRule="auto"/>
              <w:rPr>
                <w:rFonts w:cs="宋体"/>
                <w:bCs/>
                <w:sz w:val="21"/>
                <w:szCs w:val="21"/>
                <w:highlight w:val="none"/>
              </w:rPr>
            </w:pPr>
            <w:r>
              <w:rPr>
                <w:rFonts w:hint="eastAsia" w:cs="宋体"/>
                <w:bCs/>
                <w:sz w:val="21"/>
                <w:szCs w:val="21"/>
                <w:highlight w:val="none"/>
              </w:rPr>
              <w:t>身份证号：</w:t>
            </w:r>
            <w:r>
              <w:rPr>
                <w:rFonts w:hint="eastAsia" w:cs="宋体"/>
                <w:bCs/>
                <w:sz w:val="21"/>
                <w:szCs w:val="21"/>
                <w:highlight w:val="none"/>
                <w:u w:val="single"/>
              </w:rPr>
              <w:t xml:space="preserve">          </w:t>
            </w:r>
          </w:p>
          <w:p w14:paraId="1A7D9106">
            <w:pPr>
              <w:snapToGrid w:val="0"/>
              <w:spacing w:line="360" w:lineRule="auto"/>
              <w:rPr>
                <w:rFonts w:cs="宋体"/>
                <w:bCs/>
                <w:sz w:val="21"/>
                <w:szCs w:val="21"/>
                <w:highlight w:val="none"/>
              </w:rPr>
            </w:pPr>
            <w:r>
              <w:rPr>
                <w:rFonts w:hint="eastAsia" w:cs="宋体"/>
                <w:bCs/>
                <w:sz w:val="21"/>
                <w:szCs w:val="21"/>
                <w:highlight w:val="none"/>
              </w:rPr>
              <w:t>建造师执业资格等级：</w:t>
            </w:r>
            <w:r>
              <w:rPr>
                <w:rFonts w:hint="eastAsia" w:cs="宋体"/>
                <w:bCs/>
                <w:sz w:val="21"/>
                <w:szCs w:val="21"/>
                <w:highlight w:val="none"/>
                <w:u w:val="single"/>
              </w:rPr>
              <w:t xml:space="preserve">          </w:t>
            </w:r>
          </w:p>
          <w:p w14:paraId="6ACE29E5">
            <w:pPr>
              <w:snapToGrid w:val="0"/>
              <w:spacing w:line="360" w:lineRule="auto"/>
              <w:rPr>
                <w:rFonts w:cs="宋体"/>
                <w:bCs/>
                <w:sz w:val="21"/>
                <w:szCs w:val="21"/>
                <w:highlight w:val="none"/>
              </w:rPr>
            </w:pPr>
            <w:r>
              <w:rPr>
                <w:rFonts w:hint="eastAsia" w:cs="宋体"/>
                <w:bCs/>
                <w:sz w:val="21"/>
                <w:szCs w:val="21"/>
                <w:highlight w:val="none"/>
              </w:rPr>
              <w:t>建造师注册证书号：</w:t>
            </w:r>
            <w:r>
              <w:rPr>
                <w:rFonts w:hint="eastAsia" w:cs="宋体"/>
                <w:bCs/>
                <w:sz w:val="21"/>
                <w:szCs w:val="21"/>
                <w:highlight w:val="none"/>
                <w:u w:val="single"/>
              </w:rPr>
              <w:t xml:space="preserve">            </w:t>
            </w:r>
          </w:p>
          <w:p w14:paraId="3DEA2292">
            <w:pPr>
              <w:snapToGrid w:val="0"/>
              <w:spacing w:line="360" w:lineRule="auto"/>
              <w:rPr>
                <w:rFonts w:cs="宋体"/>
                <w:bCs/>
                <w:sz w:val="21"/>
                <w:szCs w:val="21"/>
                <w:highlight w:val="none"/>
                <w:u w:val="single"/>
              </w:rPr>
            </w:pPr>
            <w:r>
              <w:rPr>
                <w:rFonts w:hint="eastAsia" w:cs="宋体"/>
                <w:bCs/>
                <w:sz w:val="21"/>
                <w:szCs w:val="21"/>
                <w:highlight w:val="none"/>
              </w:rPr>
              <w:t>承包人对项目经理的授权范围如下：</w:t>
            </w:r>
            <w:r>
              <w:rPr>
                <w:rFonts w:hint="eastAsia" w:cs="宋体"/>
                <w:bCs/>
                <w:sz w:val="21"/>
                <w:szCs w:val="21"/>
                <w:highlight w:val="none"/>
                <w:u w:val="single"/>
              </w:rPr>
              <w:t xml:space="preserve">            </w:t>
            </w:r>
          </w:p>
          <w:p w14:paraId="1E3FFC17">
            <w:pPr>
              <w:snapToGrid w:val="0"/>
              <w:spacing w:line="360" w:lineRule="auto"/>
              <w:rPr>
                <w:rFonts w:cs="宋体"/>
                <w:bCs/>
                <w:kern w:val="2"/>
                <w:sz w:val="21"/>
                <w:szCs w:val="21"/>
                <w:highlight w:val="none"/>
              </w:rPr>
            </w:pPr>
            <w:r>
              <w:rPr>
                <w:rFonts w:hint="eastAsia" w:cs="宋体"/>
                <w:bCs/>
                <w:sz w:val="21"/>
                <w:szCs w:val="21"/>
                <w:highlight w:val="none"/>
              </w:rPr>
              <w:t>承包人项目经理每月在施工现场的时间：驻场时间每月不少于</w:t>
            </w:r>
            <w:r>
              <w:rPr>
                <w:rFonts w:hint="eastAsia" w:cs="宋体"/>
                <w:bCs/>
                <w:sz w:val="21"/>
                <w:szCs w:val="21"/>
                <w:highlight w:val="none"/>
                <w:u w:val="single"/>
              </w:rPr>
              <w:t xml:space="preserve">   </w:t>
            </w:r>
            <w:r>
              <w:rPr>
                <w:rFonts w:hint="eastAsia" w:cs="宋体"/>
                <w:bCs/>
                <w:sz w:val="21"/>
                <w:szCs w:val="21"/>
                <w:highlight w:val="none"/>
              </w:rPr>
              <w:t>天，每天在岗工作时间不得少于</w:t>
            </w:r>
            <w:r>
              <w:rPr>
                <w:rFonts w:hint="eastAsia" w:cs="宋体"/>
                <w:bCs/>
                <w:sz w:val="21"/>
                <w:szCs w:val="21"/>
                <w:highlight w:val="none"/>
                <w:u w:val="single"/>
              </w:rPr>
              <w:t xml:space="preserve">    </w:t>
            </w:r>
            <w:r>
              <w:rPr>
                <w:rFonts w:hint="eastAsia" w:cs="宋体"/>
                <w:bCs/>
                <w:sz w:val="21"/>
                <w:szCs w:val="21"/>
                <w:highlight w:val="none"/>
              </w:rPr>
              <w:t>小时。</w:t>
            </w:r>
          </w:p>
        </w:tc>
      </w:tr>
      <w:tr w14:paraId="7030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C062DF9">
            <w:pPr>
              <w:numPr>
                <w:ilvl w:val="0"/>
                <w:numId w:val="8"/>
              </w:numPr>
              <w:snapToGrid w:val="0"/>
              <w:spacing w:line="360" w:lineRule="auto"/>
              <w:jc w:val="center"/>
              <w:rPr>
                <w:rFonts w:cs="宋体"/>
                <w:bCs/>
                <w:kern w:val="2"/>
                <w:sz w:val="21"/>
                <w:szCs w:val="21"/>
                <w:highlight w:val="none"/>
              </w:rPr>
            </w:pPr>
          </w:p>
        </w:tc>
        <w:tc>
          <w:tcPr>
            <w:tcW w:w="1111" w:type="dxa"/>
            <w:vAlign w:val="center"/>
          </w:tcPr>
          <w:p w14:paraId="0C5709A4">
            <w:pPr>
              <w:snapToGrid w:val="0"/>
              <w:spacing w:line="360" w:lineRule="auto"/>
              <w:jc w:val="center"/>
              <w:rPr>
                <w:rFonts w:cs="宋体"/>
                <w:bCs/>
                <w:kern w:val="2"/>
                <w:sz w:val="21"/>
                <w:szCs w:val="21"/>
                <w:highlight w:val="none"/>
              </w:rPr>
            </w:pPr>
            <w:r>
              <w:rPr>
                <w:rFonts w:hint="eastAsia" w:cs="宋体"/>
                <w:bCs/>
                <w:sz w:val="21"/>
                <w:szCs w:val="21"/>
                <w:highlight w:val="none"/>
              </w:rPr>
              <w:t>3.7</w:t>
            </w:r>
          </w:p>
        </w:tc>
        <w:tc>
          <w:tcPr>
            <w:tcW w:w="7304" w:type="dxa"/>
            <w:vAlign w:val="center"/>
          </w:tcPr>
          <w:p w14:paraId="207BFB67">
            <w:pPr>
              <w:snapToGrid w:val="0"/>
              <w:spacing w:line="360" w:lineRule="auto"/>
              <w:rPr>
                <w:rFonts w:cs="宋体"/>
                <w:bCs/>
                <w:sz w:val="21"/>
                <w:szCs w:val="21"/>
                <w:highlight w:val="none"/>
              </w:rPr>
            </w:pPr>
            <w:r>
              <w:rPr>
                <w:rFonts w:hint="eastAsia" w:cs="宋体"/>
                <w:bCs/>
                <w:sz w:val="21"/>
                <w:szCs w:val="21"/>
                <w:highlight w:val="none"/>
              </w:rPr>
              <w:t>承包人是否提供履约保证金：</w:t>
            </w:r>
            <w:r>
              <w:rPr>
                <w:rFonts w:hint="eastAsia" w:cs="宋体"/>
                <w:bCs/>
                <w:sz w:val="21"/>
                <w:szCs w:val="21"/>
                <w:highlight w:val="none"/>
                <w:u w:val="single"/>
              </w:rPr>
              <w:t xml:space="preserve">               </w:t>
            </w:r>
            <w:r>
              <w:rPr>
                <w:rFonts w:hint="eastAsia" w:cs="宋体"/>
                <w:bCs/>
                <w:sz w:val="21"/>
                <w:szCs w:val="21"/>
                <w:highlight w:val="none"/>
              </w:rPr>
              <w:t>。</w:t>
            </w:r>
          </w:p>
          <w:p w14:paraId="73F1FB97">
            <w:pPr>
              <w:snapToGrid w:val="0"/>
              <w:spacing w:line="360" w:lineRule="auto"/>
              <w:rPr>
                <w:rFonts w:cs="宋体"/>
                <w:bCs/>
                <w:sz w:val="21"/>
                <w:szCs w:val="21"/>
                <w:highlight w:val="none"/>
              </w:rPr>
            </w:pPr>
            <w:r>
              <w:rPr>
                <w:rFonts w:hint="eastAsia" w:cs="宋体"/>
                <w:bCs/>
                <w:sz w:val="21"/>
                <w:szCs w:val="21"/>
                <w:highlight w:val="none"/>
              </w:rPr>
              <w:t>承包人提供履约保证金的形式：</w:t>
            </w:r>
            <w:r>
              <w:rPr>
                <w:rFonts w:hint="eastAsia" w:cs="宋体"/>
                <w:bCs/>
                <w:sz w:val="21"/>
                <w:szCs w:val="21"/>
                <w:highlight w:val="none"/>
                <w:u w:val="single"/>
              </w:rPr>
              <w:t xml:space="preserve">               </w:t>
            </w:r>
            <w:r>
              <w:rPr>
                <w:rFonts w:hint="eastAsia" w:cs="宋体"/>
                <w:bCs/>
                <w:sz w:val="21"/>
                <w:szCs w:val="21"/>
                <w:highlight w:val="none"/>
              </w:rPr>
              <w:t>。</w:t>
            </w:r>
          </w:p>
          <w:p w14:paraId="5FE2FCDE">
            <w:pPr>
              <w:snapToGrid w:val="0"/>
              <w:spacing w:line="360" w:lineRule="auto"/>
              <w:rPr>
                <w:rFonts w:cs="宋体"/>
                <w:bCs/>
                <w:sz w:val="21"/>
                <w:szCs w:val="21"/>
                <w:highlight w:val="none"/>
              </w:rPr>
            </w:pPr>
            <w:r>
              <w:rPr>
                <w:rFonts w:hint="eastAsia" w:cs="宋体"/>
                <w:bCs/>
                <w:sz w:val="21"/>
                <w:szCs w:val="21"/>
                <w:highlight w:val="none"/>
              </w:rPr>
              <w:t>履约保证金的金额：中标合同金额的</w:t>
            </w:r>
            <w:r>
              <w:rPr>
                <w:rFonts w:hint="eastAsia" w:cs="宋体"/>
                <w:bCs/>
                <w:sz w:val="21"/>
                <w:szCs w:val="21"/>
                <w:highlight w:val="none"/>
                <w:u w:val="single"/>
              </w:rPr>
              <w:t xml:space="preserve">    </w:t>
            </w:r>
            <w:r>
              <w:rPr>
                <w:rFonts w:hint="eastAsia" w:cs="宋体"/>
                <w:bCs/>
                <w:sz w:val="21"/>
                <w:szCs w:val="21"/>
                <w:highlight w:val="none"/>
              </w:rPr>
              <w:t>%。</w:t>
            </w:r>
          </w:p>
          <w:p w14:paraId="65B708DB">
            <w:pPr>
              <w:snapToGrid w:val="0"/>
              <w:spacing w:line="360" w:lineRule="auto"/>
              <w:rPr>
                <w:rFonts w:cs="宋体"/>
                <w:bCs/>
                <w:sz w:val="21"/>
                <w:szCs w:val="21"/>
                <w:highlight w:val="none"/>
              </w:rPr>
            </w:pPr>
            <w:r>
              <w:rPr>
                <w:rFonts w:hint="eastAsia" w:cs="宋体"/>
                <w:bCs/>
                <w:sz w:val="21"/>
                <w:szCs w:val="21"/>
                <w:highlight w:val="none"/>
              </w:rPr>
              <w:t>履约保证金提交期限的要求：签订合同前。</w:t>
            </w:r>
          </w:p>
          <w:p w14:paraId="2997C709">
            <w:pPr>
              <w:snapToGrid w:val="0"/>
              <w:spacing w:line="360" w:lineRule="auto"/>
              <w:rPr>
                <w:rFonts w:cs="宋体"/>
                <w:bCs/>
                <w:kern w:val="2"/>
                <w:sz w:val="21"/>
                <w:szCs w:val="21"/>
                <w:highlight w:val="none"/>
              </w:rPr>
            </w:pPr>
            <w:r>
              <w:rPr>
                <w:rFonts w:hint="eastAsia" w:cs="宋体"/>
                <w:bCs/>
                <w:sz w:val="21"/>
                <w:szCs w:val="21"/>
                <w:highlight w:val="none"/>
              </w:rPr>
              <w:t>履约保证金退还时限：</w:t>
            </w:r>
            <w:r>
              <w:rPr>
                <w:rFonts w:hint="eastAsia" w:cs="宋体"/>
                <w:bCs/>
                <w:sz w:val="21"/>
                <w:szCs w:val="21"/>
                <w:highlight w:val="none"/>
                <w:u w:val="single"/>
              </w:rPr>
              <w:t xml:space="preserve">          </w:t>
            </w:r>
            <w:r>
              <w:rPr>
                <w:rFonts w:hint="eastAsia" w:cs="宋体"/>
                <w:bCs/>
                <w:sz w:val="21"/>
                <w:szCs w:val="21"/>
                <w:highlight w:val="none"/>
              </w:rPr>
              <w:t>。</w:t>
            </w:r>
          </w:p>
        </w:tc>
      </w:tr>
      <w:tr w14:paraId="3C59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B221B11">
            <w:pPr>
              <w:numPr>
                <w:ilvl w:val="0"/>
                <w:numId w:val="8"/>
              </w:numPr>
              <w:snapToGrid w:val="0"/>
              <w:spacing w:line="360" w:lineRule="auto"/>
              <w:jc w:val="center"/>
              <w:rPr>
                <w:rFonts w:cs="宋体"/>
                <w:bCs/>
                <w:sz w:val="21"/>
                <w:szCs w:val="21"/>
                <w:highlight w:val="none"/>
              </w:rPr>
            </w:pPr>
          </w:p>
        </w:tc>
        <w:tc>
          <w:tcPr>
            <w:tcW w:w="1111" w:type="dxa"/>
            <w:vAlign w:val="center"/>
          </w:tcPr>
          <w:p w14:paraId="691723BF">
            <w:pPr>
              <w:snapToGrid w:val="0"/>
              <w:spacing w:line="360" w:lineRule="auto"/>
              <w:jc w:val="center"/>
              <w:rPr>
                <w:rFonts w:cs="宋体"/>
                <w:bCs/>
                <w:sz w:val="21"/>
                <w:szCs w:val="21"/>
                <w:highlight w:val="none"/>
              </w:rPr>
            </w:pPr>
            <w:r>
              <w:rPr>
                <w:rFonts w:hint="eastAsia" w:cs="宋体"/>
                <w:bCs/>
                <w:sz w:val="21"/>
                <w:szCs w:val="21"/>
                <w:highlight w:val="none"/>
              </w:rPr>
              <w:t>5.1.1</w:t>
            </w:r>
          </w:p>
        </w:tc>
        <w:tc>
          <w:tcPr>
            <w:tcW w:w="7304" w:type="dxa"/>
            <w:vAlign w:val="center"/>
          </w:tcPr>
          <w:p w14:paraId="18BE83C0">
            <w:pPr>
              <w:snapToGrid w:val="0"/>
              <w:spacing w:line="360" w:lineRule="auto"/>
              <w:rPr>
                <w:rFonts w:cs="宋体"/>
                <w:bCs/>
                <w:sz w:val="21"/>
                <w:szCs w:val="21"/>
                <w:highlight w:val="none"/>
              </w:rPr>
            </w:pPr>
            <w:r>
              <w:rPr>
                <w:rFonts w:hint="eastAsia" w:cs="宋体"/>
                <w:bCs/>
                <w:sz w:val="21"/>
                <w:szCs w:val="21"/>
                <w:highlight w:val="none"/>
              </w:rPr>
              <w:t>5.1.1 特殊质量标准和要求：</w:t>
            </w:r>
            <w:r>
              <w:rPr>
                <w:rFonts w:hint="eastAsia" w:cs="宋体"/>
                <w:bCs/>
                <w:sz w:val="21"/>
                <w:szCs w:val="21"/>
                <w:highlight w:val="none"/>
                <w:u w:val="single"/>
              </w:rPr>
              <w:t>/</w:t>
            </w:r>
            <w:r>
              <w:rPr>
                <w:rFonts w:hint="eastAsia" w:cs="宋体"/>
                <w:bCs/>
                <w:sz w:val="21"/>
                <w:szCs w:val="21"/>
                <w:highlight w:val="none"/>
              </w:rPr>
              <w:t>。</w:t>
            </w:r>
          </w:p>
          <w:p w14:paraId="785494A4">
            <w:pPr>
              <w:snapToGrid w:val="0"/>
              <w:spacing w:line="360" w:lineRule="auto"/>
              <w:rPr>
                <w:rFonts w:cs="宋体"/>
                <w:bCs/>
                <w:sz w:val="21"/>
                <w:szCs w:val="21"/>
                <w:highlight w:val="none"/>
              </w:rPr>
            </w:pPr>
            <w:r>
              <w:rPr>
                <w:rFonts w:hint="eastAsia" w:cs="宋体"/>
                <w:bCs/>
                <w:sz w:val="21"/>
                <w:szCs w:val="21"/>
                <w:highlight w:val="none"/>
              </w:rPr>
              <w:t>关于工程奖项的约定：</w:t>
            </w:r>
            <w:r>
              <w:rPr>
                <w:rFonts w:hint="eastAsia" w:cs="宋体"/>
                <w:bCs/>
                <w:sz w:val="21"/>
                <w:szCs w:val="21"/>
                <w:highlight w:val="none"/>
                <w:u w:val="single"/>
              </w:rPr>
              <w:t>/</w:t>
            </w:r>
            <w:r>
              <w:rPr>
                <w:rFonts w:hint="eastAsia" w:cs="宋体"/>
                <w:bCs/>
                <w:sz w:val="21"/>
                <w:szCs w:val="21"/>
                <w:highlight w:val="none"/>
              </w:rPr>
              <w:t>。</w:t>
            </w:r>
          </w:p>
          <w:p w14:paraId="20EDB3FB">
            <w:pPr>
              <w:snapToGrid w:val="0"/>
              <w:spacing w:line="360" w:lineRule="auto"/>
              <w:rPr>
                <w:rFonts w:cs="宋体"/>
                <w:bCs/>
                <w:sz w:val="21"/>
                <w:szCs w:val="21"/>
                <w:highlight w:val="none"/>
              </w:rPr>
            </w:pPr>
            <w:r>
              <w:rPr>
                <w:rFonts w:hint="eastAsia" w:cs="宋体"/>
                <w:bCs/>
                <w:sz w:val="21"/>
                <w:szCs w:val="21"/>
                <w:highlight w:val="none"/>
              </w:rPr>
              <w:t>关于建造要求：</w:t>
            </w:r>
          </w:p>
          <w:p w14:paraId="42A2329C">
            <w:pPr>
              <w:snapToGrid w:val="0"/>
              <w:spacing w:line="360" w:lineRule="auto"/>
              <w:rPr>
                <w:rFonts w:cs="宋体"/>
                <w:bCs/>
                <w:sz w:val="21"/>
                <w:szCs w:val="21"/>
                <w:highlight w:val="none"/>
              </w:rPr>
            </w:pPr>
            <w:r>
              <w:rPr>
                <w:rFonts w:hint="eastAsia" w:cs="宋体"/>
                <w:bCs/>
                <w:sz w:val="21"/>
                <w:szCs w:val="21"/>
                <w:highlight w:val="none"/>
              </w:rPr>
              <w:t>（1）绿色建筑等级要求：</w:t>
            </w:r>
            <w:r>
              <w:rPr>
                <w:rFonts w:hint="eastAsia" w:cs="宋体"/>
                <w:bCs/>
                <w:sz w:val="21"/>
                <w:szCs w:val="21"/>
                <w:highlight w:val="none"/>
                <w:u w:val="single"/>
              </w:rPr>
              <w:t xml:space="preserve">/ </w:t>
            </w:r>
            <w:r>
              <w:rPr>
                <w:rFonts w:hint="eastAsia" w:cs="宋体"/>
                <w:bCs/>
                <w:sz w:val="21"/>
                <w:szCs w:val="21"/>
                <w:highlight w:val="none"/>
              </w:rPr>
              <w:t>；</w:t>
            </w:r>
          </w:p>
          <w:p w14:paraId="35D0A99F">
            <w:pPr>
              <w:snapToGrid w:val="0"/>
              <w:spacing w:line="360" w:lineRule="auto"/>
              <w:rPr>
                <w:rFonts w:cs="宋体"/>
                <w:bCs/>
                <w:sz w:val="21"/>
                <w:szCs w:val="21"/>
                <w:highlight w:val="none"/>
              </w:rPr>
            </w:pPr>
            <w:r>
              <w:rPr>
                <w:rFonts w:hint="eastAsia" w:cs="宋体"/>
                <w:bCs/>
                <w:sz w:val="21"/>
                <w:szCs w:val="21"/>
                <w:highlight w:val="none"/>
              </w:rPr>
              <w:t>（2）智慧工地管理要求：</w:t>
            </w:r>
            <w:r>
              <w:rPr>
                <w:rFonts w:hint="eastAsia" w:cs="宋体"/>
                <w:bCs/>
                <w:sz w:val="21"/>
                <w:szCs w:val="21"/>
                <w:highlight w:val="none"/>
                <w:u w:val="single"/>
              </w:rPr>
              <w:t xml:space="preserve">/ </w:t>
            </w:r>
            <w:r>
              <w:rPr>
                <w:rFonts w:hint="eastAsia" w:cs="宋体"/>
                <w:bCs/>
                <w:sz w:val="21"/>
                <w:szCs w:val="21"/>
                <w:highlight w:val="none"/>
              </w:rPr>
              <w:t>；</w:t>
            </w:r>
          </w:p>
          <w:p w14:paraId="26AA4275">
            <w:pPr>
              <w:snapToGrid w:val="0"/>
              <w:spacing w:line="360" w:lineRule="auto"/>
              <w:rPr>
                <w:rFonts w:cs="宋体"/>
                <w:bCs/>
                <w:sz w:val="21"/>
                <w:szCs w:val="21"/>
                <w:highlight w:val="none"/>
              </w:rPr>
            </w:pPr>
            <w:r>
              <w:rPr>
                <w:rFonts w:hint="eastAsia" w:cs="宋体"/>
                <w:bCs/>
                <w:sz w:val="21"/>
                <w:szCs w:val="21"/>
                <w:highlight w:val="none"/>
              </w:rPr>
              <w:t>（3）建筑垃圾减量化目标：</w:t>
            </w:r>
            <w:r>
              <w:rPr>
                <w:rFonts w:hint="eastAsia" w:cs="宋体"/>
                <w:bCs/>
                <w:sz w:val="21"/>
                <w:szCs w:val="21"/>
                <w:highlight w:val="none"/>
                <w:u w:val="single"/>
              </w:rPr>
              <w:t xml:space="preserve">/ </w:t>
            </w:r>
            <w:r>
              <w:rPr>
                <w:rFonts w:hint="eastAsia" w:cs="宋体"/>
                <w:bCs/>
                <w:sz w:val="21"/>
                <w:szCs w:val="21"/>
                <w:highlight w:val="none"/>
              </w:rPr>
              <w:t>；</w:t>
            </w:r>
          </w:p>
          <w:p w14:paraId="25BFFBD0">
            <w:pPr>
              <w:snapToGrid w:val="0"/>
              <w:spacing w:line="360" w:lineRule="auto"/>
              <w:rPr>
                <w:rFonts w:cs="宋体"/>
                <w:bCs/>
                <w:sz w:val="21"/>
                <w:szCs w:val="21"/>
                <w:highlight w:val="none"/>
              </w:rPr>
            </w:pPr>
            <w:r>
              <w:rPr>
                <w:rFonts w:hint="eastAsia" w:cs="宋体"/>
                <w:bCs/>
                <w:sz w:val="21"/>
                <w:szCs w:val="21"/>
                <w:highlight w:val="none"/>
              </w:rPr>
              <w:t>（4）装配式建筑装配率要求：</w:t>
            </w:r>
            <w:r>
              <w:rPr>
                <w:rFonts w:hint="eastAsia" w:cs="宋体"/>
                <w:bCs/>
                <w:sz w:val="21"/>
                <w:szCs w:val="21"/>
                <w:highlight w:val="none"/>
                <w:u w:val="single"/>
              </w:rPr>
              <w:t xml:space="preserve">/ </w:t>
            </w:r>
            <w:r>
              <w:rPr>
                <w:rFonts w:hint="eastAsia" w:cs="宋体"/>
                <w:bCs/>
                <w:sz w:val="21"/>
                <w:szCs w:val="21"/>
                <w:highlight w:val="none"/>
              </w:rPr>
              <w:t>；</w:t>
            </w:r>
          </w:p>
        </w:tc>
      </w:tr>
      <w:tr w14:paraId="5467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82C1B83">
            <w:pPr>
              <w:numPr>
                <w:ilvl w:val="0"/>
                <w:numId w:val="8"/>
              </w:numPr>
              <w:snapToGrid w:val="0"/>
              <w:spacing w:line="360" w:lineRule="auto"/>
              <w:jc w:val="center"/>
              <w:rPr>
                <w:rFonts w:cs="宋体"/>
                <w:bCs/>
                <w:kern w:val="2"/>
                <w:sz w:val="21"/>
                <w:szCs w:val="21"/>
                <w:highlight w:val="none"/>
              </w:rPr>
            </w:pPr>
          </w:p>
        </w:tc>
        <w:tc>
          <w:tcPr>
            <w:tcW w:w="1111" w:type="dxa"/>
            <w:vAlign w:val="center"/>
          </w:tcPr>
          <w:p w14:paraId="3562855F">
            <w:pPr>
              <w:snapToGrid w:val="0"/>
              <w:spacing w:line="360" w:lineRule="auto"/>
              <w:jc w:val="center"/>
              <w:rPr>
                <w:rFonts w:cs="宋体"/>
                <w:bCs/>
                <w:kern w:val="2"/>
                <w:sz w:val="21"/>
                <w:szCs w:val="21"/>
                <w:highlight w:val="none"/>
              </w:rPr>
            </w:pPr>
            <w:r>
              <w:rPr>
                <w:rFonts w:hint="eastAsia" w:cs="宋体"/>
                <w:bCs/>
                <w:sz w:val="21"/>
                <w:szCs w:val="21"/>
                <w:highlight w:val="none"/>
              </w:rPr>
              <w:t>7.5.2</w:t>
            </w:r>
          </w:p>
        </w:tc>
        <w:tc>
          <w:tcPr>
            <w:tcW w:w="7304" w:type="dxa"/>
            <w:tcBorders>
              <w:bottom w:val="single" w:color="auto" w:sz="4" w:space="0"/>
            </w:tcBorders>
            <w:vAlign w:val="center"/>
          </w:tcPr>
          <w:p w14:paraId="26AFF25D">
            <w:pPr>
              <w:spacing w:line="360" w:lineRule="auto"/>
              <w:rPr>
                <w:rFonts w:cs="宋体"/>
                <w:bCs/>
                <w:color w:val="auto"/>
                <w:sz w:val="21"/>
                <w:szCs w:val="21"/>
                <w:highlight w:val="none"/>
              </w:rPr>
            </w:pPr>
            <w:r>
              <w:rPr>
                <w:rFonts w:hint="eastAsia" w:cs="宋体"/>
                <w:bCs/>
                <w:color w:val="auto"/>
                <w:sz w:val="21"/>
                <w:szCs w:val="21"/>
                <w:highlight w:val="none"/>
              </w:rPr>
              <w:t>因承包人原因造成工期延误，逾期竣工违约金的计算方法为：</w:t>
            </w:r>
            <w:r>
              <w:rPr>
                <w:rFonts w:hint="eastAsia" w:cs="宋体"/>
                <w:bCs/>
                <w:color w:val="auto"/>
                <w:sz w:val="21"/>
                <w:szCs w:val="21"/>
                <w:highlight w:val="none"/>
                <w:u w:val="single"/>
              </w:rPr>
              <w:t xml:space="preserve"> 因承包人原因造成工期延误后，对于工程关键节点工期延误的情况，每延误1天的，承包人应向发包人支付2000元/天的违约金；延误超过5 天的，发包人有权停发当月的工程进度款；延误10天以上的，承包人应在2天内制定出具体可行的自行赶工措施，报发包人和总监理工程师批准。如发包人认为承包人的赶工计划不可行，则发包人有权解除合同，并要求承包人赔偿发包人的实际损失</w:t>
            </w:r>
            <w:r>
              <w:rPr>
                <w:rFonts w:hint="eastAsia" w:cs="宋体"/>
                <w:bCs/>
                <w:color w:val="auto"/>
                <w:sz w:val="21"/>
                <w:szCs w:val="21"/>
                <w:highlight w:val="none"/>
              </w:rPr>
              <w:t>。</w:t>
            </w:r>
          </w:p>
          <w:p w14:paraId="53EE912C">
            <w:pPr>
              <w:snapToGrid w:val="0"/>
              <w:spacing w:line="360" w:lineRule="auto"/>
              <w:rPr>
                <w:rFonts w:cs="宋体"/>
                <w:bCs/>
                <w:kern w:val="2"/>
                <w:sz w:val="21"/>
                <w:szCs w:val="21"/>
                <w:highlight w:val="none"/>
              </w:rPr>
            </w:pPr>
            <w:r>
              <w:rPr>
                <w:rFonts w:hint="eastAsia" w:cs="宋体"/>
                <w:bCs/>
                <w:color w:val="auto"/>
                <w:sz w:val="21"/>
                <w:szCs w:val="21"/>
                <w:highlight w:val="none"/>
              </w:rPr>
              <w:t>因承包人原因造成工期延误，逾期竣工违约金的上限：</w:t>
            </w:r>
            <w:r>
              <w:rPr>
                <w:rFonts w:hint="eastAsia" w:cs="宋体"/>
                <w:bCs/>
                <w:color w:val="auto"/>
                <w:sz w:val="21"/>
                <w:szCs w:val="21"/>
                <w:highlight w:val="none"/>
                <w:u w:val="single"/>
              </w:rPr>
              <w:t xml:space="preserve">违约金最高限额为签约合同价的4% </w:t>
            </w:r>
            <w:r>
              <w:rPr>
                <w:rFonts w:hint="eastAsia" w:cs="宋体"/>
                <w:bCs/>
                <w:color w:val="auto"/>
                <w:sz w:val="21"/>
                <w:szCs w:val="21"/>
                <w:highlight w:val="none"/>
              </w:rPr>
              <w:t>。</w:t>
            </w:r>
          </w:p>
        </w:tc>
      </w:tr>
      <w:tr w14:paraId="4358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F0D556F">
            <w:pPr>
              <w:numPr>
                <w:ilvl w:val="0"/>
                <w:numId w:val="8"/>
              </w:numPr>
              <w:snapToGrid w:val="0"/>
              <w:spacing w:line="360" w:lineRule="auto"/>
              <w:jc w:val="center"/>
              <w:rPr>
                <w:rFonts w:cs="宋体"/>
                <w:bCs/>
                <w:kern w:val="2"/>
                <w:sz w:val="21"/>
                <w:szCs w:val="21"/>
                <w:highlight w:val="none"/>
              </w:rPr>
            </w:pPr>
          </w:p>
        </w:tc>
        <w:tc>
          <w:tcPr>
            <w:tcW w:w="1111" w:type="dxa"/>
            <w:vAlign w:val="center"/>
          </w:tcPr>
          <w:p w14:paraId="78DF4D4E">
            <w:pPr>
              <w:snapToGrid w:val="0"/>
              <w:spacing w:line="360" w:lineRule="auto"/>
              <w:jc w:val="center"/>
              <w:rPr>
                <w:rFonts w:cs="宋体"/>
                <w:bCs/>
                <w:kern w:val="2"/>
                <w:sz w:val="21"/>
                <w:szCs w:val="21"/>
                <w:highlight w:val="none"/>
              </w:rPr>
            </w:pPr>
            <w:r>
              <w:rPr>
                <w:rFonts w:hint="eastAsia" w:cs="宋体"/>
                <w:bCs/>
                <w:sz w:val="21"/>
                <w:szCs w:val="21"/>
                <w:highlight w:val="none"/>
              </w:rPr>
              <w:t>7.9.2</w:t>
            </w:r>
          </w:p>
        </w:tc>
        <w:tc>
          <w:tcPr>
            <w:tcW w:w="7304" w:type="dxa"/>
            <w:tcBorders>
              <w:bottom w:val="single" w:color="auto" w:sz="4" w:space="0"/>
            </w:tcBorders>
            <w:vAlign w:val="center"/>
          </w:tcPr>
          <w:p w14:paraId="4439C932">
            <w:pPr>
              <w:snapToGrid w:val="0"/>
              <w:spacing w:line="360" w:lineRule="auto"/>
              <w:rPr>
                <w:rFonts w:cs="宋体"/>
                <w:bCs/>
                <w:kern w:val="2"/>
                <w:sz w:val="21"/>
                <w:szCs w:val="21"/>
                <w:highlight w:val="none"/>
              </w:rPr>
            </w:pPr>
            <w:r>
              <w:rPr>
                <w:rFonts w:hint="eastAsia" w:cs="宋体"/>
                <w:sz w:val="21"/>
                <w:szCs w:val="21"/>
                <w:highlight w:val="none"/>
              </w:rPr>
              <w:t>提前竣工的奖励：</w:t>
            </w:r>
            <w:r>
              <w:rPr>
                <w:rFonts w:hint="eastAsia" w:cs="宋体"/>
                <w:sz w:val="21"/>
                <w:szCs w:val="21"/>
                <w:highlight w:val="none"/>
                <w:u w:val="single"/>
              </w:rPr>
              <w:t>/</w:t>
            </w:r>
            <w:r>
              <w:rPr>
                <w:rFonts w:hint="eastAsia" w:cs="宋体"/>
                <w:sz w:val="21"/>
                <w:szCs w:val="21"/>
                <w:highlight w:val="none"/>
              </w:rPr>
              <w:t>。</w:t>
            </w:r>
          </w:p>
        </w:tc>
      </w:tr>
      <w:tr w14:paraId="26E4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D97C3AC">
            <w:pPr>
              <w:numPr>
                <w:ilvl w:val="0"/>
                <w:numId w:val="8"/>
              </w:numPr>
              <w:snapToGrid w:val="0"/>
              <w:spacing w:line="360" w:lineRule="auto"/>
              <w:jc w:val="center"/>
              <w:rPr>
                <w:rFonts w:cs="宋体"/>
                <w:bCs/>
                <w:kern w:val="2"/>
                <w:sz w:val="21"/>
                <w:szCs w:val="21"/>
                <w:highlight w:val="none"/>
              </w:rPr>
            </w:pPr>
          </w:p>
        </w:tc>
        <w:tc>
          <w:tcPr>
            <w:tcW w:w="1111" w:type="dxa"/>
            <w:vAlign w:val="center"/>
          </w:tcPr>
          <w:p w14:paraId="2C66745B">
            <w:pPr>
              <w:snapToGrid w:val="0"/>
              <w:spacing w:line="360" w:lineRule="auto"/>
              <w:jc w:val="center"/>
              <w:rPr>
                <w:rFonts w:cs="宋体"/>
                <w:bCs/>
                <w:kern w:val="2"/>
                <w:sz w:val="21"/>
                <w:szCs w:val="21"/>
                <w:highlight w:val="none"/>
              </w:rPr>
            </w:pPr>
            <w:r>
              <w:rPr>
                <w:rFonts w:hint="eastAsia" w:cs="宋体"/>
                <w:bCs/>
                <w:sz w:val="21"/>
                <w:szCs w:val="21"/>
                <w:highlight w:val="none"/>
              </w:rPr>
              <w:t>11.1</w:t>
            </w:r>
          </w:p>
        </w:tc>
        <w:tc>
          <w:tcPr>
            <w:tcW w:w="7304" w:type="dxa"/>
            <w:tcBorders>
              <w:bottom w:val="single" w:color="auto" w:sz="4" w:space="0"/>
            </w:tcBorders>
            <w:vAlign w:val="center"/>
          </w:tcPr>
          <w:p w14:paraId="0A0061CF">
            <w:pPr>
              <w:pStyle w:val="32"/>
              <w:tabs>
                <w:tab w:val="clear" w:pos="4153"/>
                <w:tab w:val="clear" w:pos="8306"/>
              </w:tabs>
              <w:spacing w:line="360" w:lineRule="auto"/>
              <w:rPr>
                <w:rFonts w:cs="宋体"/>
                <w:bCs/>
                <w:kern w:val="2"/>
                <w:sz w:val="21"/>
                <w:szCs w:val="21"/>
                <w:highlight w:val="none"/>
              </w:rPr>
            </w:pPr>
            <w:r>
              <w:rPr>
                <w:rFonts w:hint="eastAsia" w:cs="宋体"/>
                <w:bCs/>
                <w:kern w:val="2"/>
                <w:sz w:val="21"/>
                <w:szCs w:val="21"/>
                <w:highlight w:val="none"/>
              </w:rPr>
              <w:t>市场价格波动是否调整合同价格的约定：</w:t>
            </w:r>
            <w:r>
              <w:rPr>
                <w:rFonts w:hint="eastAsia" w:cs="宋体"/>
                <w:bCs/>
                <w:kern w:val="2"/>
                <w:sz w:val="21"/>
                <w:szCs w:val="21"/>
                <w:highlight w:val="none"/>
                <w:u w:val="single"/>
              </w:rPr>
              <w:t>/</w:t>
            </w:r>
            <w:r>
              <w:rPr>
                <w:rFonts w:hint="eastAsia" w:cs="宋体"/>
                <w:bCs/>
                <w:kern w:val="2"/>
                <w:sz w:val="21"/>
                <w:szCs w:val="21"/>
                <w:highlight w:val="none"/>
              </w:rPr>
              <w:t>。</w:t>
            </w:r>
          </w:p>
        </w:tc>
      </w:tr>
      <w:tr w14:paraId="5F48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FC124C7">
            <w:pPr>
              <w:numPr>
                <w:ilvl w:val="0"/>
                <w:numId w:val="8"/>
              </w:numPr>
              <w:snapToGrid w:val="0"/>
              <w:spacing w:line="360" w:lineRule="auto"/>
              <w:jc w:val="center"/>
              <w:rPr>
                <w:rFonts w:cs="宋体"/>
                <w:bCs/>
                <w:sz w:val="21"/>
                <w:szCs w:val="21"/>
                <w:highlight w:val="none"/>
              </w:rPr>
            </w:pPr>
          </w:p>
        </w:tc>
        <w:tc>
          <w:tcPr>
            <w:tcW w:w="1111" w:type="dxa"/>
            <w:vAlign w:val="center"/>
          </w:tcPr>
          <w:p w14:paraId="6323414C">
            <w:pPr>
              <w:snapToGrid w:val="0"/>
              <w:spacing w:line="360" w:lineRule="auto"/>
              <w:jc w:val="center"/>
              <w:rPr>
                <w:rFonts w:cs="宋体"/>
                <w:bCs/>
                <w:sz w:val="21"/>
                <w:szCs w:val="21"/>
                <w:highlight w:val="none"/>
              </w:rPr>
            </w:pPr>
            <w:r>
              <w:rPr>
                <w:rFonts w:hint="eastAsia" w:cs="宋体"/>
                <w:bCs/>
                <w:sz w:val="21"/>
                <w:szCs w:val="21"/>
                <w:highlight w:val="none"/>
              </w:rPr>
              <w:t>12.1</w:t>
            </w:r>
          </w:p>
        </w:tc>
        <w:tc>
          <w:tcPr>
            <w:tcW w:w="7304" w:type="dxa"/>
            <w:tcBorders>
              <w:bottom w:val="single" w:color="auto" w:sz="4" w:space="0"/>
            </w:tcBorders>
            <w:vAlign w:val="center"/>
          </w:tcPr>
          <w:p w14:paraId="64CA8836">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合同价格形式</w:t>
            </w:r>
          </w:p>
          <w:p w14:paraId="5C557AE4">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(1)单价合同。</w:t>
            </w:r>
          </w:p>
          <w:p w14:paraId="73A9D93E">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综合单价包含的风险范围：</w:t>
            </w:r>
            <w:r>
              <w:rPr>
                <w:rFonts w:hint="eastAsia" w:cs="宋体"/>
                <w:bCs/>
                <w:sz w:val="21"/>
                <w:szCs w:val="21"/>
                <w:highlight w:val="none"/>
                <w:u w:val="single"/>
              </w:rPr>
              <w:t xml:space="preserve">          /                    </w:t>
            </w:r>
            <w:r>
              <w:rPr>
                <w:rFonts w:hint="eastAsia" w:cs="宋体"/>
                <w:bCs/>
                <w:sz w:val="21"/>
                <w:szCs w:val="21"/>
                <w:highlight w:val="none"/>
              </w:rPr>
              <w:t>。</w:t>
            </w:r>
          </w:p>
          <w:p w14:paraId="36FF4060">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风险费用的计算方法：</w:t>
            </w:r>
            <w:r>
              <w:rPr>
                <w:rFonts w:hint="eastAsia" w:cs="宋体"/>
                <w:bCs/>
                <w:sz w:val="21"/>
                <w:szCs w:val="21"/>
                <w:highlight w:val="none"/>
                <w:u w:val="single"/>
              </w:rPr>
              <w:t xml:space="preserve">              /                    </w:t>
            </w:r>
            <w:r>
              <w:rPr>
                <w:rFonts w:hint="eastAsia" w:cs="宋体"/>
                <w:bCs/>
                <w:sz w:val="21"/>
                <w:szCs w:val="21"/>
                <w:highlight w:val="none"/>
              </w:rPr>
              <w:t>。</w:t>
            </w:r>
          </w:p>
          <w:p w14:paraId="2F9B97C0">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风险范围以外合同价格的调整方法：</w:t>
            </w:r>
            <w:r>
              <w:rPr>
                <w:rFonts w:hint="eastAsia" w:cs="宋体"/>
                <w:bCs/>
                <w:sz w:val="21"/>
                <w:szCs w:val="21"/>
                <w:highlight w:val="none"/>
                <w:u w:val="single"/>
              </w:rPr>
              <w:t xml:space="preserve">     /                 </w:t>
            </w:r>
            <w:r>
              <w:rPr>
                <w:rFonts w:hint="eastAsia" w:cs="宋体"/>
                <w:bCs/>
                <w:sz w:val="21"/>
                <w:szCs w:val="21"/>
                <w:highlight w:val="none"/>
              </w:rPr>
              <w:t>。</w:t>
            </w:r>
          </w:p>
          <w:p w14:paraId="2A80D48E">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(2)总价合同。</w:t>
            </w:r>
          </w:p>
          <w:p w14:paraId="25E9C353">
            <w:pPr>
              <w:pStyle w:val="32"/>
              <w:tabs>
                <w:tab w:val="clear" w:pos="4153"/>
                <w:tab w:val="clear" w:pos="8306"/>
              </w:tabs>
              <w:spacing w:line="360" w:lineRule="auto"/>
              <w:rPr>
                <w:rFonts w:hint="eastAsia" w:cs="宋体"/>
                <w:bCs/>
                <w:sz w:val="21"/>
                <w:szCs w:val="21"/>
                <w:highlight w:val="none"/>
              </w:rPr>
            </w:pPr>
            <w:r>
              <w:rPr>
                <w:rFonts w:hint="eastAsia" w:cs="宋体"/>
                <w:bCs/>
                <w:sz w:val="21"/>
                <w:szCs w:val="21"/>
                <w:highlight w:val="none"/>
              </w:rPr>
              <w:t xml:space="preserve">总价包含的风险范围： </w:t>
            </w:r>
            <w:r>
              <w:rPr>
                <w:rFonts w:hint="eastAsia" w:cs="宋体"/>
                <w:bCs/>
                <w:sz w:val="21"/>
                <w:szCs w:val="21"/>
                <w:highlight w:val="none"/>
                <w:lang w:val="en-US" w:eastAsia="zh-CN"/>
              </w:rPr>
              <w:t>①</w:t>
            </w:r>
            <w:r>
              <w:rPr>
                <w:rFonts w:hint="eastAsia" w:cs="宋体"/>
                <w:bCs/>
                <w:sz w:val="21"/>
                <w:szCs w:val="21"/>
                <w:highlight w:val="none"/>
              </w:rPr>
              <w:t>在合同履行期不因劳务、材料、机械、人工等成本的价格变动而作调整（除合同专用条款11.价格调整除外）；</w:t>
            </w:r>
          </w:p>
          <w:p w14:paraId="0FE67F59">
            <w:pPr>
              <w:pStyle w:val="32"/>
              <w:tabs>
                <w:tab w:val="clear" w:pos="4153"/>
                <w:tab w:val="clear" w:pos="8306"/>
              </w:tabs>
              <w:spacing w:line="360" w:lineRule="auto"/>
              <w:rPr>
                <w:rFonts w:hint="eastAsia" w:cs="宋体"/>
                <w:bCs/>
                <w:sz w:val="21"/>
                <w:szCs w:val="21"/>
                <w:highlight w:val="none"/>
              </w:rPr>
            </w:pPr>
            <w:r>
              <w:rPr>
                <w:rFonts w:hint="eastAsia" w:cs="宋体"/>
                <w:bCs/>
                <w:sz w:val="21"/>
                <w:szCs w:val="21"/>
                <w:highlight w:val="none"/>
                <w:lang w:val="en-US" w:eastAsia="zh-CN"/>
              </w:rPr>
              <w:t>②</w:t>
            </w:r>
            <w:r>
              <w:rPr>
                <w:rFonts w:hint="eastAsia" w:cs="宋体"/>
                <w:bCs/>
                <w:sz w:val="21"/>
                <w:szCs w:val="21"/>
                <w:highlight w:val="none"/>
              </w:rPr>
              <w:t>施工机械使用费涨跌的风险；</w:t>
            </w:r>
          </w:p>
          <w:p w14:paraId="06F0E2C2">
            <w:pPr>
              <w:pStyle w:val="32"/>
              <w:tabs>
                <w:tab w:val="clear" w:pos="4153"/>
                <w:tab w:val="clear" w:pos="8306"/>
              </w:tabs>
              <w:spacing w:line="360" w:lineRule="auto"/>
              <w:rPr>
                <w:rFonts w:hint="eastAsia" w:cs="宋体"/>
                <w:bCs/>
                <w:sz w:val="21"/>
                <w:szCs w:val="21"/>
                <w:highlight w:val="none"/>
              </w:rPr>
            </w:pPr>
            <w:r>
              <w:rPr>
                <w:rFonts w:hint="eastAsia" w:cs="宋体"/>
                <w:bCs/>
                <w:sz w:val="21"/>
                <w:szCs w:val="21"/>
                <w:highlight w:val="none"/>
                <w:lang w:val="en-US" w:eastAsia="zh-CN"/>
              </w:rPr>
              <w:t>③</w:t>
            </w:r>
            <w:r>
              <w:rPr>
                <w:rFonts w:hint="eastAsia" w:cs="宋体"/>
                <w:bCs/>
                <w:sz w:val="21"/>
                <w:szCs w:val="21"/>
                <w:highlight w:val="none"/>
              </w:rPr>
              <w:t>材料和设备价格的涨跌（除合同专用条款11.价格调整除外）；；</w:t>
            </w:r>
          </w:p>
          <w:p w14:paraId="77B82B1F">
            <w:pPr>
              <w:pStyle w:val="32"/>
              <w:tabs>
                <w:tab w:val="clear" w:pos="4153"/>
                <w:tab w:val="clear" w:pos="8306"/>
              </w:tabs>
              <w:spacing w:line="360" w:lineRule="auto"/>
              <w:rPr>
                <w:rFonts w:hint="eastAsia" w:cs="宋体"/>
                <w:bCs/>
                <w:sz w:val="21"/>
                <w:szCs w:val="21"/>
                <w:highlight w:val="none"/>
              </w:rPr>
            </w:pPr>
            <w:r>
              <w:rPr>
                <w:rFonts w:hint="eastAsia" w:cs="宋体"/>
                <w:bCs/>
                <w:sz w:val="21"/>
                <w:szCs w:val="21"/>
                <w:highlight w:val="none"/>
                <w:lang w:val="en-US" w:eastAsia="zh-CN"/>
              </w:rPr>
              <w:t>④</w:t>
            </w:r>
            <w:r>
              <w:rPr>
                <w:rFonts w:hint="eastAsia" w:cs="宋体"/>
                <w:bCs/>
                <w:sz w:val="21"/>
                <w:szCs w:val="21"/>
                <w:highlight w:val="none"/>
              </w:rPr>
              <w:t>因天气、地形、地质等自然条件的变化，采取的临时措施；</w:t>
            </w:r>
          </w:p>
          <w:p w14:paraId="0EA802DF">
            <w:pPr>
              <w:pStyle w:val="32"/>
              <w:tabs>
                <w:tab w:val="clear" w:pos="4153"/>
                <w:tab w:val="clear" w:pos="8306"/>
              </w:tabs>
              <w:spacing w:line="360" w:lineRule="auto"/>
              <w:rPr>
                <w:rFonts w:hint="eastAsia" w:cs="宋体"/>
                <w:bCs/>
                <w:sz w:val="21"/>
                <w:szCs w:val="21"/>
                <w:highlight w:val="none"/>
              </w:rPr>
            </w:pPr>
            <w:r>
              <w:rPr>
                <w:rFonts w:hint="eastAsia" w:cs="宋体"/>
                <w:bCs/>
                <w:sz w:val="21"/>
                <w:szCs w:val="21"/>
                <w:highlight w:val="none"/>
                <w:lang w:val="en-US" w:eastAsia="zh-CN"/>
              </w:rPr>
              <w:t>⑤</w:t>
            </w:r>
            <w:r>
              <w:rPr>
                <w:rFonts w:hint="eastAsia" w:cs="宋体"/>
                <w:bCs/>
                <w:sz w:val="21"/>
                <w:szCs w:val="21"/>
                <w:highlight w:val="none"/>
              </w:rPr>
              <w:t>特殊措施及可调因素以外的其他因素；</w:t>
            </w:r>
          </w:p>
          <w:p w14:paraId="1DE46D65">
            <w:pPr>
              <w:pStyle w:val="32"/>
              <w:tabs>
                <w:tab w:val="clear" w:pos="4153"/>
                <w:tab w:val="clear" w:pos="8306"/>
              </w:tabs>
              <w:spacing w:line="360" w:lineRule="auto"/>
              <w:rPr>
                <w:rFonts w:hint="eastAsia" w:cs="宋体"/>
                <w:bCs/>
                <w:sz w:val="21"/>
                <w:szCs w:val="21"/>
                <w:highlight w:val="none"/>
                <w:lang w:eastAsia="zh-CN"/>
              </w:rPr>
            </w:pPr>
            <w:r>
              <w:rPr>
                <w:rFonts w:hint="eastAsia" w:cs="宋体"/>
                <w:bCs/>
                <w:sz w:val="21"/>
                <w:szCs w:val="21"/>
                <w:highlight w:val="none"/>
                <w:lang w:val="en-US" w:eastAsia="zh-CN"/>
              </w:rPr>
              <w:t>⑥采购</w:t>
            </w:r>
            <w:r>
              <w:rPr>
                <w:rFonts w:hint="eastAsia" w:cs="宋体"/>
                <w:bCs/>
                <w:sz w:val="21"/>
                <w:szCs w:val="21"/>
                <w:highlight w:val="none"/>
              </w:rPr>
              <w:t xml:space="preserve">文件规定的其他风险 </w:t>
            </w:r>
            <w:r>
              <w:rPr>
                <w:rFonts w:hint="eastAsia" w:cs="宋体"/>
                <w:bCs/>
                <w:sz w:val="21"/>
                <w:szCs w:val="21"/>
                <w:highlight w:val="none"/>
                <w:lang w:eastAsia="zh-CN"/>
              </w:rPr>
              <w:t>。</w:t>
            </w:r>
          </w:p>
          <w:p w14:paraId="1F78CF9D">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 xml:space="preserve">风险费用的计算方法： </w:t>
            </w:r>
            <w:r>
              <w:rPr>
                <w:rFonts w:hint="eastAsia" w:cs="宋体"/>
                <w:bCs/>
                <w:sz w:val="21"/>
                <w:szCs w:val="21"/>
                <w:highlight w:val="none"/>
                <w:lang w:val="en-US" w:eastAsia="zh-CN"/>
              </w:rPr>
              <w:t>供应商</w:t>
            </w:r>
            <w:r>
              <w:rPr>
                <w:rFonts w:hint="eastAsia" w:cs="宋体"/>
                <w:bCs/>
                <w:sz w:val="21"/>
                <w:szCs w:val="21"/>
                <w:highlight w:val="none"/>
              </w:rPr>
              <w:t>在</w:t>
            </w:r>
            <w:r>
              <w:rPr>
                <w:rFonts w:hint="eastAsia" w:cs="宋体"/>
                <w:bCs/>
                <w:sz w:val="21"/>
                <w:szCs w:val="21"/>
                <w:highlight w:val="none"/>
                <w:lang w:val="en-US" w:eastAsia="zh-CN"/>
              </w:rPr>
              <w:t>响应</w:t>
            </w:r>
            <w:r>
              <w:rPr>
                <w:rFonts w:hint="eastAsia" w:cs="宋体"/>
                <w:bCs/>
                <w:sz w:val="21"/>
                <w:szCs w:val="21"/>
                <w:highlight w:val="none"/>
              </w:rPr>
              <w:t>报价时已经考虑，不再另行计取  。</w:t>
            </w:r>
          </w:p>
          <w:p w14:paraId="206D5CE2">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风险范围以外合同价格的调整方法： 合同专用条款11.价格调整； 税金按国家规定政策进行调整 。</w:t>
            </w:r>
          </w:p>
          <w:p w14:paraId="7B98483C">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（3）其他价格方式：</w:t>
            </w:r>
            <w:r>
              <w:rPr>
                <w:rFonts w:hint="eastAsia" w:cs="宋体"/>
                <w:bCs/>
                <w:sz w:val="21"/>
                <w:szCs w:val="21"/>
                <w:highlight w:val="none"/>
                <w:u w:val="single"/>
              </w:rPr>
              <w:t>/</w:t>
            </w:r>
            <w:r>
              <w:rPr>
                <w:rFonts w:hint="eastAsia" w:cs="宋体"/>
                <w:bCs/>
                <w:sz w:val="21"/>
                <w:szCs w:val="21"/>
                <w:highlight w:val="none"/>
              </w:rPr>
              <w:t>。</w:t>
            </w:r>
          </w:p>
        </w:tc>
      </w:tr>
      <w:tr w14:paraId="5DA8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AC88C08">
            <w:pPr>
              <w:numPr>
                <w:ilvl w:val="0"/>
                <w:numId w:val="8"/>
              </w:numPr>
              <w:snapToGrid w:val="0"/>
              <w:spacing w:line="360" w:lineRule="auto"/>
              <w:jc w:val="center"/>
              <w:rPr>
                <w:rFonts w:cs="宋体"/>
                <w:bCs/>
                <w:kern w:val="2"/>
                <w:sz w:val="21"/>
                <w:szCs w:val="21"/>
                <w:highlight w:val="none"/>
              </w:rPr>
            </w:pPr>
          </w:p>
        </w:tc>
        <w:tc>
          <w:tcPr>
            <w:tcW w:w="1111" w:type="dxa"/>
            <w:vAlign w:val="center"/>
          </w:tcPr>
          <w:p w14:paraId="711C47D0">
            <w:pPr>
              <w:snapToGrid w:val="0"/>
              <w:spacing w:line="360" w:lineRule="auto"/>
              <w:jc w:val="center"/>
              <w:rPr>
                <w:rFonts w:cs="宋体"/>
                <w:bCs/>
                <w:kern w:val="2"/>
                <w:sz w:val="21"/>
                <w:szCs w:val="21"/>
                <w:highlight w:val="none"/>
              </w:rPr>
            </w:pPr>
            <w:r>
              <w:rPr>
                <w:rFonts w:hint="eastAsia" w:cs="宋体"/>
                <w:bCs/>
                <w:sz w:val="21"/>
                <w:szCs w:val="21"/>
                <w:highlight w:val="none"/>
              </w:rPr>
              <w:t xml:space="preserve">12.2.1 </w:t>
            </w:r>
          </w:p>
        </w:tc>
        <w:tc>
          <w:tcPr>
            <w:tcW w:w="7304" w:type="dxa"/>
            <w:tcBorders>
              <w:bottom w:val="single" w:color="auto" w:sz="4" w:space="0"/>
            </w:tcBorders>
            <w:vAlign w:val="center"/>
          </w:tcPr>
          <w:p w14:paraId="580BFB59">
            <w:pPr>
              <w:adjustRightInd w:val="0"/>
              <w:snapToGrid w:val="0"/>
              <w:spacing w:line="360" w:lineRule="auto"/>
              <w:rPr>
                <w:rFonts w:cs="宋体"/>
                <w:bCs/>
                <w:sz w:val="21"/>
                <w:szCs w:val="21"/>
                <w:highlight w:val="none"/>
              </w:rPr>
            </w:pPr>
            <w:r>
              <w:rPr>
                <w:rFonts w:hint="eastAsia" w:cs="宋体"/>
                <w:bCs/>
                <w:sz w:val="21"/>
                <w:szCs w:val="21"/>
                <w:highlight w:val="none"/>
              </w:rPr>
              <w:t>预付款的支付</w:t>
            </w:r>
          </w:p>
          <w:p w14:paraId="75255FB4">
            <w:pPr>
              <w:adjustRightInd w:val="0"/>
              <w:snapToGrid w:val="0"/>
              <w:spacing w:line="360" w:lineRule="auto"/>
              <w:rPr>
                <w:rFonts w:cs="宋体"/>
                <w:bCs/>
                <w:sz w:val="21"/>
                <w:szCs w:val="21"/>
                <w:highlight w:val="none"/>
              </w:rPr>
            </w:pPr>
            <w:r>
              <w:rPr>
                <w:rFonts w:hint="eastAsia" w:cs="宋体"/>
                <w:bCs/>
                <w:sz w:val="21"/>
                <w:szCs w:val="21"/>
                <w:highlight w:val="none"/>
              </w:rPr>
              <w:t>预付款支付比例或金额：</w:t>
            </w:r>
            <w:r>
              <w:rPr>
                <w:rFonts w:hint="eastAsia" w:cs="宋体"/>
                <w:bCs/>
                <w:sz w:val="21"/>
                <w:szCs w:val="21"/>
                <w:highlight w:val="none"/>
                <w:u w:val="single"/>
              </w:rPr>
              <w:t>/</w:t>
            </w:r>
          </w:p>
          <w:p w14:paraId="146A634F">
            <w:pPr>
              <w:adjustRightInd w:val="0"/>
              <w:snapToGrid w:val="0"/>
              <w:spacing w:line="360" w:lineRule="auto"/>
              <w:rPr>
                <w:rFonts w:cs="宋体"/>
                <w:bCs/>
                <w:sz w:val="21"/>
                <w:szCs w:val="21"/>
                <w:highlight w:val="none"/>
              </w:rPr>
            </w:pPr>
            <w:r>
              <w:rPr>
                <w:rFonts w:hint="eastAsia" w:cs="宋体"/>
                <w:bCs/>
                <w:sz w:val="21"/>
                <w:szCs w:val="21"/>
                <w:highlight w:val="none"/>
              </w:rPr>
              <w:t>预付款支付期限：</w:t>
            </w:r>
            <w:r>
              <w:rPr>
                <w:rFonts w:hint="eastAsia" w:cs="宋体"/>
                <w:bCs/>
                <w:sz w:val="21"/>
                <w:szCs w:val="21"/>
                <w:highlight w:val="none"/>
                <w:u w:val="single"/>
              </w:rPr>
              <w:t>/</w:t>
            </w:r>
          </w:p>
          <w:p w14:paraId="3131997F">
            <w:pPr>
              <w:adjustRightInd w:val="0"/>
              <w:snapToGrid w:val="0"/>
              <w:spacing w:line="360" w:lineRule="auto"/>
              <w:rPr>
                <w:rFonts w:cs="宋体"/>
                <w:bCs/>
                <w:kern w:val="2"/>
                <w:sz w:val="21"/>
                <w:szCs w:val="21"/>
                <w:highlight w:val="none"/>
              </w:rPr>
            </w:pPr>
            <w:r>
              <w:rPr>
                <w:rFonts w:hint="eastAsia" w:cs="宋体"/>
                <w:bCs/>
                <w:sz w:val="21"/>
                <w:szCs w:val="21"/>
                <w:highlight w:val="none"/>
              </w:rPr>
              <w:t>预付款扣回的方式：</w:t>
            </w:r>
            <w:r>
              <w:rPr>
                <w:rFonts w:hint="eastAsia" w:cs="宋体"/>
                <w:bCs/>
                <w:sz w:val="21"/>
                <w:szCs w:val="21"/>
                <w:highlight w:val="none"/>
                <w:u w:val="single"/>
              </w:rPr>
              <w:t>/</w:t>
            </w:r>
          </w:p>
        </w:tc>
      </w:tr>
      <w:tr w14:paraId="215F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419DD98D">
            <w:pPr>
              <w:numPr>
                <w:ilvl w:val="0"/>
                <w:numId w:val="8"/>
              </w:numPr>
              <w:snapToGrid w:val="0"/>
              <w:spacing w:line="360" w:lineRule="auto"/>
              <w:jc w:val="center"/>
              <w:rPr>
                <w:rFonts w:cs="宋体"/>
                <w:bCs/>
                <w:kern w:val="2"/>
                <w:sz w:val="21"/>
                <w:szCs w:val="21"/>
                <w:highlight w:val="none"/>
              </w:rPr>
            </w:pPr>
          </w:p>
        </w:tc>
        <w:tc>
          <w:tcPr>
            <w:tcW w:w="1111" w:type="dxa"/>
            <w:vAlign w:val="center"/>
          </w:tcPr>
          <w:p w14:paraId="19CEACB1">
            <w:pPr>
              <w:snapToGrid w:val="0"/>
              <w:spacing w:line="360" w:lineRule="auto"/>
              <w:jc w:val="center"/>
              <w:rPr>
                <w:rFonts w:cs="宋体"/>
                <w:bCs/>
                <w:kern w:val="2"/>
                <w:sz w:val="21"/>
                <w:szCs w:val="21"/>
                <w:highlight w:val="none"/>
              </w:rPr>
            </w:pPr>
            <w:r>
              <w:rPr>
                <w:rFonts w:hint="eastAsia" w:cs="宋体"/>
                <w:bCs/>
                <w:sz w:val="21"/>
                <w:szCs w:val="21"/>
                <w:highlight w:val="none"/>
              </w:rPr>
              <w:t>12.2.2</w:t>
            </w:r>
          </w:p>
        </w:tc>
        <w:tc>
          <w:tcPr>
            <w:tcW w:w="7304" w:type="dxa"/>
            <w:tcBorders>
              <w:bottom w:val="single" w:color="auto" w:sz="4" w:space="0"/>
            </w:tcBorders>
            <w:vAlign w:val="center"/>
          </w:tcPr>
          <w:p w14:paraId="2BF18517">
            <w:pPr>
              <w:adjustRightInd w:val="0"/>
              <w:snapToGrid w:val="0"/>
              <w:spacing w:line="360" w:lineRule="auto"/>
              <w:rPr>
                <w:rFonts w:cs="宋体"/>
                <w:bCs/>
                <w:sz w:val="21"/>
                <w:szCs w:val="21"/>
                <w:highlight w:val="none"/>
              </w:rPr>
            </w:pPr>
            <w:r>
              <w:rPr>
                <w:rFonts w:hint="eastAsia" w:cs="宋体"/>
                <w:bCs/>
                <w:sz w:val="21"/>
                <w:szCs w:val="21"/>
                <w:highlight w:val="none"/>
              </w:rPr>
              <w:t>预付款担保</w:t>
            </w:r>
          </w:p>
          <w:p w14:paraId="0DE13C3D">
            <w:pPr>
              <w:adjustRightInd w:val="0"/>
              <w:snapToGrid w:val="0"/>
              <w:spacing w:line="360" w:lineRule="auto"/>
              <w:rPr>
                <w:rFonts w:cs="宋体"/>
                <w:bCs/>
                <w:sz w:val="21"/>
                <w:szCs w:val="21"/>
                <w:highlight w:val="none"/>
              </w:rPr>
            </w:pPr>
            <w:r>
              <w:rPr>
                <w:rFonts w:hint="eastAsia" w:cs="宋体"/>
                <w:bCs/>
                <w:sz w:val="21"/>
                <w:szCs w:val="21"/>
                <w:highlight w:val="none"/>
              </w:rPr>
              <w:t>承包人提交预付款担保的期限：</w:t>
            </w:r>
            <w:r>
              <w:rPr>
                <w:rFonts w:hint="eastAsia" w:cs="宋体"/>
                <w:bCs/>
                <w:sz w:val="21"/>
                <w:szCs w:val="21"/>
                <w:highlight w:val="none"/>
                <w:u w:val="single"/>
              </w:rPr>
              <w:t>/</w:t>
            </w:r>
          </w:p>
          <w:p w14:paraId="4B7A7B60">
            <w:pPr>
              <w:adjustRightInd w:val="0"/>
              <w:snapToGrid w:val="0"/>
              <w:spacing w:line="360" w:lineRule="auto"/>
              <w:rPr>
                <w:rFonts w:cs="宋体"/>
                <w:bCs/>
                <w:kern w:val="2"/>
                <w:sz w:val="21"/>
                <w:szCs w:val="21"/>
                <w:highlight w:val="none"/>
              </w:rPr>
            </w:pPr>
            <w:r>
              <w:rPr>
                <w:rFonts w:hint="eastAsia" w:cs="宋体"/>
                <w:bCs/>
                <w:sz w:val="21"/>
                <w:szCs w:val="21"/>
                <w:highlight w:val="none"/>
              </w:rPr>
              <w:t>预付款担保的形式为：</w:t>
            </w:r>
            <w:r>
              <w:rPr>
                <w:rFonts w:hint="eastAsia" w:cs="宋体"/>
                <w:bCs/>
                <w:sz w:val="21"/>
                <w:szCs w:val="21"/>
                <w:highlight w:val="none"/>
                <w:u w:val="single"/>
              </w:rPr>
              <w:t>/</w:t>
            </w:r>
          </w:p>
        </w:tc>
      </w:tr>
      <w:tr w14:paraId="1F16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AC3415B">
            <w:pPr>
              <w:numPr>
                <w:ilvl w:val="0"/>
                <w:numId w:val="8"/>
              </w:numPr>
              <w:snapToGrid w:val="0"/>
              <w:spacing w:line="360" w:lineRule="auto"/>
              <w:jc w:val="center"/>
              <w:rPr>
                <w:rFonts w:cs="宋体"/>
                <w:bCs/>
                <w:kern w:val="2"/>
                <w:sz w:val="21"/>
                <w:szCs w:val="21"/>
                <w:highlight w:val="none"/>
              </w:rPr>
            </w:pPr>
          </w:p>
        </w:tc>
        <w:tc>
          <w:tcPr>
            <w:tcW w:w="1111" w:type="dxa"/>
            <w:vAlign w:val="center"/>
          </w:tcPr>
          <w:p w14:paraId="6324B732">
            <w:pPr>
              <w:snapToGrid w:val="0"/>
              <w:spacing w:line="360" w:lineRule="auto"/>
              <w:jc w:val="center"/>
              <w:rPr>
                <w:rFonts w:cs="宋体"/>
                <w:bCs/>
                <w:sz w:val="21"/>
                <w:szCs w:val="21"/>
                <w:highlight w:val="none"/>
              </w:rPr>
            </w:pPr>
            <w:r>
              <w:rPr>
                <w:rFonts w:hint="eastAsia" w:cs="宋体"/>
                <w:bCs/>
                <w:sz w:val="21"/>
                <w:szCs w:val="21"/>
                <w:highlight w:val="none"/>
              </w:rPr>
              <w:t>12.4.1</w:t>
            </w:r>
          </w:p>
        </w:tc>
        <w:tc>
          <w:tcPr>
            <w:tcW w:w="7304" w:type="dxa"/>
            <w:tcBorders>
              <w:bottom w:val="single" w:color="auto" w:sz="4" w:space="0"/>
            </w:tcBorders>
            <w:vAlign w:val="center"/>
          </w:tcPr>
          <w:p w14:paraId="5079D821">
            <w:pPr>
              <w:adjustRightInd w:val="0"/>
              <w:snapToGrid w:val="0"/>
              <w:spacing w:line="360" w:lineRule="auto"/>
              <w:rPr>
                <w:rFonts w:cs="宋体"/>
                <w:bCs/>
                <w:sz w:val="21"/>
                <w:szCs w:val="21"/>
                <w:highlight w:val="none"/>
              </w:rPr>
            </w:pPr>
            <w:r>
              <w:rPr>
                <w:rFonts w:hint="eastAsia" w:cs="宋体"/>
                <w:bCs/>
                <w:sz w:val="21"/>
                <w:szCs w:val="21"/>
                <w:highlight w:val="none"/>
              </w:rPr>
              <w:t>付款周期</w:t>
            </w:r>
          </w:p>
          <w:p w14:paraId="5098C159">
            <w:pPr>
              <w:adjustRightInd w:val="0"/>
              <w:snapToGrid w:val="0"/>
              <w:spacing w:line="360" w:lineRule="auto"/>
              <w:rPr>
                <w:rFonts w:cs="宋体"/>
                <w:bCs/>
                <w:sz w:val="21"/>
                <w:szCs w:val="21"/>
                <w:highlight w:val="none"/>
              </w:rPr>
            </w:pPr>
            <w:r>
              <w:rPr>
                <w:rFonts w:hint="eastAsia" w:cs="宋体"/>
                <w:bCs/>
                <w:sz w:val="21"/>
                <w:szCs w:val="21"/>
                <w:highlight w:val="none"/>
              </w:rPr>
              <w:t>关于付款周期的约定：拆除工程完成</w:t>
            </w:r>
            <w:r>
              <w:rPr>
                <w:rFonts w:hint="eastAsia" w:cs="宋体"/>
                <w:bCs/>
                <w:sz w:val="21"/>
                <w:szCs w:val="21"/>
                <w:highlight w:val="none"/>
                <w:lang w:val="en-US" w:eastAsia="zh-CN"/>
              </w:rPr>
              <w:t>后付至合同价的</w:t>
            </w:r>
            <w:r>
              <w:rPr>
                <w:rFonts w:hint="eastAsia" w:cs="宋体"/>
                <w:bCs/>
                <w:sz w:val="21"/>
                <w:szCs w:val="21"/>
                <w:highlight w:val="none"/>
              </w:rPr>
              <w:t>10%，</w:t>
            </w:r>
            <w:r>
              <w:rPr>
                <w:rFonts w:hint="eastAsia" w:cs="宋体"/>
                <w:bCs/>
                <w:sz w:val="21"/>
                <w:szCs w:val="21"/>
                <w:highlight w:val="none"/>
                <w:lang w:val="en-US" w:eastAsia="zh-CN"/>
              </w:rPr>
              <w:t>工程竣工验收合格后付至合同价的85</w:t>
            </w:r>
            <w:r>
              <w:rPr>
                <w:rFonts w:hint="eastAsia" w:cs="宋体"/>
                <w:bCs/>
                <w:sz w:val="21"/>
                <w:szCs w:val="21"/>
                <w:highlight w:val="none"/>
              </w:rPr>
              <w:t>%，结算审核完成后付款至100%，施工方需按照3%的结算审核款交至学校作为质保金，待</w:t>
            </w:r>
            <w:r>
              <w:rPr>
                <w:rFonts w:hint="eastAsia" w:cs="宋体"/>
                <w:bCs/>
                <w:sz w:val="21"/>
                <w:szCs w:val="21"/>
                <w:highlight w:val="none"/>
                <w:lang w:val="en-US" w:eastAsia="zh-CN"/>
              </w:rPr>
              <w:t>缺陷责任期满</w:t>
            </w:r>
            <w:r>
              <w:rPr>
                <w:rFonts w:hint="eastAsia" w:cs="宋体"/>
                <w:bCs/>
                <w:sz w:val="21"/>
                <w:szCs w:val="21"/>
                <w:highlight w:val="none"/>
              </w:rPr>
              <w:t>完成后退还。</w:t>
            </w:r>
          </w:p>
        </w:tc>
      </w:tr>
      <w:tr w14:paraId="1482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675016F">
            <w:pPr>
              <w:numPr>
                <w:ilvl w:val="0"/>
                <w:numId w:val="8"/>
              </w:numPr>
              <w:snapToGrid w:val="0"/>
              <w:spacing w:line="360" w:lineRule="auto"/>
              <w:jc w:val="center"/>
              <w:rPr>
                <w:rFonts w:cs="宋体"/>
                <w:bCs/>
                <w:kern w:val="2"/>
                <w:sz w:val="21"/>
                <w:szCs w:val="21"/>
                <w:highlight w:val="none"/>
              </w:rPr>
            </w:pPr>
          </w:p>
        </w:tc>
        <w:tc>
          <w:tcPr>
            <w:tcW w:w="1111" w:type="dxa"/>
            <w:vAlign w:val="center"/>
          </w:tcPr>
          <w:p w14:paraId="7091A9E1">
            <w:pPr>
              <w:snapToGrid w:val="0"/>
              <w:spacing w:line="360" w:lineRule="auto"/>
              <w:jc w:val="center"/>
              <w:rPr>
                <w:rFonts w:cs="宋体"/>
                <w:bCs/>
                <w:kern w:val="2"/>
                <w:sz w:val="21"/>
                <w:szCs w:val="21"/>
                <w:highlight w:val="none"/>
              </w:rPr>
            </w:pPr>
            <w:r>
              <w:rPr>
                <w:rFonts w:hint="eastAsia" w:cs="宋体"/>
                <w:bCs/>
                <w:sz w:val="21"/>
                <w:szCs w:val="21"/>
                <w:highlight w:val="none"/>
              </w:rPr>
              <w:t>15.2.1</w:t>
            </w:r>
          </w:p>
        </w:tc>
        <w:tc>
          <w:tcPr>
            <w:tcW w:w="7304" w:type="dxa"/>
            <w:vAlign w:val="center"/>
          </w:tcPr>
          <w:p w14:paraId="55FB211F">
            <w:pPr>
              <w:snapToGrid w:val="0"/>
              <w:spacing w:line="360" w:lineRule="auto"/>
              <w:rPr>
                <w:rFonts w:cs="宋体"/>
                <w:bCs/>
                <w:kern w:val="2"/>
                <w:sz w:val="21"/>
                <w:szCs w:val="21"/>
                <w:highlight w:val="none"/>
              </w:rPr>
            </w:pPr>
            <w:r>
              <w:rPr>
                <w:rFonts w:hint="eastAsia" w:cs="宋体"/>
                <w:sz w:val="21"/>
                <w:szCs w:val="21"/>
                <w:highlight w:val="none"/>
              </w:rPr>
              <w:t>缺陷责任期的具体期限：</w:t>
            </w:r>
            <w:r>
              <w:rPr>
                <w:rFonts w:hint="eastAsia" w:cs="宋体"/>
                <w:sz w:val="21"/>
                <w:szCs w:val="21"/>
                <w:highlight w:val="none"/>
                <w:u w:val="single"/>
              </w:rPr>
              <w:t>24个月</w:t>
            </w:r>
            <w:r>
              <w:rPr>
                <w:rFonts w:hint="eastAsia" w:cs="宋体"/>
                <w:sz w:val="21"/>
                <w:szCs w:val="21"/>
                <w:highlight w:val="none"/>
              </w:rPr>
              <w:t>。</w:t>
            </w:r>
          </w:p>
        </w:tc>
      </w:tr>
      <w:tr w14:paraId="5B3B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310446C">
            <w:pPr>
              <w:numPr>
                <w:ilvl w:val="0"/>
                <w:numId w:val="8"/>
              </w:numPr>
              <w:snapToGrid w:val="0"/>
              <w:spacing w:line="360" w:lineRule="auto"/>
              <w:jc w:val="center"/>
              <w:rPr>
                <w:rFonts w:cs="宋体"/>
                <w:bCs/>
                <w:kern w:val="2"/>
                <w:sz w:val="21"/>
                <w:szCs w:val="21"/>
                <w:highlight w:val="none"/>
              </w:rPr>
            </w:pPr>
          </w:p>
        </w:tc>
        <w:tc>
          <w:tcPr>
            <w:tcW w:w="1111" w:type="dxa"/>
            <w:vAlign w:val="center"/>
          </w:tcPr>
          <w:p w14:paraId="587A9C16">
            <w:pPr>
              <w:snapToGrid w:val="0"/>
              <w:spacing w:line="360" w:lineRule="auto"/>
              <w:jc w:val="center"/>
              <w:rPr>
                <w:rFonts w:cs="宋体"/>
                <w:bCs/>
                <w:kern w:val="2"/>
                <w:sz w:val="21"/>
                <w:szCs w:val="21"/>
                <w:highlight w:val="none"/>
              </w:rPr>
            </w:pPr>
            <w:r>
              <w:rPr>
                <w:rFonts w:hint="eastAsia" w:cs="宋体"/>
                <w:bCs/>
                <w:sz w:val="21"/>
                <w:szCs w:val="21"/>
                <w:highlight w:val="none"/>
              </w:rPr>
              <w:t>15.3.1</w:t>
            </w:r>
          </w:p>
        </w:tc>
        <w:tc>
          <w:tcPr>
            <w:tcW w:w="7304" w:type="dxa"/>
            <w:vAlign w:val="center"/>
          </w:tcPr>
          <w:p w14:paraId="672EA338">
            <w:pPr>
              <w:adjustRightInd w:val="0"/>
              <w:snapToGrid w:val="0"/>
              <w:spacing w:line="360" w:lineRule="auto"/>
              <w:rPr>
                <w:rFonts w:cs="宋体"/>
                <w:sz w:val="21"/>
                <w:szCs w:val="21"/>
                <w:highlight w:val="none"/>
              </w:rPr>
            </w:pPr>
            <w:r>
              <w:rPr>
                <w:rFonts w:hint="eastAsia" w:cs="宋体"/>
                <w:sz w:val="21"/>
                <w:szCs w:val="21"/>
                <w:highlight w:val="none"/>
              </w:rPr>
              <w:t>质量保证金可采用以下任意一种方式：</w:t>
            </w:r>
          </w:p>
          <w:p w14:paraId="50643E41">
            <w:pPr>
              <w:adjustRightInd w:val="0"/>
              <w:snapToGrid w:val="0"/>
              <w:spacing w:line="360" w:lineRule="auto"/>
              <w:rPr>
                <w:rFonts w:cs="宋体"/>
                <w:sz w:val="21"/>
                <w:szCs w:val="21"/>
                <w:highlight w:val="none"/>
              </w:rPr>
            </w:pPr>
            <w:r>
              <w:rPr>
                <w:rFonts w:hint="eastAsia" w:cs="宋体"/>
                <w:sz w:val="21"/>
                <w:szCs w:val="21"/>
                <w:highlight w:val="none"/>
              </w:rPr>
              <w:t>（1）由银行业金融机构、工程担保公司、保险机构出具银行保函、工程质量保险等担保方式，担保/保证金额为：</w:t>
            </w:r>
            <w:r>
              <w:rPr>
                <w:rFonts w:hint="eastAsia" w:cs="宋体"/>
                <w:sz w:val="21"/>
                <w:szCs w:val="21"/>
                <w:highlight w:val="none"/>
                <w:u w:val="single"/>
              </w:rPr>
              <w:t>竣工结算审核价格的3%；</w:t>
            </w:r>
          </w:p>
          <w:p w14:paraId="577EBEC2">
            <w:pPr>
              <w:pStyle w:val="4"/>
              <w:snapToGrid w:val="0"/>
              <w:spacing w:line="360" w:lineRule="auto"/>
              <w:rPr>
                <w:rFonts w:cs="宋体"/>
                <w:bCs w:val="0"/>
                <w:kern w:val="2"/>
                <w:sz w:val="21"/>
                <w:szCs w:val="21"/>
                <w:highlight w:val="none"/>
              </w:rPr>
            </w:pPr>
            <w:r>
              <w:rPr>
                <w:rFonts w:hint="eastAsia" w:cs="宋体"/>
                <w:bCs w:val="0"/>
                <w:sz w:val="21"/>
                <w:szCs w:val="21"/>
                <w:highlight w:val="none"/>
              </w:rPr>
              <w:t>注：以现金形式提交质量保证金的（含从工程款中以扣留方式提交的），同时退还银行同期活期存款利息。</w:t>
            </w:r>
          </w:p>
        </w:tc>
      </w:tr>
    </w:tbl>
    <w:p w14:paraId="76C2A658">
      <w:pPr>
        <w:snapToGrid w:val="0"/>
        <w:spacing w:before="312" w:beforeLines="100" w:after="312" w:afterLines="100" w:line="360" w:lineRule="auto"/>
        <w:outlineLvl w:val="2"/>
        <w:rPr>
          <w:rFonts w:cs="宋体"/>
          <w:sz w:val="21"/>
          <w:szCs w:val="21"/>
          <w:highlight w:val="none"/>
        </w:rPr>
      </w:pPr>
      <w:r>
        <w:rPr>
          <w:rFonts w:hint="eastAsia" w:cs="宋体"/>
          <w:sz w:val="21"/>
          <w:szCs w:val="21"/>
          <w:highlight w:val="none"/>
        </w:rPr>
        <w:br w:type="page"/>
      </w:r>
      <w:r>
        <w:rPr>
          <w:rFonts w:hint="eastAsia" w:cs="宋体"/>
          <w:sz w:val="21"/>
          <w:szCs w:val="21"/>
          <w:highlight w:val="none"/>
        </w:rPr>
        <w:t>1</w:t>
      </w:r>
      <w:bookmarkStart w:id="62" w:name="_Toc296944495"/>
      <w:bookmarkStart w:id="63" w:name="_Toc296890984"/>
      <w:bookmarkStart w:id="64" w:name="_Toc297120456"/>
      <w:bookmarkStart w:id="65" w:name="_Toc292559361"/>
      <w:bookmarkStart w:id="66" w:name="_Toc292559866"/>
      <w:bookmarkStart w:id="67" w:name="_Toc296503156"/>
      <w:bookmarkStart w:id="68" w:name="_Toc296346657"/>
      <w:bookmarkStart w:id="69" w:name="_Toc296891196"/>
      <w:bookmarkStart w:id="70" w:name="_Toc297048342"/>
      <w:bookmarkStart w:id="71" w:name="_Toc296347155"/>
      <w:r>
        <w:rPr>
          <w:rFonts w:hint="eastAsia" w:cs="宋体"/>
          <w:sz w:val="21"/>
          <w:szCs w:val="21"/>
          <w:highlight w:val="none"/>
        </w:rPr>
        <w:t>. 一般约定</w:t>
      </w:r>
    </w:p>
    <w:bookmarkEnd w:id="62"/>
    <w:bookmarkEnd w:id="63"/>
    <w:bookmarkEnd w:id="64"/>
    <w:bookmarkEnd w:id="65"/>
    <w:bookmarkEnd w:id="66"/>
    <w:bookmarkEnd w:id="67"/>
    <w:bookmarkEnd w:id="68"/>
    <w:bookmarkEnd w:id="69"/>
    <w:bookmarkEnd w:id="70"/>
    <w:bookmarkEnd w:id="71"/>
    <w:p w14:paraId="04F00011">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1.1 词语定义与解释</w:t>
      </w:r>
    </w:p>
    <w:p w14:paraId="3A8397E9">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1.1.1 合同</w:t>
      </w:r>
    </w:p>
    <w:p w14:paraId="201C4F8F">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1.1.1.10 其他合同文件包括：合同履行过程中双方就有关工程洽商、变更达成的书面协议</w:t>
      </w:r>
      <w:r>
        <w:rPr>
          <w:rFonts w:hint="eastAsia" w:cs="宋体"/>
          <w:sz w:val="21"/>
          <w:szCs w:val="21"/>
          <w:highlight w:val="none"/>
          <w:lang w:eastAsia="zh-CN"/>
        </w:rPr>
        <w:t>。</w:t>
      </w:r>
      <w:r>
        <w:rPr>
          <w:rFonts w:hint="eastAsia" w:cs="宋体"/>
          <w:sz w:val="21"/>
          <w:szCs w:val="21"/>
          <w:highlight w:val="none"/>
          <w:u w:val="single"/>
        </w:rPr>
        <w:t></w:t>
      </w:r>
    </w:p>
    <w:p w14:paraId="51179AD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1.1.2 合同当事人及其他相关方</w:t>
      </w:r>
    </w:p>
    <w:p w14:paraId="4FCB2A5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1.1.2.4 监理人：</w:t>
      </w:r>
    </w:p>
    <w:p w14:paraId="65DF747A">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名    称：</w:t>
      </w:r>
      <w:r>
        <w:rPr>
          <w:rFonts w:hint="eastAsia" w:cs="宋体"/>
          <w:sz w:val="21"/>
          <w:szCs w:val="21"/>
          <w:highlight w:val="none"/>
          <w:u w:val="single"/>
        </w:rPr>
        <w:t xml:space="preserve">                 </w:t>
      </w:r>
      <w:r>
        <w:rPr>
          <w:rFonts w:hint="eastAsia" w:cs="宋体"/>
          <w:sz w:val="21"/>
          <w:szCs w:val="21"/>
          <w:highlight w:val="none"/>
        </w:rPr>
        <w:t>；</w:t>
      </w:r>
    </w:p>
    <w:p w14:paraId="442E5EDD">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资质类别和等级：</w:t>
      </w:r>
      <w:r>
        <w:rPr>
          <w:rFonts w:hint="eastAsia" w:cs="宋体"/>
          <w:sz w:val="21"/>
          <w:szCs w:val="21"/>
          <w:highlight w:val="none"/>
          <w:u w:val="single"/>
        </w:rPr>
        <w:t xml:space="preserve">                 </w:t>
      </w:r>
      <w:r>
        <w:rPr>
          <w:rFonts w:hint="eastAsia" w:cs="宋体"/>
          <w:sz w:val="21"/>
          <w:szCs w:val="21"/>
          <w:highlight w:val="none"/>
        </w:rPr>
        <w:t>；</w:t>
      </w:r>
    </w:p>
    <w:p w14:paraId="550B09C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联系电话：</w:t>
      </w:r>
      <w:r>
        <w:rPr>
          <w:rFonts w:hint="eastAsia" w:cs="宋体"/>
          <w:sz w:val="21"/>
          <w:szCs w:val="21"/>
          <w:highlight w:val="none"/>
          <w:u w:val="single"/>
        </w:rPr>
        <w:t xml:space="preserve">                 </w:t>
      </w:r>
      <w:r>
        <w:rPr>
          <w:rFonts w:hint="eastAsia" w:cs="宋体"/>
          <w:sz w:val="21"/>
          <w:szCs w:val="21"/>
          <w:highlight w:val="none"/>
        </w:rPr>
        <w:t>；</w:t>
      </w:r>
    </w:p>
    <w:p w14:paraId="306D29B3">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电子信箱：</w:t>
      </w:r>
      <w:r>
        <w:rPr>
          <w:rFonts w:hint="eastAsia" w:cs="宋体"/>
          <w:sz w:val="21"/>
          <w:szCs w:val="21"/>
          <w:highlight w:val="none"/>
          <w:u w:val="single"/>
        </w:rPr>
        <w:t xml:space="preserve">                 </w:t>
      </w:r>
      <w:r>
        <w:rPr>
          <w:rFonts w:hint="eastAsia" w:cs="宋体"/>
          <w:sz w:val="21"/>
          <w:szCs w:val="21"/>
          <w:highlight w:val="none"/>
        </w:rPr>
        <w:t>；</w:t>
      </w:r>
    </w:p>
    <w:p w14:paraId="4A79C28C">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通信地址：</w:t>
      </w:r>
      <w:r>
        <w:rPr>
          <w:rFonts w:hint="eastAsia" w:cs="宋体"/>
          <w:sz w:val="21"/>
          <w:szCs w:val="21"/>
          <w:highlight w:val="none"/>
          <w:u w:val="single"/>
        </w:rPr>
        <w:t xml:space="preserve">                 </w:t>
      </w:r>
      <w:r>
        <w:rPr>
          <w:rFonts w:hint="eastAsia" w:cs="宋体"/>
          <w:sz w:val="21"/>
          <w:szCs w:val="21"/>
          <w:highlight w:val="none"/>
        </w:rPr>
        <w:t>。</w:t>
      </w:r>
    </w:p>
    <w:p w14:paraId="3FA1DA6B">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1.1.2.5 设计人：</w:t>
      </w:r>
    </w:p>
    <w:p w14:paraId="63570B6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名    称：</w:t>
      </w:r>
      <w:r>
        <w:rPr>
          <w:rFonts w:hint="eastAsia" w:cs="宋体"/>
          <w:sz w:val="21"/>
          <w:szCs w:val="21"/>
          <w:highlight w:val="none"/>
          <w:u w:val="single"/>
        </w:rPr>
        <w:t xml:space="preserve">                 </w:t>
      </w:r>
      <w:r>
        <w:rPr>
          <w:rFonts w:hint="eastAsia" w:cs="宋体"/>
          <w:sz w:val="21"/>
          <w:szCs w:val="21"/>
          <w:highlight w:val="none"/>
        </w:rPr>
        <w:t>；</w:t>
      </w:r>
    </w:p>
    <w:p w14:paraId="7098E5F5">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资质类别和等级：</w:t>
      </w:r>
      <w:r>
        <w:rPr>
          <w:rFonts w:hint="eastAsia" w:cs="宋体"/>
          <w:sz w:val="21"/>
          <w:szCs w:val="21"/>
          <w:highlight w:val="none"/>
          <w:u w:val="single"/>
        </w:rPr>
        <w:t xml:space="preserve">                 </w:t>
      </w:r>
      <w:r>
        <w:rPr>
          <w:rFonts w:hint="eastAsia" w:cs="宋体"/>
          <w:sz w:val="21"/>
          <w:szCs w:val="21"/>
          <w:highlight w:val="none"/>
        </w:rPr>
        <w:t>；</w:t>
      </w:r>
    </w:p>
    <w:p w14:paraId="3582CD3B">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联系电话：</w:t>
      </w:r>
      <w:r>
        <w:rPr>
          <w:rFonts w:hint="eastAsia" w:cs="宋体"/>
          <w:sz w:val="21"/>
          <w:szCs w:val="21"/>
          <w:highlight w:val="none"/>
          <w:u w:val="single"/>
        </w:rPr>
        <w:t xml:space="preserve">                 </w:t>
      </w:r>
      <w:r>
        <w:rPr>
          <w:rFonts w:hint="eastAsia" w:cs="宋体"/>
          <w:sz w:val="21"/>
          <w:szCs w:val="21"/>
          <w:highlight w:val="none"/>
        </w:rPr>
        <w:t>；</w:t>
      </w:r>
    </w:p>
    <w:p w14:paraId="798731D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电子信箱：</w:t>
      </w:r>
      <w:r>
        <w:rPr>
          <w:rFonts w:hint="eastAsia" w:cs="宋体"/>
          <w:sz w:val="21"/>
          <w:szCs w:val="21"/>
          <w:highlight w:val="none"/>
          <w:u w:val="single"/>
        </w:rPr>
        <w:t xml:space="preserve">                 </w:t>
      </w:r>
      <w:r>
        <w:rPr>
          <w:rFonts w:hint="eastAsia" w:cs="宋体"/>
          <w:sz w:val="21"/>
          <w:szCs w:val="21"/>
          <w:highlight w:val="none"/>
        </w:rPr>
        <w:t>；</w:t>
      </w:r>
    </w:p>
    <w:p w14:paraId="3A90790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通信地址：</w:t>
      </w:r>
      <w:r>
        <w:rPr>
          <w:rFonts w:hint="eastAsia" w:cs="宋体"/>
          <w:sz w:val="21"/>
          <w:szCs w:val="21"/>
          <w:highlight w:val="none"/>
          <w:u w:val="single"/>
        </w:rPr>
        <w:t xml:space="preserve">                 </w:t>
      </w:r>
      <w:r>
        <w:rPr>
          <w:rFonts w:hint="eastAsia" w:cs="宋体"/>
          <w:sz w:val="21"/>
          <w:szCs w:val="21"/>
          <w:highlight w:val="none"/>
        </w:rPr>
        <w:t>。</w:t>
      </w:r>
    </w:p>
    <w:p w14:paraId="7385868D">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1.1.3 工程和设备</w:t>
      </w:r>
    </w:p>
    <w:p w14:paraId="280C231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1.1.3.7 作为施工现场组成部分的其他场所包括：</w:t>
      </w:r>
      <w:r>
        <w:rPr>
          <w:rFonts w:hint="eastAsia" w:cs="宋体"/>
          <w:sz w:val="21"/>
          <w:szCs w:val="21"/>
          <w:highlight w:val="none"/>
          <w:u w:val="single"/>
        </w:rPr>
        <w:t xml:space="preserve">                 </w:t>
      </w:r>
      <w:r>
        <w:rPr>
          <w:rFonts w:hint="eastAsia" w:cs="宋体"/>
          <w:sz w:val="21"/>
          <w:szCs w:val="21"/>
          <w:highlight w:val="none"/>
        </w:rPr>
        <w:t>。</w:t>
      </w:r>
    </w:p>
    <w:p w14:paraId="69192E95">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1.1.3.9 永久占地包括：</w:t>
      </w:r>
      <w:r>
        <w:rPr>
          <w:rFonts w:hint="eastAsia" w:cs="宋体"/>
          <w:sz w:val="21"/>
          <w:szCs w:val="21"/>
          <w:highlight w:val="none"/>
          <w:u w:val="single"/>
        </w:rPr>
        <w:t xml:space="preserve">                 </w:t>
      </w:r>
      <w:r>
        <w:rPr>
          <w:rFonts w:hint="eastAsia" w:cs="宋体"/>
          <w:sz w:val="21"/>
          <w:szCs w:val="21"/>
          <w:highlight w:val="none"/>
        </w:rPr>
        <w:t>。</w:t>
      </w:r>
    </w:p>
    <w:p w14:paraId="371B763C">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1.1.3.10 临时占地包括：</w:t>
      </w:r>
      <w:r>
        <w:rPr>
          <w:rFonts w:hint="eastAsia" w:cs="宋体"/>
          <w:sz w:val="21"/>
          <w:szCs w:val="21"/>
          <w:highlight w:val="none"/>
          <w:u w:val="single"/>
        </w:rPr>
        <w:t xml:space="preserve">                 </w:t>
      </w:r>
      <w:r>
        <w:rPr>
          <w:rFonts w:hint="eastAsia" w:cs="宋体"/>
          <w:sz w:val="21"/>
          <w:szCs w:val="21"/>
          <w:highlight w:val="none"/>
        </w:rPr>
        <w:t>。</w:t>
      </w:r>
    </w:p>
    <w:p w14:paraId="4CE64720">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 xml:space="preserve">1.3 法律 </w:t>
      </w:r>
    </w:p>
    <w:p w14:paraId="4E6E5900">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适用于合同的其他规范性文件：</w:t>
      </w:r>
      <w:r>
        <w:rPr>
          <w:rFonts w:hint="eastAsia" w:cs="宋体"/>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sz w:val="21"/>
          <w:szCs w:val="21"/>
          <w:highlight w:val="none"/>
        </w:rPr>
        <w:t>。</w:t>
      </w:r>
    </w:p>
    <w:p w14:paraId="6B2BC711">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1.4 标准和规范</w:t>
      </w:r>
    </w:p>
    <w:p w14:paraId="1257020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 xml:space="preserve">1.4.1 适用于工程的标准规范包括：执行通用条款 </w:t>
      </w:r>
      <w:r>
        <w:rPr>
          <w:rFonts w:hint="eastAsia" w:cs="宋体"/>
          <w:sz w:val="21"/>
          <w:szCs w:val="21"/>
          <w:highlight w:val="none"/>
          <w:lang w:eastAsia="zh-CN"/>
        </w:rPr>
        <w:t>。</w:t>
      </w:r>
    </w:p>
    <w:p w14:paraId="4719B0AB">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1.4.2 发包人提供国外标准、规范的名称：</w:t>
      </w:r>
      <w:r>
        <w:rPr>
          <w:rFonts w:hint="eastAsia" w:cs="宋体"/>
          <w:sz w:val="21"/>
          <w:szCs w:val="21"/>
          <w:highlight w:val="none"/>
          <w:u w:val="single"/>
        </w:rPr>
        <w:t xml:space="preserve">     </w:t>
      </w:r>
      <w:r>
        <w:rPr>
          <w:rFonts w:hint="eastAsia" w:cs="宋体"/>
          <w:sz w:val="21"/>
          <w:szCs w:val="21"/>
          <w:highlight w:val="none"/>
          <w:u w:val="single"/>
          <w:lang w:val="en-US" w:eastAsia="zh-CN"/>
        </w:rPr>
        <w:t>/</w:t>
      </w:r>
      <w:r>
        <w:rPr>
          <w:rFonts w:hint="eastAsia" w:cs="宋体"/>
          <w:sz w:val="21"/>
          <w:szCs w:val="21"/>
          <w:highlight w:val="none"/>
          <w:u w:val="single"/>
        </w:rPr>
        <w:t xml:space="preserve">            </w:t>
      </w:r>
      <w:r>
        <w:rPr>
          <w:rFonts w:hint="eastAsia" w:cs="宋体"/>
          <w:sz w:val="21"/>
          <w:szCs w:val="21"/>
          <w:highlight w:val="none"/>
        </w:rPr>
        <w:t>；</w:t>
      </w:r>
    </w:p>
    <w:p w14:paraId="618C7887">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发包人提供国外标准、规范的份数：</w:t>
      </w:r>
      <w:r>
        <w:rPr>
          <w:rFonts w:hint="eastAsia" w:cs="宋体"/>
          <w:sz w:val="21"/>
          <w:szCs w:val="21"/>
          <w:highlight w:val="none"/>
          <w:u w:val="single"/>
        </w:rPr>
        <w:t xml:space="preserve">          </w:t>
      </w:r>
      <w:r>
        <w:rPr>
          <w:rFonts w:hint="eastAsia" w:cs="宋体"/>
          <w:sz w:val="21"/>
          <w:szCs w:val="21"/>
          <w:highlight w:val="none"/>
          <w:u w:val="single"/>
          <w:lang w:val="en-US" w:eastAsia="zh-CN"/>
        </w:rPr>
        <w:t>/</w:t>
      </w:r>
      <w:r>
        <w:rPr>
          <w:rFonts w:hint="eastAsia" w:cs="宋体"/>
          <w:sz w:val="21"/>
          <w:szCs w:val="21"/>
          <w:highlight w:val="none"/>
          <w:u w:val="single"/>
        </w:rPr>
        <w:t xml:space="preserve">            </w:t>
      </w:r>
      <w:r>
        <w:rPr>
          <w:rFonts w:hint="eastAsia" w:cs="宋体"/>
          <w:sz w:val="21"/>
          <w:szCs w:val="21"/>
          <w:highlight w:val="none"/>
        </w:rPr>
        <w:t>；</w:t>
      </w:r>
    </w:p>
    <w:p w14:paraId="0A53CF2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发包人提供国外标准、规范的时间：</w:t>
      </w:r>
      <w:r>
        <w:rPr>
          <w:rFonts w:hint="eastAsia" w:cs="宋体"/>
          <w:sz w:val="21"/>
          <w:szCs w:val="21"/>
          <w:highlight w:val="none"/>
          <w:u w:val="single"/>
        </w:rPr>
        <w:t xml:space="preserve">         </w:t>
      </w:r>
      <w:r>
        <w:rPr>
          <w:rFonts w:hint="eastAsia" w:cs="宋体"/>
          <w:sz w:val="21"/>
          <w:szCs w:val="21"/>
          <w:highlight w:val="none"/>
          <w:u w:val="single"/>
          <w:lang w:val="en-US" w:eastAsia="zh-CN"/>
        </w:rPr>
        <w:t>/</w:t>
      </w:r>
      <w:r>
        <w:rPr>
          <w:rFonts w:hint="eastAsia" w:cs="宋体"/>
          <w:sz w:val="21"/>
          <w:szCs w:val="21"/>
          <w:highlight w:val="none"/>
          <w:u w:val="single"/>
        </w:rPr>
        <w:t xml:space="preserve">             </w:t>
      </w:r>
      <w:r>
        <w:rPr>
          <w:rFonts w:hint="eastAsia" w:cs="宋体"/>
          <w:sz w:val="21"/>
          <w:szCs w:val="21"/>
          <w:highlight w:val="none"/>
        </w:rPr>
        <w:t>。</w:t>
      </w:r>
    </w:p>
    <w:p w14:paraId="293E31D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1.4.3 发包人对工程的技术标准和功能要求的特殊要求：</w:t>
      </w:r>
      <w:r>
        <w:rPr>
          <w:rFonts w:hint="eastAsia" w:cs="宋体"/>
          <w:sz w:val="21"/>
          <w:szCs w:val="21"/>
          <w:highlight w:val="none"/>
          <w:u w:val="single"/>
        </w:rPr>
        <w:t xml:space="preserve">          </w:t>
      </w:r>
      <w:r>
        <w:rPr>
          <w:rFonts w:hint="eastAsia" w:cs="宋体"/>
          <w:sz w:val="21"/>
          <w:szCs w:val="21"/>
          <w:highlight w:val="none"/>
        </w:rPr>
        <w:t>。</w:t>
      </w:r>
    </w:p>
    <w:p w14:paraId="2E7C2CFF">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1.5 合同文件的优先顺序</w:t>
      </w:r>
    </w:p>
    <w:p w14:paraId="63BE1AFA">
      <w:pPr>
        <w:spacing w:line="360" w:lineRule="auto"/>
        <w:ind w:firstLine="420"/>
        <w:jc w:val="left"/>
        <w:rPr>
          <w:rFonts w:hint="eastAsia" w:cs="宋体"/>
          <w:color w:val="auto"/>
          <w:sz w:val="21"/>
          <w:szCs w:val="21"/>
          <w:highlight w:val="none"/>
        </w:rPr>
      </w:pPr>
      <w:r>
        <w:rPr>
          <w:rFonts w:hint="eastAsia" w:cs="宋体"/>
          <w:sz w:val="21"/>
          <w:szCs w:val="21"/>
          <w:highlight w:val="none"/>
        </w:rPr>
        <w:t>合同文件组成及优先顺序为：</w:t>
      </w:r>
    </w:p>
    <w:p w14:paraId="766E81F4">
      <w:pPr>
        <w:spacing w:line="360" w:lineRule="auto"/>
        <w:ind w:firstLine="420"/>
        <w:jc w:val="left"/>
        <w:rPr>
          <w:rFonts w:ascii="宋体" w:hAnsi="宋体" w:eastAsia="宋体" w:cs="Calibri"/>
          <w:color w:val="auto"/>
          <w:sz w:val="21"/>
          <w:szCs w:val="21"/>
          <w:highlight w:val="none"/>
        </w:rPr>
      </w:pPr>
      <w:r>
        <w:rPr>
          <w:rFonts w:ascii="宋体" w:hAnsi="宋体" w:eastAsia="宋体" w:cs="Calibri"/>
          <w:color w:val="auto"/>
          <w:sz w:val="21"/>
          <w:szCs w:val="21"/>
          <w:highlight w:val="none"/>
        </w:rPr>
        <w:t>（1）合同协议书；</w:t>
      </w:r>
    </w:p>
    <w:p w14:paraId="3613F427">
      <w:pPr>
        <w:spacing w:line="360" w:lineRule="auto"/>
        <w:ind w:firstLine="420"/>
        <w:jc w:val="left"/>
        <w:rPr>
          <w:rFonts w:ascii="宋体" w:hAnsi="宋体" w:eastAsia="宋体" w:cs="Calibri"/>
          <w:color w:val="auto"/>
          <w:sz w:val="21"/>
          <w:szCs w:val="21"/>
          <w:highlight w:val="none"/>
        </w:rPr>
      </w:pPr>
      <w:r>
        <w:rPr>
          <w:rFonts w:ascii="宋体" w:hAnsi="宋体" w:eastAsia="宋体" w:cs="Calibri"/>
          <w:color w:val="auto"/>
          <w:sz w:val="21"/>
          <w:szCs w:val="21"/>
          <w:highlight w:val="none"/>
        </w:rPr>
        <w:t>（2）</w:t>
      </w:r>
      <w:r>
        <w:rPr>
          <w:rFonts w:hint="eastAsia" w:ascii="宋体" w:hAnsi="宋体" w:eastAsia="宋体" w:cs="Calibri"/>
          <w:color w:val="auto"/>
          <w:sz w:val="21"/>
          <w:szCs w:val="21"/>
          <w:highlight w:val="none"/>
          <w:lang w:val="en-US" w:eastAsia="zh-CN"/>
        </w:rPr>
        <w:t>成交</w:t>
      </w:r>
      <w:r>
        <w:rPr>
          <w:rFonts w:ascii="宋体" w:hAnsi="宋体" w:eastAsia="宋体" w:cs="Calibri"/>
          <w:color w:val="auto"/>
          <w:sz w:val="21"/>
          <w:szCs w:val="21"/>
          <w:highlight w:val="none"/>
        </w:rPr>
        <w:t>通知书（如果有）；</w:t>
      </w:r>
    </w:p>
    <w:p w14:paraId="2CF7FADF">
      <w:pPr>
        <w:spacing w:line="360" w:lineRule="auto"/>
        <w:ind w:firstLine="420"/>
        <w:jc w:val="left"/>
        <w:rPr>
          <w:rFonts w:ascii="宋体" w:hAnsi="宋体" w:eastAsia="宋体" w:cs="Calibri"/>
          <w:color w:val="auto"/>
          <w:sz w:val="21"/>
          <w:szCs w:val="21"/>
          <w:highlight w:val="none"/>
        </w:rPr>
      </w:pPr>
      <w:r>
        <w:rPr>
          <w:rFonts w:ascii="宋体" w:hAnsi="宋体" w:eastAsia="宋体" w:cs="Calibri"/>
          <w:color w:val="auto"/>
          <w:sz w:val="21"/>
          <w:szCs w:val="21"/>
          <w:highlight w:val="none"/>
        </w:rPr>
        <w:t>（3）</w:t>
      </w:r>
      <w:r>
        <w:rPr>
          <w:rFonts w:hint="eastAsia" w:ascii="宋体" w:hAnsi="宋体" w:eastAsia="宋体" w:cs="Calibri"/>
          <w:color w:val="auto"/>
          <w:sz w:val="21"/>
          <w:szCs w:val="21"/>
          <w:highlight w:val="none"/>
          <w:lang w:val="en-US" w:eastAsia="zh-CN"/>
        </w:rPr>
        <w:t>响应</w:t>
      </w:r>
      <w:r>
        <w:rPr>
          <w:rFonts w:ascii="宋体" w:hAnsi="宋体" w:eastAsia="宋体" w:cs="Calibri"/>
          <w:color w:val="auto"/>
          <w:sz w:val="21"/>
          <w:szCs w:val="21"/>
          <w:highlight w:val="none"/>
        </w:rPr>
        <w:t>函及其附录（如果有）；</w:t>
      </w:r>
    </w:p>
    <w:p w14:paraId="2AD0106F">
      <w:pPr>
        <w:spacing w:line="360" w:lineRule="auto"/>
        <w:ind w:firstLine="420"/>
        <w:jc w:val="left"/>
        <w:rPr>
          <w:rFonts w:ascii="宋体" w:hAnsi="宋体" w:eastAsia="宋体" w:cs="Calibri"/>
          <w:color w:val="auto"/>
          <w:sz w:val="21"/>
          <w:szCs w:val="21"/>
          <w:highlight w:val="none"/>
        </w:rPr>
      </w:pPr>
      <w:r>
        <w:rPr>
          <w:rFonts w:ascii="宋体" w:hAnsi="宋体" w:eastAsia="宋体" w:cs="Calibri"/>
          <w:color w:val="auto"/>
          <w:sz w:val="21"/>
          <w:szCs w:val="21"/>
          <w:highlight w:val="none"/>
        </w:rPr>
        <w:t>（4）专用合同条款及其附件；</w:t>
      </w:r>
    </w:p>
    <w:p w14:paraId="1D763021">
      <w:pPr>
        <w:spacing w:line="360" w:lineRule="auto"/>
        <w:ind w:firstLine="420"/>
        <w:jc w:val="left"/>
        <w:rPr>
          <w:rFonts w:ascii="宋体" w:hAnsi="宋体" w:eastAsia="宋体" w:cs="Calibri"/>
          <w:color w:val="auto"/>
          <w:sz w:val="21"/>
          <w:szCs w:val="21"/>
          <w:highlight w:val="none"/>
        </w:rPr>
      </w:pPr>
      <w:r>
        <w:rPr>
          <w:rFonts w:ascii="宋体" w:hAnsi="宋体" w:eastAsia="宋体" w:cs="Calibri"/>
          <w:color w:val="auto"/>
          <w:sz w:val="21"/>
          <w:szCs w:val="21"/>
          <w:highlight w:val="none"/>
        </w:rPr>
        <w:t>（5）通用合同条款；</w:t>
      </w:r>
    </w:p>
    <w:p w14:paraId="182F228D">
      <w:pPr>
        <w:spacing w:line="360" w:lineRule="auto"/>
        <w:ind w:firstLine="420"/>
        <w:jc w:val="left"/>
        <w:rPr>
          <w:rFonts w:ascii="宋体" w:hAnsi="宋体" w:eastAsia="宋体" w:cs="Calibri"/>
          <w:color w:val="auto"/>
          <w:sz w:val="21"/>
          <w:szCs w:val="21"/>
          <w:highlight w:val="none"/>
        </w:rPr>
      </w:pPr>
      <w:r>
        <w:rPr>
          <w:rFonts w:ascii="宋体" w:hAnsi="宋体" w:eastAsia="宋体" w:cs="Calibri"/>
          <w:color w:val="auto"/>
          <w:sz w:val="21"/>
          <w:szCs w:val="21"/>
          <w:highlight w:val="none"/>
        </w:rPr>
        <w:t>（6）技术标准和要求；</w:t>
      </w:r>
    </w:p>
    <w:p w14:paraId="10E7AA42">
      <w:pPr>
        <w:spacing w:line="360" w:lineRule="auto"/>
        <w:ind w:firstLine="420"/>
        <w:jc w:val="left"/>
        <w:rPr>
          <w:rFonts w:ascii="宋体" w:hAnsi="宋体" w:eastAsia="宋体" w:cs="Calibri"/>
          <w:color w:val="auto"/>
          <w:sz w:val="21"/>
          <w:szCs w:val="21"/>
          <w:highlight w:val="none"/>
        </w:rPr>
      </w:pPr>
      <w:r>
        <w:rPr>
          <w:rFonts w:ascii="宋体" w:hAnsi="宋体" w:eastAsia="宋体" w:cs="Calibri"/>
          <w:color w:val="auto"/>
          <w:sz w:val="21"/>
          <w:szCs w:val="21"/>
          <w:highlight w:val="none"/>
        </w:rPr>
        <w:t>（7）图纸；</w:t>
      </w:r>
    </w:p>
    <w:p w14:paraId="10129308">
      <w:pPr>
        <w:spacing w:line="360" w:lineRule="auto"/>
        <w:ind w:firstLine="420"/>
        <w:jc w:val="left"/>
        <w:rPr>
          <w:rFonts w:ascii="宋体" w:hAnsi="宋体" w:eastAsia="宋体" w:cs="Calibri"/>
          <w:color w:val="auto"/>
          <w:sz w:val="21"/>
          <w:szCs w:val="21"/>
          <w:highlight w:val="none"/>
        </w:rPr>
      </w:pPr>
      <w:r>
        <w:rPr>
          <w:rFonts w:ascii="宋体" w:hAnsi="宋体" w:eastAsia="宋体" w:cs="Calibri"/>
          <w:color w:val="auto"/>
          <w:sz w:val="21"/>
          <w:szCs w:val="21"/>
          <w:highlight w:val="none"/>
        </w:rPr>
        <w:t>（8）已标价工程量清单或预算书；</w:t>
      </w:r>
    </w:p>
    <w:p w14:paraId="255FDF14">
      <w:pPr>
        <w:spacing w:line="360" w:lineRule="auto"/>
        <w:ind w:firstLine="420"/>
        <w:jc w:val="left"/>
        <w:rPr>
          <w:rFonts w:hint="eastAsia" w:ascii="宋体" w:hAnsi="宋体" w:eastAsia="宋体" w:cs="Calibri"/>
          <w:color w:val="auto"/>
          <w:sz w:val="21"/>
          <w:szCs w:val="21"/>
          <w:highlight w:val="none"/>
        </w:rPr>
      </w:pPr>
      <w:r>
        <w:rPr>
          <w:rFonts w:ascii="宋体" w:hAnsi="宋体" w:eastAsia="宋体" w:cs="Calibri"/>
          <w:color w:val="auto"/>
          <w:sz w:val="21"/>
          <w:szCs w:val="21"/>
          <w:highlight w:val="none"/>
        </w:rPr>
        <w:t>（9）其他合同文件。</w:t>
      </w:r>
    </w:p>
    <w:p w14:paraId="01FC3112">
      <w:pPr>
        <w:adjustRightInd w:val="0"/>
        <w:snapToGrid w:val="0"/>
        <w:spacing w:line="360" w:lineRule="auto"/>
        <w:ind w:firstLine="420" w:firstLineChars="200"/>
        <w:rPr>
          <w:rFonts w:cs="宋体"/>
          <w:b/>
          <w:sz w:val="21"/>
          <w:szCs w:val="21"/>
          <w:highlight w:val="none"/>
          <w:u w:val="single"/>
        </w:rPr>
      </w:pPr>
      <w:r>
        <w:rPr>
          <w:rFonts w:hint="eastAsia" w:ascii="宋体" w:hAnsi="宋体" w:eastAsia="宋体" w:cs="Calibri"/>
          <w:color w:val="auto"/>
          <w:sz w:val="21"/>
          <w:szCs w:val="21"/>
          <w:highlight w:val="none"/>
          <w:lang w:val="en-US" w:eastAsia="zh-CN"/>
        </w:rPr>
        <w:t>采购</w:t>
      </w:r>
      <w:r>
        <w:rPr>
          <w:rFonts w:ascii="宋体" w:hAnsi="宋体" w:eastAsia="宋体" w:cs="Calibri"/>
          <w:color w:val="auto"/>
          <w:sz w:val="21"/>
          <w:szCs w:val="21"/>
          <w:highlight w:val="none"/>
        </w:rPr>
        <w:t>文件中要求的相关事项，合同条款中未约定的，按</w:t>
      </w:r>
      <w:r>
        <w:rPr>
          <w:rFonts w:hint="eastAsia" w:ascii="宋体" w:hAnsi="宋体" w:eastAsia="宋体" w:cs="Calibri"/>
          <w:color w:val="auto"/>
          <w:sz w:val="21"/>
          <w:szCs w:val="21"/>
          <w:highlight w:val="none"/>
          <w:lang w:val="en-US" w:eastAsia="zh-CN"/>
        </w:rPr>
        <w:t>采购</w:t>
      </w:r>
      <w:r>
        <w:rPr>
          <w:rFonts w:ascii="宋体" w:hAnsi="宋体" w:eastAsia="宋体" w:cs="Calibri"/>
          <w:color w:val="auto"/>
          <w:sz w:val="21"/>
          <w:szCs w:val="21"/>
          <w:highlight w:val="none"/>
        </w:rPr>
        <w:t>文件执行；</w:t>
      </w:r>
      <w:r>
        <w:rPr>
          <w:rFonts w:hint="eastAsia" w:ascii="宋体" w:hAnsi="宋体" w:eastAsia="宋体" w:cs="Calibri"/>
          <w:color w:val="auto"/>
          <w:sz w:val="21"/>
          <w:szCs w:val="21"/>
          <w:highlight w:val="none"/>
          <w:lang w:val="en-US" w:eastAsia="zh-CN"/>
        </w:rPr>
        <w:t>采购</w:t>
      </w:r>
      <w:r>
        <w:rPr>
          <w:rFonts w:ascii="宋体" w:hAnsi="宋体" w:eastAsia="宋体" w:cs="Calibri"/>
          <w:color w:val="auto"/>
          <w:sz w:val="21"/>
          <w:szCs w:val="21"/>
          <w:highlight w:val="none"/>
        </w:rPr>
        <w:t>文件和</w:t>
      </w:r>
      <w:r>
        <w:rPr>
          <w:rFonts w:hint="eastAsia" w:ascii="宋体" w:hAnsi="宋体" w:eastAsia="宋体" w:cs="Calibri"/>
          <w:color w:val="auto"/>
          <w:sz w:val="21"/>
          <w:szCs w:val="21"/>
          <w:highlight w:val="none"/>
          <w:lang w:val="en-US" w:eastAsia="zh-CN"/>
        </w:rPr>
        <w:t>响应</w:t>
      </w:r>
      <w:r>
        <w:rPr>
          <w:rFonts w:ascii="宋体" w:hAnsi="宋体" w:eastAsia="宋体" w:cs="Calibri"/>
          <w:color w:val="auto"/>
          <w:sz w:val="21"/>
          <w:szCs w:val="21"/>
          <w:highlight w:val="none"/>
        </w:rPr>
        <w:t>文件相冲突的，以</w:t>
      </w:r>
      <w:r>
        <w:rPr>
          <w:rFonts w:hint="eastAsia" w:ascii="宋体" w:hAnsi="宋体" w:eastAsia="宋体" w:cs="Calibri"/>
          <w:color w:val="auto"/>
          <w:sz w:val="21"/>
          <w:szCs w:val="21"/>
          <w:highlight w:val="none"/>
          <w:lang w:val="en-US" w:eastAsia="zh-CN"/>
        </w:rPr>
        <w:t>采购</w:t>
      </w:r>
      <w:r>
        <w:rPr>
          <w:rFonts w:ascii="宋体" w:hAnsi="宋体" w:eastAsia="宋体" w:cs="Calibri"/>
          <w:color w:val="auto"/>
          <w:sz w:val="21"/>
          <w:szCs w:val="21"/>
          <w:highlight w:val="none"/>
        </w:rPr>
        <w:t>文件为准；</w:t>
      </w:r>
      <w:r>
        <w:rPr>
          <w:rFonts w:hint="eastAsia" w:ascii="宋体" w:hAnsi="宋体" w:eastAsia="宋体" w:cs="Calibri"/>
          <w:color w:val="auto"/>
          <w:sz w:val="21"/>
          <w:szCs w:val="21"/>
          <w:highlight w:val="none"/>
          <w:lang w:val="en-US" w:eastAsia="zh-CN"/>
        </w:rPr>
        <w:t>采购</w:t>
      </w:r>
      <w:r>
        <w:rPr>
          <w:rFonts w:ascii="宋体" w:hAnsi="宋体" w:eastAsia="宋体" w:cs="Calibri"/>
          <w:color w:val="auto"/>
          <w:sz w:val="21"/>
          <w:szCs w:val="21"/>
          <w:highlight w:val="none"/>
        </w:rPr>
        <w:t>文件没有规定的，以</w:t>
      </w:r>
      <w:r>
        <w:rPr>
          <w:rFonts w:hint="eastAsia" w:ascii="宋体" w:hAnsi="宋体" w:eastAsia="宋体" w:cs="Calibri"/>
          <w:color w:val="auto"/>
          <w:sz w:val="21"/>
          <w:szCs w:val="21"/>
          <w:highlight w:val="none"/>
          <w:lang w:val="en-US" w:eastAsia="zh-CN"/>
        </w:rPr>
        <w:t>响应</w:t>
      </w:r>
      <w:r>
        <w:rPr>
          <w:rFonts w:ascii="宋体" w:hAnsi="宋体" w:eastAsia="宋体" w:cs="Calibri"/>
          <w:color w:val="auto"/>
          <w:sz w:val="21"/>
          <w:szCs w:val="21"/>
          <w:highlight w:val="none"/>
        </w:rPr>
        <w:t>文件为准</w:t>
      </w:r>
      <w:r>
        <w:rPr>
          <w:rFonts w:hint="eastAsia" w:ascii="宋体" w:hAnsi="宋体" w:eastAsia="宋体" w:cs="Calibri"/>
          <w:color w:val="auto"/>
          <w:sz w:val="21"/>
          <w:szCs w:val="21"/>
          <w:highlight w:val="none"/>
          <w:lang w:eastAsia="zh-CN"/>
        </w:rPr>
        <w:t>。</w:t>
      </w:r>
    </w:p>
    <w:p w14:paraId="33C34C09">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1.6 图纸和承包人文件</w:t>
      </w:r>
      <w:r>
        <w:rPr>
          <w:rFonts w:hint="eastAsia" w:cs="宋体"/>
          <w:bCs/>
          <w:sz w:val="21"/>
          <w:szCs w:val="21"/>
          <w:highlight w:val="none"/>
        </w:rPr>
        <w:tab/>
      </w:r>
    </w:p>
    <w:p w14:paraId="568AB42D">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1.6.1 图纸的提供和交底</w:t>
      </w:r>
    </w:p>
    <w:p w14:paraId="16DF9B3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发包人向承包人提供图纸的期限：</w:t>
      </w:r>
      <w:r>
        <w:rPr>
          <w:rFonts w:hint="eastAsia" w:cs="宋体"/>
          <w:sz w:val="21"/>
          <w:szCs w:val="21"/>
          <w:highlight w:val="none"/>
          <w:u w:val="single"/>
        </w:rPr>
        <w:t xml:space="preserve"> 执行通用条款 </w:t>
      </w:r>
      <w:r>
        <w:rPr>
          <w:rFonts w:hint="eastAsia" w:cs="宋体"/>
          <w:sz w:val="21"/>
          <w:szCs w:val="21"/>
          <w:highlight w:val="none"/>
        </w:rPr>
        <w:t>；</w:t>
      </w:r>
    </w:p>
    <w:p w14:paraId="435A877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发包人向承包人提供图纸的数量：</w:t>
      </w:r>
      <w:r>
        <w:rPr>
          <w:rFonts w:hint="eastAsia" w:cs="宋体"/>
          <w:sz w:val="21"/>
          <w:szCs w:val="21"/>
          <w:highlight w:val="none"/>
          <w:u w:val="single"/>
        </w:rPr>
        <w:t>提供   套（含竣工图   套），不足的由承包人自行复制，费用自理；</w:t>
      </w:r>
    </w:p>
    <w:p w14:paraId="3E46316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发包人向承包人提供图纸的内容：承包人承包范围内的图纸</w:t>
      </w:r>
      <w:r>
        <w:rPr>
          <w:rFonts w:hint="eastAsia" w:cs="宋体"/>
          <w:sz w:val="21"/>
          <w:szCs w:val="21"/>
          <w:highlight w:val="none"/>
          <w:u w:val="single"/>
        </w:rPr>
        <w:t xml:space="preserve"> </w:t>
      </w:r>
      <w:r>
        <w:rPr>
          <w:rFonts w:hint="eastAsia" w:cs="宋体"/>
          <w:sz w:val="21"/>
          <w:szCs w:val="21"/>
          <w:highlight w:val="none"/>
        </w:rPr>
        <w:t>。</w:t>
      </w:r>
    </w:p>
    <w:p w14:paraId="5BA7665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1.6.4 承包人文件</w:t>
      </w:r>
    </w:p>
    <w:p w14:paraId="606C225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需要由承包人提供的文件，包括：包括但不限于施工组织方案、施工进度计划、专项施工方案、供应采购材料清单、材料进场计划、劳动力及用款计划书等、施工总平面等；</w:t>
      </w:r>
    </w:p>
    <w:p w14:paraId="2ED1854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承包人提供的文件的期限为：</w:t>
      </w:r>
      <w:r>
        <w:rPr>
          <w:rFonts w:hint="eastAsia" w:cs="宋体"/>
          <w:sz w:val="21"/>
          <w:szCs w:val="21"/>
          <w:highlight w:val="none"/>
          <w:u w:val="single"/>
        </w:rPr>
        <w:t xml:space="preserve"> 承包人在收到施工图纸后7日内 </w:t>
      </w:r>
      <w:r>
        <w:rPr>
          <w:rFonts w:hint="eastAsia" w:cs="宋体"/>
          <w:sz w:val="21"/>
          <w:szCs w:val="21"/>
          <w:highlight w:val="none"/>
        </w:rPr>
        <w:t>；</w:t>
      </w:r>
    </w:p>
    <w:p w14:paraId="7ADB0425">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承包人提供的文件的数量为：满足发包人、监理人所需，具体数量由发包人确定</w:t>
      </w:r>
      <w:r>
        <w:rPr>
          <w:rFonts w:hint="eastAsia" w:cs="宋体"/>
          <w:sz w:val="21"/>
          <w:szCs w:val="21"/>
          <w:highlight w:val="none"/>
          <w:u w:val="single"/>
        </w:rPr>
        <w:t xml:space="preserve"> </w:t>
      </w:r>
      <w:r>
        <w:rPr>
          <w:rFonts w:hint="eastAsia" w:cs="宋体"/>
          <w:sz w:val="21"/>
          <w:szCs w:val="21"/>
          <w:highlight w:val="none"/>
        </w:rPr>
        <w:t>；</w:t>
      </w:r>
    </w:p>
    <w:p w14:paraId="0D7057E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承包人提供的文件的形式为：</w:t>
      </w:r>
      <w:r>
        <w:rPr>
          <w:rFonts w:hint="eastAsia" w:cs="宋体"/>
          <w:sz w:val="21"/>
          <w:szCs w:val="21"/>
          <w:highlight w:val="none"/>
          <w:u w:val="single"/>
        </w:rPr>
        <w:t xml:space="preserve"> 纸质版及电子版</w:t>
      </w:r>
      <w:r>
        <w:rPr>
          <w:rFonts w:hint="eastAsia" w:cs="宋体"/>
          <w:sz w:val="21"/>
          <w:szCs w:val="21"/>
          <w:highlight w:val="none"/>
        </w:rPr>
        <w:t>；</w:t>
      </w:r>
    </w:p>
    <w:p w14:paraId="676FCDB9">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发包人审批承包人文件的期限：</w:t>
      </w:r>
      <w:r>
        <w:rPr>
          <w:rFonts w:hint="eastAsia" w:cs="宋体"/>
          <w:sz w:val="21"/>
          <w:szCs w:val="21"/>
          <w:highlight w:val="none"/>
          <w:u w:val="single"/>
        </w:rPr>
        <w:t xml:space="preserve"> 收到承包人文件后14日内组织审核批准或提出修改意见 </w:t>
      </w:r>
      <w:r>
        <w:rPr>
          <w:rFonts w:hint="eastAsia" w:cs="宋体"/>
          <w:sz w:val="21"/>
          <w:szCs w:val="21"/>
          <w:highlight w:val="none"/>
        </w:rPr>
        <w:t>。</w:t>
      </w:r>
    </w:p>
    <w:p w14:paraId="434F34A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1.6.5 图纸和承包人文件的保管</w:t>
      </w:r>
    </w:p>
    <w:p w14:paraId="4446B2E7">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关于图纸和承包人文件保管的约定：</w:t>
      </w:r>
      <w:r>
        <w:rPr>
          <w:rFonts w:hint="eastAsia" w:cs="宋体"/>
          <w:sz w:val="21"/>
          <w:szCs w:val="21"/>
          <w:highlight w:val="none"/>
          <w:u w:val="single"/>
        </w:rPr>
        <w:t xml:space="preserve">  执行通用条款 </w:t>
      </w:r>
      <w:r>
        <w:rPr>
          <w:rFonts w:hint="eastAsia" w:cs="宋体"/>
          <w:sz w:val="21"/>
          <w:szCs w:val="21"/>
          <w:highlight w:val="none"/>
        </w:rPr>
        <w:t>。</w:t>
      </w:r>
    </w:p>
    <w:p w14:paraId="1DE56B8C">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1.7 联络</w:t>
      </w:r>
    </w:p>
    <w:p w14:paraId="4EEB51B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1.7.1 发包人和承包人应当在</w:t>
      </w:r>
      <w:r>
        <w:rPr>
          <w:rFonts w:hint="eastAsia" w:cs="宋体"/>
          <w:sz w:val="21"/>
          <w:szCs w:val="21"/>
          <w:highlight w:val="none"/>
          <w:u w:val="single"/>
        </w:rPr>
        <w:t>7</w:t>
      </w:r>
      <w:r>
        <w:rPr>
          <w:rFonts w:hint="eastAsia" w:cs="宋体"/>
          <w:sz w:val="21"/>
          <w:szCs w:val="21"/>
          <w:highlight w:val="none"/>
        </w:rPr>
        <w:t>天内将与合同有关的通知、批准、证明、证书、指示、指令、要求、请求、同意、意见、确定和决定等书面函件送达对方当事人。</w:t>
      </w:r>
    </w:p>
    <w:p w14:paraId="23B366A1">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1.7.2 发包人接收文件的地点：</w:t>
      </w:r>
      <w:r>
        <w:rPr>
          <w:rFonts w:hint="eastAsia" w:cs="宋体"/>
          <w:sz w:val="21"/>
          <w:szCs w:val="21"/>
          <w:highlight w:val="none"/>
          <w:u w:val="single"/>
        </w:rPr>
        <w:t xml:space="preserve">          </w:t>
      </w:r>
      <w:r>
        <w:rPr>
          <w:rFonts w:hint="eastAsia" w:cs="宋体"/>
          <w:sz w:val="21"/>
          <w:szCs w:val="21"/>
          <w:highlight w:val="none"/>
        </w:rPr>
        <w:t>；</w:t>
      </w:r>
    </w:p>
    <w:p w14:paraId="24F64AAD">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发包人指定的接收人为：</w:t>
      </w:r>
      <w:r>
        <w:rPr>
          <w:rFonts w:hint="eastAsia" w:cs="宋体"/>
          <w:sz w:val="21"/>
          <w:szCs w:val="21"/>
          <w:highlight w:val="none"/>
          <w:u w:val="single"/>
        </w:rPr>
        <w:t xml:space="preserve">          </w:t>
      </w:r>
      <w:r>
        <w:rPr>
          <w:rFonts w:hint="eastAsia" w:cs="宋体"/>
          <w:sz w:val="21"/>
          <w:szCs w:val="21"/>
          <w:highlight w:val="none"/>
        </w:rPr>
        <w:t>。</w:t>
      </w:r>
    </w:p>
    <w:p w14:paraId="58AEC7E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承包人接收文件的地点：</w:t>
      </w:r>
      <w:r>
        <w:rPr>
          <w:rFonts w:hint="eastAsia" w:cs="宋体"/>
          <w:sz w:val="21"/>
          <w:szCs w:val="21"/>
          <w:highlight w:val="none"/>
          <w:u w:val="single"/>
        </w:rPr>
        <w:t xml:space="preserve">          </w:t>
      </w:r>
      <w:r>
        <w:rPr>
          <w:rFonts w:hint="eastAsia" w:cs="宋体"/>
          <w:sz w:val="21"/>
          <w:szCs w:val="21"/>
          <w:highlight w:val="none"/>
        </w:rPr>
        <w:t>；</w:t>
      </w:r>
    </w:p>
    <w:p w14:paraId="1F92DC0C">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承包人指定的接收人为：</w:t>
      </w:r>
      <w:r>
        <w:rPr>
          <w:rFonts w:hint="eastAsia" w:cs="宋体"/>
          <w:sz w:val="21"/>
          <w:szCs w:val="21"/>
          <w:highlight w:val="none"/>
          <w:u w:val="single"/>
        </w:rPr>
        <w:t xml:space="preserve">          </w:t>
      </w:r>
      <w:r>
        <w:rPr>
          <w:rFonts w:hint="eastAsia" w:cs="宋体"/>
          <w:sz w:val="21"/>
          <w:szCs w:val="21"/>
          <w:highlight w:val="none"/>
        </w:rPr>
        <w:t>。</w:t>
      </w:r>
    </w:p>
    <w:p w14:paraId="364A5E0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监理人接收文件的地点：</w:t>
      </w:r>
      <w:r>
        <w:rPr>
          <w:rFonts w:hint="eastAsia" w:cs="宋体"/>
          <w:sz w:val="21"/>
          <w:szCs w:val="21"/>
          <w:highlight w:val="none"/>
          <w:u w:val="single"/>
        </w:rPr>
        <w:t xml:space="preserve">          </w:t>
      </w:r>
      <w:r>
        <w:rPr>
          <w:rFonts w:hint="eastAsia" w:cs="宋体"/>
          <w:sz w:val="21"/>
          <w:szCs w:val="21"/>
          <w:highlight w:val="none"/>
        </w:rPr>
        <w:t>；</w:t>
      </w:r>
    </w:p>
    <w:p w14:paraId="6B9658A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监理人指定的接收人为：</w:t>
      </w:r>
      <w:r>
        <w:rPr>
          <w:rFonts w:hint="eastAsia" w:cs="宋体"/>
          <w:sz w:val="21"/>
          <w:szCs w:val="21"/>
          <w:highlight w:val="none"/>
          <w:u w:val="single"/>
        </w:rPr>
        <w:t xml:space="preserve">          </w:t>
      </w:r>
      <w:r>
        <w:rPr>
          <w:rFonts w:hint="eastAsia" w:cs="宋体"/>
          <w:sz w:val="21"/>
          <w:szCs w:val="21"/>
          <w:highlight w:val="none"/>
        </w:rPr>
        <w:t>。</w:t>
      </w:r>
    </w:p>
    <w:p w14:paraId="3EEFED95">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1.10 交通运输</w:t>
      </w:r>
    </w:p>
    <w:p w14:paraId="5294049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w:t>
      </w:r>
      <w:bookmarkStart w:id="72" w:name="_Toc318581155"/>
      <w:bookmarkStart w:id="73" w:name="_Toc304295521"/>
      <w:bookmarkStart w:id="74" w:name="_Toc303539100"/>
      <w:bookmarkStart w:id="75" w:name="_Toc312677986"/>
      <w:bookmarkStart w:id="76" w:name="_Toc300934943"/>
      <w:r>
        <w:rPr>
          <w:rFonts w:hint="eastAsia" w:cs="宋体"/>
          <w:sz w:val="21"/>
          <w:szCs w:val="21"/>
          <w:highlight w:val="none"/>
        </w:rPr>
        <w:t>.10.1 出入现场的权利</w:t>
      </w:r>
    </w:p>
    <w:p w14:paraId="5319A2A4">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关于出入现场的权利的约定：</w:t>
      </w:r>
      <w:r>
        <w:rPr>
          <w:rFonts w:hint="eastAsia" w:cs="宋体"/>
          <w:sz w:val="21"/>
          <w:szCs w:val="21"/>
          <w:highlight w:val="none"/>
          <w:u w:val="single"/>
        </w:rPr>
        <w:t xml:space="preserve"> 执行通用条款</w:t>
      </w:r>
      <w:r>
        <w:rPr>
          <w:rFonts w:hint="eastAsia" w:cs="宋体"/>
          <w:sz w:val="21"/>
          <w:szCs w:val="21"/>
          <w:highlight w:val="none"/>
        </w:rPr>
        <w:t>。</w:t>
      </w:r>
    </w:p>
    <w:bookmarkEnd w:id="72"/>
    <w:bookmarkEnd w:id="73"/>
    <w:bookmarkEnd w:id="74"/>
    <w:bookmarkEnd w:id="75"/>
    <w:bookmarkEnd w:id="76"/>
    <w:p w14:paraId="6868879C">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w:t>
      </w:r>
      <w:bookmarkStart w:id="77" w:name="_Toc318581156"/>
      <w:bookmarkStart w:id="78" w:name="_Toc303539101"/>
      <w:bookmarkStart w:id="79" w:name="_Toc300934944"/>
      <w:bookmarkStart w:id="80" w:name="_Toc304295522"/>
      <w:bookmarkStart w:id="81" w:name="_Toc312677987"/>
      <w:r>
        <w:rPr>
          <w:rFonts w:hint="eastAsia" w:cs="宋体"/>
          <w:sz w:val="21"/>
          <w:szCs w:val="21"/>
          <w:highlight w:val="none"/>
        </w:rPr>
        <w:t>.10.3 场内交通</w:t>
      </w:r>
    </w:p>
    <w:p w14:paraId="187566B5">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关于场外交通和场内交通的边界的约定：</w:t>
      </w:r>
      <w:r>
        <w:rPr>
          <w:rFonts w:hint="eastAsia" w:cs="宋体"/>
          <w:sz w:val="21"/>
          <w:szCs w:val="21"/>
          <w:highlight w:val="none"/>
          <w:u w:val="single"/>
        </w:rPr>
        <w:t xml:space="preserve">          </w:t>
      </w:r>
      <w:r>
        <w:rPr>
          <w:rFonts w:hint="eastAsia" w:cs="宋体"/>
          <w:sz w:val="21"/>
          <w:szCs w:val="21"/>
          <w:highlight w:val="none"/>
        </w:rPr>
        <w:t>。</w:t>
      </w:r>
    </w:p>
    <w:p w14:paraId="709ACAB2">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关于发包人向承包人免费提供满足工程施工需要的场内道路和交通设施的约定：执行通用条款。</w:t>
      </w:r>
      <w:bookmarkEnd w:id="77"/>
      <w:bookmarkEnd w:id="78"/>
      <w:bookmarkEnd w:id="79"/>
      <w:bookmarkEnd w:id="80"/>
      <w:bookmarkEnd w:id="81"/>
      <w:bookmarkStart w:id="82" w:name="_Toc318581157"/>
    </w:p>
    <w:p w14:paraId="3BCCFEF9">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1.10.4 超大件和超重件的运输</w:t>
      </w:r>
    </w:p>
    <w:p w14:paraId="54D8A3FA">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运输超大件或超重件所需的道路和桥梁临时加固改造费用和其他有关费用由执行通用条款承担。</w:t>
      </w:r>
    </w:p>
    <w:bookmarkEnd w:id="82"/>
    <w:p w14:paraId="03407269">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1.11 知识产权</w:t>
      </w:r>
    </w:p>
    <w:p w14:paraId="1BCDB57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1.11.1 关于发包人提供给承包人的图纸、发包人为实施工程自行编制或委托编制的技术规范以及反映发包人关于合同要求或其他类似性质的文件的著作权的归属：执行通用条款。</w:t>
      </w:r>
    </w:p>
    <w:p w14:paraId="241B9905">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关于发包人提供的上述文件的使用限制的要求：执行通用条款</w:t>
      </w:r>
      <w:r>
        <w:rPr>
          <w:rFonts w:hint="eastAsia" w:cs="宋体"/>
          <w:sz w:val="21"/>
          <w:szCs w:val="21"/>
          <w:highlight w:val="none"/>
          <w:u w:val="single"/>
        </w:rPr>
        <w:t xml:space="preserve"> </w:t>
      </w:r>
      <w:r>
        <w:rPr>
          <w:rFonts w:hint="eastAsia" w:cs="宋体"/>
          <w:sz w:val="21"/>
          <w:szCs w:val="21"/>
          <w:highlight w:val="none"/>
        </w:rPr>
        <w:t>。</w:t>
      </w:r>
    </w:p>
    <w:p w14:paraId="21914BD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1.11.2 关于承包人为实施工程所编制文件的著作权的归属：执行通用条款</w:t>
      </w:r>
      <w:r>
        <w:rPr>
          <w:rFonts w:hint="eastAsia" w:cs="宋体"/>
          <w:sz w:val="21"/>
          <w:szCs w:val="21"/>
          <w:highlight w:val="none"/>
          <w:u w:val="single"/>
        </w:rPr>
        <w:t xml:space="preserve"> </w:t>
      </w:r>
      <w:r>
        <w:rPr>
          <w:rFonts w:hint="eastAsia" w:cs="宋体"/>
          <w:sz w:val="21"/>
          <w:szCs w:val="21"/>
          <w:highlight w:val="none"/>
        </w:rPr>
        <w:t>。</w:t>
      </w:r>
    </w:p>
    <w:p w14:paraId="450BC41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关于承包人提供的上述文件的使用限制的要求：执行通用条款</w:t>
      </w:r>
      <w:r>
        <w:rPr>
          <w:rFonts w:hint="eastAsia" w:cs="宋体"/>
          <w:sz w:val="21"/>
          <w:szCs w:val="21"/>
          <w:highlight w:val="none"/>
          <w:u w:val="single"/>
        </w:rPr>
        <w:t xml:space="preserve"> </w:t>
      </w:r>
      <w:r>
        <w:rPr>
          <w:rFonts w:hint="eastAsia" w:cs="宋体"/>
          <w:sz w:val="21"/>
          <w:szCs w:val="21"/>
          <w:highlight w:val="none"/>
        </w:rPr>
        <w:t>。</w:t>
      </w:r>
    </w:p>
    <w:p w14:paraId="27479771">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1.11.4 承包人在施工过程中所采用的专利、专有技术、技术秘密的使用费的承担方式：</w:t>
      </w:r>
      <w:r>
        <w:rPr>
          <w:rFonts w:hint="eastAsia" w:ascii="宋体" w:hAnsi="宋体" w:cs="宋体"/>
          <w:b w:val="0"/>
          <w:color w:val="auto"/>
          <w:sz w:val="21"/>
          <w:szCs w:val="21"/>
          <w:highlight w:val="none"/>
          <w:u w:val="none"/>
        </w:rPr>
        <w:t>执行通用条款</w:t>
      </w:r>
      <w:r>
        <w:rPr>
          <w:rFonts w:hint="eastAsia" w:cs="宋体"/>
          <w:sz w:val="21"/>
          <w:szCs w:val="21"/>
          <w:highlight w:val="none"/>
        </w:rPr>
        <w:t>。</w:t>
      </w:r>
    </w:p>
    <w:p w14:paraId="7E3CF5B1">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1.13 工程量清单错误的修正</w:t>
      </w:r>
    </w:p>
    <w:p w14:paraId="748D0AE4">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出现工程量清单错误时，是否调整合同价格：☑ 不调整，开标前</w:t>
      </w:r>
      <w:r>
        <w:rPr>
          <w:rFonts w:hint="eastAsia" w:cs="宋体"/>
          <w:sz w:val="21"/>
          <w:szCs w:val="21"/>
          <w:highlight w:val="none"/>
          <w:lang w:val="en-US" w:eastAsia="zh-CN"/>
        </w:rPr>
        <w:t>供应商</w:t>
      </w:r>
      <w:r>
        <w:rPr>
          <w:rFonts w:hint="eastAsia" w:cs="宋体"/>
          <w:sz w:val="21"/>
          <w:szCs w:val="21"/>
          <w:highlight w:val="none"/>
        </w:rPr>
        <w:t>未在</w:t>
      </w:r>
      <w:r>
        <w:rPr>
          <w:rFonts w:hint="eastAsia" w:cs="宋体"/>
          <w:sz w:val="21"/>
          <w:szCs w:val="21"/>
          <w:highlight w:val="none"/>
          <w:lang w:val="en-US" w:eastAsia="zh-CN"/>
        </w:rPr>
        <w:t>采购</w:t>
      </w:r>
      <w:r>
        <w:rPr>
          <w:rFonts w:hint="eastAsia" w:cs="宋体"/>
          <w:sz w:val="21"/>
          <w:szCs w:val="21"/>
          <w:highlight w:val="none"/>
        </w:rPr>
        <w:t>文件规定的异议（疑问）截止日期前提出异议并附计算书的，工程价款结算时不再调整。</w:t>
      </w:r>
    </w:p>
    <w:p w14:paraId="4CFBDDCD">
      <w:pPr>
        <w:adjustRightInd w:val="0"/>
        <w:snapToGrid w:val="0"/>
        <w:spacing w:line="360" w:lineRule="auto"/>
        <w:ind w:firstLine="420" w:firstLineChars="200"/>
        <w:rPr>
          <w:rFonts w:cs="宋体"/>
          <w:b/>
          <w:bCs/>
          <w:i/>
          <w:iCs/>
          <w:kern w:val="2"/>
          <w:sz w:val="21"/>
          <w:szCs w:val="21"/>
          <w:highlight w:val="none"/>
        </w:rPr>
      </w:pPr>
      <w:r>
        <w:rPr>
          <w:rFonts w:hint="eastAsia" w:cs="宋体"/>
          <w:sz w:val="21"/>
          <w:szCs w:val="21"/>
          <w:highlight w:val="none"/>
        </w:rPr>
        <w:t>若开标前，</w:t>
      </w:r>
      <w:r>
        <w:rPr>
          <w:rFonts w:hint="eastAsia" w:cs="宋体"/>
          <w:sz w:val="21"/>
          <w:szCs w:val="21"/>
          <w:highlight w:val="none"/>
          <w:lang w:val="en-US" w:eastAsia="zh-CN"/>
        </w:rPr>
        <w:t>供应商</w:t>
      </w:r>
      <w:r>
        <w:rPr>
          <w:rFonts w:hint="eastAsia" w:cs="宋体"/>
          <w:sz w:val="21"/>
          <w:szCs w:val="21"/>
          <w:highlight w:val="none"/>
        </w:rPr>
        <w:t>在</w:t>
      </w:r>
      <w:r>
        <w:rPr>
          <w:rFonts w:hint="eastAsia" w:cs="宋体"/>
          <w:sz w:val="21"/>
          <w:szCs w:val="21"/>
          <w:highlight w:val="none"/>
          <w:lang w:val="en-US" w:eastAsia="zh-CN"/>
        </w:rPr>
        <w:t>采购</w:t>
      </w:r>
      <w:r>
        <w:rPr>
          <w:rFonts w:hint="eastAsia" w:cs="宋体"/>
          <w:sz w:val="21"/>
          <w:szCs w:val="21"/>
          <w:highlight w:val="none"/>
        </w:rPr>
        <w:t>文件规定的异议（疑问）截止日期前提出异议并附计算书的，且工程量清单遗漏项目或单项子目工程量误差超过±3%，</w:t>
      </w:r>
      <w:r>
        <w:rPr>
          <w:rFonts w:hint="eastAsia" w:cs="宋体"/>
          <w:sz w:val="21"/>
          <w:szCs w:val="21"/>
          <w:highlight w:val="none"/>
          <w:lang w:val="en-US" w:eastAsia="zh-CN"/>
        </w:rPr>
        <w:t>采购</w:t>
      </w:r>
      <w:r>
        <w:rPr>
          <w:rFonts w:hint="eastAsia" w:cs="宋体"/>
          <w:sz w:val="21"/>
          <w:szCs w:val="21"/>
          <w:highlight w:val="none"/>
        </w:rPr>
        <w:t>人未在规定的时间前进行修正并重新发布的，</w:t>
      </w:r>
      <w:r>
        <w:rPr>
          <w:rFonts w:hint="eastAsia" w:cs="宋体"/>
          <w:sz w:val="21"/>
          <w:szCs w:val="21"/>
          <w:highlight w:val="none"/>
          <w:lang w:val="en-US" w:eastAsia="zh-CN"/>
        </w:rPr>
        <w:t>采购</w:t>
      </w:r>
      <w:r>
        <w:rPr>
          <w:rFonts w:hint="eastAsia" w:cs="宋体"/>
          <w:sz w:val="21"/>
          <w:szCs w:val="21"/>
          <w:highlight w:val="none"/>
        </w:rPr>
        <w:t>人仅对工程量清单遗漏项目、单项子目工程量误差超过±3%的子目合计金额增减幅度超过签约合同价金额3%的部分的予以调整。</w:t>
      </w:r>
    </w:p>
    <w:p w14:paraId="612C342B">
      <w:pPr>
        <w:snapToGrid w:val="0"/>
        <w:spacing w:before="312" w:beforeLines="100" w:after="312" w:afterLines="100" w:line="360" w:lineRule="auto"/>
        <w:outlineLvl w:val="2"/>
        <w:rPr>
          <w:rFonts w:cs="宋体"/>
          <w:sz w:val="21"/>
          <w:szCs w:val="21"/>
          <w:highlight w:val="none"/>
        </w:rPr>
      </w:pPr>
      <w:bookmarkStart w:id="83" w:name="_Toc351203634"/>
      <w:r>
        <w:rPr>
          <w:rFonts w:hint="eastAsia" w:cs="宋体"/>
          <w:sz w:val="21"/>
          <w:szCs w:val="21"/>
          <w:highlight w:val="none"/>
        </w:rPr>
        <w:t>2</w:t>
      </w:r>
      <w:bookmarkStart w:id="84" w:name="_Toc292559867"/>
      <w:bookmarkStart w:id="85" w:name="_Toc297120457"/>
      <w:bookmarkStart w:id="86" w:name="_Toc296890985"/>
      <w:bookmarkStart w:id="87" w:name="_Toc292559362"/>
      <w:bookmarkStart w:id="88" w:name="_Toc296891197"/>
      <w:bookmarkStart w:id="89" w:name="_Toc296503157"/>
      <w:bookmarkStart w:id="90" w:name="_Toc296346658"/>
      <w:bookmarkStart w:id="91" w:name="_Toc296944496"/>
      <w:bookmarkStart w:id="92" w:name="_Toc296347156"/>
      <w:bookmarkStart w:id="93" w:name="_Toc297048343"/>
      <w:r>
        <w:rPr>
          <w:rFonts w:hint="eastAsia" w:cs="宋体"/>
          <w:sz w:val="21"/>
          <w:szCs w:val="21"/>
          <w:highlight w:val="none"/>
        </w:rPr>
        <w:t>. 发包人</w:t>
      </w:r>
      <w:bookmarkEnd w:id="83"/>
    </w:p>
    <w:bookmarkEnd w:id="84"/>
    <w:bookmarkEnd w:id="85"/>
    <w:bookmarkEnd w:id="86"/>
    <w:bookmarkEnd w:id="87"/>
    <w:bookmarkEnd w:id="88"/>
    <w:bookmarkEnd w:id="89"/>
    <w:bookmarkEnd w:id="90"/>
    <w:bookmarkEnd w:id="91"/>
    <w:bookmarkEnd w:id="92"/>
    <w:bookmarkEnd w:id="93"/>
    <w:p w14:paraId="48F56AD8">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2.2 发包人代表</w:t>
      </w:r>
    </w:p>
    <w:p w14:paraId="59A059A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发包人代表：</w:t>
      </w:r>
    </w:p>
    <w:p w14:paraId="30EEA05B">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姓    名：</w:t>
      </w:r>
      <w:r>
        <w:rPr>
          <w:rFonts w:hint="eastAsia" w:cs="宋体"/>
          <w:sz w:val="21"/>
          <w:szCs w:val="21"/>
          <w:highlight w:val="none"/>
          <w:u w:val="single"/>
        </w:rPr>
        <w:t xml:space="preserve">                          </w:t>
      </w:r>
      <w:r>
        <w:rPr>
          <w:rFonts w:hint="eastAsia" w:cs="宋体"/>
          <w:sz w:val="21"/>
          <w:szCs w:val="21"/>
          <w:highlight w:val="none"/>
        </w:rPr>
        <w:t>；</w:t>
      </w:r>
    </w:p>
    <w:p w14:paraId="19DB5CE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身份证号：</w:t>
      </w:r>
      <w:r>
        <w:rPr>
          <w:rFonts w:hint="eastAsia" w:cs="宋体"/>
          <w:sz w:val="21"/>
          <w:szCs w:val="21"/>
          <w:highlight w:val="none"/>
          <w:u w:val="single"/>
        </w:rPr>
        <w:t xml:space="preserve">                          </w:t>
      </w:r>
      <w:r>
        <w:rPr>
          <w:rFonts w:hint="eastAsia" w:cs="宋体"/>
          <w:sz w:val="21"/>
          <w:szCs w:val="21"/>
          <w:highlight w:val="none"/>
        </w:rPr>
        <w:t>；</w:t>
      </w:r>
    </w:p>
    <w:p w14:paraId="0F2B7BD2">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职    务：</w:t>
      </w:r>
      <w:r>
        <w:rPr>
          <w:rFonts w:hint="eastAsia" w:cs="宋体"/>
          <w:sz w:val="21"/>
          <w:szCs w:val="21"/>
          <w:highlight w:val="none"/>
          <w:u w:val="single"/>
        </w:rPr>
        <w:t xml:space="preserve">                          </w:t>
      </w:r>
      <w:r>
        <w:rPr>
          <w:rFonts w:hint="eastAsia" w:cs="宋体"/>
          <w:sz w:val="21"/>
          <w:szCs w:val="21"/>
          <w:highlight w:val="none"/>
        </w:rPr>
        <w:t>；</w:t>
      </w:r>
    </w:p>
    <w:p w14:paraId="5F6C0AFB">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联系电话：</w:t>
      </w:r>
      <w:r>
        <w:rPr>
          <w:rFonts w:hint="eastAsia" w:cs="宋体"/>
          <w:sz w:val="21"/>
          <w:szCs w:val="21"/>
          <w:highlight w:val="none"/>
          <w:u w:val="single"/>
        </w:rPr>
        <w:t xml:space="preserve">                          </w:t>
      </w:r>
      <w:r>
        <w:rPr>
          <w:rFonts w:hint="eastAsia" w:cs="宋体"/>
          <w:sz w:val="21"/>
          <w:szCs w:val="21"/>
          <w:highlight w:val="none"/>
        </w:rPr>
        <w:t>；</w:t>
      </w:r>
    </w:p>
    <w:p w14:paraId="487FCE9D">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电子信箱：</w:t>
      </w:r>
      <w:r>
        <w:rPr>
          <w:rFonts w:hint="eastAsia" w:cs="宋体"/>
          <w:sz w:val="21"/>
          <w:szCs w:val="21"/>
          <w:highlight w:val="none"/>
          <w:u w:val="single"/>
        </w:rPr>
        <w:t xml:space="preserve">                          </w:t>
      </w:r>
      <w:r>
        <w:rPr>
          <w:rFonts w:hint="eastAsia" w:cs="宋体"/>
          <w:sz w:val="21"/>
          <w:szCs w:val="21"/>
          <w:highlight w:val="none"/>
        </w:rPr>
        <w:t>；</w:t>
      </w:r>
    </w:p>
    <w:p w14:paraId="0786344C">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通信地址：</w:t>
      </w:r>
      <w:r>
        <w:rPr>
          <w:rFonts w:hint="eastAsia" w:cs="宋体"/>
          <w:sz w:val="21"/>
          <w:szCs w:val="21"/>
          <w:highlight w:val="none"/>
          <w:u w:val="single"/>
        </w:rPr>
        <w:t xml:space="preserve">                          </w:t>
      </w:r>
      <w:r>
        <w:rPr>
          <w:rFonts w:hint="eastAsia" w:cs="宋体"/>
          <w:sz w:val="21"/>
          <w:szCs w:val="21"/>
          <w:highlight w:val="none"/>
        </w:rPr>
        <w:t>。</w:t>
      </w:r>
    </w:p>
    <w:p w14:paraId="11E11F1A">
      <w:pPr>
        <w:adjustRightInd w:val="0"/>
        <w:snapToGrid w:val="0"/>
        <w:spacing w:line="360" w:lineRule="auto"/>
        <w:ind w:firstLine="420" w:firstLineChars="200"/>
        <w:rPr>
          <w:rFonts w:cs="宋体"/>
          <w:b/>
          <w:strike/>
          <w:sz w:val="21"/>
          <w:szCs w:val="21"/>
          <w:highlight w:val="none"/>
        </w:rPr>
      </w:pPr>
      <w:r>
        <w:rPr>
          <w:rFonts w:hint="eastAsia" w:cs="宋体"/>
          <w:sz w:val="21"/>
          <w:szCs w:val="21"/>
          <w:highlight w:val="none"/>
        </w:rPr>
        <w:t>发包人对发包人代表的授权范围如下：</w:t>
      </w:r>
      <w:r>
        <w:rPr>
          <w:rFonts w:hint="eastAsia" w:cs="宋体"/>
          <w:sz w:val="21"/>
          <w:szCs w:val="21"/>
          <w:highlight w:val="none"/>
          <w:u w:val="single"/>
        </w:rPr>
        <w:t xml:space="preserve">                          </w:t>
      </w:r>
      <w:r>
        <w:rPr>
          <w:rFonts w:hint="eastAsia" w:cs="宋体"/>
          <w:sz w:val="21"/>
          <w:szCs w:val="21"/>
          <w:highlight w:val="none"/>
        </w:rPr>
        <w:t>。</w:t>
      </w:r>
    </w:p>
    <w:p w14:paraId="2C399B4B">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2.4 施工现场、施工条件和基础资料的提供</w:t>
      </w:r>
    </w:p>
    <w:p w14:paraId="52ABB0F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2.4.1 提供施工现场</w:t>
      </w:r>
    </w:p>
    <w:p w14:paraId="6C38DE89">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关于发包人移交施工现场的期限要求：开工日期7天前（执行通用条款）。</w:t>
      </w:r>
    </w:p>
    <w:p w14:paraId="555B16CB">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2.4.2 提供施工条件</w:t>
      </w:r>
    </w:p>
    <w:p w14:paraId="57743EA3">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关于发包人应负责提供施工所需要的条件，包括：执行通用条款。</w:t>
      </w:r>
    </w:p>
    <w:p w14:paraId="515C4A08">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2.5 资金来源证明及支付担保</w:t>
      </w:r>
    </w:p>
    <w:p w14:paraId="05E37A6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发包人提供资金来源证明的期限要求：</w:t>
      </w:r>
      <w:r>
        <w:rPr>
          <w:rFonts w:hint="eastAsia" w:cs="宋体"/>
          <w:sz w:val="21"/>
          <w:szCs w:val="21"/>
          <w:highlight w:val="none"/>
          <w:u w:val="single"/>
        </w:rPr>
        <w:t>见《专用合同条款数据表》</w:t>
      </w:r>
      <w:r>
        <w:rPr>
          <w:rFonts w:hint="eastAsia" w:cs="宋体"/>
          <w:sz w:val="21"/>
          <w:szCs w:val="21"/>
          <w:highlight w:val="none"/>
        </w:rPr>
        <w:t>。</w:t>
      </w:r>
    </w:p>
    <w:p w14:paraId="2A251AFA">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发包人是否提供支付担保：</w:t>
      </w:r>
      <w:r>
        <w:rPr>
          <w:rFonts w:hint="eastAsia" w:cs="宋体"/>
          <w:sz w:val="21"/>
          <w:szCs w:val="21"/>
          <w:highlight w:val="none"/>
          <w:u w:val="single"/>
        </w:rPr>
        <w:t>见《专用合同条款数据表》</w:t>
      </w:r>
      <w:r>
        <w:rPr>
          <w:rFonts w:hint="eastAsia" w:cs="宋体"/>
          <w:sz w:val="21"/>
          <w:szCs w:val="21"/>
          <w:highlight w:val="none"/>
        </w:rPr>
        <w:t>。</w:t>
      </w:r>
    </w:p>
    <w:p w14:paraId="6FBDBF6A">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发包人提供支付担保的形式：</w:t>
      </w:r>
      <w:r>
        <w:rPr>
          <w:rFonts w:hint="eastAsia" w:cs="宋体"/>
          <w:sz w:val="21"/>
          <w:szCs w:val="21"/>
          <w:highlight w:val="none"/>
          <w:u w:val="single"/>
        </w:rPr>
        <w:t>见《专用合同条款数据表》</w:t>
      </w:r>
      <w:r>
        <w:rPr>
          <w:rFonts w:hint="eastAsia" w:cs="宋体"/>
          <w:sz w:val="21"/>
          <w:szCs w:val="21"/>
          <w:highlight w:val="none"/>
        </w:rPr>
        <w:t>。</w:t>
      </w:r>
    </w:p>
    <w:p w14:paraId="1D32061B">
      <w:pPr>
        <w:snapToGrid w:val="0"/>
        <w:spacing w:before="312" w:beforeLines="100" w:after="312" w:afterLines="100" w:line="360" w:lineRule="auto"/>
        <w:outlineLvl w:val="2"/>
        <w:rPr>
          <w:rFonts w:cs="宋体"/>
          <w:sz w:val="21"/>
          <w:szCs w:val="21"/>
          <w:highlight w:val="none"/>
        </w:rPr>
      </w:pPr>
      <w:bookmarkStart w:id="94" w:name="_Toc351203635"/>
      <w:r>
        <w:rPr>
          <w:rFonts w:hint="eastAsia" w:cs="宋体"/>
          <w:sz w:val="21"/>
          <w:szCs w:val="21"/>
          <w:highlight w:val="none"/>
        </w:rPr>
        <w:t>3</w:t>
      </w:r>
      <w:bookmarkStart w:id="95" w:name="_Toc297120458"/>
      <w:bookmarkStart w:id="96" w:name="_Toc292559363"/>
      <w:bookmarkStart w:id="97" w:name="_Toc297048344"/>
      <w:bookmarkStart w:id="98" w:name="_Toc296891198"/>
      <w:bookmarkStart w:id="99" w:name="_Toc296890986"/>
      <w:bookmarkStart w:id="100" w:name="_Toc296944497"/>
      <w:bookmarkStart w:id="101" w:name="_Toc296503158"/>
      <w:bookmarkStart w:id="102" w:name="_Toc292559868"/>
      <w:bookmarkStart w:id="103" w:name="_Toc296347157"/>
      <w:bookmarkStart w:id="104" w:name="_Toc296346659"/>
      <w:r>
        <w:rPr>
          <w:rFonts w:hint="eastAsia" w:cs="宋体"/>
          <w:sz w:val="21"/>
          <w:szCs w:val="21"/>
          <w:highlight w:val="none"/>
        </w:rPr>
        <w:t>. 承包人</w:t>
      </w:r>
      <w:bookmarkEnd w:id="94"/>
    </w:p>
    <w:bookmarkEnd w:id="95"/>
    <w:bookmarkEnd w:id="96"/>
    <w:bookmarkEnd w:id="97"/>
    <w:bookmarkEnd w:id="98"/>
    <w:bookmarkEnd w:id="99"/>
    <w:bookmarkEnd w:id="100"/>
    <w:bookmarkEnd w:id="101"/>
    <w:bookmarkEnd w:id="102"/>
    <w:bookmarkEnd w:id="103"/>
    <w:bookmarkEnd w:id="104"/>
    <w:p w14:paraId="0185749E">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3.1 承包人的一般义务</w:t>
      </w:r>
    </w:p>
    <w:p w14:paraId="4A0F46FA">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（9）承包人提交的竣工资料的内容：</w:t>
      </w:r>
      <w:r>
        <w:rPr>
          <w:rFonts w:hint="eastAsia" w:cs="宋体"/>
          <w:sz w:val="21"/>
          <w:szCs w:val="21"/>
          <w:highlight w:val="none"/>
          <w:u w:val="single"/>
        </w:rPr>
        <w:t>承包人提供全套竣工图，所有竣工图应为新图纸</w:t>
      </w:r>
      <w:r>
        <w:rPr>
          <w:rFonts w:hint="eastAsia" w:cs="宋体"/>
          <w:sz w:val="21"/>
          <w:szCs w:val="21"/>
          <w:highlight w:val="none"/>
        </w:rPr>
        <w:t>。</w:t>
      </w:r>
    </w:p>
    <w:p w14:paraId="6B450FB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承包人需要提交的竣工资料套数：</w:t>
      </w:r>
      <w:r>
        <w:rPr>
          <w:rFonts w:hint="eastAsia" w:cs="宋体"/>
          <w:sz w:val="21"/>
          <w:szCs w:val="21"/>
          <w:highlight w:val="none"/>
          <w:u w:val="single"/>
        </w:rPr>
        <w:t xml:space="preserve">        </w:t>
      </w:r>
      <w:r>
        <w:rPr>
          <w:rFonts w:hint="eastAsia" w:cs="宋体"/>
          <w:sz w:val="21"/>
          <w:szCs w:val="21"/>
          <w:highlight w:val="none"/>
        </w:rPr>
        <w:t>。</w:t>
      </w:r>
    </w:p>
    <w:p w14:paraId="7E690E27">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承包人提交的竣工资料的费用承担：</w:t>
      </w:r>
      <w:r>
        <w:rPr>
          <w:rFonts w:hint="eastAsia" w:cs="宋体"/>
          <w:sz w:val="21"/>
          <w:szCs w:val="21"/>
          <w:highlight w:val="none"/>
          <w:u w:val="single"/>
        </w:rPr>
        <w:t>承包人承担</w:t>
      </w:r>
      <w:r>
        <w:rPr>
          <w:rFonts w:hint="eastAsia" w:cs="宋体"/>
          <w:sz w:val="21"/>
          <w:szCs w:val="21"/>
          <w:highlight w:val="none"/>
        </w:rPr>
        <w:t>。</w:t>
      </w:r>
    </w:p>
    <w:p w14:paraId="06668BBB">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承包人提交的竣工资料移交时间：竣工验收中产生的竣工资料应在工程竣工后【7】天内提交。承包人延迟提供符合以上规定的竣工图纸及竣工资料的，每延迟一日，须支付【1000】元/天的违约金</w:t>
      </w:r>
      <w:r>
        <w:rPr>
          <w:rFonts w:hint="eastAsia" w:cs="宋体"/>
          <w:sz w:val="21"/>
          <w:szCs w:val="21"/>
          <w:highlight w:val="none"/>
          <w:lang w:eastAsia="zh-CN"/>
        </w:rPr>
        <w:t>。</w:t>
      </w:r>
      <w:r>
        <w:rPr>
          <w:rFonts w:hint="eastAsia" w:cs="宋体"/>
          <w:sz w:val="21"/>
          <w:szCs w:val="21"/>
          <w:highlight w:val="none"/>
        </w:rPr>
        <w:t>本合同因任何原因提前终止时，承包人均需遵守本款前述约定在合同终止后【7】天内移交资料。承包人按约履行上述资料移交义务作为发包人与承包人作进一步结算及支付的前提条件。承包人未按期限履行上述义务，每延迟一日，须支付【1000】元/天的违约金。</w:t>
      </w:r>
    </w:p>
    <w:p w14:paraId="65BA9CC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承包人提交的竣工资料形式要求：</w:t>
      </w:r>
      <w:r>
        <w:rPr>
          <w:rFonts w:hint="eastAsia" w:cs="宋体"/>
          <w:sz w:val="21"/>
          <w:szCs w:val="21"/>
          <w:highlight w:val="none"/>
          <w:u w:val="single"/>
        </w:rPr>
        <w:t xml:space="preserve"> 纸质、影像和电子资料 </w:t>
      </w:r>
      <w:r>
        <w:rPr>
          <w:rFonts w:hint="eastAsia" w:cs="宋体"/>
          <w:sz w:val="21"/>
          <w:szCs w:val="21"/>
          <w:highlight w:val="none"/>
        </w:rPr>
        <w:t>。</w:t>
      </w:r>
    </w:p>
    <w:p w14:paraId="0E021802">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（10）承包人应履行的其他义务：1）承包人对本工程的质量、安全、进度，承担管理、协调、进度控制的责任。承包人于合同签订后编制本工程的施工进度计划，提交发包人审批，经发包人认可后实施。</w:t>
      </w:r>
    </w:p>
    <w:p w14:paraId="7493B7F2">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2）承包人必须采取措施控制质量通病，质量通病防治措施遵循“提前计划，过程落实，总结改进”的原则。</w:t>
      </w:r>
    </w:p>
    <w:p w14:paraId="33AF02B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3）承包人必须遵守国家及</w:t>
      </w:r>
      <w:r>
        <w:rPr>
          <w:rFonts w:hint="eastAsia" w:cs="宋体"/>
          <w:sz w:val="21"/>
          <w:szCs w:val="21"/>
          <w:highlight w:val="none"/>
          <w:lang w:val="en-US" w:eastAsia="zh-CN"/>
        </w:rPr>
        <w:t>项目所在地</w:t>
      </w:r>
      <w:r>
        <w:rPr>
          <w:rFonts w:hint="eastAsia" w:cs="宋体"/>
          <w:sz w:val="21"/>
          <w:szCs w:val="21"/>
          <w:highlight w:val="none"/>
        </w:rPr>
        <w:t>当地现行的法律法规、规章制度、规范标准，并须主动了解并遵守发包人制定的与本工程建设相关的管理制度、安全技术标准及规定。承包人应自行承担未能充分了解并遵行前述法规、制度、标准的责任。如合同签署后国家或</w:t>
      </w:r>
      <w:r>
        <w:rPr>
          <w:rFonts w:hint="eastAsia" w:cs="宋体"/>
          <w:sz w:val="21"/>
          <w:szCs w:val="21"/>
          <w:highlight w:val="none"/>
          <w:lang w:val="en-US" w:eastAsia="zh-CN"/>
        </w:rPr>
        <w:t>项目所在地</w:t>
      </w:r>
      <w:r>
        <w:rPr>
          <w:rFonts w:hint="eastAsia" w:cs="宋体"/>
          <w:sz w:val="21"/>
          <w:szCs w:val="21"/>
          <w:highlight w:val="none"/>
        </w:rPr>
        <w:t>当地最新颁发的规章制度、规范标准高于发包人制定的制度、规定和标准的，则按国家和地方最新颁布的规定和标准执行，所造成的工期和费用等的影响，按照合同约定的变更等条款执行。</w:t>
      </w:r>
    </w:p>
    <w:p w14:paraId="3B048272">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4）在工程建设过程中，发包人和监理人发给承包人需签署或加签的合同文件、工作指令、现场设计变更等有效文件，承包人无条件当日签收，如果拒绝签收，承包人应承担【1000】元/天的违约金。</w:t>
      </w:r>
    </w:p>
    <w:p w14:paraId="0558AE8B">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5）承包人应充分考虑由于可能发包人部分手续滞后对工期及费用之影响，发包人会积极办理相关手续、承包人需积极配合，承包人今后不得提出任何与此有关的工期及费用索赔。</w:t>
      </w:r>
    </w:p>
    <w:p w14:paraId="3FCC9E7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6）承包人须充分考虑本工程施工过程中可能由于政府重大活动对工期和费用的影响，承包人不得提出任何与此有关的费用及工期索赔。</w:t>
      </w:r>
    </w:p>
    <w:p w14:paraId="0B44C19C">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7）如果任何为本工程正常使用功能和设计使用寿命所必须的，或为本工程适用的规范、规程和标准所要求的工作，既未以文字形式约定为属于发包人或承包人的工作，也未在本合同中以文字形式明确提及，则此类工作应由作为承担本工程的承包人自行完成。承包人不得就此类潜在责任和义务向发包人提出任何费用增加和（或）工期延长的要求。经发包人书面认可的变更除外。</w:t>
      </w:r>
    </w:p>
    <w:p w14:paraId="74C449C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8）依法确定和使用具有相应资质的劳务企业，及时足额支付劳务费用。</w:t>
      </w:r>
    </w:p>
    <w:p w14:paraId="60C1B77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9）本合同下特殊工种的操作人员应当受过专门的培训并已取得有关管理机构规定的岗位证书。</w:t>
      </w:r>
    </w:p>
    <w:p w14:paraId="00DB7E9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10）承包人应当遵循发包人或监理人的指令，派代表出席由发包人或监理人主持的会议，并应当提供有关资料以协助解决问题。</w:t>
      </w:r>
    </w:p>
    <w:p w14:paraId="6A18FD44">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11）承包人不得在工地或施工设备上展出任何贸易或商业广告，如承包人需要张贴该类广告，应得到发包人的书面批准。</w:t>
      </w:r>
    </w:p>
    <w:p w14:paraId="3D8DFA07">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12）如因承包人原因造成媒体负面曝光或停工，承包人应承担由此造成的全部责任和损失。</w:t>
      </w:r>
    </w:p>
    <w:p w14:paraId="20DD0C6C">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13）本合同约定应由承包人承担的义务和责任，不因发包人和监理人对承包人提交文件的审查或批准，对工程、材料和设备的检查和检验，以及发包人和监理人为合同履行作出指示等职务行为而减轻或解除。除非合同双方当事人明确以书面形式对合同条款进行修改，合同当事人实施的任何行为在任何情况下均不构成交易习惯，不得视为对合同的修改 。</w:t>
      </w:r>
    </w:p>
    <w:p w14:paraId="647E3C29">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3.2 项目经理</w:t>
      </w:r>
    </w:p>
    <w:p w14:paraId="5EA081D5">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3.2.1 项目经理：</w:t>
      </w:r>
    </w:p>
    <w:p w14:paraId="17EF1E6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姓    名：</w:t>
      </w:r>
      <w:r>
        <w:rPr>
          <w:rFonts w:hint="eastAsia" w:cs="宋体"/>
          <w:sz w:val="21"/>
          <w:szCs w:val="21"/>
          <w:highlight w:val="none"/>
          <w:u w:val="single"/>
        </w:rPr>
        <w:t>见《专用合同条款数据表》</w:t>
      </w:r>
      <w:r>
        <w:rPr>
          <w:rFonts w:hint="eastAsia" w:cs="宋体"/>
          <w:sz w:val="21"/>
          <w:szCs w:val="21"/>
          <w:highlight w:val="none"/>
        </w:rPr>
        <w:t>；</w:t>
      </w:r>
    </w:p>
    <w:p w14:paraId="69BD594A">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身份证号：</w:t>
      </w:r>
      <w:r>
        <w:rPr>
          <w:rFonts w:hint="eastAsia" w:cs="宋体"/>
          <w:sz w:val="21"/>
          <w:szCs w:val="21"/>
          <w:highlight w:val="none"/>
          <w:u w:val="single"/>
        </w:rPr>
        <w:t>见《专用合同条款数据表》</w:t>
      </w:r>
      <w:r>
        <w:rPr>
          <w:rFonts w:hint="eastAsia" w:cs="宋体"/>
          <w:sz w:val="21"/>
          <w:szCs w:val="21"/>
          <w:highlight w:val="none"/>
        </w:rPr>
        <w:t>；</w:t>
      </w:r>
    </w:p>
    <w:p w14:paraId="3D74691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建造师执业资格等级：</w:t>
      </w:r>
      <w:r>
        <w:rPr>
          <w:rFonts w:hint="eastAsia" w:cs="宋体"/>
          <w:sz w:val="21"/>
          <w:szCs w:val="21"/>
          <w:highlight w:val="none"/>
          <w:u w:val="single"/>
        </w:rPr>
        <w:t>见《专用合同条款数据表》</w:t>
      </w:r>
      <w:r>
        <w:rPr>
          <w:rFonts w:hint="eastAsia" w:cs="宋体"/>
          <w:sz w:val="21"/>
          <w:szCs w:val="21"/>
          <w:highlight w:val="none"/>
        </w:rPr>
        <w:t>；</w:t>
      </w:r>
    </w:p>
    <w:p w14:paraId="2FB84102">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建造师注册证书号：</w:t>
      </w:r>
      <w:r>
        <w:rPr>
          <w:rFonts w:hint="eastAsia" w:cs="宋体"/>
          <w:sz w:val="21"/>
          <w:szCs w:val="21"/>
          <w:highlight w:val="none"/>
          <w:u w:val="single"/>
        </w:rPr>
        <w:t>见《专用合同条款数据表》</w:t>
      </w:r>
      <w:r>
        <w:rPr>
          <w:rFonts w:hint="eastAsia" w:cs="宋体"/>
          <w:sz w:val="21"/>
          <w:szCs w:val="21"/>
          <w:highlight w:val="none"/>
        </w:rPr>
        <w:t>；</w:t>
      </w:r>
    </w:p>
    <w:p w14:paraId="02F06D7B">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建造师执业印章号：</w:t>
      </w:r>
      <w:r>
        <w:rPr>
          <w:rFonts w:hint="eastAsia" w:cs="宋体"/>
          <w:sz w:val="21"/>
          <w:szCs w:val="21"/>
          <w:highlight w:val="none"/>
          <w:u w:val="single"/>
        </w:rPr>
        <w:t xml:space="preserve">                          </w:t>
      </w:r>
      <w:r>
        <w:rPr>
          <w:rFonts w:hint="eastAsia" w:cs="宋体"/>
          <w:sz w:val="21"/>
          <w:szCs w:val="21"/>
          <w:highlight w:val="none"/>
        </w:rPr>
        <w:t>；</w:t>
      </w:r>
    </w:p>
    <w:p w14:paraId="07E7EE0D">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安全生产考核合格证书号：</w:t>
      </w:r>
      <w:r>
        <w:rPr>
          <w:rFonts w:hint="eastAsia" w:cs="宋体"/>
          <w:sz w:val="21"/>
          <w:szCs w:val="21"/>
          <w:highlight w:val="none"/>
          <w:u w:val="single"/>
        </w:rPr>
        <w:t xml:space="preserve">                          </w:t>
      </w:r>
      <w:r>
        <w:rPr>
          <w:rFonts w:hint="eastAsia" w:cs="宋体"/>
          <w:sz w:val="21"/>
          <w:szCs w:val="21"/>
          <w:highlight w:val="none"/>
        </w:rPr>
        <w:t>；</w:t>
      </w:r>
    </w:p>
    <w:p w14:paraId="2102B1C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联系电话：</w:t>
      </w:r>
      <w:r>
        <w:rPr>
          <w:rFonts w:hint="eastAsia" w:cs="宋体"/>
          <w:sz w:val="21"/>
          <w:szCs w:val="21"/>
          <w:highlight w:val="none"/>
          <w:u w:val="single"/>
        </w:rPr>
        <w:t xml:space="preserve">                          </w:t>
      </w:r>
      <w:r>
        <w:rPr>
          <w:rFonts w:hint="eastAsia" w:cs="宋体"/>
          <w:sz w:val="21"/>
          <w:szCs w:val="21"/>
          <w:highlight w:val="none"/>
        </w:rPr>
        <w:t>；</w:t>
      </w:r>
    </w:p>
    <w:p w14:paraId="70384FF5">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电子信箱：</w:t>
      </w:r>
      <w:r>
        <w:rPr>
          <w:rFonts w:hint="eastAsia" w:cs="宋体"/>
          <w:sz w:val="21"/>
          <w:szCs w:val="21"/>
          <w:highlight w:val="none"/>
          <w:u w:val="single"/>
        </w:rPr>
        <w:t xml:space="preserve">                          </w:t>
      </w:r>
      <w:r>
        <w:rPr>
          <w:rFonts w:hint="eastAsia" w:cs="宋体"/>
          <w:sz w:val="21"/>
          <w:szCs w:val="21"/>
          <w:highlight w:val="none"/>
        </w:rPr>
        <w:t>；</w:t>
      </w:r>
    </w:p>
    <w:p w14:paraId="0FB05443">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通信地址：</w:t>
      </w:r>
      <w:r>
        <w:rPr>
          <w:rFonts w:hint="eastAsia" w:cs="宋体"/>
          <w:sz w:val="21"/>
          <w:szCs w:val="21"/>
          <w:highlight w:val="none"/>
          <w:u w:val="single"/>
        </w:rPr>
        <w:t xml:space="preserve">                          </w:t>
      </w:r>
      <w:r>
        <w:rPr>
          <w:rFonts w:hint="eastAsia" w:cs="宋体"/>
          <w:sz w:val="21"/>
          <w:szCs w:val="21"/>
          <w:highlight w:val="none"/>
        </w:rPr>
        <w:t>；</w:t>
      </w:r>
    </w:p>
    <w:p w14:paraId="25E9224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承包人对项目经理的授权范围如下：</w:t>
      </w:r>
      <w:r>
        <w:rPr>
          <w:rFonts w:hint="eastAsia" w:cs="宋体"/>
          <w:sz w:val="21"/>
          <w:szCs w:val="21"/>
          <w:highlight w:val="none"/>
          <w:u w:val="single"/>
        </w:rPr>
        <w:t>见《专用合同条款数据表》</w:t>
      </w:r>
      <w:r>
        <w:rPr>
          <w:rFonts w:hint="eastAsia" w:cs="宋体"/>
          <w:sz w:val="21"/>
          <w:szCs w:val="21"/>
          <w:highlight w:val="none"/>
        </w:rPr>
        <w:t>。</w:t>
      </w:r>
    </w:p>
    <w:p w14:paraId="3041076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关于项目经理每月在施工现场的时间要求：</w:t>
      </w:r>
      <w:r>
        <w:rPr>
          <w:rFonts w:hint="eastAsia" w:cs="宋体"/>
          <w:sz w:val="21"/>
          <w:szCs w:val="21"/>
          <w:highlight w:val="none"/>
          <w:u w:val="single"/>
        </w:rPr>
        <w:t>见《专用合同条款数据表》。</w:t>
      </w:r>
    </w:p>
    <w:p w14:paraId="566BB6D5">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承包人未提交劳动合同，以及没有为项目经理缴纳社会保险证明的违约责任：承包人须立即在发包人规定期限内补办相关手续，同时有权向承包方主张合同总价0.1%的违约金 。</w:t>
      </w:r>
    </w:p>
    <w:p w14:paraId="2B6B07B4">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项目经理未经批准，擅自离开施工现场的违约责任：</w:t>
      </w:r>
      <w:r>
        <w:rPr>
          <w:rFonts w:hint="eastAsia" w:cs="宋体"/>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12CD8419">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3.2.3 承包人擅自更换项目经理的违约责任：</w:t>
      </w:r>
    </w:p>
    <w:p w14:paraId="249F13C1">
      <w:pPr>
        <w:adjustRightInd w:val="0"/>
        <w:snapToGrid w:val="0"/>
        <w:spacing w:line="360" w:lineRule="auto"/>
        <w:ind w:firstLine="420" w:firstLineChars="200"/>
        <w:rPr>
          <w:rFonts w:cs="宋体"/>
          <w:sz w:val="21"/>
          <w:szCs w:val="21"/>
          <w:highlight w:val="none"/>
        </w:rPr>
      </w:pPr>
      <w:r>
        <w:rPr>
          <w:rFonts w:hint="eastAsia" w:cs="宋体"/>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11D6B3C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3.2.4 承包人无正当理由拒绝更换项目经理的违约责任：若在合同履约过程中项目经理经发包人考核不能胜任的，发包人有权要求承包人在7天内更换，且无需说明理由，更换后的项目经理须通过发包人的考核认可，同时向发包人交纳违约金人民币5万元；</w:t>
      </w:r>
    </w:p>
    <w:p w14:paraId="5E10F84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发包人要求更换但承包人拒绝更换的，发包人有权向承包人处罚5万元的违约金，同时承包人仍应按发包人指示执行。</w:t>
      </w:r>
    </w:p>
    <w:p w14:paraId="43CDC117">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如果上述各条款中的违约金不足以弥补承包人因此给发包人造成的所有损失，承包人还应当赔偿损失 。</w:t>
      </w:r>
    </w:p>
    <w:p w14:paraId="483991C5">
      <w:pPr>
        <w:keepNext w:val="0"/>
        <w:keepLines w:val="0"/>
        <w:adjustRightInd w:val="0"/>
        <w:snapToGrid w:val="0"/>
        <w:spacing w:before="0" w:after="0" w:line="360" w:lineRule="auto"/>
        <w:ind w:firstLine="420" w:firstLineChars="200"/>
        <w:outlineLvl w:val="9"/>
        <w:rPr>
          <w:rFonts w:cs="宋体"/>
          <w:bCs/>
          <w:sz w:val="21"/>
          <w:szCs w:val="21"/>
          <w:highlight w:val="none"/>
        </w:rPr>
      </w:pPr>
      <w:r>
        <w:rPr>
          <w:rFonts w:hint="eastAsia" w:cs="宋体"/>
          <w:bCs/>
          <w:sz w:val="21"/>
          <w:szCs w:val="21"/>
          <w:highlight w:val="none"/>
        </w:rPr>
        <w:t>3.3 承包人人员</w:t>
      </w:r>
    </w:p>
    <w:p w14:paraId="1BD4201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3.3.1 承包人提交项目管理机构及施工现场管理人员安排报告的期限：接到开工通知后7天内。</w:t>
      </w:r>
    </w:p>
    <w:p w14:paraId="3CE4438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3.3.3 承包人无正当理由拒绝撤换主要施工管理人员的违约责任：发包人认为承包人派驻主要施工管理人员不称职，有权要求承包人撤换，撤换要求的通知送达承包人之日起7日内，承包人应指派新的符合要求管理人员。否则，承包人每逾期一日更换管理人员应向发包人支付违约金人民币500元/天/人 。</w:t>
      </w:r>
    </w:p>
    <w:p w14:paraId="15DDE883">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3.3.4 承包人主要施工管理人员离开施工现场的批准要求：</w:t>
      </w:r>
      <w:r>
        <w:rPr>
          <w:rFonts w:hint="eastAsia" w:cs="宋体"/>
          <w:sz w:val="21"/>
          <w:szCs w:val="21"/>
          <w:highlight w:val="none"/>
          <w:u w:val="single"/>
        </w:rPr>
        <w:t xml:space="preserve"> 执行通用条款</w:t>
      </w:r>
      <w:r>
        <w:rPr>
          <w:rFonts w:hint="eastAsia" w:cs="宋体"/>
          <w:sz w:val="21"/>
          <w:szCs w:val="21"/>
          <w:highlight w:val="none"/>
        </w:rPr>
        <w:t>。</w:t>
      </w:r>
    </w:p>
    <w:p w14:paraId="521C6A97">
      <w:pPr>
        <w:adjustRightInd w:val="0"/>
        <w:snapToGrid w:val="0"/>
        <w:spacing w:line="360" w:lineRule="auto"/>
        <w:ind w:firstLine="424" w:firstLineChars="202"/>
        <w:rPr>
          <w:rFonts w:cs="宋体"/>
          <w:sz w:val="21"/>
          <w:szCs w:val="21"/>
          <w:highlight w:val="none"/>
        </w:rPr>
      </w:pPr>
      <w:r>
        <w:rPr>
          <w:rFonts w:hint="eastAsia" w:cs="宋体"/>
          <w:sz w:val="21"/>
          <w:szCs w:val="21"/>
          <w:highlight w:val="none"/>
        </w:rPr>
        <w:t>3.3.5 承包人擅自更换主要施工管理人员的违约责任：</w:t>
      </w:r>
      <w:r>
        <w:rPr>
          <w:rFonts w:hint="eastAsia" w:cs="宋体"/>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6EC9143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承包人主要施工管理人员擅自离开施工现场的违约责任：承包人主要施工管理人员每月按工作日时间出勤；缺岗一天按500元/天/人交纳违约金。</w:t>
      </w:r>
    </w:p>
    <w:p w14:paraId="465D97F0">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3</w:t>
      </w:r>
      <w:bookmarkStart w:id="105" w:name="_Toc297120459"/>
      <w:bookmarkStart w:id="106" w:name="_Toc300934945"/>
      <w:bookmarkStart w:id="107" w:name="_Toc292559869"/>
      <w:bookmarkStart w:id="108" w:name="_Toc304295523"/>
      <w:bookmarkStart w:id="109" w:name="_Toc296890987"/>
      <w:bookmarkStart w:id="110" w:name="_Toc296891199"/>
      <w:bookmarkStart w:id="111" w:name="_Toc296347158"/>
      <w:bookmarkStart w:id="112" w:name="_Toc297123492"/>
      <w:bookmarkStart w:id="113" w:name="_Toc303539102"/>
      <w:bookmarkStart w:id="114" w:name="_Toc312677988"/>
      <w:bookmarkStart w:id="115" w:name="_Toc292559364"/>
      <w:bookmarkStart w:id="116" w:name="_Toc297216151"/>
      <w:bookmarkStart w:id="117" w:name="_Toc297048345"/>
      <w:bookmarkStart w:id="118" w:name="_Toc296944498"/>
      <w:bookmarkStart w:id="119" w:name="_Toc296346660"/>
      <w:bookmarkStart w:id="120" w:name="_Toc296503159"/>
      <w:r>
        <w:rPr>
          <w:rFonts w:hint="eastAsia" w:cs="宋体"/>
          <w:bCs/>
          <w:sz w:val="21"/>
          <w:szCs w:val="21"/>
          <w:highlight w:val="none"/>
        </w:rPr>
        <w:t>.5 分包</w:t>
      </w: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14:paraId="6248A9F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3</w:t>
      </w:r>
      <w:bookmarkStart w:id="121" w:name="_Toc296347159"/>
      <w:bookmarkStart w:id="122" w:name="_Toc300934946"/>
      <w:bookmarkStart w:id="123" w:name="_Toc296346661"/>
      <w:bookmarkStart w:id="124" w:name="_Toc297123493"/>
      <w:bookmarkStart w:id="125" w:name="_Toc297120460"/>
      <w:bookmarkStart w:id="126" w:name="_Toc303539103"/>
      <w:bookmarkStart w:id="127" w:name="_Toc292559365"/>
      <w:bookmarkStart w:id="128" w:name="_Toc296944499"/>
      <w:bookmarkStart w:id="129" w:name="_Toc304295524"/>
      <w:bookmarkStart w:id="130" w:name="_Toc297048346"/>
      <w:bookmarkStart w:id="131" w:name="_Toc297216152"/>
      <w:bookmarkStart w:id="132" w:name="_Toc296890988"/>
      <w:bookmarkStart w:id="133" w:name="_Toc296503160"/>
      <w:bookmarkStart w:id="134" w:name="_Toc292559870"/>
      <w:bookmarkStart w:id="135" w:name="_Toc296891200"/>
      <w:bookmarkStart w:id="136" w:name="_Toc312677989"/>
      <w:bookmarkStart w:id="137" w:name="_Toc318581158"/>
      <w:r>
        <w:rPr>
          <w:rFonts w:hint="eastAsia" w:cs="宋体"/>
          <w:sz w:val="21"/>
          <w:szCs w:val="21"/>
          <w:highlight w:val="none"/>
        </w:rPr>
        <w:t>.5.1 分包的一般约定</w:t>
      </w:r>
    </w:p>
    <w:p w14:paraId="61FE623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禁止分包的工程包括：国家法律、法规及规范要求禁止分包的以及发包人不同意分包的</w:t>
      </w:r>
      <w:r>
        <w:rPr>
          <w:rFonts w:hint="eastAsia" w:cs="宋体"/>
          <w:sz w:val="21"/>
          <w:szCs w:val="21"/>
          <w:highlight w:val="none"/>
          <w:u w:val="single"/>
        </w:rPr>
        <w:t xml:space="preserve"> </w:t>
      </w:r>
      <w:r>
        <w:rPr>
          <w:rFonts w:hint="eastAsia" w:cs="宋体"/>
          <w:sz w:val="21"/>
          <w:szCs w:val="21"/>
          <w:highlight w:val="none"/>
        </w:rPr>
        <w:t>。</w:t>
      </w:r>
    </w:p>
    <w:p w14:paraId="10AF61EC">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主体结构、关键性工作的范围：</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Start w:id="138" w:name="_Toc297048347"/>
      <w:bookmarkStart w:id="139" w:name="_Toc296346662"/>
      <w:bookmarkStart w:id="140" w:name="_Toc296503161"/>
      <w:bookmarkStart w:id="141" w:name="_Toc304295525"/>
      <w:bookmarkStart w:id="142" w:name="_Toc300934947"/>
      <w:bookmarkStart w:id="143" w:name="_Toc297216153"/>
      <w:bookmarkStart w:id="144" w:name="_Toc296347160"/>
      <w:bookmarkStart w:id="145" w:name="_Toc296944500"/>
      <w:bookmarkStart w:id="146" w:name="_Toc297120461"/>
      <w:bookmarkStart w:id="147" w:name="_Toc297123494"/>
      <w:bookmarkStart w:id="148" w:name="_Toc303539104"/>
      <w:bookmarkStart w:id="149" w:name="_Toc296890989"/>
      <w:bookmarkStart w:id="150" w:name="_Toc296891201"/>
      <w:r>
        <w:rPr>
          <w:rFonts w:hint="eastAsia" w:cs="宋体"/>
          <w:sz w:val="21"/>
          <w:szCs w:val="21"/>
          <w:highlight w:val="none"/>
        </w:rPr>
        <w:t>符合国家法律、法规及规范要求</w:t>
      </w:r>
      <w:r>
        <w:rPr>
          <w:rFonts w:hint="eastAsia" w:cs="宋体"/>
          <w:sz w:val="21"/>
          <w:szCs w:val="21"/>
          <w:highlight w:val="none"/>
          <w:u w:val="single"/>
        </w:rPr>
        <w:t xml:space="preserve"> </w:t>
      </w:r>
      <w:r>
        <w:rPr>
          <w:rFonts w:hint="eastAsia" w:cs="宋体"/>
          <w:sz w:val="21"/>
          <w:szCs w:val="21"/>
          <w:highlight w:val="none"/>
        </w:rPr>
        <w:t>。</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14:paraId="3423CAF3">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3</w:t>
      </w:r>
      <w:bookmarkStart w:id="151" w:name="_Toc312677990"/>
      <w:bookmarkStart w:id="152" w:name="_Toc318581159"/>
      <w:r>
        <w:rPr>
          <w:rFonts w:hint="eastAsia" w:cs="宋体"/>
          <w:sz w:val="21"/>
          <w:szCs w:val="21"/>
          <w:highlight w:val="none"/>
        </w:rPr>
        <w:t>.5.2 分包的确定</w:t>
      </w:r>
    </w:p>
    <w:p w14:paraId="1546F6B4">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允许分包的专业工程包括：</w:t>
      </w:r>
      <w:r>
        <w:rPr>
          <w:rFonts w:hint="eastAsia" w:cs="宋体"/>
          <w:sz w:val="21"/>
          <w:szCs w:val="21"/>
          <w:highlight w:val="none"/>
          <w:u w:val="single"/>
        </w:rPr>
        <w:t xml:space="preserve"> 满足国家法律、法规及规范要求，并报发包人书面审批同意的 </w:t>
      </w:r>
      <w:r>
        <w:rPr>
          <w:rFonts w:hint="eastAsia" w:cs="宋体"/>
          <w:sz w:val="21"/>
          <w:szCs w:val="21"/>
          <w:highlight w:val="none"/>
        </w:rPr>
        <w:t>。</w:t>
      </w:r>
    </w:p>
    <w:p w14:paraId="0A2FE4EF">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其他关于分包的约定：</w:t>
      </w:r>
      <w:r>
        <w:rPr>
          <w:rFonts w:hint="eastAsia" w:cs="宋体"/>
          <w:sz w:val="21"/>
          <w:szCs w:val="21"/>
          <w:highlight w:val="none"/>
          <w:u w:val="single"/>
        </w:rPr>
        <w:t xml:space="preserve">  </w:t>
      </w:r>
      <w:r>
        <w:rPr>
          <w:rFonts w:hint="eastAsia" w:cs="宋体"/>
          <w:sz w:val="21"/>
          <w:szCs w:val="21"/>
          <w:highlight w:val="none"/>
          <w:u w:val="single"/>
          <w:lang w:val="en-US" w:eastAsia="zh-CN"/>
        </w:rPr>
        <w:t>/</w:t>
      </w:r>
      <w:r>
        <w:rPr>
          <w:rFonts w:hint="eastAsia" w:cs="宋体"/>
          <w:sz w:val="21"/>
          <w:szCs w:val="21"/>
          <w:highlight w:val="none"/>
          <w:u w:val="single"/>
        </w:rPr>
        <w:t xml:space="preserve">        </w:t>
      </w:r>
      <w:r>
        <w:rPr>
          <w:rFonts w:hint="eastAsia" w:cs="宋体"/>
          <w:sz w:val="21"/>
          <w:szCs w:val="21"/>
          <w:highlight w:val="none"/>
        </w:rPr>
        <w:t>。</w:t>
      </w:r>
    </w:p>
    <w:p w14:paraId="2585607C">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3.5.4 分包合同价款</w:t>
      </w:r>
    </w:p>
    <w:p w14:paraId="47F828A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关于分包合同价款支付的约定：执行通用条款</w:t>
      </w:r>
      <w:r>
        <w:rPr>
          <w:rFonts w:hint="eastAsia" w:cs="宋体"/>
          <w:sz w:val="21"/>
          <w:szCs w:val="21"/>
          <w:highlight w:val="none"/>
          <w:u w:val="single"/>
        </w:rPr>
        <w:t xml:space="preserve"> </w:t>
      </w:r>
      <w:r>
        <w:rPr>
          <w:rFonts w:hint="eastAsia" w:cs="宋体"/>
          <w:sz w:val="21"/>
          <w:szCs w:val="21"/>
          <w:highlight w:val="none"/>
        </w:rPr>
        <w:t>。</w:t>
      </w:r>
    </w:p>
    <w:bookmarkEnd w:id="151"/>
    <w:bookmarkEnd w:id="152"/>
    <w:p w14:paraId="4FC5A0D0">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3.6 工程照管与成品、半成品保护</w:t>
      </w:r>
    </w:p>
    <w:p w14:paraId="784B82E0">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承包人负责照管工程及工程相关的材料、工程设备的起始时间：</w:t>
      </w:r>
      <w:r>
        <w:rPr>
          <w:rFonts w:hint="eastAsia" w:cs="宋体"/>
          <w:sz w:val="21"/>
          <w:szCs w:val="21"/>
          <w:highlight w:val="none"/>
          <w:u w:val="single"/>
        </w:rPr>
        <w:t>自发包人向承包人移交施工现场之日起，承包人应负责照管工程及工程相关的材料、工程设备，直到颁发工程接收证书之日止。</w:t>
      </w:r>
    </w:p>
    <w:p w14:paraId="5C2C90AB">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3.7 履约保证金</w:t>
      </w:r>
    </w:p>
    <w:p w14:paraId="025E546D">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承包人是否提供履约保证金：</w:t>
      </w:r>
      <w:r>
        <w:rPr>
          <w:rFonts w:hint="eastAsia" w:cs="宋体"/>
          <w:sz w:val="21"/>
          <w:szCs w:val="21"/>
          <w:highlight w:val="none"/>
          <w:u w:val="single"/>
        </w:rPr>
        <w:t>见《专用合同条款数据表》</w:t>
      </w:r>
      <w:r>
        <w:rPr>
          <w:rFonts w:hint="eastAsia" w:cs="宋体"/>
          <w:sz w:val="21"/>
          <w:szCs w:val="21"/>
          <w:highlight w:val="none"/>
        </w:rPr>
        <w:t>。</w:t>
      </w:r>
    </w:p>
    <w:p w14:paraId="44EAC6CA">
      <w:pPr>
        <w:adjustRightInd w:val="0"/>
        <w:snapToGrid w:val="0"/>
        <w:spacing w:line="360" w:lineRule="auto"/>
        <w:ind w:left="-70" w:leftChars="-35" w:firstLine="497" w:firstLineChars="237"/>
        <w:rPr>
          <w:rFonts w:cs="宋体"/>
          <w:b/>
          <w:sz w:val="21"/>
          <w:szCs w:val="21"/>
          <w:highlight w:val="none"/>
        </w:rPr>
      </w:pPr>
      <w:r>
        <w:rPr>
          <w:rFonts w:hint="eastAsia" w:cs="宋体"/>
          <w:sz w:val="21"/>
          <w:szCs w:val="21"/>
          <w:highlight w:val="none"/>
        </w:rPr>
        <w:t>承包人提供履约保证金的形式：</w:t>
      </w:r>
      <w:r>
        <w:rPr>
          <w:rFonts w:hint="eastAsia" w:cs="宋体"/>
          <w:sz w:val="21"/>
          <w:szCs w:val="21"/>
          <w:highlight w:val="none"/>
          <w:u w:val="single"/>
        </w:rPr>
        <w:t>见《专用合同条款数据表》</w:t>
      </w:r>
      <w:r>
        <w:rPr>
          <w:rFonts w:hint="eastAsia" w:cs="宋体"/>
          <w:sz w:val="21"/>
          <w:szCs w:val="21"/>
          <w:highlight w:val="none"/>
        </w:rPr>
        <w:t>。</w:t>
      </w:r>
    </w:p>
    <w:p w14:paraId="412B5181">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履约保证金的金额：</w:t>
      </w:r>
      <w:r>
        <w:rPr>
          <w:rFonts w:hint="eastAsia" w:cs="宋体"/>
          <w:sz w:val="21"/>
          <w:szCs w:val="21"/>
          <w:highlight w:val="none"/>
          <w:u w:val="single"/>
        </w:rPr>
        <w:t>见《专用合同条款数据表》</w:t>
      </w:r>
      <w:r>
        <w:rPr>
          <w:rFonts w:hint="eastAsia" w:cs="宋体"/>
          <w:sz w:val="21"/>
          <w:szCs w:val="21"/>
          <w:highlight w:val="none"/>
        </w:rPr>
        <w:t>。</w:t>
      </w:r>
    </w:p>
    <w:p w14:paraId="5970A819">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履约保证金提交期限的要求：</w:t>
      </w:r>
      <w:r>
        <w:rPr>
          <w:rFonts w:hint="eastAsia" w:cs="宋体"/>
          <w:sz w:val="21"/>
          <w:szCs w:val="21"/>
          <w:highlight w:val="none"/>
          <w:u w:val="single"/>
        </w:rPr>
        <w:t>见《专用合同条款数据表》。</w:t>
      </w:r>
    </w:p>
    <w:p w14:paraId="616AF83D">
      <w:pPr>
        <w:adjustRightInd w:val="0"/>
        <w:snapToGrid w:val="0"/>
        <w:spacing w:line="360" w:lineRule="auto"/>
        <w:ind w:firstLine="420" w:firstLineChars="200"/>
        <w:rPr>
          <w:rFonts w:cs="宋体"/>
          <w:strike/>
          <w:sz w:val="21"/>
          <w:szCs w:val="21"/>
          <w:highlight w:val="none"/>
        </w:rPr>
      </w:pPr>
      <w:r>
        <w:rPr>
          <w:rFonts w:hint="eastAsia" w:cs="宋体"/>
          <w:bCs/>
          <w:snapToGrid w:val="0"/>
          <w:sz w:val="21"/>
          <w:szCs w:val="21"/>
          <w:highlight w:val="none"/>
        </w:rPr>
        <w:t>履约保证金退还时限：</w:t>
      </w:r>
      <w:r>
        <w:rPr>
          <w:rFonts w:hint="eastAsia" w:cs="宋体"/>
          <w:sz w:val="21"/>
          <w:szCs w:val="21"/>
          <w:highlight w:val="none"/>
          <w:u w:val="single"/>
        </w:rPr>
        <w:t>见《专用合同条款数据表》。</w:t>
      </w:r>
    </w:p>
    <w:p w14:paraId="75BFF682">
      <w:pPr>
        <w:snapToGrid w:val="0"/>
        <w:spacing w:before="312" w:beforeLines="100" w:after="312" w:afterLines="100" w:line="360" w:lineRule="auto"/>
        <w:outlineLvl w:val="2"/>
        <w:rPr>
          <w:rFonts w:cs="宋体"/>
          <w:sz w:val="21"/>
          <w:szCs w:val="21"/>
          <w:highlight w:val="none"/>
        </w:rPr>
      </w:pPr>
      <w:bookmarkStart w:id="153" w:name="_Toc351203636"/>
      <w:r>
        <w:rPr>
          <w:rFonts w:hint="eastAsia" w:cs="宋体"/>
          <w:sz w:val="21"/>
          <w:szCs w:val="21"/>
          <w:highlight w:val="none"/>
        </w:rPr>
        <w:t>4</w:t>
      </w:r>
      <w:bookmarkStart w:id="154" w:name="_Toc296890990"/>
      <w:bookmarkStart w:id="155" w:name="_Toc296346663"/>
      <w:bookmarkStart w:id="156" w:name="_Toc296944501"/>
      <w:bookmarkStart w:id="157" w:name="_Toc292559366"/>
      <w:bookmarkStart w:id="158" w:name="_Toc297048348"/>
      <w:bookmarkStart w:id="159" w:name="_Toc296891202"/>
      <w:bookmarkStart w:id="160" w:name="_Toc297120462"/>
      <w:bookmarkStart w:id="161" w:name="_Toc292559871"/>
      <w:bookmarkStart w:id="162" w:name="_Toc296503162"/>
      <w:bookmarkStart w:id="163" w:name="_Toc296347161"/>
      <w:bookmarkStart w:id="164" w:name="_Toc267251413"/>
      <w:r>
        <w:rPr>
          <w:rFonts w:hint="eastAsia" w:cs="宋体"/>
          <w:sz w:val="21"/>
          <w:szCs w:val="21"/>
          <w:highlight w:val="none"/>
        </w:rPr>
        <w:t>. 监</w:t>
      </w:r>
      <w:bookmarkEnd w:id="154"/>
      <w:bookmarkEnd w:id="155"/>
      <w:bookmarkEnd w:id="156"/>
      <w:bookmarkEnd w:id="157"/>
      <w:bookmarkEnd w:id="158"/>
      <w:bookmarkEnd w:id="159"/>
      <w:bookmarkEnd w:id="160"/>
      <w:bookmarkEnd w:id="161"/>
      <w:bookmarkEnd w:id="162"/>
      <w:bookmarkEnd w:id="163"/>
      <w:bookmarkEnd w:id="164"/>
      <w:r>
        <w:rPr>
          <w:rFonts w:hint="eastAsia" w:cs="宋体"/>
          <w:sz w:val="21"/>
          <w:szCs w:val="21"/>
          <w:highlight w:val="none"/>
        </w:rPr>
        <w:t>理人</w:t>
      </w:r>
      <w:bookmarkEnd w:id="153"/>
    </w:p>
    <w:p w14:paraId="54EE6828">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4.1 监理人的一般规定</w:t>
      </w:r>
    </w:p>
    <w:p w14:paraId="7E7377DA">
      <w:pPr>
        <w:adjustRightInd w:val="0"/>
        <w:snapToGrid w:val="0"/>
        <w:spacing w:line="360" w:lineRule="auto"/>
        <w:ind w:firstLine="420" w:firstLineChars="200"/>
        <w:rPr>
          <w:rFonts w:cs="宋体"/>
          <w:b/>
          <w:sz w:val="21"/>
          <w:szCs w:val="21"/>
          <w:highlight w:val="none"/>
          <w:u w:val="single"/>
        </w:rPr>
      </w:pPr>
      <w:r>
        <w:rPr>
          <w:rFonts w:hint="eastAsia" w:cs="宋体"/>
          <w:sz w:val="21"/>
          <w:szCs w:val="21"/>
          <w:highlight w:val="none"/>
        </w:rPr>
        <w:t>关于监理人的监理内容：</w:t>
      </w:r>
      <w:r>
        <w:rPr>
          <w:rFonts w:hint="eastAsia" w:cs="宋体"/>
          <w:sz w:val="21"/>
          <w:szCs w:val="21"/>
          <w:highlight w:val="none"/>
          <w:u w:val="single"/>
        </w:rPr>
        <w:t xml:space="preserve">           </w:t>
      </w:r>
      <w:r>
        <w:rPr>
          <w:rFonts w:hint="eastAsia" w:cs="宋体"/>
          <w:sz w:val="21"/>
          <w:szCs w:val="21"/>
          <w:highlight w:val="none"/>
        </w:rPr>
        <w:t>。</w:t>
      </w:r>
    </w:p>
    <w:p w14:paraId="18590F4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关于监理人的监理权限：</w:t>
      </w:r>
      <w:r>
        <w:rPr>
          <w:rFonts w:hint="eastAsia" w:cs="宋体"/>
          <w:sz w:val="21"/>
          <w:szCs w:val="21"/>
          <w:highlight w:val="none"/>
          <w:u w:val="single"/>
        </w:rPr>
        <w:t xml:space="preserve">           </w:t>
      </w:r>
      <w:r>
        <w:rPr>
          <w:rFonts w:hint="eastAsia" w:cs="宋体"/>
          <w:sz w:val="21"/>
          <w:szCs w:val="21"/>
          <w:highlight w:val="none"/>
        </w:rPr>
        <w:t>。</w:t>
      </w:r>
    </w:p>
    <w:p w14:paraId="1929B34D">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关于监理人在施工现场的办公场所、生活场所的提供和费用承担的约定：</w:t>
      </w:r>
      <w:r>
        <w:rPr>
          <w:rFonts w:hint="eastAsia" w:cs="宋体"/>
          <w:sz w:val="21"/>
          <w:szCs w:val="21"/>
          <w:highlight w:val="none"/>
          <w:u w:val="single"/>
        </w:rPr>
        <w:t xml:space="preserve">      </w:t>
      </w:r>
      <w:r>
        <w:rPr>
          <w:rFonts w:hint="eastAsia" w:cs="宋体"/>
          <w:sz w:val="21"/>
          <w:szCs w:val="21"/>
          <w:highlight w:val="none"/>
        </w:rPr>
        <w:t>。</w:t>
      </w:r>
    </w:p>
    <w:p w14:paraId="7FB9BC1B">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4.2 监理人员</w:t>
      </w:r>
    </w:p>
    <w:p w14:paraId="48EF506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总监理工程师：</w:t>
      </w:r>
    </w:p>
    <w:p w14:paraId="2CF7ED6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姓    名：</w:t>
      </w:r>
      <w:r>
        <w:rPr>
          <w:rFonts w:hint="eastAsia" w:cs="宋体"/>
          <w:sz w:val="21"/>
          <w:szCs w:val="21"/>
          <w:highlight w:val="none"/>
          <w:u w:val="single"/>
        </w:rPr>
        <w:t xml:space="preserve">                            </w:t>
      </w:r>
      <w:r>
        <w:rPr>
          <w:rFonts w:hint="eastAsia" w:cs="宋体"/>
          <w:sz w:val="21"/>
          <w:szCs w:val="21"/>
          <w:highlight w:val="none"/>
        </w:rPr>
        <w:t>；</w:t>
      </w:r>
    </w:p>
    <w:p w14:paraId="6B6302F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职    务：</w:t>
      </w:r>
      <w:r>
        <w:rPr>
          <w:rFonts w:hint="eastAsia" w:cs="宋体"/>
          <w:sz w:val="21"/>
          <w:szCs w:val="21"/>
          <w:highlight w:val="none"/>
          <w:u w:val="single"/>
        </w:rPr>
        <w:t xml:space="preserve">                            </w:t>
      </w:r>
      <w:r>
        <w:rPr>
          <w:rFonts w:hint="eastAsia" w:cs="宋体"/>
          <w:sz w:val="21"/>
          <w:szCs w:val="21"/>
          <w:highlight w:val="none"/>
        </w:rPr>
        <w:t>；</w:t>
      </w:r>
    </w:p>
    <w:p w14:paraId="39199BBA">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监理工程师执业资格证书号：</w:t>
      </w:r>
      <w:r>
        <w:rPr>
          <w:rFonts w:hint="eastAsia" w:cs="宋体"/>
          <w:sz w:val="21"/>
          <w:szCs w:val="21"/>
          <w:highlight w:val="none"/>
          <w:u w:val="single"/>
        </w:rPr>
        <w:t xml:space="preserve">                            </w:t>
      </w:r>
      <w:r>
        <w:rPr>
          <w:rFonts w:hint="eastAsia" w:cs="宋体"/>
          <w:sz w:val="21"/>
          <w:szCs w:val="21"/>
          <w:highlight w:val="none"/>
        </w:rPr>
        <w:t>；</w:t>
      </w:r>
    </w:p>
    <w:p w14:paraId="05763322">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联系电话：</w:t>
      </w:r>
      <w:r>
        <w:rPr>
          <w:rFonts w:hint="eastAsia" w:cs="宋体"/>
          <w:sz w:val="21"/>
          <w:szCs w:val="21"/>
          <w:highlight w:val="none"/>
          <w:u w:val="single"/>
        </w:rPr>
        <w:t xml:space="preserve">                            </w:t>
      </w:r>
      <w:r>
        <w:rPr>
          <w:rFonts w:hint="eastAsia" w:cs="宋体"/>
          <w:sz w:val="21"/>
          <w:szCs w:val="21"/>
          <w:highlight w:val="none"/>
        </w:rPr>
        <w:t>；</w:t>
      </w:r>
    </w:p>
    <w:p w14:paraId="7134728B">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电子信箱：</w:t>
      </w:r>
      <w:r>
        <w:rPr>
          <w:rFonts w:hint="eastAsia" w:cs="宋体"/>
          <w:sz w:val="21"/>
          <w:szCs w:val="21"/>
          <w:highlight w:val="none"/>
          <w:u w:val="single"/>
        </w:rPr>
        <w:t xml:space="preserve">                            </w:t>
      </w:r>
      <w:r>
        <w:rPr>
          <w:rFonts w:hint="eastAsia" w:cs="宋体"/>
          <w:sz w:val="21"/>
          <w:szCs w:val="21"/>
          <w:highlight w:val="none"/>
        </w:rPr>
        <w:t>；</w:t>
      </w:r>
    </w:p>
    <w:p w14:paraId="42211DA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通信地址：</w:t>
      </w:r>
      <w:r>
        <w:rPr>
          <w:rFonts w:hint="eastAsia" w:cs="宋体"/>
          <w:sz w:val="21"/>
          <w:szCs w:val="21"/>
          <w:highlight w:val="none"/>
          <w:u w:val="single"/>
        </w:rPr>
        <w:t xml:space="preserve">                            </w:t>
      </w:r>
      <w:r>
        <w:rPr>
          <w:rFonts w:hint="eastAsia" w:cs="宋体"/>
          <w:sz w:val="21"/>
          <w:szCs w:val="21"/>
          <w:highlight w:val="none"/>
        </w:rPr>
        <w:t>；</w:t>
      </w:r>
    </w:p>
    <w:p w14:paraId="7835940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关于监理人的其他约定：</w:t>
      </w:r>
      <w:r>
        <w:rPr>
          <w:rFonts w:hint="eastAsia" w:cs="宋体"/>
          <w:sz w:val="21"/>
          <w:szCs w:val="21"/>
          <w:highlight w:val="none"/>
          <w:u w:val="single"/>
        </w:rPr>
        <w:t xml:space="preserve">                            </w:t>
      </w:r>
      <w:r>
        <w:rPr>
          <w:rFonts w:hint="eastAsia" w:cs="宋体"/>
          <w:sz w:val="21"/>
          <w:szCs w:val="21"/>
          <w:highlight w:val="none"/>
        </w:rPr>
        <w:t>。</w:t>
      </w:r>
    </w:p>
    <w:p w14:paraId="145D32AF">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4.4 商定或确定</w:t>
      </w:r>
    </w:p>
    <w:p w14:paraId="69031856">
      <w:pPr>
        <w:adjustRightInd w:val="0"/>
        <w:snapToGrid w:val="0"/>
        <w:spacing w:line="360" w:lineRule="auto"/>
        <w:ind w:firstLine="420" w:firstLineChars="200"/>
        <w:rPr>
          <w:rFonts w:cs="宋体"/>
          <w:sz w:val="21"/>
          <w:szCs w:val="21"/>
          <w:highlight w:val="none"/>
        </w:rPr>
      </w:pPr>
      <w:bookmarkStart w:id="165" w:name="_Toc267251418"/>
      <w:r>
        <w:rPr>
          <w:rFonts w:hint="eastAsia" w:cs="宋体"/>
          <w:sz w:val="21"/>
          <w:szCs w:val="21"/>
          <w:highlight w:val="none"/>
        </w:rPr>
        <w:t>在发包人和承包人不能通过协商达成一致意见时，发包人授权监理人对以下事项进行确定：</w:t>
      </w:r>
    </w:p>
    <w:p w14:paraId="0A66E31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w:t>
      </w:r>
      <w:r>
        <w:rPr>
          <w:rFonts w:hint="eastAsia" w:cs="宋体"/>
          <w:sz w:val="21"/>
          <w:szCs w:val="21"/>
          <w:highlight w:val="none"/>
          <w:u w:val="single"/>
        </w:rPr>
        <w:t xml:space="preserve">                            </w:t>
      </w:r>
      <w:r>
        <w:rPr>
          <w:rFonts w:hint="eastAsia" w:cs="宋体"/>
          <w:sz w:val="21"/>
          <w:szCs w:val="21"/>
          <w:highlight w:val="none"/>
        </w:rPr>
        <w:t>；</w:t>
      </w:r>
    </w:p>
    <w:p w14:paraId="6D3502A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（2）</w:t>
      </w:r>
      <w:r>
        <w:rPr>
          <w:rFonts w:hint="eastAsia" w:cs="宋体"/>
          <w:sz w:val="21"/>
          <w:szCs w:val="21"/>
          <w:highlight w:val="none"/>
          <w:u w:val="single"/>
        </w:rPr>
        <w:t xml:space="preserve">                            </w:t>
      </w:r>
      <w:r>
        <w:rPr>
          <w:rFonts w:hint="eastAsia" w:cs="宋体"/>
          <w:sz w:val="21"/>
          <w:szCs w:val="21"/>
          <w:highlight w:val="none"/>
        </w:rPr>
        <w:t>；</w:t>
      </w:r>
    </w:p>
    <w:p w14:paraId="54E83F2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（3）</w:t>
      </w:r>
      <w:r>
        <w:rPr>
          <w:rFonts w:hint="eastAsia" w:cs="宋体"/>
          <w:sz w:val="21"/>
          <w:szCs w:val="21"/>
          <w:highlight w:val="none"/>
          <w:u w:val="single"/>
        </w:rPr>
        <w:t xml:space="preserve">                            </w:t>
      </w:r>
      <w:r>
        <w:rPr>
          <w:rFonts w:hint="eastAsia" w:cs="宋体"/>
          <w:sz w:val="21"/>
          <w:szCs w:val="21"/>
          <w:highlight w:val="none"/>
        </w:rPr>
        <w:t>。</w:t>
      </w:r>
    </w:p>
    <w:p w14:paraId="073F0DBC">
      <w:pPr>
        <w:snapToGrid w:val="0"/>
        <w:spacing w:before="312" w:beforeLines="100" w:after="312" w:afterLines="100" w:line="360" w:lineRule="auto"/>
        <w:outlineLvl w:val="2"/>
        <w:rPr>
          <w:rFonts w:cs="宋体"/>
          <w:sz w:val="21"/>
          <w:szCs w:val="21"/>
          <w:highlight w:val="none"/>
        </w:rPr>
      </w:pPr>
      <w:bookmarkStart w:id="166" w:name="_Toc351203637"/>
      <w:r>
        <w:rPr>
          <w:rFonts w:hint="eastAsia" w:cs="宋体"/>
          <w:sz w:val="21"/>
          <w:szCs w:val="21"/>
          <w:highlight w:val="none"/>
        </w:rPr>
        <w:t>5</w:t>
      </w:r>
      <w:bookmarkEnd w:id="165"/>
      <w:bookmarkStart w:id="167" w:name="_Toc296891203"/>
      <w:bookmarkStart w:id="168" w:name="_Toc296347162"/>
      <w:bookmarkStart w:id="169" w:name="_Toc296944502"/>
      <w:bookmarkStart w:id="170" w:name="_Toc296346664"/>
      <w:bookmarkStart w:id="171" w:name="_Toc296503163"/>
      <w:bookmarkStart w:id="172" w:name="_Toc292559367"/>
      <w:bookmarkStart w:id="173" w:name="_Toc296890991"/>
      <w:bookmarkStart w:id="174" w:name="_Toc297048349"/>
      <w:bookmarkStart w:id="175" w:name="_Toc292559872"/>
      <w:bookmarkStart w:id="176" w:name="_Toc297120463"/>
      <w:r>
        <w:rPr>
          <w:rFonts w:hint="eastAsia" w:cs="宋体"/>
          <w:sz w:val="21"/>
          <w:szCs w:val="21"/>
          <w:highlight w:val="none"/>
        </w:rPr>
        <w:t>. 工程质量</w:t>
      </w:r>
      <w:bookmarkEnd w:id="166"/>
    </w:p>
    <w:p w14:paraId="269684F6">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5.1 质量要求</w:t>
      </w:r>
    </w:p>
    <w:p w14:paraId="5AFAA4F9">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5</w:t>
      </w:r>
      <w:bookmarkStart w:id="177" w:name="_Toc304295527"/>
      <w:bookmarkStart w:id="178" w:name="_Toc303539106"/>
      <w:bookmarkStart w:id="179" w:name="_Toc297216155"/>
      <w:bookmarkStart w:id="180" w:name="_Toc297123496"/>
      <w:bookmarkStart w:id="181" w:name="_Toc300934949"/>
      <w:bookmarkStart w:id="182" w:name="_Toc312677997"/>
      <w:bookmarkStart w:id="183" w:name="_Toc318581164"/>
      <w:r>
        <w:rPr>
          <w:rFonts w:hint="eastAsia" w:cs="宋体"/>
          <w:sz w:val="21"/>
          <w:szCs w:val="21"/>
          <w:highlight w:val="none"/>
        </w:rPr>
        <w:t>.1.1 特殊质量标准和要求：</w:t>
      </w:r>
      <w:r>
        <w:rPr>
          <w:rFonts w:hint="eastAsia" w:cs="宋体"/>
          <w:sz w:val="21"/>
          <w:szCs w:val="21"/>
          <w:highlight w:val="none"/>
          <w:u w:val="single"/>
        </w:rPr>
        <w:t>见《专用合同条款数据表》</w:t>
      </w:r>
      <w:r>
        <w:rPr>
          <w:rFonts w:hint="eastAsia" w:cs="宋体"/>
          <w:sz w:val="21"/>
          <w:szCs w:val="21"/>
          <w:highlight w:val="none"/>
        </w:rPr>
        <w:t>。</w:t>
      </w:r>
    </w:p>
    <w:p w14:paraId="6C89A493">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关于工程奖项的约定：</w:t>
      </w:r>
      <w:r>
        <w:rPr>
          <w:rFonts w:hint="eastAsia" w:cs="宋体"/>
          <w:sz w:val="21"/>
          <w:szCs w:val="21"/>
          <w:highlight w:val="none"/>
          <w:u w:val="single"/>
        </w:rPr>
        <w:t>见《专用合同条款数据表》</w:t>
      </w:r>
      <w:r>
        <w:rPr>
          <w:rFonts w:hint="eastAsia" w:cs="宋体"/>
          <w:sz w:val="21"/>
          <w:szCs w:val="21"/>
          <w:highlight w:val="none"/>
        </w:rPr>
        <w:t>。</w:t>
      </w:r>
    </w:p>
    <w:p w14:paraId="2E10B4F8">
      <w:pPr>
        <w:snapToGrid w:val="0"/>
        <w:spacing w:line="360" w:lineRule="auto"/>
        <w:ind w:firstLine="420" w:firstLineChars="200"/>
        <w:jc w:val="left"/>
        <w:rPr>
          <w:rFonts w:cs="宋体"/>
          <w:sz w:val="21"/>
          <w:szCs w:val="21"/>
          <w:highlight w:val="none"/>
        </w:rPr>
      </w:pPr>
      <w:bookmarkStart w:id="184" w:name="_Toc351203638"/>
      <w:r>
        <w:rPr>
          <w:rFonts w:hint="eastAsia" w:cs="宋体"/>
          <w:sz w:val="21"/>
          <w:szCs w:val="21"/>
          <w:highlight w:val="none"/>
        </w:rPr>
        <w:t>关于建造要求：</w:t>
      </w:r>
    </w:p>
    <w:p w14:paraId="17A6F8FF">
      <w:pPr>
        <w:pStyle w:val="13"/>
        <w:snapToGrid w:val="0"/>
        <w:spacing w:line="360" w:lineRule="auto"/>
        <w:ind w:firstLine="480"/>
        <w:rPr>
          <w:rFonts w:hAnsi="宋体" w:cs="宋体"/>
          <w:sz w:val="21"/>
          <w:szCs w:val="21"/>
          <w:highlight w:val="none"/>
        </w:rPr>
      </w:pPr>
      <w:r>
        <w:rPr>
          <w:rFonts w:hint="eastAsia" w:hAnsi="宋体" w:cs="宋体"/>
          <w:sz w:val="21"/>
          <w:szCs w:val="21"/>
          <w:highlight w:val="none"/>
        </w:rPr>
        <w:t>（1）绿色建筑等级要求：</w:t>
      </w:r>
      <w:r>
        <w:rPr>
          <w:rFonts w:hint="eastAsia" w:hAnsi="宋体" w:cs="宋体"/>
          <w:sz w:val="21"/>
          <w:szCs w:val="21"/>
          <w:highlight w:val="none"/>
          <w:u w:val="single"/>
        </w:rPr>
        <w:t>见《专用合同条款数据表》</w:t>
      </w:r>
      <w:r>
        <w:rPr>
          <w:rFonts w:hint="eastAsia" w:hAnsi="宋体" w:cs="宋体"/>
          <w:sz w:val="21"/>
          <w:szCs w:val="21"/>
          <w:highlight w:val="none"/>
        </w:rPr>
        <w:t>；</w:t>
      </w:r>
    </w:p>
    <w:p w14:paraId="310238CE">
      <w:pPr>
        <w:pStyle w:val="13"/>
        <w:snapToGrid w:val="0"/>
        <w:spacing w:line="360" w:lineRule="auto"/>
        <w:ind w:firstLine="480"/>
        <w:rPr>
          <w:rFonts w:hAnsi="宋体" w:cs="宋体"/>
          <w:sz w:val="21"/>
          <w:szCs w:val="21"/>
          <w:highlight w:val="none"/>
        </w:rPr>
      </w:pPr>
      <w:r>
        <w:rPr>
          <w:rFonts w:hint="eastAsia" w:hAnsi="宋体" w:cs="宋体"/>
          <w:sz w:val="21"/>
          <w:szCs w:val="21"/>
          <w:highlight w:val="none"/>
        </w:rPr>
        <w:t>（2）智慧工地管理要求：</w:t>
      </w:r>
      <w:r>
        <w:rPr>
          <w:rFonts w:hint="eastAsia" w:hAnsi="宋体" w:cs="宋体"/>
          <w:sz w:val="21"/>
          <w:szCs w:val="21"/>
          <w:highlight w:val="none"/>
          <w:u w:val="single"/>
        </w:rPr>
        <w:t>见《专用合同条款数据表》</w:t>
      </w:r>
      <w:r>
        <w:rPr>
          <w:rFonts w:hint="eastAsia" w:hAnsi="宋体" w:cs="宋体"/>
          <w:sz w:val="21"/>
          <w:szCs w:val="21"/>
          <w:highlight w:val="none"/>
        </w:rPr>
        <w:t>；</w:t>
      </w:r>
    </w:p>
    <w:p w14:paraId="3097EB1B">
      <w:pPr>
        <w:pStyle w:val="13"/>
        <w:snapToGrid w:val="0"/>
        <w:spacing w:line="360" w:lineRule="auto"/>
        <w:ind w:firstLine="480"/>
        <w:rPr>
          <w:rFonts w:hAnsi="宋体" w:cs="宋体"/>
          <w:sz w:val="21"/>
          <w:szCs w:val="21"/>
          <w:highlight w:val="none"/>
        </w:rPr>
      </w:pPr>
      <w:r>
        <w:rPr>
          <w:rFonts w:hint="eastAsia" w:hAnsi="宋体" w:cs="宋体"/>
          <w:sz w:val="21"/>
          <w:szCs w:val="21"/>
          <w:highlight w:val="none"/>
        </w:rPr>
        <w:t>（3）建筑垃圾减量化目标：</w:t>
      </w:r>
      <w:r>
        <w:rPr>
          <w:rFonts w:hint="eastAsia" w:hAnsi="宋体" w:cs="宋体"/>
          <w:sz w:val="21"/>
          <w:szCs w:val="21"/>
          <w:highlight w:val="none"/>
          <w:u w:val="single"/>
        </w:rPr>
        <w:t>见《专用合同条款数据表》</w:t>
      </w:r>
      <w:r>
        <w:rPr>
          <w:rFonts w:hint="eastAsia" w:hAnsi="宋体" w:cs="宋体"/>
          <w:sz w:val="21"/>
          <w:szCs w:val="21"/>
          <w:highlight w:val="none"/>
        </w:rPr>
        <w:t>；</w:t>
      </w:r>
    </w:p>
    <w:p w14:paraId="6C111591">
      <w:pPr>
        <w:snapToGrid w:val="0"/>
        <w:spacing w:line="360" w:lineRule="auto"/>
        <w:ind w:firstLine="420" w:firstLineChars="200"/>
        <w:jc w:val="left"/>
        <w:rPr>
          <w:rFonts w:cs="宋体"/>
          <w:sz w:val="21"/>
          <w:szCs w:val="21"/>
          <w:highlight w:val="none"/>
        </w:rPr>
      </w:pPr>
      <w:r>
        <w:rPr>
          <w:rFonts w:hint="eastAsia" w:cs="宋体"/>
          <w:sz w:val="21"/>
          <w:szCs w:val="21"/>
          <w:highlight w:val="none"/>
        </w:rPr>
        <w:t>（4）装配式建筑装配率要求：</w:t>
      </w:r>
      <w:r>
        <w:rPr>
          <w:rFonts w:hint="eastAsia" w:cs="宋体"/>
          <w:sz w:val="21"/>
          <w:szCs w:val="21"/>
          <w:highlight w:val="none"/>
          <w:u w:val="single"/>
        </w:rPr>
        <w:t>见《专用合同条款数据表》</w:t>
      </w:r>
      <w:r>
        <w:rPr>
          <w:rFonts w:hint="eastAsia" w:cs="宋体"/>
          <w:sz w:val="21"/>
          <w:szCs w:val="21"/>
          <w:highlight w:val="none"/>
        </w:rPr>
        <w:t>；</w:t>
      </w:r>
    </w:p>
    <w:p w14:paraId="2383CA8A">
      <w:pPr>
        <w:snapToGrid w:val="0"/>
        <w:spacing w:line="360" w:lineRule="auto"/>
        <w:ind w:firstLine="420" w:firstLineChars="200"/>
        <w:jc w:val="left"/>
        <w:rPr>
          <w:rFonts w:cs="宋体"/>
          <w:sz w:val="21"/>
          <w:szCs w:val="21"/>
          <w:highlight w:val="none"/>
        </w:rPr>
      </w:pPr>
      <w:r>
        <w:rPr>
          <w:rFonts w:hint="eastAsia" w:cs="宋体"/>
          <w:sz w:val="21"/>
          <w:szCs w:val="21"/>
          <w:highlight w:val="none"/>
        </w:rPr>
        <w:t>（5）</w:t>
      </w:r>
      <w:r>
        <w:rPr>
          <w:rFonts w:hint="eastAsia" w:cs="宋体"/>
          <w:sz w:val="21"/>
          <w:szCs w:val="21"/>
          <w:highlight w:val="none"/>
          <w:u w:val="single"/>
        </w:rPr>
        <w:t>见《专用合同条款数据表》</w:t>
      </w:r>
      <w:r>
        <w:rPr>
          <w:rFonts w:hint="eastAsia" w:cs="宋体"/>
          <w:sz w:val="21"/>
          <w:szCs w:val="21"/>
          <w:highlight w:val="none"/>
        </w:rPr>
        <w:t>。</w:t>
      </w:r>
    </w:p>
    <w:p w14:paraId="66A9101B">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5.3 隐蔽工程检查</w:t>
      </w:r>
    </w:p>
    <w:p w14:paraId="600BBC47">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5.3.2 承包人提前通知监理人隐蔽工程检查的期限的约定：共同检查前48小时（执行通用条款）。</w:t>
      </w:r>
    </w:p>
    <w:p w14:paraId="6D9F9F32">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监理人不能按时进行检查时，应提前</w:t>
      </w:r>
      <w:r>
        <w:rPr>
          <w:rFonts w:hint="eastAsia" w:cs="宋体"/>
          <w:sz w:val="21"/>
          <w:szCs w:val="21"/>
          <w:highlight w:val="none"/>
          <w:u w:val="single"/>
          <w:lang w:val="en-US" w:eastAsia="zh-CN"/>
        </w:rPr>
        <w:t>24</w:t>
      </w:r>
      <w:r>
        <w:rPr>
          <w:rFonts w:hint="eastAsia" w:cs="宋体"/>
          <w:sz w:val="21"/>
          <w:szCs w:val="21"/>
          <w:highlight w:val="none"/>
        </w:rPr>
        <w:t>小时提交书面延期要求。</w:t>
      </w:r>
    </w:p>
    <w:p w14:paraId="1B3D3C27">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关于延期最长不得超过：</w:t>
      </w:r>
      <w:r>
        <w:rPr>
          <w:rFonts w:hint="eastAsia" w:cs="宋体"/>
          <w:sz w:val="21"/>
          <w:szCs w:val="21"/>
          <w:highlight w:val="none"/>
          <w:u w:val="single"/>
          <w:lang w:val="en-US" w:eastAsia="zh-CN"/>
        </w:rPr>
        <w:t>48</w:t>
      </w:r>
      <w:r>
        <w:rPr>
          <w:rFonts w:hint="eastAsia" w:cs="宋体"/>
          <w:sz w:val="21"/>
          <w:szCs w:val="21"/>
          <w:highlight w:val="none"/>
        </w:rPr>
        <w:t>小时。</w:t>
      </w:r>
    </w:p>
    <w:p w14:paraId="6146381A">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5</w:t>
      </w:r>
      <w:bookmarkStart w:id="185" w:name="_Toc337558762"/>
      <w:r>
        <w:rPr>
          <w:rFonts w:hint="eastAsia" w:cs="宋体"/>
          <w:bCs/>
          <w:sz w:val="21"/>
          <w:szCs w:val="21"/>
          <w:highlight w:val="none"/>
        </w:rPr>
        <w:t>.4 不合格工程的处理</w:t>
      </w:r>
    </w:p>
    <w:bookmarkEnd w:id="185"/>
    <w:p w14:paraId="426B173B">
      <w:pPr>
        <w:snapToGrid w:val="0"/>
        <w:spacing w:line="360" w:lineRule="auto"/>
        <w:ind w:firstLine="420" w:firstLineChars="200"/>
        <w:jc w:val="left"/>
        <w:rPr>
          <w:rFonts w:cs="宋体"/>
          <w:sz w:val="21"/>
          <w:szCs w:val="21"/>
          <w:highlight w:val="none"/>
        </w:rPr>
      </w:pPr>
      <w:r>
        <w:rPr>
          <w:rFonts w:hint="eastAsia" w:cs="宋体"/>
          <w:sz w:val="21"/>
          <w:szCs w:val="21"/>
          <w:highlight w:val="none"/>
        </w:rPr>
        <w:t>本款补充5.4.3项：</w:t>
      </w:r>
    </w:p>
    <w:p w14:paraId="2283CAC2">
      <w:pPr>
        <w:snapToGrid w:val="0"/>
        <w:spacing w:line="360" w:lineRule="auto"/>
        <w:ind w:firstLine="420" w:firstLineChars="200"/>
        <w:jc w:val="left"/>
        <w:rPr>
          <w:rFonts w:cs="宋体"/>
          <w:sz w:val="21"/>
          <w:szCs w:val="21"/>
          <w:highlight w:val="none"/>
        </w:rPr>
      </w:pPr>
      <w:r>
        <w:rPr>
          <w:rFonts w:hint="eastAsia" w:cs="宋体"/>
          <w:sz w:val="21"/>
          <w:szCs w:val="21"/>
          <w:highlight w:val="none"/>
        </w:rPr>
        <w:t>5.4.3 承包人在收到监理人发出的《不合格分项报告》或监理通知单后，必须在监理人规定时间内按要求完成整改，未能在限定时间内完成整改的，须承担相应违约责任。</w:t>
      </w:r>
    </w:p>
    <w:p w14:paraId="6A844C3E">
      <w:pPr>
        <w:snapToGrid w:val="0"/>
        <w:spacing w:line="360" w:lineRule="auto"/>
        <w:ind w:firstLine="420" w:firstLineChars="200"/>
        <w:jc w:val="left"/>
        <w:rPr>
          <w:rFonts w:cs="宋体"/>
          <w:sz w:val="21"/>
          <w:szCs w:val="21"/>
          <w:highlight w:val="none"/>
        </w:rPr>
      </w:pPr>
      <w:r>
        <w:rPr>
          <w:rFonts w:hint="eastAsia" w:cs="宋体"/>
          <w:sz w:val="21"/>
          <w:szCs w:val="21"/>
          <w:highlight w:val="none"/>
        </w:rPr>
        <w:t>本条补充5.6款：</w:t>
      </w:r>
    </w:p>
    <w:p w14:paraId="6B6077BE">
      <w:pPr>
        <w:keepNext/>
        <w:keepLines/>
        <w:snapToGrid w:val="0"/>
        <w:spacing w:before="120" w:after="120" w:line="360" w:lineRule="auto"/>
        <w:ind w:firstLine="420" w:firstLineChars="200"/>
        <w:outlineLvl w:val="3"/>
        <w:rPr>
          <w:rFonts w:cs="宋体"/>
          <w:bCs/>
          <w:sz w:val="21"/>
          <w:szCs w:val="21"/>
          <w:highlight w:val="none"/>
        </w:rPr>
      </w:pPr>
      <w:bookmarkStart w:id="186" w:name="_Toc532377348"/>
      <w:r>
        <w:rPr>
          <w:rFonts w:hint="eastAsia" w:cs="宋体"/>
          <w:bCs/>
          <w:sz w:val="21"/>
          <w:szCs w:val="21"/>
          <w:highlight w:val="none"/>
        </w:rPr>
        <w:t>5.6 质量事故的处理</w:t>
      </w:r>
      <w:bookmarkEnd w:id="186"/>
    </w:p>
    <w:p w14:paraId="5E1B4341">
      <w:pPr>
        <w:snapToGrid w:val="0"/>
        <w:spacing w:line="360" w:lineRule="auto"/>
        <w:ind w:firstLine="420" w:firstLineChars="200"/>
        <w:jc w:val="left"/>
        <w:rPr>
          <w:rFonts w:cs="宋体"/>
          <w:sz w:val="21"/>
          <w:szCs w:val="21"/>
          <w:highlight w:val="none"/>
        </w:rPr>
      </w:pPr>
      <w:r>
        <w:rPr>
          <w:rFonts w:hint="eastAsia" w:cs="宋体"/>
          <w:sz w:val="21"/>
          <w:szCs w:val="21"/>
          <w:highlight w:val="none"/>
        </w:rPr>
        <w:t>5.6.1 合同履行过程中，发生工程质量事故的调查处理按照国家现行规定处理。</w:t>
      </w:r>
    </w:p>
    <w:p w14:paraId="47208332">
      <w:pPr>
        <w:snapToGrid w:val="0"/>
        <w:spacing w:line="360" w:lineRule="auto"/>
        <w:ind w:firstLine="420" w:firstLineChars="200"/>
        <w:jc w:val="left"/>
        <w:rPr>
          <w:rFonts w:cs="宋体"/>
          <w:sz w:val="21"/>
          <w:szCs w:val="21"/>
          <w:highlight w:val="none"/>
        </w:rPr>
      </w:pPr>
      <w:r>
        <w:rPr>
          <w:rFonts w:hint="eastAsia" w:cs="宋体"/>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216E053A">
      <w:pPr>
        <w:snapToGrid w:val="0"/>
        <w:spacing w:before="312" w:beforeLines="100" w:after="312" w:afterLines="100" w:line="360" w:lineRule="auto"/>
        <w:outlineLvl w:val="2"/>
        <w:rPr>
          <w:rFonts w:cs="宋体"/>
          <w:sz w:val="21"/>
          <w:szCs w:val="21"/>
          <w:highlight w:val="none"/>
        </w:rPr>
      </w:pPr>
      <w:r>
        <w:rPr>
          <w:rFonts w:hint="eastAsia" w:cs="宋体"/>
          <w:sz w:val="21"/>
          <w:szCs w:val="21"/>
          <w:highlight w:val="none"/>
        </w:rPr>
        <w:t>6. 安全文明施工与环境保护</w:t>
      </w:r>
      <w:bookmarkEnd w:id="184"/>
    </w:p>
    <w:p w14:paraId="6066B8E1">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6.1 安全文明施工</w:t>
      </w:r>
    </w:p>
    <w:p w14:paraId="24E4144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6.1.1 项目安全生产的达标目标及相应事项的约定：（1）本项目不得发生安全事故。如有发生，除承包人应承担其自身、发包人和受损害第三方的所有损失（包括但不限于财产损失、人身损害赔偿、行政罚款、诉讼、仲裁及律师费用）并按政府有关规定处理外，发包人有权根据事故严重情况要求承包人支付5万元/次的违约金。</w:t>
      </w:r>
    </w:p>
    <w:p w14:paraId="32029BB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（2）承包人由于管理不善，引起政府有关部门罚款、停工整改等处罚，其发生的费用及其他损失由承包人自行承担。</w:t>
      </w:r>
    </w:p>
    <w:p w14:paraId="09A0EE0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（3）工程施工期间，承包人必须做好对周边房屋、地下管线、道路路基的监护，因本工程施工造成的损坏，由承包人自行承担责任和费用。</w:t>
      </w:r>
    </w:p>
    <w:p w14:paraId="253C6D37">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（4）在施工期间，必须设有专职安全员，按规定配备适当数量的消防灭火器材，建立消防安全方面的制度和措施，并报发包人、监理人及有关部门。如发现安全隐患，承包人必须在规定时间内及时整改。</w:t>
      </w:r>
    </w:p>
    <w:p w14:paraId="24A2DF89">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（5）承包人负责对其在施工场地的工作人员进行安全教育。发包人不得要求承包人违反安全管理的规定进行施工，因发包人强行要求承包人违规施工导致的安全事故，由发包人承担相应责任及发生的费用。</w:t>
      </w:r>
    </w:p>
    <w:p w14:paraId="6BB19328">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6）承包人应遵守工程建设安全生产有关管理规定，严格按安全标准组织施工，并随时接受行业安全检查人员及工程监理依法实施的监督检查，采取必要的安全防护措施，设置专职的安全员，消除事故隐患。由于承包人安全措施不力造成事故（包括第三方事故）的责任和因此发生的费用，由承包人承担。。</w:t>
      </w:r>
    </w:p>
    <w:p w14:paraId="14BD9CC6">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6.1.4 关于治安保卫的特别约定：</w:t>
      </w:r>
      <w:r>
        <w:rPr>
          <w:rFonts w:hint="eastAsia" w:cs="宋体"/>
          <w:sz w:val="21"/>
          <w:szCs w:val="21"/>
          <w:highlight w:val="none"/>
          <w:u w:val="single"/>
        </w:rPr>
        <w:t xml:space="preserve"> 执行通用条款 </w:t>
      </w:r>
      <w:r>
        <w:rPr>
          <w:rFonts w:hint="eastAsia" w:cs="宋体"/>
          <w:sz w:val="21"/>
          <w:szCs w:val="21"/>
          <w:highlight w:val="none"/>
        </w:rPr>
        <w:t>。</w:t>
      </w:r>
    </w:p>
    <w:p w14:paraId="10CFCFE7">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关于编制施工场地治安管理计划的约定：执行通用条款</w:t>
      </w:r>
      <w:r>
        <w:rPr>
          <w:rFonts w:hint="eastAsia" w:cs="宋体"/>
          <w:sz w:val="21"/>
          <w:szCs w:val="21"/>
          <w:highlight w:val="none"/>
          <w:u w:val="single"/>
        </w:rPr>
        <w:t xml:space="preserve"> </w:t>
      </w:r>
      <w:r>
        <w:rPr>
          <w:rFonts w:hint="eastAsia" w:cs="宋体"/>
          <w:sz w:val="21"/>
          <w:szCs w:val="21"/>
          <w:highlight w:val="none"/>
        </w:rPr>
        <w:t>。</w:t>
      </w:r>
    </w:p>
    <w:p w14:paraId="5C434BE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6.1.5 文明施工</w:t>
      </w:r>
    </w:p>
    <w:p w14:paraId="5EEA99B4">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合同当事人对文明施工的要求：（1）由于管理不善，引起政府有关部门罚款、停工整改等处罚，其发生的损失由承包人自行承担，且发包人每次将对其处以3万元的经济处罚，发包人保留依据承包人停工整改的天数相应顺延缓付工程款的权利。</w:t>
      </w:r>
    </w:p>
    <w:p w14:paraId="75FE847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（2）符合项目所在地对施工场地文明施工和清洁卫生的有关要求，且</w:t>
      </w:r>
      <w:r>
        <w:rPr>
          <w:rFonts w:hint="eastAsia" w:cs="宋体"/>
          <w:sz w:val="21"/>
          <w:szCs w:val="21"/>
          <w:highlight w:val="none"/>
          <w:lang w:val="en-US" w:eastAsia="zh-CN"/>
        </w:rPr>
        <w:t>成交</w:t>
      </w:r>
      <w:r>
        <w:rPr>
          <w:rFonts w:hint="eastAsia" w:cs="宋体"/>
          <w:sz w:val="21"/>
          <w:szCs w:val="21"/>
          <w:highlight w:val="none"/>
        </w:rPr>
        <w:t>人必须将施工中形成的既有建筑垃圾（包括各种临时设施、设备的基础）运出现场，不得遗弃在发包人用地土地范围内，否则，若发现一次，按每立方垃圾500.00元对</w:t>
      </w:r>
      <w:r>
        <w:rPr>
          <w:rFonts w:hint="eastAsia" w:cs="宋体"/>
          <w:sz w:val="21"/>
          <w:szCs w:val="21"/>
          <w:highlight w:val="none"/>
          <w:lang w:val="en-US" w:eastAsia="zh-CN"/>
        </w:rPr>
        <w:t>成交</w:t>
      </w:r>
      <w:r>
        <w:rPr>
          <w:rFonts w:hint="eastAsia" w:cs="宋体"/>
          <w:sz w:val="21"/>
          <w:szCs w:val="21"/>
          <w:highlight w:val="none"/>
        </w:rPr>
        <w:t>人进行罚款。</w:t>
      </w:r>
    </w:p>
    <w:p w14:paraId="6B575A15">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（3）承包人要协调好与当地居民及企事业单位的关系，发生费用的，由承包人自行承担。</w:t>
      </w:r>
    </w:p>
    <w:p w14:paraId="2EAFDED9">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6.1.6 关于安全文明施工费支付比例和支付期限的约定：已包含在</w:t>
      </w:r>
      <w:r>
        <w:rPr>
          <w:rFonts w:hint="eastAsia" w:cs="宋体"/>
          <w:sz w:val="21"/>
          <w:szCs w:val="21"/>
          <w:highlight w:val="none"/>
          <w:lang w:val="en-US" w:eastAsia="zh-CN"/>
        </w:rPr>
        <w:t>响应</w:t>
      </w:r>
      <w:r>
        <w:rPr>
          <w:rFonts w:hint="eastAsia" w:cs="宋体"/>
          <w:sz w:val="21"/>
          <w:szCs w:val="21"/>
          <w:highlight w:val="none"/>
        </w:rPr>
        <w:t>报价中，发包人不再另行支付，按合同约定付款方式支付</w:t>
      </w:r>
      <w:r>
        <w:rPr>
          <w:rFonts w:hint="eastAsia" w:cs="宋体"/>
          <w:sz w:val="21"/>
          <w:szCs w:val="21"/>
          <w:highlight w:val="none"/>
          <w:u w:val="single"/>
        </w:rPr>
        <w:t xml:space="preserve"> </w:t>
      </w:r>
      <w:r>
        <w:rPr>
          <w:rFonts w:hint="eastAsia" w:cs="宋体"/>
          <w:sz w:val="21"/>
          <w:szCs w:val="21"/>
          <w:highlight w:val="none"/>
        </w:rPr>
        <w:t>。</w:t>
      </w:r>
    </w:p>
    <w:bookmarkEnd w:id="177"/>
    <w:bookmarkEnd w:id="178"/>
    <w:bookmarkEnd w:id="179"/>
    <w:bookmarkEnd w:id="180"/>
    <w:bookmarkEnd w:id="181"/>
    <w:bookmarkEnd w:id="182"/>
    <w:bookmarkEnd w:id="183"/>
    <w:p w14:paraId="1BC0E3E0">
      <w:pPr>
        <w:snapToGrid w:val="0"/>
        <w:spacing w:before="312" w:beforeLines="100" w:after="312" w:afterLines="100" w:line="360" w:lineRule="auto"/>
        <w:outlineLvl w:val="2"/>
        <w:rPr>
          <w:rFonts w:cs="宋体"/>
          <w:sz w:val="21"/>
          <w:szCs w:val="21"/>
          <w:highlight w:val="none"/>
        </w:rPr>
      </w:pPr>
      <w:bookmarkStart w:id="187" w:name="_Toc351203639"/>
      <w:r>
        <w:rPr>
          <w:rFonts w:hint="eastAsia" w:cs="宋体"/>
          <w:sz w:val="21"/>
          <w:szCs w:val="21"/>
          <w:highlight w:val="none"/>
        </w:rPr>
        <w:t>7. 工期和进度</w:t>
      </w:r>
      <w:bookmarkEnd w:id="187"/>
    </w:p>
    <w:p w14:paraId="7F22F4A5">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7.1 施工组织设计</w:t>
      </w:r>
    </w:p>
    <w:p w14:paraId="6805CAF2">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7.1.1 合同当事人约定的施工组织设计应包括的其他内容：</w:t>
      </w:r>
      <w:r>
        <w:rPr>
          <w:rFonts w:hint="eastAsia" w:cs="宋体"/>
          <w:sz w:val="21"/>
          <w:szCs w:val="21"/>
          <w:highlight w:val="none"/>
          <w:u w:val="single"/>
        </w:rPr>
        <w:t>总进度计划须含网络图、横道图。</w:t>
      </w:r>
    </w:p>
    <w:p w14:paraId="11C694F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7.1.2 施工组织设计的提交和修改</w:t>
      </w:r>
    </w:p>
    <w:p w14:paraId="0F83C3F0">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承包人提交详细施工组织设计的期限的约定：合同签订后14天内，但至迟不得晚于第7.3.2项〔开工通知〕载明的开工日期前7天(执行通用条款)。</w:t>
      </w:r>
    </w:p>
    <w:p w14:paraId="1AFD0AA9">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发包人和监理人在收到详细的施工组织设计后确认或提出修改意见的期限：收到施工组织设计后7天内（执行通用条款）。</w:t>
      </w:r>
    </w:p>
    <w:p w14:paraId="5A16B4B8">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7</w:t>
      </w:r>
      <w:bookmarkStart w:id="188" w:name="_Toc312678005"/>
      <w:bookmarkStart w:id="189" w:name="_Toc303539123"/>
      <w:bookmarkStart w:id="190" w:name="_Toc304295541"/>
      <w:bookmarkStart w:id="191" w:name="_Toc297216173"/>
      <w:bookmarkStart w:id="192" w:name="_Toc300934966"/>
      <w:bookmarkStart w:id="193" w:name="_Toc312677479"/>
      <w:bookmarkStart w:id="194" w:name="_Toc297123514"/>
      <w:r>
        <w:rPr>
          <w:rFonts w:hint="eastAsia" w:cs="宋体"/>
          <w:bCs/>
          <w:sz w:val="21"/>
          <w:szCs w:val="21"/>
          <w:highlight w:val="none"/>
        </w:rPr>
        <w:t>.2 施工进度计划</w:t>
      </w:r>
    </w:p>
    <w:p w14:paraId="13544F0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7.2.2 施工进度计划的修订</w:t>
      </w:r>
    </w:p>
    <w:p w14:paraId="20C071B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发包人和监理人在收到修订的施工进度计划后确认或提出修改意见的期限：收到修订的施工进度计划后7天内(执行通用条款)。</w:t>
      </w:r>
    </w:p>
    <w:p w14:paraId="617B262F">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7.3 开工</w:t>
      </w:r>
    </w:p>
    <w:p w14:paraId="2F5FF861">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7.3.1 开工准备</w:t>
      </w:r>
    </w:p>
    <w:p w14:paraId="5672620D">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关于承包人提交工程开工报审表的期限：</w:t>
      </w:r>
      <w:r>
        <w:rPr>
          <w:rFonts w:hint="eastAsia" w:cs="宋体"/>
          <w:sz w:val="21"/>
          <w:szCs w:val="21"/>
          <w:highlight w:val="none"/>
          <w:u w:val="single"/>
        </w:rPr>
        <w:t xml:space="preserve"> </w:t>
      </w:r>
      <w:r>
        <w:rPr>
          <w:rFonts w:hint="eastAsia" w:ascii="宋体" w:hAnsi="宋体" w:cs="宋体"/>
          <w:b w:val="0"/>
          <w:color w:val="auto"/>
          <w:sz w:val="21"/>
          <w:szCs w:val="21"/>
          <w:highlight w:val="none"/>
          <w:u w:val="single"/>
        </w:rPr>
        <w:t>开工前7天内</w:t>
      </w:r>
      <w:r>
        <w:rPr>
          <w:rFonts w:hint="eastAsia" w:cs="宋体"/>
          <w:sz w:val="21"/>
          <w:szCs w:val="21"/>
          <w:highlight w:val="none"/>
          <w:u w:val="single"/>
        </w:rPr>
        <w:t xml:space="preserve"> </w:t>
      </w:r>
      <w:r>
        <w:rPr>
          <w:rFonts w:hint="eastAsia" w:cs="宋体"/>
          <w:sz w:val="21"/>
          <w:szCs w:val="21"/>
          <w:highlight w:val="none"/>
        </w:rPr>
        <w:t>。</w:t>
      </w:r>
    </w:p>
    <w:p w14:paraId="37EA71FC">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关于发包人应完成的其他开工准备工作及期限：</w:t>
      </w:r>
      <w:r>
        <w:rPr>
          <w:rFonts w:hint="eastAsia" w:cs="宋体"/>
          <w:sz w:val="21"/>
          <w:szCs w:val="21"/>
          <w:highlight w:val="none"/>
          <w:u w:val="single"/>
        </w:rPr>
        <w:t xml:space="preserve"> 开工前7天内 </w:t>
      </w:r>
      <w:r>
        <w:rPr>
          <w:rFonts w:hint="eastAsia" w:cs="宋体"/>
          <w:sz w:val="21"/>
          <w:szCs w:val="21"/>
          <w:highlight w:val="none"/>
        </w:rPr>
        <w:t>。</w:t>
      </w:r>
    </w:p>
    <w:p w14:paraId="54341E1A">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关于承包人应完成的其他开工准备工作及期限：开工前7天内</w:t>
      </w:r>
      <w:r>
        <w:rPr>
          <w:rFonts w:hint="eastAsia" w:cs="宋体"/>
          <w:sz w:val="21"/>
          <w:szCs w:val="21"/>
          <w:highlight w:val="none"/>
          <w:u w:val="single"/>
        </w:rPr>
        <w:t xml:space="preserve"> </w:t>
      </w:r>
      <w:r>
        <w:rPr>
          <w:rFonts w:hint="eastAsia" w:cs="宋体"/>
          <w:sz w:val="21"/>
          <w:szCs w:val="21"/>
          <w:highlight w:val="none"/>
        </w:rPr>
        <w:t>。</w:t>
      </w:r>
    </w:p>
    <w:p w14:paraId="432645E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7.3.2 开工通知</w:t>
      </w:r>
    </w:p>
    <w:p w14:paraId="63BBF7F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因发包人原因造成监理人未能在计划开工日期之日起</w:t>
      </w:r>
      <w:r>
        <w:rPr>
          <w:rFonts w:hint="eastAsia" w:cs="宋体"/>
          <w:sz w:val="21"/>
          <w:szCs w:val="21"/>
          <w:highlight w:val="none"/>
          <w:u w:val="single"/>
        </w:rPr>
        <w:t xml:space="preserve"> </w:t>
      </w:r>
      <w:r>
        <w:rPr>
          <w:rFonts w:hint="eastAsia" w:cs="宋体"/>
          <w:sz w:val="21"/>
          <w:szCs w:val="21"/>
          <w:highlight w:val="none"/>
          <w:u w:val="single"/>
          <w:lang w:val="en-US" w:eastAsia="zh-CN"/>
        </w:rPr>
        <w:t>90</w:t>
      </w:r>
      <w:r>
        <w:rPr>
          <w:rFonts w:hint="eastAsia" w:cs="宋体"/>
          <w:sz w:val="21"/>
          <w:szCs w:val="21"/>
          <w:highlight w:val="none"/>
        </w:rPr>
        <w:t>天内发出开工通知的，承包人有权提出价格调整要求，或者解除合同。</w:t>
      </w:r>
    </w:p>
    <w:bookmarkEnd w:id="188"/>
    <w:bookmarkEnd w:id="189"/>
    <w:bookmarkEnd w:id="190"/>
    <w:bookmarkEnd w:id="191"/>
    <w:bookmarkEnd w:id="192"/>
    <w:bookmarkEnd w:id="193"/>
    <w:bookmarkEnd w:id="194"/>
    <w:p w14:paraId="3AA41573">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7.4 测量放线</w:t>
      </w:r>
    </w:p>
    <w:p w14:paraId="6969538F">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7.4.1 发包人通过监理人向承包人提供测量基准点、基准线和水准点及其书面资料的期限：承包人自行考虑。</w:t>
      </w:r>
    </w:p>
    <w:p w14:paraId="6791655F">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7</w:t>
      </w:r>
      <w:bookmarkStart w:id="195" w:name="_Toc300934968"/>
      <w:bookmarkStart w:id="196" w:name="_Toc312677484"/>
      <w:bookmarkStart w:id="197" w:name="_Toc297216175"/>
      <w:bookmarkStart w:id="198" w:name="_Toc312678010"/>
      <w:bookmarkStart w:id="199" w:name="_Toc303539125"/>
      <w:bookmarkStart w:id="200" w:name="_Toc304295546"/>
      <w:bookmarkStart w:id="201" w:name="_Toc297123516"/>
      <w:r>
        <w:rPr>
          <w:rFonts w:hint="eastAsia" w:cs="宋体"/>
          <w:bCs/>
          <w:sz w:val="21"/>
          <w:szCs w:val="21"/>
          <w:highlight w:val="none"/>
        </w:rPr>
        <w:t>.5 工期延误</w:t>
      </w:r>
    </w:p>
    <w:bookmarkEnd w:id="195"/>
    <w:bookmarkEnd w:id="196"/>
    <w:bookmarkEnd w:id="197"/>
    <w:bookmarkEnd w:id="198"/>
    <w:bookmarkEnd w:id="199"/>
    <w:bookmarkEnd w:id="200"/>
    <w:bookmarkEnd w:id="201"/>
    <w:p w14:paraId="583D8719">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7.5.1 因发包人原因导致工期延误</w:t>
      </w:r>
    </w:p>
    <w:p w14:paraId="06754812">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（7）因发包人原因导致工期延误的其他情形：是指有确凿证据证实因下列原因而直接造成承包人的原定工期计划延误：</w:t>
      </w:r>
    </w:p>
    <w:p w14:paraId="37404819">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(1)不可抗力；</w:t>
      </w:r>
    </w:p>
    <w:p w14:paraId="11D97132">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(2)工程设计有重大变更或重大失误；</w:t>
      </w:r>
    </w:p>
    <w:p w14:paraId="40342147">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(3)发包人延期交付施工场地；</w:t>
      </w:r>
    </w:p>
    <w:p w14:paraId="5305917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(4)施工图纸供应时间影响工期进度，并经总监理工程师确认的；</w:t>
      </w:r>
    </w:p>
    <w:p w14:paraId="233DE138">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(5)发包人不按合同约定延迟支付工程款而影响工期进度，并经总监理工程师确认的；</w:t>
      </w:r>
    </w:p>
    <w:p w14:paraId="1FB7AA9B">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(6)政府主管部门要求的禁止施工的时间；</w:t>
      </w:r>
    </w:p>
    <w:p w14:paraId="763A41D4">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以上等因非承包人原因造成的工期延误，工期予以签证，由此造成的费用不予索赔 。</w:t>
      </w:r>
    </w:p>
    <w:p w14:paraId="3B2EF395">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7</w:t>
      </w:r>
      <w:bookmarkStart w:id="202" w:name="_Toc318581169"/>
      <w:bookmarkStart w:id="203" w:name="_Toc312677486"/>
      <w:bookmarkStart w:id="204" w:name="_Toc312678012"/>
      <w:bookmarkStart w:id="205" w:name="_Toc304295548"/>
      <w:bookmarkStart w:id="206" w:name="_Toc297123518"/>
      <w:bookmarkStart w:id="207" w:name="_Toc300934970"/>
      <w:bookmarkStart w:id="208" w:name="_Toc303539127"/>
      <w:bookmarkStart w:id="209" w:name="_Toc297216177"/>
      <w:r>
        <w:rPr>
          <w:rFonts w:hint="eastAsia" w:cs="宋体"/>
          <w:sz w:val="21"/>
          <w:szCs w:val="21"/>
          <w:highlight w:val="none"/>
        </w:rPr>
        <w:t>.5.2 因承包人原因导致工期延误</w:t>
      </w:r>
    </w:p>
    <w:bookmarkEnd w:id="202"/>
    <w:bookmarkEnd w:id="203"/>
    <w:bookmarkEnd w:id="204"/>
    <w:p w14:paraId="7708F10C">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因</w:t>
      </w:r>
      <w:bookmarkStart w:id="210" w:name="_Toc312678013"/>
      <w:bookmarkStart w:id="211" w:name="_Toc312677487"/>
      <w:bookmarkStart w:id="212" w:name="_Toc318581170"/>
      <w:r>
        <w:rPr>
          <w:rFonts w:hint="eastAsia" w:cs="宋体"/>
          <w:sz w:val="21"/>
          <w:szCs w:val="21"/>
          <w:highlight w:val="none"/>
        </w:rPr>
        <w:t>承包人原因造成工期延误，逾期竣工违约金的计算方法为：</w:t>
      </w:r>
      <w:r>
        <w:rPr>
          <w:rFonts w:hint="eastAsia" w:cs="宋体"/>
          <w:sz w:val="21"/>
          <w:szCs w:val="21"/>
          <w:highlight w:val="none"/>
          <w:u w:val="single"/>
        </w:rPr>
        <w:t>见《专用合同条款数据表》</w:t>
      </w:r>
      <w:r>
        <w:rPr>
          <w:rFonts w:hint="eastAsia" w:cs="宋体"/>
          <w:sz w:val="21"/>
          <w:szCs w:val="21"/>
          <w:highlight w:val="none"/>
        </w:rPr>
        <w:t>。</w:t>
      </w:r>
      <w:bookmarkEnd w:id="205"/>
      <w:bookmarkEnd w:id="206"/>
      <w:bookmarkEnd w:id="207"/>
      <w:bookmarkEnd w:id="208"/>
      <w:bookmarkEnd w:id="209"/>
      <w:bookmarkEnd w:id="210"/>
      <w:bookmarkEnd w:id="211"/>
    </w:p>
    <w:bookmarkEnd w:id="212"/>
    <w:p w14:paraId="2B58A129">
      <w:pPr>
        <w:adjustRightInd w:val="0"/>
        <w:snapToGrid w:val="0"/>
        <w:spacing w:line="360" w:lineRule="auto"/>
        <w:ind w:firstLine="420" w:firstLineChars="200"/>
        <w:rPr>
          <w:rFonts w:cs="宋体"/>
          <w:b/>
          <w:sz w:val="21"/>
          <w:szCs w:val="21"/>
          <w:highlight w:val="none"/>
          <w:u w:val="single"/>
        </w:rPr>
      </w:pPr>
      <w:r>
        <w:rPr>
          <w:rFonts w:hint="eastAsia" w:cs="宋体"/>
          <w:sz w:val="21"/>
          <w:szCs w:val="21"/>
          <w:highlight w:val="none"/>
        </w:rPr>
        <w:t>因承包人原因造成工期延误，逾</w:t>
      </w:r>
      <w:bookmarkStart w:id="213" w:name="_Toc318581171"/>
      <w:bookmarkStart w:id="214" w:name="_Toc312678014"/>
      <w:r>
        <w:rPr>
          <w:rFonts w:hint="eastAsia" w:cs="宋体"/>
          <w:sz w:val="21"/>
          <w:szCs w:val="21"/>
          <w:highlight w:val="none"/>
        </w:rPr>
        <w:t>期竣工违约金的上限：</w:t>
      </w:r>
      <w:r>
        <w:rPr>
          <w:rFonts w:hint="eastAsia" w:cs="宋体"/>
          <w:sz w:val="21"/>
          <w:szCs w:val="21"/>
          <w:highlight w:val="none"/>
          <w:u w:val="single"/>
        </w:rPr>
        <w:t>见《专用合同条款数据表》</w:t>
      </w:r>
      <w:r>
        <w:rPr>
          <w:rFonts w:hint="eastAsia" w:cs="宋体"/>
          <w:sz w:val="21"/>
          <w:szCs w:val="21"/>
          <w:highlight w:val="none"/>
        </w:rPr>
        <w:t>。</w:t>
      </w:r>
    </w:p>
    <w:bookmarkEnd w:id="213"/>
    <w:bookmarkEnd w:id="214"/>
    <w:p w14:paraId="69048C9E">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7</w:t>
      </w:r>
      <w:bookmarkStart w:id="215" w:name="_Toc304295549"/>
      <w:bookmarkStart w:id="216" w:name="_Toc303539128"/>
      <w:bookmarkStart w:id="217" w:name="_Toc312678015"/>
      <w:bookmarkStart w:id="218" w:name="_Toc297123519"/>
      <w:bookmarkStart w:id="219" w:name="_Toc300934971"/>
      <w:bookmarkStart w:id="220" w:name="_Toc297216178"/>
      <w:r>
        <w:rPr>
          <w:rFonts w:hint="eastAsia" w:cs="宋体"/>
          <w:bCs/>
          <w:sz w:val="21"/>
          <w:szCs w:val="21"/>
          <w:highlight w:val="none"/>
        </w:rPr>
        <w:t>.6 不</w:t>
      </w:r>
      <w:bookmarkEnd w:id="215"/>
      <w:bookmarkEnd w:id="216"/>
      <w:bookmarkEnd w:id="217"/>
      <w:bookmarkEnd w:id="218"/>
      <w:bookmarkEnd w:id="219"/>
      <w:bookmarkEnd w:id="220"/>
      <w:r>
        <w:rPr>
          <w:rFonts w:hint="eastAsia" w:cs="宋体"/>
          <w:bCs/>
          <w:sz w:val="21"/>
          <w:szCs w:val="21"/>
          <w:highlight w:val="none"/>
        </w:rPr>
        <w:t>利物质条件</w:t>
      </w:r>
    </w:p>
    <w:p w14:paraId="20886118">
      <w:pPr>
        <w:adjustRightInd w:val="0"/>
        <w:snapToGrid w:val="0"/>
        <w:spacing w:line="360" w:lineRule="auto"/>
        <w:ind w:firstLine="420" w:firstLineChars="200"/>
        <w:rPr>
          <w:rFonts w:cs="宋体"/>
          <w:b/>
          <w:sz w:val="21"/>
          <w:szCs w:val="21"/>
          <w:highlight w:val="none"/>
          <w:u w:val="single"/>
        </w:rPr>
      </w:pPr>
      <w:bookmarkStart w:id="221" w:name="_Toc303539129"/>
      <w:bookmarkStart w:id="222" w:name="_Toc304295550"/>
      <w:bookmarkStart w:id="223" w:name="_Toc297216179"/>
      <w:bookmarkStart w:id="224" w:name="_Toc312678016"/>
      <w:bookmarkStart w:id="225" w:name="_Toc297123520"/>
      <w:bookmarkStart w:id="226" w:name="_Toc300934972"/>
      <w:bookmarkStart w:id="227" w:name="_Toc318581172"/>
      <w:r>
        <w:rPr>
          <w:rFonts w:hint="eastAsia" w:cs="宋体"/>
          <w:sz w:val="21"/>
          <w:szCs w:val="21"/>
          <w:highlight w:val="none"/>
        </w:rPr>
        <w:t>不利物质条件的其他情形和有关约定：执行通用条款</w:t>
      </w:r>
      <w:r>
        <w:rPr>
          <w:rFonts w:hint="eastAsia" w:cs="宋体"/>
          <w:sz w:val="21"/>
          <w:szCs w:val="21"/>
          <w:highlight w:val="none"/>
          <w:u w:val="single"/>
        </w:rPr>
        <w:t xml:space="preserve"> </w:t>
      </w:r>
      <w:r>
        <w:rPr>
          <w:rFonts w:hint="eastAsia" w:cs="宋体"/>
          <w:sz w:val="21"/>
          <w:szCs w:val="21"/>
          <w:highlight w:val="none"/>
        </w:rPr>
        <w:t>。</w:t>
      </w:r>
    </w:p>
    <w:bookmarkEnd w:id="221"/>
    <w:bookmarkEnd w:id="222"/>
    <w:bookmarkEnd w:id="223"/>
    <w:bookmarkEnd w:id="224"/>
    <w:bookmarkEnd w:id="225"/>
    <w:bookmarkEnd w:id="226"/>
    <w:bookmarkEnd w:id="227"/>
    <w:p w14:paraId="7699AD05">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7</w:t>
      </w:r>
      <w:bookmarkStart w:id="228" w:name="_Toc297216180"/>
      <w:bookmarkStart w:id="229" w:name="_Toc297123521"/>
      <w:bookmarkStart w:id="230" w:name="_Toc303539130"/>
      <w:bookmarkStart w:id="231" w:name="_Toc312678017"/>
      <w:bookmarkStart w:id="232" w:name="_Toc304295551"/>
      <w:bookmarkStart w:id="233" w:name="_Toc300934973"/>
      <w:r>
        <w:rPr>
          <w:rFonts w:hint="eastAsia" w:cs="宋体"/>
          <w:bCs/>
          <w:sz w:val="21"/>
          <w:szCs w:val="21"/>
          <w:highlight w:val="none"/>
        </w:rPr>
        <w:t>.7 异常恶劣的气候条件</w:t>
      </w:r>
    </w:p>
    <w:bookmarkEnd w:id="228"/>
    <w:bookmarkEnd w:id="229"/>
    <w:bookmarkEnd w:id="230"/>
    <w:bookmarkEnd w:id="231"/>
    <w:bookmarkEnd w:id="232"/>
    <w:bookmarkEnd w:id="233"/>
    <w:p w14:paraId="19461F3C">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发包人和承包人同意以下情形视为异常恶劣的气候条件：</w:t>
      </w:r>
    </w:p>
    <w:p w14:paraId="1D309D3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（1）指在24小时内在施工区域内总降雨量超过95mm的暴雨；</w:t>
      </w:r>
    </w:p>
    <w:p w14:paraId="1DB53929">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（2）下雪量被有关当局定性为暴雪 ；</w:t>
      </w:r>
    </w:p>
    <w:p w14:paraId="1C963F4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（3）风速达到8级的台风；</w:t>
      </w:r>
    </w:p>
    <w:p w14:paraId="7E66181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（4）连续3天日气温超过40摄氏度或低于零下10摄氏度。</w:t>
      </w:r>
    </w:p>
    <w:p w14:paraId="192EE451">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上述气象资料以项目所在地气象部门公布的气象为准，否则视为承包人可以预见的风险 。</w:t>
      </w:r>
    </w:p>
    <w:p w14:paraId="529A8A2E">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7.9 提前竣工</w:t>
      </w:r>
    </w:p>
    <w:p w14:paraId="5B4F38DA">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7.9.2 提前竣工的奖励：</w:t>
      </w:r>
      <w:r>
        <w:rPr>
          <w:rFonts w:hint="eastAsia" w:cs="宋体"/>
          <w:sz w:val="21"/>
          <w:szCs w:val="21"/>
          <w:highlight w:val="none"/>
          <w:u w:val="single"/>
        </w:rPr>
        <w:t>见《专用合同条款数据表》</w:t>
      </w:r>
      <w:r>
        <w:rPr>
          <w:rFonts w:hint="eastAsia" w:cs="宋体"/>
          <w:sz w:val="21"/>
          <w:szCs w:val="21"/>
          <w:highlight w:val="none"/>
        </w:rPr>
        <w:t>。</w:t>
      </w:r>
    </w:p>
    <w:p w14:paraId="2818E6B4">
      <w:pPr>
        <w:snapToGrid w:val="0"/>
        <w:spacing w:before="312" w:beforeLines="100" w:after="312" w:afterLines="100" w:line="360" w:lineRule="auto"/>
        <w:outlineLvl w:val="2"/>
        <w:rPr>
          <w:rFonts w:cs="宋体"/>
          <w:sz w:val="21"/>
          <w:szCs w:val="21"/>
          <w:highlight w:val="none"/>
        </w:rPr>
      </w:pPr>
      <w:bookmarkStart w:id="234" w:name="_Toc351203640"/>
      <w:r>
        <w:rPr>
          <w:rFonts w:hint="eastAsia" w:cs="宋体"/>
          <w:sz w:val="21"/>
          <w:szCs w:val="21"/>
          <w:highlight w:val="none"/>
        </w:rPr>
        <w:t>8. 材料与设备</w:t>
      </w:r>
      <w:bookmarkEnd w:id="234"/>
    </w:p>
    <w:bookmarkEnd w:id="167"/>
    <w:bookmarkEnd w:id="168"/>
    <w:bookmarkEnd w:id="169"/>
    <w:bookmarkEnd w:id="170"/>
    <w:bookmarkEnd w:id="171"/>
    <w:bookmarkEnd w:id="172"/>
    <w:bookmarkEnd w:id="173"/>
    <w:bookmarkEnd w:id="174"/>
    <w:bookmarkEnd w:id="175"/>
    <w:bookmarkEnd w:id="176"/>
    <w:p w14:paraId="24DC642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8</w:t>
      </w:r>
      <w:bookmarkStart w:id="235" w:name="_Toc280868654"/>
      <w:bookmarkStart w:id="236" w:name="_Toc300934979"/>
      <w:bookmarkStart w:id="237" w:name="_Toc304295556"/>
      <w:bookmarkStart w:id="238" w:name="_Toc292559372"/>
      <w:bookmarkStart w:id="239" w:name="_Toc296891207"/>
      <w:bookmarkStart w:id="240" w:name="_Toc296944506"/>
      <w:bookmarkStart w:id="241" w:name="_Toc297048353"/>
      <w:bookmarkStart w:id="242" w:name="_Toc297123527"/>
      <w:bookmarkStart w:id="243" w:name="_Toc297216186"/>
      <w:bookmarkStart w:id="244" w:name="_Toc296890995"/>
      <w:bookmarkStart w:id="245" w:name="_Toc296346668"/>
      <w:bookmarkStart w:id="246" w:name="_Toc297120467"/>
      <w:bookmarkStart w:id="247" w:name="_Toc303539136"/>
      <w:bookmarkStart w:id="248" w:name="_Toc296503167"/>
      <w:bookmarkStart w:id="249" w:name="_Toc292559877"/>
      <w:bookmarkStart w:id="250" w:name="_Toc296347166"/>
      <w:bookmarkStart w:id="251" w:name="_Toc312678019"/>
      <w:bookmarkStart w:id="252" w:name="_Toc312677493"/>
      <w:bookmarkStart w:id="253" w:name="_Toc280868656"/>
      <w:bookmarkStart w:id="254" w:name="_Toc280868655"/>
      <w:bookmarkStart w:id="255" w:name="_Toc267251424"/>
      <w:r>
        <w:rPr>
          <w:rFonts w:hint="eastAsia" w:cs="宋体"/>
          <w:sz w:val="21"/>
          <w:szCs w:val="21"/>
          <w:highlight w:val="none"/>
        </w:rPr>
        <w:t>.4 材料与工程设备的保管与使用</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14:paraId="43A03AE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8</w:t>
      </w:r>
      <w:bookmarkStart w:id="256" w:name="_Toc292559373"/>
      <w:bookmarkStart w:id="257" w:name="_Toc292559878"/>
      <w:bookmarkStart w:id="258" w:name="_Toc296347167"/>
      <w:bookmarkStart w:id="259" w:name="_Toc296891208"/>
      <w:bookmarkStart w:id="260" w:name="_Toc296944507"/>
      <w:bookmarkStart w:id="261" w:name="_Toc296503168"/>
      <w:bookmarkStart w:id="262" w:name="_Toc312677494"/>
      <w:bookmarkStart w:id="263" w:name="_Toc300934980"/>
      <w:bookmarkStart w:id="264" w:name="_Toc312678020"/>
      <w:bookmarkStart w:id="265" w:name="_Toc297120468"/>
      <w:bookmarkStart w:id="266" w:name="_Toc297123528"/>
      <w:bookmarkStart w:id="267" w:name="_Toc303539137"/>
      <w:bookmarkStart w:id="268" w:name="_Toc304295557"/>
      <w:bookmarkStart w:id="269" w:name="_Toc296346669"/>
      <w:bookmarkStart w:id="270" w:name="_Toc297048354"/>
      <w:bookmarkStart w:id="271" w:name="_Toc318581173"/>
      <w:bookmarkStart w:id="272" w:name="_Toc296890996"/>
      <w:bookmarkStart w:id="273" w:name="_Toc297216187"/>
      <w:r>
        <w:rPr>
          <w:rFonts w:hint="eastAsia" w:cs="宋体"/>
          <w:sz w:val="21"/>
          <w:szCs w:val="21"/>
          <w:highlight w:val="none"/>
        </w:rPr>
        <w:t>.4.1 发包人供应的材料设备的保管费用的承担：（1）材料按照总价的 /  %计取保管费（材料数量最多不超过设计文件的用量（可以计算定额损耗））；设备按照总价的  /   %计取保管费；此费用仅计取税金。</w:t>
      </w:r>
    </w:p>
    <w:p w14:paraId="3F8A9482">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lang w:val="en-US" w:eastAsia="zh-CN"/>
        </w:rPr>
        <w:t>（2）</w:t>
      </w:r>
      <w:r>
        <w:rPr>
          <w:rFonts w:hint="eastAsia" w:cs="宋体"/>
          <w:sz w:val="21"/>
          <w:szCs w:val="21"/>
          <w:highlight w:val="none"/>
        </w:rPr>
        <w:t xml:space="preserve">到货时间与《发包人供应材料设备一览表》不一致的，保管费用不予调整。 </w:t>
      </w:r>
    </w:p>
    <w:p w14:paraId="5A6ECB59">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lang w:val="en-US" w:eastAsia="zh-CN"/>
        </w:rPr>
        <w:t>（3）</w:t>
      </w:r>
      <w:r>
        <w:rPr>
          <w:rFonts w:hint="eastAsia" w:cs="宋体"/>
          <w:sz w:val="21"/>
          <w:szCs w:val="21"/>
          <w:highlight w:val="none"/>
        </w:rPr>
        <w:t>开工前承包人提交材料需求明细计划；每种材料进场批次不超过2批。</w:t>
      </w:r>
    </w:p>
    <w:p w14:paraId="1B21CD18">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 xml:space="preserve">（4）发包人按照承包人提交的计划供应材料；当材料出现短缺时，承包人必须至少提前一周以书面通知发包人； </w:t>
      </w:r>
    </w:p>
    <w:p w14:paraId="00B385B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（5）发包人供应的材料由承包人负责按相关规定检验，合格后方可用于工程；承包人未按规定检验造成的后果由承包人负责。</w:t>
      </w:r>
    </w:p>
    <w:p w14:paraId="44B98E8E">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 xml:space="preserve">（6）发包人供应材料的检验检测费用由承包人在合同价款的投标报价中考虑，不再另行计取；若发包人自行检验的，须提供检验报告，检验费用从合同价款中扣除。 </w:t>
      </w:r>
    </w:p>
    <w:p w14:paraId="15F58B97">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（7）因承包人计划不周造成增加费用由承包人承担，工期不予顺延。</w:t>
      </w:r>
    </w:p>
    <w:p w14:paraId="6E842B6B">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 xml:space="preserve">（8）因承包人原因造成发包人供应材料超供的，如不能退货，该部分材料归承包人所有，其价款由发包人直接从工程款中扣除，承包人另赔偿发包人材料价款 1 %作为管理费用；可以退货的，退货产生的费用由承包人承担，承包人另赔偿发包人材料价款 1 %作为管理费用。 </w:t>
      </w:r>
    </w:p>
    <w:p w14:paraId="01DA4628">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（9）发包人供应的材料数量为图纸用量。</w:t>
      </w:r>
    </w:p>
    <w:p w14:paraId="321FE63C">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（10）发包人材料供应不及时影响关键线路工程施工的，工期顺延。</w:t>
      </w:r>
    </w:p>
    <w:p w14:paraId="7C2EE1B8">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（11）发包人供应的材料进入现场即视为供应到位，由承包人负责卸货入库等其他工作，费用由承包人在合同价款中考虑，不再另行计取。</w:t>
      </w:r>
      <w:bookmarkEnd w:id="256"/>
      <w:bookmarkEnd w:id="257"/>
    </w:p>
    <w:p w14:paraId="22BFF31A">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8.6 样品</w:t>
      </w:r>
    </w:p>
    <w:p w14:paraId="1FFF5E3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8.6.1 样品的报送与封存</w:t>
      </w:r>
    </w:p>
    <w:p w14:paraId="19CE7EFC">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需要承包人报送样品的材料或工程设备，样品的种类、名称、规格、数量要求：执行通用条款</w:t>
      </w:r>
      <w:r>
        <w:rPr>
          <w:rFonts w:hint="eastAsia" w:cs="宋体"/>
          <w:sz w:val="21"/>
          <w:szCs w:val="21"/>
          <w:highlight w:val="none"/>
          <w:u w:val="single"/>
        </w:rPr>
        <w:t xml:space="preserve"> </w:t>
      </w:r>
      <w:r>
        <w:rPr>
          <w:rFonts w:hint="eastAsia" w:cs="宋体"/>
          <w:sz w:val="21"/>
          <w:szCs w:val="21"/>
          <w:highlight w:val="none"/>
        </w:rPr>
        <w:t>。</w:t>
      </w:r>
    </w:p>
    <w:p w14:paraId="5EEA7DF1">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8.8 施工设备和临时设施</w:t>
      </w:r>
    </w:p>
    <w:p w14:paraId="50D4D131">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8.8.1 承包人提供的施工设备和临时设施</w:t>
      </w:r>
    </w:p>
    <w:p w14:paraId="631C1EAB">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关于修建临时设施费用承担的约定：执行通用条款。</w:t>
      </w:r>
    </w:p>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14:paraId="0FAC73B7">
      <w:pPr>
        <w:snapToGrid w:val="0"/>
        <w:spacing w:before="312" w:beforeLines="100" w:after="312" w:afterLines="100" w:line="360" w:lineRule="auto"/>
        <w:outlineLvl w:val="2"/>
        <w:rPr>
          <w:rFonts w:cs="宋体"/>
          <w:sz w:val="21"/>
          <w:szCs w:val="21"/>
          <w:highlight w:val="none"/>
        </w:rPr>
      </w:pPr>
      <w:bookmarkStart w:id="274" w:name="_Toc351203641"/>
      <w:r>
        <w:rPr>
          <w:rFonts w:hint="eastAsia" w:cs="宋体"/>
          <w:sz w:val="21"/>
          <w:szCs w:val="21"/>
          <w:highlight w:val="none"/>
        </w:rPr>
        <w:t>9</w:t>
      </w:r>
      <w:bookmarkEnd w:id="253"/>
      <w:bookmarkEnd w:id="254"/>
      <w:bookmarkEnd w:id="255"/>
      <w:bookmarkStart w:id="275" w:name="_Toc312678021"/>
      <w:bookmarkStart w:id="276" w:name="_Toc297216192"/>
      <w:bookmarkStart w:id="277" w:name="_Toc303539139"/>
      <w:bookmarkStart w:id="278" w:name="_Toc300934982"/>
      <w:bookmarkStart w:id="279" w:name="_Toc312677495"/>
      <w:bookmarkStart w:id="280" w:name="_Toc297123533"/>
      <w:bookmarkStart w:id="281" w:name="_Toc304295559"/>
      <w:bookmarkStart w:id="282" w:name="_Toc292559883"/>
      <w:bookmarkStart w:id="283" w:name="_Toc296346674"/>
      <w:bookmarkStart w:id="284" w:name="_Toc296891213"/>
      <w:bookmarkStart w:id="285" w:name="_Toc267251427"/>
      <w:bookmarkStart w:id="286" w:name="_Toc297048359"/>
      <w:bookmarkStart w:id="287" w:name="_Toc297120473"/>
      <w:bookmarkStart w:id="288" w:name="_Toc292559378"/>
      <w:bookmarkStart w:id="289" w:name="_Toc296503173"/>
      <w:bookmarkStart w:id="290" w:name="_Toc296944512"/>
      <w:bookmarkStart w:id="291" w:name="_Toc296891001"/>
      <w:bookmarkStart w:id="292" w:name="_Toc267251428"/>
      <w:bookmarkStart w:id="293" w:name="_Toc296347172"/>
      <w:r>
        <w:rPr>
          <w:rFonts w:hint="eastAsia" w:cs="宋体"/>
          <w:sz w:val="21"/>
          <w:szCs w:val="21"/>
          <w:highlight w:val="none"/>
        </w:rPr>
        <w:t>. 试验与检验</w:t>
      </w:r>
      <w:bookmarkEnd w:id="274"/>
    </w:p>
    <w:bookmarkEnd w:id="275"/>
    <w:bookmarkEnd w:id="276"/>
    <w:bookmarkEnd w:id="277"/>
    <w:bookmarkEnd w:id="278"/>
    <w:bookmarkEnd w:id="279"/>
    <w:bookmarkEnd w:id="280"/>
    <w:bookmarkEnd w:id="281"/>
    <w:p w14:paraId="33B01224">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9</w:t>
      </w:r>
      <w:bookmarkStart w:id="294" w:name="_Toc312677496"/>
      <w:bookmarkStart w:id="295" w:name="_Toc312678022"/>
      <w:bookmarkStart w:id="296" w:name="_Toc297123534"/>
      <w:bookmarkStart w:id="297" w:name="_Toc303539140"/>
      <w:bookmarkStart w:id="298" w:name="_Toc300934983"/>
      <w:bookmarkStart w:id="299" w:name="_Toc304295560"/>
      <w:bookmarkStart w:id="300" w:name="_Toc297216193"/>
      <w:r>
        <w:rPr>
          <w:rFonts w:hint="eastAsia" w:cs="宋体"/>
          <w:bCs/>
          <w:sz w:val="21"/>
          <w:szCs w:val="21"/>
          <w:highlight w:val="none"/>
        </w:rPr>
        <w:t>.1 试验设备与试验人员</w:t>
      </w:r>
    </w:p>
    <w:bookmarkEnd w:id="294"/>
    <w:bookmarkEnd w:id="295"/>
    <w:bookmarkEnd w:id="296"/>
    <w:bookmarkEnd w:id="297"/>
    <w:bookmarkEnd w:id="298"/>
    <w:bookmarkEnd w:id="299"/>
    <w:bookmarkEnd w:id="300"/>
    <w:p w14:paraId="5A561D7A">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9</w:t>
      </w:r>
      <w:bookmarkStart w:id="301" w:name="_Toc312678023"/>
      <w:bookmarkStart w:id="302" w:name="_Toc297123535"/>
      <w:bookmarkStart w:id="303" w:name="_Toc297216194"/>
      <w:bookmarkStart w:id="304" w:name="_Toc312677497"/>
      <w:bookmarkStart w:id="305" w:name="_Toc303539141"/>
      <w:bookmarkStart w:id="306" w:name="_Toc300934984"/>
      <w:bookmarkStart w:id="307" w:name="_Toc304295561"/>
      <w:bookmarkStart w:id="308" w:name="_Toc318581174"/>
      <w:r>
        <w:rPr>
          <w:rFonts w:hint="eastAsia" w:cs="宋体"/>
          <w:sz w:val="21"/>
          <w:szCs w:val="21"/>
          <w:highlight w:val="none"/>
        </w:rPr>
        <w:t>.1.2 试验设备</w:t>
      </w:r>
    </w:p>
    <w:p w14:paraId="41E80A85">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施工现场需要配置的试验场所</w:t>
      </w:r>
      <w:bookmarkEnd w:id="301"/>
      <w:bookmarkEnd w:id="302"/>
      <w:bookmarkEnd w:id="303"/>
      <w:bookmarkEnd w:id="304"/>
      <w:bookmarkEnd w:id="305"/>
      <w:bookmarkEnd w:id="306"/>
      <w:bookmarkEnd w:id="307"/>
      <w:bookmarkStart w:id="309" w:name="_Toc300934985"/>
      <w:bookmarkStart w:id="310" w:name="_Toc297216195"/>
      <w:bookmarkStart w:id="311" w:name="_Toc303539142"/>
      <w:bookmarkStart w:id="312" w:name="_Toc312677498"/>
      <w:bookmarkStart w:id="313" w:name="_Toc312678024"/>
      <w:bookmarkStart w:id="314" w:name="_Toc304295562"/>
      <w:bookmarkStart w:id="315" w:name="_Toc297123536"/>
      <w:r>
        <w:rPr>
          <w:rFonts w:hint="eastAsia" w:cs="宋体"/>
          <w:sz w:val="21"/>
          <w:szCs w:val="21"/>
          <w:highlight w:val="none"/>
        </w:rPr>
        <w:t>：  根据实际情况，满足国家规范、地方标准、施工需要，相关费用包含在合同价款中。</w:t>
      </w:r>
    </w:p>
    <w:p w14:paraId="557F96D1">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施工现场需要配备的试验设备：</w:t>
      </w:r>
      <w:r>
        <w:rPr>
          <w:rFonts w:hint="eastAsia" w:cs="宋体"/>
          <w:sz w:val="21"/>
          <w:szCs w:val="21"/>
          <w:highlight w:val="none"/>
          <w:u w:val="single"/>
        </w:rPr>
        <w:t xml:space="preserve"> 根据实际情况，满足国家规范、地方标准、施工需要，相关费用包含在合同价款中 </w:t>
      </w:r>
      <w:r>
        <w:rPr>
          <w:rFonts w:hint="eastAsia" w:cs="宋体"/>
          <w:sz w:val="21"/>
          <w:szCs w:val="21"/>
          <w:highlight w:val="none"/>
        </w:rPr>
        <w:t>。</w:t>
      </w:r>
    </w:p>
    <w:p w14:paraId="7FFBADC1">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施工现场需要具备的其他试验条件：</w:t>
      </w:r>
      <w:r>
        <w:rPr>
          <w:rFonts w:hint="eastAsia" w:cs="宋体"/>
          <w:sz w:val="21"/>
          <w:szCs w:val="21"/>
          <w:highlight w:val="none"/>
          <w:u w:val="single"/>
        </w:rPr>
        <w:t xml:space="preserve"> 根据实际情况，满足国家规范、地方标准、施工需要，相关费用包含在合同价款中 </w:t>
      </w:r>
      <w:r>
        <w:rPr>
          <w:rFonts w:hint="eastAsia" w:cs="宋体"/>
          <w:sz w:val="21"/>
          <w:szCs w:val="21"/>
          <w:highlight w:val="none"/>
        </w:rPr>
        <w:t>。</w:t>
      </w:r>
    </w:p>
    <w:p w14:paraId="7815551F">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 xml:space="preserve">9.4 现场工艺试验 </w:t>
      </w:r>
    </w:p>
    <w:p w14:paraId="484E8AA1">
      <w:pPr>
        <w:adjustRightInd/>
        <w:snapToGrid/>
        <w:spacing w:line="360" w:lineRule="auto"/>
        <w:ind w:firstLine="420" w:firstLineChars="0"/>
        <w:rPr>
          <w:rFonts w:cs="宋体"/>
          <w:sz w:val="21"/>
          <w:szCs w:val="21"/>
          <w:highlight w:val="none"/>
          <w:u w:val="single"/>
        </w:rPr>
      </w:pPr>
      <w:r>
        <w:rPr>
          <w:rFonts w:hint="eastAsia" w:cs="宋体"/>
          <w:sz w:val="21"/>
          <w:szCs w:val="21"/>
          <w:highlight w:val="none"/>
        </w:rPr>
        <w:t>现场工艺试验的有关约定：</w:t>
      </w:r>
      <w:r>
        <w:rPr>
          <w:rFonts w:hint="eastAsia" w:cs="宋体"/>
          <w:sz w:val="21"/>
          <w:szCs w:val="21"/>
          <w:highlight w:val="none"/>
          <w:u w:val="single"/>
        </w:rPr>
        <w:t xml:space="preserve"> 国家规范、地方标准要求的，合同约定的，或根据工程实际情况而须进行的工艺试验，承包人应根据要求实施，并承担相应的费用和工期。</w:t>
      </w:r>
      <w:r>
        <w:rPr>
          <w:rFonts w:hint="eastAsia" w:ascii="宋体" w:hAnsi="宋体" w:eastAsia="宋体" w:cs="Calibri"/>
          <w:color w:val="auto"/>
          <w:sz w:val="21"/>
          <w:szCs w:val="21"/>
          <w:highlight w:val="none"/>
          <w:u w:val="single"/>
        </w:rPr>
        <w:t>承包人应根据国家规范及工程所在地地方标准、行业标准完成一切为保证工程施工质量、安全及完成竣工备案所需的全部检验试验，并保存完好相关资料</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08"/>
    <w:bookmarkEnd w:id="309"/>
    <w:bookmarkEnd w:id="310"/>
    <w:bookmarkEnd w:id="311"/>
    <w:bookmarkEnd w:id="312"/>
    <w:bookmarkEnd w:id="313"/>
    <w:bookmarkEnd w:id="314"/>
    <w:bookmarkEnd w:id="315"/>
    <w:p w14:paraId="22E31109">
      <w:pPr>
        <w:snapToGrid w:val="0"/>
        <w:spacing w:before="312" w:beforeLines="100" w:after="312" w:afterLines="100" w:line="360" w:lineRule="auto"/>
        <w:outlineLvl w:val="2"/>
        <w:rPr>
          <w:rFonts w:cs="宋体"/>
          <w:sz w:val="21"/>
          <w:szCs w:val="21"/>
          <w:highlight w:val="none"/>
        </w:rPr>
      </w:pPr>
      <w:bookmarkStart w:id="316" w:name="_Toc351203642"/>
      <w:r>
        <w:rPr>
          <w:rFonts w:hint="eastAsia" w:cs="宋体"/>
          <w:sz w:val="21"/>
          <w:szCs w:val="21"/>
          <w:highlight w:val="none"/>
        </w:rPr>
        <w:t>1</w:t>
      </w:r>
      <w:bookmarkEnd w:id="282"/>
      <w:bookmarkEnd w:id="283"/>
      <w:bookmarkEnd w:id="284"/>
      <w:bookmarkEnd w:id="285"/>
      <w:bookmarkEnd w:id="286"/>
      <w:bookmarkEnd w:id="287"/>
      <w:bookmarkEnd w:id="288"/>
      <w:bookmarkEnd w:id="289"/>
      <w:bookmarkEnd w:id="290"/>
      <w:bookmarkEnd w:id="291"/>
      <w:bookmarkEnd w:id="292"/>
      <w:bookmarkEnd w:id="293"/>
      <w:bookmarkStart w:id="317" w:name="_Toc296347192"/>
      <w:bookmarkStart w:id="318" w:name="_Toc296346694"/>
      <w:bookmarkStart w:id="319" w:name="_Toc300934989"/>
      <w:bookmarkStart w:id="320" w:name="_Toc296891233"/>
      <w:bookmarkStart w:id="321" w:name="_Toc303539146"/>
      <w:bookmarkStart w:id="322" w:name="_Toc292559398"/>
      <w:bookmarkStart w:id="323" w:name="_Toc297216199"/>
      <w:bookmarkStart w:id="324" w:name="_Toc292559903"/>
      <w:bookmarkStart w:id="325" w:name="_Toc297048379"/>
      <w:bookmarkStart w:id="326" w:name="_Toc296891021"/>
      <w:bookmarkStart w:id="327" w:name="_Toc297123540"/>
      <w:bookmarkStart w:id="328" w:name="_Toc297120493"/>
      <w:bookmarkStart w:id="329" w:name="_Toc296944532"/>
      <w:bookmarkStart w:id="330" w:name="_Toc296503193"/>
      <w:bookmarkStart w:id="331" w:name="_Toc304295566"/>
      <w:bookmarkStart w:id="332" w:name="_Toc312677499"/>
      <w:bookmarkStart w:id="333" w:name="_Toc312678025"/>
      <w:bookmarkStart w:id="334" w:name="_Toc267251437"/>
      <w:bookmarkStart w:id="335" w:name="_Toc267251433"/>
      <w:bookmarkStart w:id="336" w:name="_Toc267251439"/>
      <w:bookmarkStart w:id="337" w:name="_Toc267251441"/>
      <w:bookmarkStart w:id="338" w:name="_Toc267251440"/>
      <w:bookmarkStart w:id="339" w:name="_Toc267251435"/>
      <w:bookmarkStart w:id="340" w:name="_Toc267251442"/>
      <w:r>
        <w:rPr>
          <w:rFonts w:hint="eastAsia" w:cs="宋体"/>
          <w:sz w:val="21"/>
          <w:szCs w:val="21"/>
          <w:highlight w:val="none"/>
        </w:rPr>
        <w:t>0. 变更</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bookmarkEnd w:id="332"/>
    <w:bookmarkEnd w:id="333"/>
    <w:p w14:paraId="4D003F04">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w:t>
      </w:r>
      <w:bookmarkStart w:id="341" w:name="_Toc292559904"/>
      <w:bookmarkStart w:id="342" w:name="_Toc303539147"/>
      <w:bookmarkStart w:id="343" w:name="_Toc297048380"/>
      <w:bookmarkStart w:id="344" w:name="_Toc304295567"/>
      <w:bookmarkStart w:id="345" w:name="_Toc292559399"/>
      <w:bookmarkStart w:id="346" w:name="_Toc297123541"/>
      <w:bookmarkStart w:id="347" w:name="_Toc296944533"/>
      <w:bookmarkStart w:id="348" w:name="_Toc297120494"/>
      <w:bookmarkStart w:id="349" w:name="_Toc296503194"/>
      <w:bookmarkStart w:id="350" w:name="_Toc296347193"/>
      <w:bookmarkStart w:id="351" w:name="_Toc312677500"/>
      <w:bookmarkStart w:id="352" w:name="_Toc296891022"/>
      <w:bookmarkStart w:id="353" w:name="_Toc312678026"/>
      <w:bookmarkStart w:id="354" w:name="_Toc300934990"/>
      <w:bookmarkStart w:id="355" w:name="_Toc296346695"/>
      <w:bookmarkStart w:id="356" w:name="_Toc296891234"/>
      <w:bookmarkStart w:id="357" w:name="_Toc297216200"/>
      <w:r>
        <w:rPr>
          <w:rFonts w:hint="eastAsia" w:cs="宋体"/>
          <w:bCs/>
          <w:sz w:val="21"/>
          <w:szCs w:val="21"/>
          <w:highlight w:val="none"/>
        </w:rPr>
        <w:t>0.1 变更的范围</w:t>
      </w:r>
    </w:p>
    <w:p w14:paraId="288D82A7">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关于变更的范围的约定：执行通用条款。</w:t>
      </w:r>
    </w:p>
    <w:p w14:paraId="0E3BE6EB">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10.4 变更估价</w:t>
      </w:r>
    </w:p>
    <w:p w14:paraId="49F29987">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10.4.1 变更估价原则</w:t>
      </w:r>
    </w:p>
    <w:p w14:paraId="1E814EF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关于变更估价的约定：</w:t>
      </w:r>
    </w:p>
    <w:p w14:paraId="5745A3A7">
      <w:pPr>
        <w:adjustRightInd w:val="0"/>
        <w:snapToGrid w:val="0"/>
        <w:spacing w:line="360" w:lineRule="auto"/>
        <w:ind w:firstLine="422" w:firstLineChars="200"/>
        <w:rPr>
          <w:rFonts w:cs="宋体"/>
          <w:b/>
          <w:sz w:val="21"/>
          <w:szCs w:val="21"/>
          <w:highlight w:val="none"/>
        </w:rPr>
      </w:pPr>
      <w:r>
        <w:rPr>
          <w:rFonts w:hint="eastAsia" w:cs="宋体"/>
          <w:b/>
          <w:sz w:val="21"/>
          <w:szCs w:val="21"/>
          <w:highlight w:val="none"/>
        </w:rPr>
        <w:t>10.4.1.1 因工程变更引起已标价工程量清单项目或其工程数量发生变化时，按下列规定调整：</w:t>
      </w:r>
    </w:p>
    <w:p w14:paraId="2659A01F">
      <w:pPr>
        <w:adjustRightInd w:val="0"/>
        <w:snapToGrid w:val="0"/>
        <w:spacing w:line="360" w:lineRule="auto"/>
        <w:ind w:firstLine="422" w:firstLineChars="200"/>
        <w:rPr>
          <w:rFonts w:cs="宋体"/>
          <w:b/>
          <w:sz w:val="21"/>
          <w:szCs w:val="21"/>
          <w:highlight w:val="none"/>
          <w:u w:val="single"/>
        </w:rPr>
      </w:pPr>
      <w:r>
        <w:rPr>
          <w:rFonts w:hint="eastAsia" w:cs="宋体"/>
          <w:b/>
          <w:sz w:val="21"/>
          <w:szCs w:val="21"/>
          <w:highlight w:val="none"/>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cs="宋体"/>
          <w:b/>
          <w:bCs/>
          <w:sz w:val="21"/>
          <w:szCs w:val="21"/>
          <w:highlight w:val="none"/>
          <w:u w:val="single"/>
        </w:rPr>
        <w:t>【承包人报价浮动率L=（1—中标价/最高投标限价）×100%，下同】</w:t>
      </w:r>
      <w:r>
        <w:rPr>
          <w:rFonts w:hint="eastAsia" w:cs="宋体"/>
          <w:b/>
          <w:sz w:val="21"/>
          <w:szCs w:val="21"/>
          <w:highlight w:val="none"/>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27D790D8">
      <w:pPr>
        <w:adjustRightInd w:val="0"/>
        <w:snapToGrid w:val="0"/>
        <w:spacing w:line="360" w:lineRule="auto"/>
        <w:ind w:firstLine="422" w:firstLineChars="200"/>
        <w:rPr>
          <w:rFonts w:cs="宋体"/>
          <w:b/>
          <w:sz w:val="21"/>
          <w:szCs w:val="21"/>
          <w:highlight w:val="none"/>
          <w:u w:val="single"/>
        </w:rPr>
      </w:pPr>
      <w:r>
        <w:rPr>
          <w:rFonts w:hint="eastAsia" w:cs="宋体"/>
          <w:b/>
          <w:sz w:val="21"/>
          <w:szCs w:val="21"/>
          <w:highlight w:val="none"/>
        </w:rPr>
        <w:t>（2）</w:t>
      </w:r>
      <w:r>
        <w:rPr>
          <w:rFonts w:hint="eastAsia" w:cs="宋体"/>
          <w:b/>
          <w:sz w:val="21"/>
          <w:szCs w:val="21"/>
          <w:highlight w:val="none"/>
          <w:u w:val="single"/>
        </w:rPr>
        <w:t>已标价工程量清单中没有适用但有类似于变更工程项目的，可在合理范围内参照类似项目的单价。</w:t>
      </w:r>
    </w:p>
    <w:p w14:paraId="62E9761D">
      <w:pPr>
        <w:adjustRightInd w:val="0"/>
        <w:snapToGrid w:val="0"/>
        <w:spacing w:line="360" w:lineRule="auto"/>
        <w:ind w:firstLine="422" w:firstLineChars="200"/>
        <w:rPr>
          <w:rFonts w:cs="宋体"/>
          <w:b/>
          <w:sz w:val="21"/>
          <w:szCs w:val="21"/>
          <w:highlight w:val="none"/>
          <w:u w:val="single"/>
        </w:rPr>
      </w:pPr>
      <w:r>
        <w:rPr>
          <w:rFonts w:hint="eastAsia" w:cs="宋体"/>
          <w:b/>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78257EFD">
      <w:pPr>
        <w:adjustRightInd w:val="0"/>
        <w:snapToGrid w:val="0"/>
        <w:spacing w:line="360" w:lineRule="auto"/>
        <w:ind w:firstLine="422" w:firstLineChars="200"/>
        <w:rPr>
          <w:rFonts w:cs="宋体"/>
          <w:b/>
          <w:sz w:val="21"/>
          <w:szCs w:val="21"/>
          <w:highlight w:val="none"/>
          <w:u w:val="single"/>
        </w:rPr>
      </w:pPr>
      <w:r>
        <w:rPr>
          <w:rFonts w:hint="eastAsia" w:cs="宋体"/>
          <w:b/>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789C1B97">
      <w:pPr>
        <w:adjustRightInd w:val="0"/>
        <w:snapToGrid w:val="0"/>
        <w:spacing w:before="93" w:beforeLines="30" w:line="360" w:lineRule="auto"/>
        <w:ind w:firstLine="422" w:firstLineChars="200"/>
        <w:rPr>
          <w:rFonts w:cs="宋体"/>
          <w:b/>
          <w:sz w:val="21"/>
          <w:szCs w:val="21"/>
          <w:highlight w:val="none"/>
        </w:rPr>
      </w:pPr>
      <w:r>
        <w:rPr>
          <w:rFonts w:hint="eastAsia" w:cs="宋体"/>
          <w:b/>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7F8D8CE7">
      <w:pPr>
        <w:adjustRightInd w:val="0"/>
        <w:snapToGrid w:val="0"/>
        <w:spacing w:before="93" w:beforeLines="30" w:line="360" w:lineRule="auto"/>
        <w:ind w:firstLine="422" w:firstLineChars="200"/>
        <w:rPr>
          <w:rFonts w:cs="宋体"/>
          <w:b/>
          <w:sz w:val="21"/>
          <w:szCs w:val="21"/>
          <w:highlight w:val="none"/>
          <w:u w:val="single"/>
        </w:rPr>
      </w:pPr>
      <w:r>
        <w:rPr>
          <w:rFonts w:hint="eastAsia" w:cs="宋体"/>
          <w:b/>
          <w:sz w:val="21"/>
          <w:szCs w:val="21"/>
          <w:highlight w:val="none"/>
          <w:u w:val="single"/>
        </w:rPr>
        <w:t>（1）按照费率计算的措施费，应按照实际发生变化的措施项目依据原招标文件规定的费率计算；</w:t>
      </w:r>
    </w:p>
    <w:p w14:paraId="2FB39569">
      <w:pPr>
        <w:adjustRightInd w:val="0"/>
        <w:snapToGrid w:val="0"/>
        <w:spacing w:before="93" w:beforeLines="30" w:line="360" w:lineRule="auto"/>
        <w:ind w:firstLine="422" w:firstLineChars="200"/>
        <w:jc w:val="left"/>
        <w:rPr>
          <w:rFonts w:cs="宋体"/>
          <w:b/>
          <w:sz w:val="21"/>
          <w:szCs w:val="21"/>
          <w:highlight w:val="none"/>
          <w:u w:val="single"/>
        </w:rPr>
      </w:pPr>
      <w:r>
        <w:rPr>
          <w:rFonts w:hint="eastAsia" w:cs="宋体"/>
          <w:b/>
          <w:sz w:val="21"/>
          <w:szCs w:val="21"/>
          <w:highlight w:val="none"/>
          <w:u w:val="single"/>
        </w:rPr>
        <w:t>（2）按照单价计算的措施项目费，应按照实际发生变化的措施项目，按本合同专业条款第10.4.1.1目计算；</w:t>
      </w:r>
    </w:p>
    <w:p w14:paraId="68E6A57B">
      <w:pPr>
        <w:adjustRightInd w:val="0"/>
        <w:snapToGrid w:val="0"/>
        <w:spacing w:before="93" w:beforeLines="30" w:line="360" w:lineRule="auto"/>
        <w:ind w:firstLine="422" w:firstLineChars="200"/>
        <w:rPr>
          <w:rFonts w:cs="宋体"/>
          <w:b/>
          <w:sz w:val="21"/>
          <w:szCs w:val="21"/>
          <w:highlight w:val="none"/>
          <w:u w:val="single"/>
        </w:rPr>
      </w:pPr>
      <w:r>
        <w:rPr>
          <w:rFonts w:hint="eastAsia" w:cs="宋体"/>
          <w:b/>
          <w:sz w:val="21"/>
          <w:szCs w:val="21"/>
          <w:highlight w:val="none"/>
          <w:u w:val="single"/>
        </w:rPr>
        <w:t>（3）按总价（或系数）计算的措施项目费，应按照实际发生变化的措施项目和承包人报价浮动率同比下浮标准，提出新的措施项目费，作为结算的依据；</w:t>
      </w:r>
    </w:p>
    <w:p w14:paraId="790F1000">
      <w:pPr>
        <w:adjustRightInd w:val="0"/>
        <w:snapToGrid w:val="0"/>
        <w:spacing w:before="93" w:beforeLines="30" w:line="360" w:lineRule="auto"/>
        <w:ind w:firstLine="422" w:firstLineChars="200"/>
        <w:rPr>
          <w:rFonts w:cs="宋体"/>
          <w:b/>
          <w:strike/>
          <w:sz w:val="21"/>
          <w:szCs w:val="21"/>
          <w:highlight w:val="none"/>
          <w:u w:val="single"/>
        </w:rPr>
      </w:pPr>
      <w:r>
        <w:rPr>
          <w:rFonts w:hint="eastAsia" w:cs="宋体"/>
          <w:b/>
          <w:sz w:val="21"/>
          <w:szCs w:val="21"/>
          <w:highlight w:val="none"/>
          <w:u w:val="single"/>
        </w:rPr>
        <w:t>（4）如果承包人未事前将拟实施的方案提交给发包人确认，则应视为工程变更不引起措施项目费的调整或承包人放弃调整措施项目费的权利。</w:t>
      </w:r>
    </w:p>
    <w:p w14:paraId="2E84EA82">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Start w:id="358" w:name="_Toc296346698"/>
      <w:bookmarkStart w:id="359" w:name="_Toc296891237"/>
      <w:bookmarkStart w:id="360" w:name="_Toc296503197"/>
      <w:bookmarkStart w:id="361" w:name="_Toc297123544"/>
      <w:bookmarkStart w:id="362" w:name="_Toc296891025"/>
      <w:bookmarkStart w:id="363" w:name="_Toc292559402"/>
      <w:bookmarkStart w:id="364" w:name="_Toc297048383"/>
      <w:bookmarkStart w:id="365" w:name="_Toc296944536"/>
      <w:bookmarkStart w:id="366" w:name="_Toc297216203"/>
      <w:bookmarkStart w:id="367" w:name="_Toc292559907"/>
      <w:bookmarkStart w:id="368" w:name="_Toc303539150"/>
      <w:bookmarkStart w:id="369" w:name="_Toc297120497"/>
      <w:bookmarkStart w:id="370" w:name="_Toc296347196"/>
      <w:bookmarkStart w:id="371" w:name="_Toc300934993"/>
      <w:bookmarkStart w:id="372" w:name="_Toc312677503"/>
      <w:bookmarkStart w:id="373" w:name="_Toc312678029"/>
      <w:bookmarkStart w:id="374" w:name="_Toc304295570"/>
      <w:r>
        <w:rPr>
          <w:rFonts w:hint="eastAsia" w:cs="宋体"/>
          <w:bCs/>
          <w:sz w:val="21"/>
          <w:szCs w:val="21"/>
          <w:highlight w:val="none"/>
        </w:rPr>
        <w:t>0.5 承</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Start w:id="375" w:name="_Toc292559408"/>
      <w:bookmarkStart w:id="376" w:name="_Toc296503203"/>
      <w:bookmarkStart w:id="377" w:name="_Toc297216204"/>
      <w:bookmarkStart w:id="378" w:name="_Toc297123545"/>
      <w:bookmarkStart w:id="379" w:name="_Toc296347202"/>
      <w:bookmarkStart w:id="380" w:name="_Toc296944542"/>
      <w:bookmarkStart w:id="381" w:name="_Toc303539151"/>
      <w:bookmarkStart w:id="382" w:name="_Toc300934994"/>
      <w:bookmarkStart w:id="383" w:name="_Toc297048389"/>
      <w:bookmarkStart w:id="384" w:name="_Toc296891243"/>
      <w:bookmarkStart w:id="385" w:name="_Toc296346704"/>
      <w:bookmarkStart w:id="386" w:name="_Toc297120503"/>
      <w:bookmarkStart w:id="387" w:name="_Toc296891031"/>
      <w:bookmarkStart w:id="388" w:name="_Toc292559913"/>
      <w:r>
        <w:rPr>
          <w:rFonts w:hint="eastAsia" w:cs="宋体"/>
          <w:bCs/>
          <w:sz w:val="21"/>
          <w:szCs w:val="21"/>
          <w:highlight w:val="none"/>
        </w:rPr>
        <w:t>包人的合理化建议</w:t>
      </w:r>
    </w:p>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14:paraId="7F3974EB">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监理人审查承包人合理化建议的期限：收到承包人提交的合理化建议后7天内审查完毕(执行通用条款)。</w:t>
      </w:r>
    </w:p>
    <w:p w14:paraId="3BA8404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发包人审批承包人合理化建议的期限：收到监理人报送的合理化建议后7天内审批完毕(执行通用条款)。</w:t>
      </w:r>
    </w:p>
    <w:p w14:paraId="4CD4A7D0">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承</w:t>
      </w:r>
      <w:bookmarkStart w:id="389" w:name="_Toc312677504"/>
      <w:bookmarkStart w:id="390" w:name="_Toc292559409"/>
      <w:bookmarkStart w:id="391" w:name="_Toc304295571"/>
      <w:bookmarkStart w:id="392" w:name="_Toc296347203"/>
      <w:bookmarkStart w:id="393" w:name="_Toc296346705"/>
      <w:bookmarkStart w:id="394" w:name="_Toc312678030"/>
      <w:bookmarkStart w:id="395" w:name="_Toc296503204"/>
      <w:bookmarkStart w:id="396" w:name="_Toc292559914"/>
      <w:bookmarkStart w:id="397" w:name="_Toc297048390"/>
      <w:bookmarkStart w:id="398" w:name="_Toc297216205"/>
      <w:bookmarkStart w:id="399" w:name="_Toc296891032"/>
      <w:bookmarkStart w:id="400" w:name="_Toc297123546"/>
      <w:bookmarkStart w:id="401" w:name="_Toc296944543"/>
      <w:bookmarkStart w:id="402" w:name="_Toc300934995"/>
      <w:bookmarkStart w:id="403" w:name="_Toc303539152"/>
      <w:bookmarkStart w:id="404" w:name="_Toc318581175"/>
      <w:bookmarkStart w:id="405" w:name="_Toc296891244"/>
      <w:bookmarkStart w:id="406" w:name="_Toc297120504"/>
      <w:r>
        <w:rPr>
          <w:rFonts w:hint="eastAsia" w:cs="宋体"/>
          <w:sz w:val="21"/>
          <w:szCs w:val="21"/>
          <w:highlight w:val="none"/>
        </w:rPr>
        <w:t>包人提出的合理化建议降低了合同价格或者提高了工程经济效益的奖励的方法和金额为：</w:t>
      </w:r>
      <w:r>
        <w:rPr>
          <w:rFonts w:hint="eastAsia" w:cs="宋体"/>
          <w:sz w:val="21"/>
          <w:szCs w:val="21"/>
          <w:highlight w:val="none"/>
          <w:u w:val="single"/>
        </w:rPr>
        <w:t xml:space="preserve"> </w:t>
      </w:r>
      <w:r>
        <w:rPr>
          <w:rFonts w:hint="eastAsia" w:cs="宋体"/>
          <w:sz w:val="21"/>
          <w:szCs w:val="21"/>
          <w:highlight w:val="none"/>
          <w:u w:val="single"/>
          <w:lang w:val="en-US" w:eastAsia="zh-CN"/>
        </w:rPr>
        <w:t>/</w:t>
      </w:r>
      <w:r>
        <w:rPr>
          <w:rFonts w:hint="eastAsia" w:cs="宋体"/>
          <w:sz w:val="21"/>
          <w:szCs w:val="21"/>
          <w:highlight w:val="none"/>
        </w:rPr>
        <w:t>。</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14:paraId="624FE1D3">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w:t>
      </w:r>
      <w:bookmarkStart w:id="407" w:name="_Toc296346700"/>
      <w:bookmarkStart w:id="408" w:name="_Toc292559909"/>
      <w:bookmarkStart w:id="409" w:name="_Toc296503199"/>
      <w:bookmarkStart w:id="410" w:name="_Toc300934997"/>
      <w:bookmarkStart w:id="411" w:name="_Toc296891027"/>
      <w:bookmarkStart w:id="412" w:name="_Toc312678033"/>
      <w:bookmarkStart w:id="413" w:name="_Toc303539154"/>
      <w:bookmarkStart w:id="414" w:name="_Toc297120499"/>
      <w:bookmarkStart w:id="415" w:name="_Toc312677507"/>
      <w:bookmarkStart w:id="416" w:name="_Toc297216207"/>
      <w:bookmarkStart w:id="417" w:name="_Toc296944538"/>
      <w:bookmarkStart w:id="418" w:name="_Toc304295574"/>
      <w:bookmarkStart w:id="419" w:name="_Toc292559404"/>
      <w:bookmarkStart w:id="420" w:name="_Toc296347198"/>
      <w:bookmarkStart w:id="421" w:name="_Toc297048385"/>
      <w:bookmarkStart w:id="422" w:name="_Toc296891239"/>
      <w:bookmarkStart w:id="423" w:name="_Toc297123548"/>
      <w:r>
        <w:rPr>
          <w:rFonts w:hint="eastAsia" w:cs="宋体"/>
          <w:bCs/>
          <w:sz w:val="21"/>
          <w:szCs w:val="21"/>
          <w:highlight w:val="none"/>
        </w:rPr>
        <w:t>0.7 暂估价</w:t>
      </w:r>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14:paraId="32F8841A">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暂</w:t>
      </w:r>
      <w:bookmarkStart w:id="424" w:name="_Toc318581176"/>
      <w:bookmarkStart w:id="425" w:name="_Toc312678034"/>
      <w:bookmarkStart w:id="426" w:name="_Toc312677508"/>
      <w:r>
        <w:rPr>
          <w:rFonts w:hint="eastAsia" w:cs="宋体"/>
          <w:sz w:val="21"/>
          <w:szCs w:val="21"/>
          <w:highlight w:val="none"/>
        </w:rPr>
        <w:t>估价材料和工程设备的明细见附件12：《暂估价一览表》。</w:t>
      </w:r>
    </w:p>
    <w:bookmarkEnd w:id="424"/>
    <w:bookmarkEnd w:id="425"/>
    <w:bookmarkEnd w:id="426"/>
    <w:p w14:paraId="060FC7EA">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w:t>
      </w:r>
      <w:bookmarkStart w:id="427" w:name="_Toc312678035"/>
      <w:bookmarkStart w:id="428" w:name="_Toc312677509"/>
      <w:bookmarkStart w:id="429" w:name="_Toc318581177"/>
      <w:r>
        <w:rPr>
          <w:rFonts w:hint="eastAsia" w:cs="宋体"/>
          <w:sz w:val="21"/>
          <w:szCs w:val="21"/>
          <w:highlight w:val="none"/>
        </w:rPr>
        <w:t>0.7.1 依法必须招标的暂估价项目</w:t>
      </w:r>
    </w:p>
    <w:bookmarkEnd w:id="427"/>
    <w:bookmarkEnd w:id="428"/>
    <w:bookmarkEnd w:id="429"/>
    <w:p w14:paraId="1DA98F3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对于依法必须招标的暂估价项目的确认和批准采取第</w:t>
      </w:r>
      <w:r>
        <w:rPr>
          <w:rFonts w:hint="eastAsia" w:cs="宋体"/>
          <w:sz w:val="21"/>
          <w:szCs w:val="21"/>
          <w:highlight w:val="none"/>
          <w:u w:val="single"/>
        </w:rPr>
        <w:t>2</w:t>
      </w:r>
      <w:r>
        <w:rPr>
          <w:rFonts w:hint="eastAsia" w:cs="宋体"/>
          <w:sz w:val="21"/>
          <w:szCs w:val="21"/>
          <w:highlight w:val="none"/>
        </w:rPr>
        <w:t>种方式确定。</w:t>
      </w:r>
      <w:r>
        <w:rPr>
          <w:rFonts w:hint="eastAsia" w:cs="宋体"/>
          <w:b/>
          <w:sz w:val="21"/>
          <w:szCs w:val="21"/>
          <w:highlight w:val="none"/>
          <w:u w:val="single"/>
        </w:rPr>
        <w:t>并应按相关规定进行二次招标</w:t>
      </w:r>
      <w:r>
        <w:rPr>
          <w:rFonts w:hint="eastAsia" w:cs="宋体"/>
          <w:sz w:val="21"/>
          <w:szCs w:val="21"/>
          <w:highlight w:val="none"/>
        </w:rPr>
        <w:t>。</w:t>
      </w:r>
    </w:p>
    <w:p w14:paraId="428B9B3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10.7.2 不属于依法必须招标的暂估价项目</w:t>
      </w:r>
    </w:p>
    <w:p w14:paraId="441FEBEA">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对于不属于依法必须招标的暂估价项目的确认和批准采取第</w:t>
      </w:r>
      <w:r>
        <w:rPr>
          <w:rFonts w:hint="eastAsia" w:cs="宋体"/>
          <w:sz w:val="21"/>
          <w:szCs w:val="21"/>
          <w:highlight w:val="none"/>
          <w:u w:val="single"/>
        </w:rPr>
        <w:t>1</w:t>
      </w:r>
      <w:r>
        <w:rPr>
          <w:rFonts w:hint="eastAsia" w:cs="宋体"/>
          <w:sz w:val="21"/>
          <w:szCs w:val="21"/>
          <w:highlight w:val="none"/>
        </w:rPr>
        <w:t>种方式确定。</w:t>
      </w:r>
    </w:p>
    <w:p w14:paraId="76EE5EF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第3种方式：承包人直接实施的暂估价项目</w:t>
      </w:r>
    </w:p>
    <w:p w14:paraId="75965AE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承包人直接实施的暂估价项目的约定：</w:t>
      </w:r>
      <w:r>
        <w:rPr>
          <w:rFonts w:hint="eastAsia" w:cs="宋体"/>
          <w:sz w:val="21"/>
          <w:szCs w:val="21"/>
          <w:highlight w:val="none"/>
          <w:u w:val="single"/>
        </w:rPr>
        <w:t xml:space="preserve">  /  </w:t>
      </w:r>
      <w:r>
        <w:rPr>
          <w:rFonts w:hint="eastAsia" w:cs="宋体"/>
          <w:sz w:val="21"/>
          <w:szCs w:val="21"/>
          <w:highlight w:val="none"/>
        </w:rPr>
        <w:t>。</w:t>
      </w:r>
    </w:p>
    <w:p w14:paraId="7FA215A0">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10.8 暂列金额</w:t>
      </w:r>
    </w:p>
    <w:p w14:paraId="07B89B6B">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合同当事人关于暂列金额使用的约定：执行通用条款。</w:t>
      </w:r>
    </w:p>
    <w:p w14:paraId="0325C14E">
      <w:pPr>
        <w:snapToGrid w:val="0"/>
        <w:spacing w:before="312" w:beforeLines="100" w:after="312" w:afterLines="100" w:line="360" w:lineRule="auto"/>
        <w:outlineLvl w:val="2"/>
        <w:rPr>
          <w:rFonts w:cs="宋体"/>
          <w:sz w:val="21"/>
          <w:szCs w:val="21"/>
          <w:highlight w:val="none"/>
        </w:rPr>
      </w:pPr>
      <w:bookmarkStart w:id="430" w:name="_Toc351203643"/>
      <w:r>
        <w:rPr>
          <w:rFonts w:hint="eastAsia" w:cs="宋体"/>
          <w:sz w:val="21"/>
          <w:szCs w:val="21"/>
          <w:highlight w:val="none"/>
        </w:rPr>
        <w:t>11. 价格调整</w:t>
      </w:r>
      <w:bookmarkEnd w:id="430"/>
    </w:p>
    <w:p w14:paraId="7F0ADDF7">
      <w:pPr>
        <w:keepNext/>
        <w:keepLines/>
        <w:snapToGrid w:val="0"/>
        <w:spacing w:before="120" w:after="120" w:line="360" w:lineRule="auto"/>
        <w:ind w:firstLine="420" w:firstLineChars="200"/>
        <w:outlineLvl w:val="3"/>
        <w:rPr>
          <w:rFonts w:cs="宋体"/>
          <w:bCs/>
          <w:sz w:val="21"/>
          <w:szCs w:val="21"/>
          <w:highlight w:val="none"/>
        </w:rPr>
      </w:pPr>
      <w:bookmarkStart w:id="431" w:name="_Toc292559406"/>
      <w:bookmarkStart w:id="432" w:name="_Toc296347200"/>
      <w:bookmarkStart w:id="433" w:name="_Toc300935000"/>
      <w:bookmarkStart w:id="434" w:name="_Toc297123550"/>
      <w:bookmarkStart w:id="435" w:name="_Toc303539157"/>
      <w:bookmarkStart w:id="436" w:name="_Toc296944540"/>
      <w:bookmarkStart w:id="437" w:name="_Toc297216209"/>
      <w:bookmarkStart w:id="438" w:name="_Toc296503201"/>
      <w:bookmarkStart w:id="439" w:name="_Toc312678039"/>
      <w:bookmarkStart w:id="440" w:name="_Toc292559911"/>
      <w:bookmarkStart w:id="441" w:name="_Toc304295577"/>
      <w:bookmarkStart w:id="442" w:name="_Toc296346702"/>
      <w:bookmarkStart w:id="443" w:name="_Toc296891029"/>
      <w:bookmarkStart w:id="444" w:name="_Toc297120501"/>
      <w:bookmarkStart w:id="445" w:name="_Toc296891241"/>
      <w:bookmarkStart w:id="446" w:name="_Toc297048387"/>
      <w:r>
        <w:rPr>
          <w:rFonts w:hint="eastAsia" w:cs="宋体"/>
          <w:bCs/>
          <w:sz w:val="21"/>
          <w:szCs w:val="21"/>
          <w:highlight w:val="none"/>
        </w:rPr>
        <w:t>11.1 市场价格波动引起的调整</w:t>
      </w:r>
    </w:p>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14:paraId="52F2D18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市场价格波动是否调整合同价格的约定：</w:t>
      </w:r>
      <w:r>
        <w:rPr>
          <w:rFonts w:hint="eastAsia" w:cs="宋体"/>
          <w:sz w:val="21"/>
          <w:szCs w:val="21"/>
          <w:highlight w:val="none"/>
          <w:u w:val="single"/>
        </w:rPr>
        <w:t>见《专用合同条款数据表》</w:t>
      </w:r>
      <w:r>
        <w:rPr>
          <w:rFonts w:hint="eastAsia" w:cs="宋体"/>
          <w:sz w:val="21"/>
          <w:szCs w:val="21"/>
          <w:highlight w:val="none"/>
        </w:rPr>
        <w:t>。</w:t>
      </w:r>
    </w:p>
    <w:p w14:paraId="32E885C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因市场价格波动调整合同价格，采用以下第</w:t>
      </w:r>
      <w:r>
        <w:rPr>
          <w:rFonts w:hint="eastAsia" w:cs="宋体"/>
          <w:sz w:val="21"/>
          <w:szCs w:val="21"/>
          <w:highlight w:val="none"/>
          <w:u w:val="single"/>
        </w:rPr>
        <w:t xml:space="preserve"> </w:t>
      </w:r>
      <w:r>
        <w:rPr>
          <w:rFonts w:hint="eastAsia" w:cs="宋体"/>
          <w:sz w:val="21"/>
          <w:szCs w:val="21"/>
          <w:highlight w:val="none"/>
          <w:u w:val="single"/>
          <w:lang w:val="en-US" w:eastAsia="zh-CN"/>
        </w:rPr>
        <w:t>/</w:t>
      </w:r>
      <w:r>
        <w:rPr>
          <w:rFonts w:hint="eastAsia" w:cs="宋体"/>
          <w:sz w:val="21"/>
          <w:szCs w:val="21"/>
          <w:highlight w:val="none"/>
          <w:u w:val="single"/>
        </w:rPr>
        <w:t xml:space="preserve"> </w:t>
      </w:r>
      <w:r>
        <w:rPr>
          <w:rFonts w:hint="eastAsia" w:cs="宋体"/>
          <w:sz w:val="21"/>
          <w:szCs w:val="21"/>
          <w:highlight w:val="none"/>
        </w:rPr>
        <w:t>种方式对合同价格进行调整：</w:t>
      </w:r>
    </w:p>
    <w:p w14:paraId="6CF73F21">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第1种方式：采用价格指数进行价格调整。</w:t>
      </w:r>
    </w:p>
    <w:p w14:paraId="0A6AF6F4">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关于各可调因子、定值和变值权重，以及基本价格指数及其来源的约定：</w:t>
      </w:r>
      <w:r>
        <w:rPr>
          <w:rFonts w:hint="eastAsia" w:cs="宋体"/>
          <w:sz w:val="21"/>
          <w:szCs w:val="21"/>
          <w:highlight w:val="none"/>
          <w:u w:val="single"/>
        </w:rPr>
        <w:t xml:space="preserve">     </w:t>
      </w:r>
      <w:r>
        <w:rPr>
          <w:rFonts w:hint="eastAsia" w:cs="宋体"/>
          <w:sz w:val="21"/>
          <w:szCs w:val="21"/>
          <w:highlight w:val="none"/>
        </w:rPr>
        <w:t xml:space="preserve">； </w:t>
      </w:r>
    </w:p>
    <w:p w14:paraId="206263B2">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第2种方式：采用造价信息进行价格调整。</w:t>
      </w:r>
    </w:p>
    <w:p w14:paraId="3EF982F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（1）可调整价格的主要材料范围的约定：</w:t>
      </w:r>
      <w:r>
        <w:rPr>
          <w:rFonts w:hint="eastAsia" w:cs="宋体"/>
          <w:sz w:val="21"/>
          <w:szCs w:val="21"/>
          <w:highlight w:val="none"/>
          <w:u w:val="single"/>
        </w:rPr>
        <w:t xml:space="preserve">       </w:t>
      </w:r>
      <w:r>
        <w:rPr>
          <w:rFonts w:hint="eastAsia" w:cs="宋体"/>
          <w:sz w:val="21"/>
          <w:szCs w:val="21"/>
          <w:highlight w:val="none"/>
        </w:rPr>
        <w:t>；</w:t>
      </w:r>
    </w:p>
    <w:p w14:paraId="55E661DA">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（2）主要材料价差调整周期的约定：</w:t>
      </w:r>
      <w:r>
        <w:rPr>
          <w:rFonts w:hint="eastAsia" w:cs="宋体"/>
          <w:sz w:val="21"/>
          <w:szCs w:val="21"/>
          <w:highlight w:val="none"/>
          <w:u w:val="single"/>
        </w:rPr>
        <w:t xml:space="preserve">       </w:t>
      </w:r>
      <w:r>
        <w:rPr>
          <w:rFonts w:hint="eastAsia" w:cs="宋体"/>
          <w:sz w:val="21"/>
          <w:szCs w:val="21"/>
          <w:highlight w:val="none"/>
        </w:rPr>
        <w:t>；</w:t>
      </w:r>
    </w:p>
    <w:p w14:paraId="4A480CE2">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（3）主要材料价差调整计算方法的约定：</w:t>
      </w:r>
      <w:r>
        <w:rPr>
          <w:rFonts w:hint="eastAsia" w:cs="宋体"/>
          <w:sz w:val="21"/>
          <w:szCs w:val="21"/>
          <w:highlight w:val="none"/>
          <w:u w:val="single"/>
        </w:rPr>
        <w:t xml:space="preserve">       </w:t>
      </w:r>
      <w:r>
        <w:rPr>
          <w:rFonts w:hint="eastAsia" w:cs="宋体"/>
          <w:sz w:val="21"/>
          <w:szCs w:val="21"/>
          <w:highlight w:val="none"/>
        </w:rPr>
        <w:t>；</w:t>
      </w:r>
    </w:p>
    <w:p w14:paraId="606CC609">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（4）主要材料价差调整时间的约定：</w:t>
      </w:r>
      <w:r>
        <w:rPr>
          <w:rFonts w:hint="eastAsia" w:cs="宋体"/>
          <w:sz w:val="21"/>
          <w:szCs w:val="21"/>
          <w:highlight w:val="none"/>
          <w:u w:val="single"/>
        </w:rPr>
        <w:t xml:space="preserve">       </w:t>
      </w:r>
      <w:r>
        <w:rPr>
          <w:rFonts w:hint="eastAsia" w:cs="宋体"/>
          <w:sz w:val="21"/>
          <w:szCs w:val="21"/>
          <w:highlight w:val="none"/>
        </w:rPr>
        <w:t>。</w:t>
      </w:r>
    </w:p>
    <w:p w14:paraId="50493C6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（2）关于基准价格的约定：</w:t>
      </w:r>
      <w:r>
        <w:rPr>
          <w:rFonts w:hint="eastAsia" w:cs="宋体"/>
          <w:sz w:val="21"/>
          <w:szCs w:val="21"/>
          <w:highlight w:val="none"/>
          <w:u w:val="single"/>
        </w:rPr>
        <w:t xml:space="preserve">     </w:t>
      </w:r>
      <w:r>
        <w:rPr>
          <w:rFonts w:hint="eastAsia" w:cs="宋体"/>
          <w:sz w:val="21"/>
          <w:szCs w:val="21"/>
          <w:highlight w:val="none"/>
        </w:rPr>
        <w:t>。</w:t>
      </w:r>
    </w:p>
    <w:p w14:paraId="2097038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①承包人在已标价工程量清单或预算书中载明的材料单价低于基准价格的：专用合同条款合同履行期间材料单价涨幅以基准价格为基础超过</w:t>
      </w:r>
      <w:r>
        <w:rPr>
          <w:rFonts w:hint="eastAsia" w:cs="宋体"/>
          <w:sz w:val="21"/>
          <w:szCs w:val="21"/>
          <w:highlight w:val="none"/>
          <w:u w:val="single"/>
        </w:rPr>
        <w:t xml:space="preserve">    </w:t>
      </w:r>
      <w:r>
        <w:rPr>
          <w:rFonts w:hint="eastAsia" w:cs="宋体"/>
          <w:sz w:val="21"/>
          <w:szCs w:val="21"/>
          <w:highlight w:val="none"/>
        </w:rPr>
        <w:t>%时，或材料单价跌幅以已标价工程量清单或预算书中载明材料单价为基础超过</w:t>
      </w:r>
      <w:r>
        <w:rPr>
          <w:rFonts w:hint="eastAsia" w:cs="宋体"/>
          <w:sz w:val="21"/>
          <w:szCs w:val="21"/>
          <w:highlight w:val="none"/>
          <w:u w:val="single"/>
        </w:rPr>
        <w:t xml:space="preserve">     </w:t>
      </w:r>
      <w:r>
        <w:rPr>
          <w:rFonts w:hint="eastAsia" w:cs="宋体"/>
          <w:sz w:val="21"/>
          <w:szCs w:val="21"/>
          <w:highlight w:val="none"/>
        </w:rPr>
        <w:t>%时，其超过部分据实调整。</w:t>
      </w:r>
    </w:p>
    <w:p w14:paraId="5D1D805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②承包人在已标价工程量清单或预算书中载明的材料单价高于基准价格的：专用合同条款合同履行期间材料单价跌幅以基准价格为基础超过</w:t>
      </w:r>
      <w:r>
        <w:rPr>
          <w:rFonts w:hint="eastAsia" w:cs="宋体"/>
          <w:sz w:val="21"/>
          <w:szCs w:val="21"/>
          <w:highlight w:val="none"/>
          <w:u w:val="single"/>
        </w:rPr>
        <w:t xml:space="preserve">    </w:t>
      </w:r>
      <w:r>
        <w:rPr>
          <w:rFonts w:hint="eastAsia" w:cs="宋体"/>
          <w:sz w:val="21"/>
          <w:szCs w:val="21"/>
          <w:highlight w:val="none"/>
        </w:rPr>
        <w:t>%时，材料单价涨幅以已标价工程量清单或预算书中载明材料单价为基础超过</w:t>
      </w:r>
      <w:r>
        <w:rPr>
          <w:rFonts w:hint="eastAsia" w:cs="宋体"/>
          <w:sz w:val="21"/>
          <w:szCs w:val="21"/>
          <w:highlight w:val="none"/>
          <w:u w:val="single"/>
        </w:rPr>
        <w:t xml:space="preserve">     </w:t>
      </w:r>
      <w:r>
        <w:rPr>
          <w:rFonts w:hint="eastAsia" w:cs="宋体"/>
          <w:sz w:val="21"/>
          <w:szCs w:val="21"/>
          <w:highlight w:val="none"/>
        </w:rPr>
        <w:t>%时，其超过部分据实调整。</w:t>
      </w:r>
    </w:p>
    <w:p w14:paraId="6867453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sz w:val="21"/>
          <w:szCs w:val="21"/>
          <w:highlight w:val="none"/>
          <w:u w:val="single"/>
        </w:rPr>
        <w:t xml:space="preserve">    </w:t>
      </w:r>
      <w:r>
        <w:rPr>
          <w:rFonts w:hint="eastAsia" w:cs="宋体"/>
          <w:sz w:val="21"/>
          <w:szCs w:val="21"/>
          <w:highlight w:val="none"/>
        </w:rPr>
        <w:t>%时，其超过部分据实调整。</w:t>
      </w:r>
    </w:p>
    <w:p w14:paraId="610B6528">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第3种方式：其他价格调整方式：</w:t>
      </w:r>
      <w:r>
        <w:rPr>
          <w:rFonts w:hint="eastAsia" w:cs="宋体"/>
          <w:sz w:val="21"/>
          <w:szCs w:val="21"/>
          <w:highlight w:val="none"/>
          <w:u w:val="single"/>
        </w:rPr>
        <w:t xml:space="preserve">           </w:t>
      </w:r>
      <w:r>
        <w:rPr>
          <w:rFonts w:hint="eastAsia" w:cs="宋体"/>
          <w:sz w:val="21"/>
          <w:szCs w:val="21"/>
          <w:highlight w:val="none"/>
        </w:rPr>
        <w:t>。</w:t>
      </w:r>
    </w:p>
    <w:bookmarkEnd w:id="334"/>
    <w:bookmarkEnd w:id="335"/>
    <w:bookmarkEnd w:id="336"/>
    <w:bookmarkEnd w:id="337"/>
    <w:bookmarkEnd w:id="338"/>
    <w:bookmarkEnd w:id="339"/>
    <w:p w14:paraId="2BA7FEBF">
      <w:pPr>
        <w:snapToGrid w:val="0"/>
        <w:spacing w:before="312" w:beforeLines="100" w:after="312" w:afterLines="100" w:line="360" w:lineRule="auto"/>
        <w:outlineLvl w:val="2"/>
        <w:rPr>
          <w:rFonts w:cs="宋体"/>
          <w:sz w:val="21"/>
          <w:szCs w:val="21"/>
          <w:highlight w:val="none"/>
        </w:rPr>
      </w:pPr>
      <w:bookmarkStart w:id="447" w:name="_Toc292559410"/>
      <w:bookmarkStart w:id="448" w:name="_Toc296944544"/>
      <w:bookmarkStart w:id="449" w:name="_Toc296891033"/>
      <w:bookmarkStart w:id="450" w:name="_Toc296347204"/>
      <w:bookmarkStart w:id="451" w:name="_Toc296346706"/>
      <w:bookmarkStart w:id="452" w:name="_Toc297120505"/>
      <w:bookmarkStart w:id="453" w:name="_Toc296503205"/>
      <w:bookmarkStart w:id="454" w:name="_Toc297048391"/>
      <w:bookmarkStart w:id="455" w:name="_Toc296891245"/>
      <w:bookmarkStart w:id="456" w:name="_Toc292559915"/>
      <w:bookmarkStart w:id="457" w:name="_Toc351203644"/>
      <w:bookmarkStart w:id="458" w:name="_Toc297216211"/>
      <w:bookmarkStart w:id="459" w:name="_Toc303539159"/>
      <w:bookmarkStart w:id="460" w:name="_Toc297123552"/>
      <w:bookmarkStart w:id="461" w:name="_Toc304295579"/>
      <w:bookmarkStart w:id="462" w:name="_Toc312678040"/>
      <w:bookmarkStart w:id="463" w:name="_Toc300935002"/>
      <w:r>
        <w:rPr>
          <w:rFonts w:hint="eastAsia" w:cs="宋体"/>
          <w:sz w:val="21"/>
          <w:szCs w:val="21"/>
          <w:highlight w:val="none"/>
        </w:rPr>
        <w:t xml:space="preserve">12. </w:t>
      </w:r>
      <w:bookmarkEnd w:id="447"/>
      <w:bookmarkEnd w:id="448"/>
      <w:bookmarkEnd w:id="449"/>
      <w:bookmarkEnd w:id="450"/>
      <w:bookmarkEnd w:id="451"/>
      <w:bookmarkEnd w:id="452"/>
      <w:bookmarkEnd w:id="453"/>
      <w:bookmarkEnd w:id="454"/>
      <w:bookmarkEnd w:id="455"/>
      <w:bookmarkEnd w:id="456"/>
      <w:r>
        <w:rPr>
          <w:rFonts w:hint="eastAsia" w:cs="宋体"/>
          <w:sz w:val="21"/>
          <w:szCs w:val="21"/>
          <w:highlight w:val="none"/>
        </w:rPr>
        <w:t>合同价格、计量与支付</w:t>
      </w:r>
      <w:bookmarkEnd w:id="457"/>
    </w:p>
    <w:bookmarkEnd w:id="458"/>
    <w:bookmarkEnd w:id="459"/>
    <w:bookmarkEnd w:id="460"/>
    <w:bookmarkEnd w:id="461"/>
    <w:bookmarkEnd w:id="462"/>
    <w:bookmarkEnd w:id="463"/>
    <w:p w14:paraId="5DFF0ACC">
      <w:pPr>
        <w:keepNext/>
        <w:keepLines/>
        <w:snapToGrid w:val="0"/>
        <w:spacing w:before="120" w:after="120" w:line="360" w:lineRule="auto"/>
        <w:ind w:firstLine="420" w:firstLineChars="200"/>
        <w:outlineLvl w:val="3"/>
        <w:rPr>
          <w:rFonts w:cs="宋体"/>
          <w:bCs/>
          <w:sz w:val="21"/>
          <w:szCs w:val="21"/>
          <w:highlight w:val="none"/>
        </w:rPr>
      </w:pPr>
      <w:bookmarkStart w:id="464" w:name="_Toc292559411"/>
      <w:bookmarkStart w:id="465" w:name="_Toc267251461"/>
      <w:bookmarkStart w:id="466" w:name="_Toc292559916"/>
      <w:bookmarkStart w:id="467" w:name="_Toc296944545"/>
      <w:bookmarkStart w:id="468" w:name="_Toc297048392"/>
      <w:bookmarkStart w:id="469" w:name="_Toc296503206"/>
      <w:bookmarkStart w:id="470" w:name="_Toc296891246"/>
      <w:bookmarkStart w:id="471" w:name="_Toc297120506"/>
      <w:bookmarkStart w:id="472" w:name="_Toc296346707"/>
      <w:bookmarkStart w:id="473" w:name="_Toc296891034"/>
      <w:bookmarkStart w:id="474" w:name="_Toc296347205"/>
      <w:bookmarkStart w:id="475" w:name="_Toc312678041"/>
      <w:bookmarkStart w:id="476" w:name="_Toc303539160"/>
      <w:bookmarkStart w:id="477" w:name="_Toc304295580"/>
      <w:bookmarkStart w:id="478" w:name="_Toc297216212"/>
      <w:bookmarkStart w:id="479" w:name="_Toc297123553"/>
      <w:bookmarkStart w:id="480" w:name="_Toc300935003"/>
      <w:r>
        <w:rPr>
          <w:rFonts w:hint="eastAsia" w:cs="宋体"/>
          <w:bCs/>
          <w:sz w:val="21"/>
          <w:szCs w:val="21"/>
          <w:highlight w:val="none"/>
        </w:rPr>
        <w:t>12.1 合</w:t>
      </w:r>
      <w:bookmarkEnd w:id="464"/>
      <w:bookmarkEnd w:id="465"/>
      <w:bookmarkEnd w:id="466"/>
      <w:r>
        <w:rPr>
          <w:rFonts w:hint="eastAsia" w:cs="宋体"/>
          <w:bCs/>
          <w:sz w:val="21"/>
          <w:szCs w:val="21"/>
          <w:highlight w:val="none"/>
        </w:rPr>
        <w:t>同价</w:t>
      </w:r>
      <w:bookmarkEnd w:id="467"/>
      <w:bookmarkEnd w:id="468"/>
      <w:bookmarkEnd w:id="469"/>
      <w:bookmarkEnd w:id="470"/>
      <w:bookmarkEnd w:id="471"/>
      <w:bookmarkEnd w:id="472"/>
      <w:bookmarkEnd w:id="473"/>
      <w:bookmarkEnd w:id="474"/>
      <w:r>
        <w:rPr>
          <w:rFonts w:hint="eastAsia" w:cs="宋体"/>
          <w:bCs/>
          <w:sz w:val="21"/>
          <w:szCs w:val="21"/>
          <w:highlight w:val="none"/>
        </w:rPr>
        <w:t>格形式</w:t>
      </w:r>
    </w:p>
    <w:bookmarkEnd w:id="475"/>
    <w:bookmarkEnd w:id="476"/>
    <w:bookmarkEnd w:id="477"/>
    <w:bookmarkEnd w:id="478"/>
    <w:bookmarkEnd w:id="479"/>
    <w:bookmarkEnd w:id="480"/>
    <w:p w14:paraId="64318A1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（1）单价合同。</w:t>
      </w:r>
    </w:p>
    <w:p w14:paraId="15C653A9">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综合单价包含的风险范围：</w:t>
      </w:r>
      <w:r>
        <w:rPr>
          <w:rFonts w:hint="eastAsia" w:cs="宋体"/>
          <w:sz w:val="21"/>
          <w:szCs w:val="21"/>
          <w:highlight w:val="none"/>
          <w:u w:val="single"/>
        </w:rPr>
        <w:t>见《专用合同条款数据表》</w:t>
      </w:r>
      <w:r>
        <w:rPr>
          <w:rFonts w:hint="eastAsia" w:cs="宋体"/>
          <w:sz w:val="21"/>
          <w:szCs w:val="21"/>
          <w:highlight w:val="none"/>
        </w:rPr>
        <w:t>。</w:t>
      </w:r>
    </w:p>
    <w:p w14:paraId="3F012DA8">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风险费用的计算方法：</w:t>
      </w:r>
      <w:r>
        <w:rPr>
          <w:rFonts w:hint="eastAsia" w:cs="宋体"/>
          <w:sz w:val="21"/>
          <w:szCs w:val="21"/>
          <w:highlight w:val="none"/>
          <w:u w:val="single"/>
        </w:rPr>
        <w:t>见《专用合同条款数据表》</w:t>
      </w:r>
      <w:r>
        <w:rPr>
          <w:rFonts w:hint="eastAsia" w:cs="宋体"/>
          <w:sz w:val="21"/>
          <w:szCs w:val="21"/>
          <w:highlight w:val="none"/>
        </w:rPr>
        <w:t>。</w:t>
      </w:r>
    </w:p>
    <w:p w14:paraId="5BFAE9B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风险范围以外合同价格的调整方法：</w:t>
      </w:r>
      <w:r>
        <w:rPr>
          <w:rFonts w:hint="eastAsia" w:cs="宋体"/>
          <w:sz w:val="21"/>
          <w:szCs w:val="21"/>
          <w:highlight w:val="none"/>
          <w:u w:val="single"/>
        </w:rPr>
        <w:t>见《专用合同条款数据表》</w:t>
      </w:r>
      <w:r>
        <w:rPr>
          <w:rFonts w:hint="eastAsia" w:cs="宋体"/>
          <w:sz w:val="21"/>
          <w:szCs w:val="21"/>
          <w:highlight w:val="none"/>
        </w:rPr>
        <w:t>。</w:t>
      </w:r>
    </w:p>
    <w:p w14:paraId="5FFA584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（2）总价合同。</w:t>
      </w:r>
    </w:p>
    <w:p w14:paraId="47C77F79">
      <w:pPr>
        <w:adjustRightInd w:val="0"/>
        <w:snapToGrid w:val="0"/>
        <w:spacing w:line="360" w:lineRule="auto"/>
        <w:ind w:firstLine="420" w:firstLineChars="200"/>
        <w:rPr>
          <w:rFonts w:cs="宋体"/>
          <w:b/>
          <w:sz w:val="21"/>
          <w:szCs w:val="21"/>
          <w:highlight w:val="none"/>
        </w:rPr>
      </w:pPr>
      <w:r>
        <w:rPr>
          <w:rFonts w:hint="eastAsia" w:cs="宋体"/>
          <w:sz w:val="21"/>
          <w:szCs w:val="21"/>
          <w:highlight w:val="none"/>
        </w:rPr>
        <w:t>总价包含的风险范围：</w:t>
      </w:r>
      <w:r>
        <w:rPr>
          <w:rFonts w:hint="eastAsia" w:cs="宋体"/>
          <w:sz w:val="21"/>
          <w:szCs w:val="21"/>
          <w:highlight w:val="none"/>
          <w:u w:val="single"/>
        </w:rPr>
        <w:t>见《专用合同条款数据表》</w:t>
      </w:r>
      <w:r>
        <w:rPr>
          <w:rFonts w:hint="eastAsia" w:cs="宋体"/>
          <w:sz w:val="21"/>
          <w:szCs w:val="21"/>
          <w:highlight w:val="none"/>
        </w:rPr>
        <w:t>。</w:t>
      </w:r>
    </w:p>
    <w:p w14:paraId="4716281A">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风险费用的计算方法：</w:t>
      </w:r>
      <w:r>
        <w:rPr>
          <w:rFonts w:hint="eastAsia" w:cs="宋体"/>
          <w:sz w:val="21"/>
          <w:szCs w:val="21"/>
          <w:highlight w:val="none"/>
          <w:u w:val="single"/>
        </w:rPr>
        <w:t>见《专用合同条款数据表》</w:t>
      </w:r>
      <w:r>
        <w:rPr>
          <w:rFonts w:hint="eastAsia" w:cs="宋体"/>
          <w:sz w:val="21"/>
          <w:szCs w:val="21"/>
          <w:highlight w:val="none"/>
        </w:rPr>
        <w:t>。</w:t>
      </w:r>
    </w:p>
    <w:p w14:paraId="63F302F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风险范围以外合同价格的调整方法：</w:t>
      </w:r>
      <w:r>
        <w:rPr>
          <w:rFonts w:hint="eastAsia" w:cs="宋体"/>
          <w:sz w:val="21"/>
          <w:szCs w:val="21"/>
          <w:highlight w:val="none"/>
          <w:u w:val="single"/>
        </w:rPr>
        <w:t>见《专用合同条款数据表》</w:t>
      </w:r>
      <w:r>
        <w:rPr>
          <w:rFonts w:hint="eastAsia" w:cs="宋体"/>
          <w:sz w:val="21"/>
          <w:szCs w:val="21"/>
          <w:highlight w:val="none"/>
        </w:rPr>
        <w:t>。</w:t>
      </w:r>
    </w:p>
    <w:p w14:paraId="79101781">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（3）其他价格方式：</w:t>
      </w:r>
      <w:r>
        <w:rPr>
          <w:rFonts w:hint="eastAsia" w:cs="宋体"/>
          <w:sz w:val="21"/>
          <w:szCs w:val="21"/>
          <w:highlight w:val="none"/>
          <w:u w:val="single"/>
        </w:rPr>
        <w:t>见《专用合同条款数据表》</w:t>
      </w:r>
      <w:r>
        <w:rPr>
          <w:rFonts w:hint="eastAsia" w:cs="宋体"/>
          <w:sz w:val="21"/>
          <w:szCs w:val="21"/>
          <w:highlight w:val="none"/>
        </w:rPr>
        <w:t>。</w:t>
      </w:r>
    </w:p>
    <w:p w14:paraId="172BB6C9">
      <w:pPr>
        <w:keepNext/>
        <w:keepLines/>
        <w:snapToGrid w:val="0"/>
        <w:spacing w:before="120" w:after="120" w:line="360" w:lineRule="auto"/>
        <w:ind w:firstLine="420" w:firstLineChars="200"/>
        <w:outlineLvl w:val="3"/>
        <w:rPr>
          <w:rFonts w:cs="宋体"/>
          <w:bCs/>
          <w:sz w:val="21"/>
          <w:szCs w:val="21"/>
          <w:highlight w:val="none"/>
        </w:rPr>
      </w:pPr>
      <w:bookmarkStart w:id="481" w:name="_Toc300935004"/>
      <w:bookmarkStart w:id="482" w:name="_Toc303539161"/>
      <w:bookmarkStart w:id="483" w:name="_Toc297216213"/>
      <w:bookmarkStart w:id="484" w:name="_Toc304295581"/>
      <w:bookmarkStart w:id="485" w:name="_Toc297123554"/>
      <w:bookmarkStart w:id="486" w:name="_Toc312678042"/>
      <w:bookmarkStart w:id="487" w:name="_Toc296891035"/>
      <w:bookmarkStart w:id="488" w:name="_Toc297048393"/>
      <w:bookmarkStart w:id="489" w:name="_Toc297120507"/>
      <w:bookmarkStart w:id="490" w:name="_Toc296944546"/>
      <w:bookmarkStart w:id="491" w:name="_Toc296346708"/>
      <w:bookmarkStart w:id="492" w:name="_Toc292559917"/>
      <w:bookmarkStart w:id="493" w:name="_Toc292559412"/>
      <w:bookmarkStart w:id="494" w:name="_Toc296347206"/>
      <w:bookmarkStart w:id="495" w:name="_Toc296503207"/>
      <w:bookmarkStart w:id="496" w:name="_Toc296891247"/>
      <w:r>
        <w:rPr>
          <w:rFonts w:hint="eastAsia" w:cs="宋体"/>
          <w:bCs/>
          <w:sz w:val="21"/>
          <w:szCs w:val="21"/>
          <w:highlight w:val="none"/>
        </w:rPr>
        <w:t>12.2 预付款</w:t>
      </w:r>
    </w:p>
    <w:bookmarkEnd w:id="481"/>
    <w:bookmarkEnd w:id="482"/>
    <w:bookmarkEnd w:id="483"/>
    <w:bookmarkEnd w:id="484"/>
    <w:bookmarkEnd w:id="485"/>
    <w:bookmarkEnd w:id="486"/>
    <w:p w14:paraId="350EEAB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12.2.1 预付款的支付</w:t>
      </w:r>
    </w:p>
    <w:p w14:paraId="4B4531D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预付款支付比例或金额：</w:t>
      </w:r>
      <w:r>
        <w:rPr>
          <w:rFonts w:hint="eastAsia" w:cs="宋体"/>
          <w:sz w:val="21"/>
          <w:szCs w:val="21"/>
          <w:highlight w:val="none"/>
          <w:u w:val="single"/>
        </w:rPr>
        <w:t>见《专用合同条款数据表》</w:t>
      </w:r>
      <w:r>
        <w:rPr>
          <w:rFonts w:hint="eastAsia" w:cs="宋体"/>
          <w:sz w:val="21"/>
          <w:szCs w:val="21"/>
          <w:highlight w:val="none"/>
        </w:rPr>
        <w:t>。</w:t>
      </w:r>
    </w:p>
    <w:p w14:paraId="1FF98FE1">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预付款支付期限：</w:t>
      </w:r>
      <w:r>
        <w:rPr>
          <w:rFonts w:hint="eastAsia" w:cs="宋体"/>
          <w:sz w:val="21"/>
          <w:szCs w:val="21"/>
          <w:highlight w:val="none"/>
          <w:u w:val="single"/>
        </w:rPr>
        <w:t>见《专用合同条款数据表》</w:t>
      </w:r>
      <w:r>
        <w:rPr>
          <w:rFonts w:hint="eastAsia" w:cs="宋体"/>
          <w:sz w:val="21"/>
          <w:szCs w:val="21"/>
          <w:highlight w:val="none"/>
        </w:rPr>
        <w:t>。</w:t>
      </w:r>
    </w:p>
    <w:p w14:paraId="15F51D6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预付款扣回的方式：</w:t>
      </w:r>
      <w:r>
        <w:rPr>
          <w:rFonts w:hint="eastAsia" w:cs="宋体"/>
          <w:sz w:val="21"/>
          <w:szCs w:val="21"/>
          <w:highlight w:val="none"/>
          <w:u w:val="single"/>
        </w:rPr>
        <w:t>见《专用合同条款数据表》</w:t>
      </w:r>
      <w:r>
        <w:rPr>
          <w:rFonts w:hint="eastAsia" w:cs="宋体"/>
          <w:sz w:val="21"/>
          <w:szCs w:val="21"/>
          <w:highlight w:val="none"/>
        </w:rPr>
        <w:t>。</w:t>
      </w:r>
    </w:p>
    <w:p w14:paraId="0BEE889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12.2.2 预付款担保</w:t>
      </w:r>
    </w:p>
    <w:p w14:paraId="187165DC">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承包人提交预付款担保的期限：</w:t>
      </w:r>
      <w:r>
        <w:rPr>
          <w:rFonts w:hint="eastAsia" w:cs="宋体"/>
          <w:sz w:val="21"/>
          <w:szCs w:val="21"/>
          <w:highlight w:val="none"/>
          <w:u w:val="single"/>
        </w:rPr>
        <w:t>见《专用合同条款数据表》</w:t>
      </w:r>
      <w:r>
        <w:rPr>
          <w:rFonts w:hint="eastAsia" w:cs="宋体"/>
          <w:sz w:val="21"/>
          <w:szCs w:val="21"/>
          <w:highlight w:val="none"/>
        </w:rPr>
        <w:t>。</w:t>
      </w:r>
    </w:p>
    <w:p w14:paraId="21AAFED3">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预付款担保的形式为：</w:t>
      </w:r>
      <w:r>
        <w:rPr>
          <w:rFonts w:hint="eastAsia" w:cs="宋体"/>
          <w:sz w:val="21"/>
          <w:szCs w:val="21"/>
          <w:highlight w:val="none"/>
          <w:u w:val="single"/>
        </w:rPr>
        <w:t>见《专用合同条款数据表》</w:t>
      </w:r>
      <w:r>
        <w:rPr>
          <w:rFonts w:hint="eastAsia" w:cs="宋体"/>
          <w:sz w:val="21"/>
          <w:szCs w:val="21"/>
          <w:highlight w:val="none"/>
        </w:rPr>
        <w:t>。</w:t>
      </w:r>
    </w:p>
    <w:bookmarkEnd w:id="487"/>
    <w:bookmarkEnd w:id="488"/>
    <w:bookmarkEnd w:id="489"/>
    <w:bookmarkEnd w:id="490"/>
    <w:bookmarkEnd w:id="491"/>
    <w:bookmarkEnd w:id="492"/>
    <w:bookmarkEnd w:id="493"/>
    <w:bookmarkEnd w:id="494"/>
    <w:bookmarkEnd w:id="495"/>
    <w:bookmarkEnd w:id="496"/>
    <w:p w14:paraId="7389C775">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12.3 计量</w:t>
      </w:r>
    </w:p>
    <w:p w14:paraId="3EC796C7">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12.3.1 计量原则</w:t>
      </w:r>
    </w:p>
    <w:p w14:paraId="6DBD4F67">
      <w:pPr>
        <w:adjustRightInd w:val="0"/>
        <w:snapToGrid w:val="0"/>
        <w:spacing w:line="360" w:lineRule="auto"/>
        <w:ind w:firstLine="420" w:firstLineChars="200"/>
        <w:rPr>
          <w:rFonts w:cs="宋体"/>
          <w:b/>
          <w:sz w:val="21"/>
          <w:szCs w:val="21"/>
          <w:highlight w:val="none"/>
        </w:rPr>
      </w:pPr>
      <w:r>
        <w:rPr>
          <w:rFonts w:hint="eastAsia" w:cs="宋体"/>
          <w:sz w:val="21"/>
          <w:szCs w:val="21"/>
          <w:highlight w:val="none"/>
        </w:rPr>
        <w:t>工程量计算规则：</w:t>
      </w:r>
      <w:r>
        <w:rPr>
          <w:rFonts w:hint="eastAsia" w:cs="宋体"/>
          <w:sz w:val="21"/>
          <w:szCs w:val="21"/>
          <w:highlight w:val="none"/>
          <w:u w:val="single"/>
        </w:rPr>
        <w:t>按招标工程量清单及最高投标限价所采用的工程量清单计价规范及配套文件等</w:t>
      </w:r>
      <w:r>
        <w:rPr>
          <w:rFonts w:hint="eastAsia" w:cs="宋体"/>
          <w:b/>
          <w:sz w:val="21"/>
          <w:szCs w:val="21"/>
          <w:highlight w:val="none"/>
        </w:rPr>
        <w:t>。</w:t>
      </w:r>
    </w:p>
    <w:p w14:paraId="2FFCA4F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12.3.2 计量周期</w:t>
      </w:r>
    </w:p>
    <w:p w14:paraId="25B30BDE">
      <w:pPr>
        <w:adjustRightInd w:val="0"/>
        <w:snapToGrid w:val="0"/>
        <w:spacing w:line="360" w:lineRule="auto"/>
        <w:ind w:firstLine="420" w:firstLineChars="200"/>
        <w:rPr>
          <w:rFonts w:cs="宋体"/>
          <w:b/>
          <w:sz w:val="21"/>
          <w:szCs w:val="21"/>
          <w:highlight w:val="none"/>
        </w:rPr>
      </w:pPr>
      <w:r>
        <w:rPr>
          <w:rFonts w:hint="eastAsia" w:cs="宋体"/>
          <w:sz w:val="21"/>
          <w:szCs w:val="21"/>
          <w:highlight w:val="none"/>
        </w:rPr>
        <w:t>关于计量周期的约定</w:t>
      </w:r>
      <w:r>
        <w:rPr>
          <w:rFonts w:hint="eastAsia" w:cs="宋体"/>
          <w:b/>
          <w:sz w:val="21"/>
          <w:szCs w:val="21"/>
          <w:highlight w:val="none"/>
        </w:rPr>
        <w:t>：</w:t>
      </w:r>
      <w:r>
        <w:rPr>
          <w:rFonts w:hint="eastAsia" w:cs="宋体"/>
          <w:sz w:val="21"/>
          <w:szCs w:val="21"/>
          <w:highlight w:val="none"/>
          <w:u w:val="single"/>
        </w:rPr>
        <w:t xml:space="preserve">      </w:t>
      </w:r>
      <w:r>
        <w:rPr>
          <w:rFonts w:hint="eastAsia" w:cs="宋体"/>
          <w:b/>
          <w:sz w:val="21"/>
          <w:szCs w:val="21"/>
          <w:highlight w:val="none"/>
        </w:rPr>
        <w:t>。</w:t>
      </w:r>
    </w:p>
    <w:p w14:paraId="0D5E72B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12.3.3 单价合同的计量</w:t>
      </w:r>
    </w:p>
    <w:p w14:paraId="3363BC4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关于单价合同计量的约定：</w:t>
      </w:r>
      <w:r>
        <w:rPr>
          <w:rFonts w:hint="eastAsia" w:cs="宋体"/>
          <w:sz w:val="21"/>
          <w:szCs w:val="21"/>
          <w:highlight w:val="none"/>
          <w:u w:val="single"/>
        </w:rPr>
        <w:t xml:space="preserve">  /  </w:t>
      </w:r>
      <w:r>
        <w:rPr>
          <w:rFonts w:hint="eastAsia" w:cs="宋体"/>
          <w:sz w:val="21"/>
          <w:szCs w:val="21"/>
          <w:highlight w:val="none"/>
        </w:rPr>
        <w:t>。</w:t>
      </w:r>
    </w:p>
    <w:p w14:paraId="73B1B73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12.3.4 总价合同的计量</w:t>
      </w:r>
    </w:p>
    <w:p w14:paraId="1393CC1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关于总价合同计量的约定：执行通用条款。</w:t>
      </w:r>
    </w:p>
    <w:p w14:paraId="2267F709">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12.3.5 总价合同采用支付分解表计量支付的，是否适用第12.3.4项〔总价合同的计量〕约定进行计量：</w:t>
      </w:r>
      <w:r>
        <w:rPr>
          <w:rFonts w:hint="eastAsia" w:cs="宋体"/>
          <w:sz w:val="21"/>
          <w:szCs w:val="21"/>
          <w:highlight w:val="none"/>
          <w:u w:val="single"/>
        </w:rPr>
        <w:t xml:space="preserve"> </w:t>
      </w:r>
      <w:r>
        <w:rPr>
          <w:rFonts w:hint="eastAsia" w:cs="宋体"/>
          <w:sz w:val="21"/>
          <w:szCs w:val="21"/>
          <w:highlight w:val="none"/>
          <w:u w:val="single"/>
          <w:lang w:val="en-US" w:eastAsia="zh-CN"/>
        </w:rPr>
        <w:t>不采用</w:t>
      </w:r>
      <w:r>
        <w:rPr>
          <w:rFonts w:hint="eastAsia" w:cs="宋体"/>
          <w:sz w:val="21"/>
          <w:szCs w:val="21"/>
          <w:highlight w:val="none"/>
          <w:u w:val="single"/>
        </w:rPr>
        <w:t xml:space="preserve">   </w:t>
      </w:r>
      <w:r>
        <w:rPr>
          <w:rFonts w:hint="eastAsia" w:cs="宋体"/>
          <w:b/>
          <w:sz w:val="21"/>
          <w:szCs w:val="21"/>
          <w:highlight w:val="none"/>
        </w:rPr>
        <w:t>。</w:t>
      </w:r>
    </w:p>
    <w:p w14:paraId="0EA506D5">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12.3.6 其他价格形式合同的计量</w:t>
      </w:r>
    </w:p>
    <w:p w14:paraId="3248E9E6">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其他价格形式的计量方式和程序：</w:t>
      </w:r>
      <w:r>
        <w:rPr>
          <w:rFonts w:hint="eastAsia" w:cs="宋体"/>
          <w:sz w:val="21"/>
          <w:szCs w:val="21"/>
          <w:highlight w:val="none"/>
          <w:u w:val="single"/>
        </w:rPr>
        <w:t xml:space="preserve"> </w:t>
      </w:r>
      <w:r>
        <w:rPr>
          <w:rFonts w:hint="eastAsia" w:cs="宋体"/>
          <w:sz w:val="21"/>
          <w:szCs w:val="21"/>
          <w:highlight w:val="none"/>
          <w:u w:val="single"/>
          <w:lang w:val="en-US" w:eastAsia="zh-CN"/>
        </w:rPr>
        <w:t>不采用</w:t>
      </w:r>
      <w:r>
        <w:rPr>
          <w:rFonts w:hint="eastAsia" w:cs="宋体"/>
          <w:sz w:val="21"/>
          <w:szCs w:val="21"/>
          <w:highlight w:val="none"/>
          <w:u w:val="single"/>
        </w:rPr>
        <w:t xml:space="preserve">   </w:t>
      </w:r>
      <w:r>
        <w:rPr>
          <w:rFonts w:hint="eastAsia" w:cs="宋体"/>
          <w:sz w:val="21"/>
          <w:szCs w:val="21"/>
          <w:highlight w:val="none"/>
        </w:rPr>
        <w:t>。</w:t>
      </w:r>
    </w:p>
    <w:p w14:paraId="482A7808">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12.4 工程进度款支付</w:t>
      </w:r>
    </w:p>
    <w:p w14:paraId="53523ABD">
      <w:pPr>
        <w:adjustRightInd w:val="0"/>
        <w:snapToGrid w:val="0"/>
        <w:spacing w:line="360" w:lineRule="auto"/>
        <w:ind w:firstLine="420" w:firstLineChars="200"/>
        <w:rPr>
          <w:rFonts w:cs="宋体"/>
          <w:sz w:val="21"/>
          <w:szCs w:val="21"/>
          <w:highlight w:val="none"/>
        </w:rPr>
      </w:pPr>
      <w:bookmarkStart w:id="497" w:name="_Toc297048397"/>
      <w:bookmarkStart w:id="498" w:name="_Toc297120511"/>
      <w:bookmarkStart w:id="499" w:name="_Toc303539163"/>
      <w:bookmarkStart w:id="500" w:name="_Toc292559921"/>
      <w:bookmarkStart w:id="501" w:name="_Toc296891039"/>
      <w:bookmarkStart w:id="502" w:name="_Toc297216215"/>
      <w:bookmarkStart w:id="503" w:name="_Toc296944550"/>
      <w:bookmarkStart w:id="504" w:name="_Toc296346712"/>
      <w:bookmarkStart w:id="505" w:name="_Toc292559416"/>
      <w:bookmarkStart w:id="506" w:name="_Toc296347210"/>
      <w:bookmarkStart w:id="507" w:name="_Toc300935006"/>
      <w:bookmarkStart w:id="508" w:name="_Toc296891251"/>
      <w:bookmarkStart w:id="509" w:name="_Toc297123556"/>
      <w:bookmarkStart w:id="510" w:name="_Toc296503211"/>
      <w:r>
        <w:rPr>
          <w:rFonts w:hint="eastAsia" w:cs="宋体"/>
          <w:sz w:val="21"/>
          <w:szCs w:val="21"/>
          <w:highlight w:val="none"/>
        </w:rPr>
        <w:t>12.4.1 付款周期</w:t>
      </w:r>
    </w:p>
    <w:p w14:paraId="547646F7">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关于付款周期的约定：</w:t>
      </w:r>
      <w:r>
        <w:rPr>
          <w:rFonts w:hint="eastAsia" w:cs="宋体"/>
          <w:sz w:val="21"/>
          <w:szCs w:val="21"/>
          <w:highlight w:val="none"/>
          <w:u w:val="single"/>
        </w:rPr>
        <w:t>见《专用合同条款数据表》</w:t>
      </w:r>
      <w:r>
        <w:rPr>
          <w:rFonts w:hint="eastAsia" w:cs="宋体"/>
          <w:sz w:val="21"/>
          <w:szCs w:val="21"/>
          <w:highlight w:val="none"/>
        </w:rPr>
        <w:t>。</w:t>
      </w:r>
    </w:p>
    <w:p w14:paraId="14521CB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12.4.2 进度付款申请单的编制</w:t>
      </w:r>
    </w:p>
    <w:p w14:paraId="20EC2B56">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关于进度付款申请单编制的约定：执行通用条款。</w:t>
      </w:r>
    </w:p>
    <w:p w14:paraId="37E9840B">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Pr>
          <w:rFonts w:hint="eastAsia" w:cs="宋体"/>
          <w:sz w:val="21"/>
          <w:szCs w:val="21"/>
          <w:highlight w:val="none"/>
        </w:rPr>
        <w:t>2.4.3 进度付款申请单的提交</w:t>
      </w:r>
    </w:p>
    <w:p w14:paraId="72C1287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（1）单价合同进度付款申请单提交的约定：</w:t>
      </w:r>
      <w:r>
        <w:rPr>
          <w:rFonts w:hint="eastAsia" w:cs="宋体"/>
          <w:sz w:val="21"/>
          <w:szCs w:val="21"/>
          <w:highlight w:val="none"/>
          <w:u w:val="single"/>
        </w:rPr>
        <w:t xml:space="preserve">  /  </w:t>
      </w:r>
      <w:r>
        <w:rPr>
          <w:rFonts w:hint="eastAsia" w:cs="宋体"/>
          <w:sz w:val="21"/>
          <w:szCs w:val="21"/>
          <w:highlight w:val="none"/>
        </w:rPr>
        <w:t>。</w:t>
      </w:r>
    </w:p>
    <w:p w14:paraId="7CC9F3A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（2）总价合同进度付款申请单提交的约定：</w:t>
      </w:r>
      <w:r>
        <w:rPr>
          <w:rFonts w:hint="eastAsia" w:cs="宋体"/>
          <w:sz w:val="21"/>
          <w:szCs w:val="21"/>
          <w:highlight w:val="none"/>
          <w:u w:val="single"/>
        </w:rPr>
        <w:t xml:space="preserve">   </w:t>
      </w:r>
      <w:r>
        <w:rPr>
          <w:rFonts w:hint="eastAsia" w:cs="宋体"/>
          <w:sz w:val="21"/>
          <w:szCs w:val="21"/>
          <w:highlight w:val="none"/>
        </w:rPr>
        <w:t>。</w:t>
      </w:r>
    </w:p>
    <w:p w14:paraId="011C703A">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（3）其他价格形式合同进度付款申请单提交的约定：</w:t>
      </w:r>
      <w:r>
        <w:rPr>
          <w:rFonts w:hint="eastAsia" w:cs="宋体"/>
          <w:sz w:val="21"/>
          <w:szCs w:val="21"/>
          <w:highlight w:val="none"/>
          <w:u w:val="single"/>
        </w:rPr>
        <w:t xml:space="preserve">  /  </w:t>
      </w:r>
      <w:r>
        <w:rPr>
          <w:rFonts w:hint="eastAsia" w:cs="宋体"/>
          <w:sz w:val="21"/>
          <w:szCs w:val="21"/>
          <w:highlight w:val="none"/>
        </w:rPr>
        <w:t>。</w:t>
      </w:r>
    </w:p>
    <w:p w14:paraId="3C9DEB4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12.4.4 进度款审核和支付</w:t>
      </w:r>
    </w:p>
    <w:p w14:paraId="2ED30C4D">
      <w:pPr>
        <w:adjustRightInd w:val="0"/>
        <w:snapToGrid w:val="0"/>
        <w:spacing w:line="360" w:lineRule="auto"/>
        <w:ind w:firstLine="420" w:firstLineChars="200"/>
        <w:rPr>
          <w:rFonts w:cs="宋体"/>
          <w:b/>
          <w:sz w:val="21"/>
          <w:szCs w:val="21"/>
          <w:highlight w:val="none"/>
          <w:u w:val="single"/>
        </w:rPr>
      </w:pPr>
      <w:r>
        <w:rPr>
          <w:rFonts w:hint="eastAsia" w:cs="宋体"/>
          <w:sz w:val="21"/>
          <w:szCs w:val="21"/>
          <w:highlight w:val="none"/>
        </w:rPr>
        <w:t>（1）监理人审查并报送发包人的期限：收到承包人进度付款申请单以及相关资料后7天内完成审查并报送发包人(执行通用条款)。</w:t>
      </w:r>
    </w:p>
    <w:p w14:paraId="5515CC6A">
      <w:pPr>
        <w:adjustRightInd w:val="0"/>
        <w:snapToGrid w:val="0"/>
        <w:spacing w:line="360" w:lineRule="auto"/>
        <w:ind w:firstLine="420" w:firstLineChars="200"/>
        <w:rPr>
          <w:rFonts w:cs="宋体"/>
          <w:b/>
          <w:sz w:val="21"/>
          <w:szCs w:val="21"/>
          <w:highlight w:val="none"/>
          <w:u w:val="single"/>
        </w:rPr>
      </w:pPr>
      <w:r>
        <w:rPr>
          <w:rFonts w:hint="eastAsia" w:cs="宋体"/>
          <w:sz w:val="21"/>
          <w:szCs w:val="21"/>
          <w:highlight w:val="none"/>
        </w:rPr>
        <w:t>发包人完成审批并签发进度款支付证书的期限：应在收到监理人报送的进度付款申请单及相关资料后7天内（执行通用条款）。</w:t>
      </w:r>
    </w:p>
    <w:p w14:paraId="4D21E20F">
      <w:pPr>
        <w:adjustRightInd w:val="0"/>
        <w:snapToGrid w:val="0"/>
        <w:spacing w:line="360" w:lineRule="auto"/>
        <w:ind w:firstLine="420" w:firstLineChars="200"/>
        <w:rPr>
          <w:rFonts w:cs="宋体"/>
          <w:b/>
          <w:sz w:val="21"/>
          <w:szCs w:val="21"/>
          <w:highlight w:val="none"/>
        </w:rPr>
      </w:pPr>
      <w:r>
        <w:rPr>
          <w:rFonts w:hint="eastAsia" w:cs="宋体"/>
          <w:sz w:val="21"/>
          <w:szCs w:val="21"/>
          <w:highlight w:val="none"/>
        </w:rPr>
        <w:t>（2）发包人支付进度款的期限：</w:t>
      </w:r>
      <w:r>
        <w:rPr>
          <w:rFonts w:hint="eastAsia" w:cs="宋体"/>
          <w:sz w:val="21"/>
          <w:szCs w:val="21"/>
          <w:highlight w:val="none"/>
          <w:u w:val="single"/>
        </w:rPr>
        <w:t xml:space="preserve">    </w:t>
      </w:r>
      <w:r>
        <w:rPr>
          <w:rFonts w:hint="eastAsia" w:cs="宋体"/>
          <w:sz w:val="21"/>
          <w:szCs w:val="21"/>
          <w:highlight w:val="none"/>
        </w:rPr>
        <w:t>。</w:t>
      </w:r>
    </w:p>
    <w:p w14:paraId="2D1F8691">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发包人逾期支付进度款的违约金的计算方式</w:t>
      </w:r>
      <w:r>
        <w:rPr>
          <w:rFonts w:hint="eastAsia" w:cs="宋体"/>
          <w:sz w:val="21"/>
          <w:szCs w:val="21"/>
          <w:highlight w:val="none"/>
          <w:u w:val="single"/>
        </w:rPr>
        <w:t xml:space="preserve"> </w:t>
      </w:r>
      <w:r>
        <w:rPr>
          <w:rFonts w:hint="eastAsia" w:cs="宋体"/>
          <w:sz w:val="21"/>
          <w:szCs w:val="21"/>
          <w:highlight w:val="none"/>
          <w:u w:val="single"/>
          <w:lang w:val="en-US" w:eastAsia="zh-CN"/>
        </w:rPr>
        <w:t>/</w:t>
      </w:r>
      <w:r>
        <w:rPr>
          <w:rFonts w:hint="eastAsia" w:cs="宋体"/>
          <w:sz w:val="21"/>
          <w:szCs w:val="21"/>
          <w:highlight w:val="none"/>
          <w:u w:val="single"/>
        </w:rPr>
        <w:t xml:space="preserve"> </w:t>
      </w:r>
      <w:r>
        <w:rPr>
          <w:rFonts w:hint="eastAsia" w:cs="宋体"/>
          <w:sz w:val="21"/>
          <w:szCs w:val="21"/>
          <w:highlight w:val="none"/>
        </w:rPr>
        <w:t>。</w:t>
      </w:r>
    </w:p>
    <w:p w14:paraId="5C181571">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12.4.6 支付分解表的编制</w:t>
      </w:r>
    </w:p>
    <w:p w14:paraId="6508E6C3">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（2）总价合同支付分解表的编制与审批：</w:t>
      </w:r>
      <w:r>
        <w:rPr>
          <w:rFonts w:hint="eastAsia" w:cs="宋体"/>
          <w:sz w:val="21"/>
          <w:szCs w:val="21"/>
          <w:highlight w:val="none"/>
          <w:u w:val="single"/>
        </w:rPr>
        <w:t xml:space="preserve">  /  </w:t>
      </w:r>
      <w:r>
        <w:rPr>
          <w:rFonts w:hint="eastAsia" w:cs="宋体"/>
          <w:sz w:val="21"/>
          <w:szCs w:val="21"/>
          <w:highlight w:val="none"/>
        </w:rPr>
        <w:t>。</w:t>
      </w:r>
    </w:p>
    <w:p w14:paraId="636F338A">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（3）单价合同的总价项目支付分解表的编制与审批：</w:t>
      </w:r>
      <w:r>
        <w:rPr>
          <w:rFonts w:hint="eastAsia" w:cs="宋体"/>
          <w:sz w:val="21"/>
          <w:szCs w:val="21"/>
          <w:highlight w:val="none"/>
          <w:u w:val="single"/>
        </w:rPr>
        <w:t xml:space="preserve">  /  </w:t>
      </w:r>
      <w:r>
        <w:rPr>
          <w:rFonts w:hint="eastAsia" w:cs="宋体"/>
          <w:sz w:val="21"/>
          <w:szCs w:val="21"/>
          <w:highlight w:val="none"/>
        </w:rPr>
        <w:t>。</w:t>
      </w:r>
    </w:p>
    <w:p w14:paraId="58FEB505">
      <w:pPr>
        <w:adjustRightInd w:val="0"/>
        <w:snapToGrid w:val="0"/>
        <w:spacing w:line="360" w:lineRule="auto"/>
        <w:ind w:firstLine="420" w:firstLineChars="200"/>
        <w:rPr>
          <w:rFonts w:cs="宋体"/>
          <w:bCs/>
          <w:sz w:val="21"/>
          <w:szCs w:val="21"/>
          <w:highlight w:val="none"/>
        </w:rPr>
      </w:pPr>
      <w:r>
        <w:rPr>
          <w:rFonts w:hint="eastAsia" w:cs="宋体"/>
          <w:bCs/>
          <w:sz w:val="21"/>
          <w:szCs w:val="21"/>
          <w:highlight w:val="none"/>
        </w:rPr>
        <w:t>12.4.7 农民工工资管理</w:t>
      </w:r>
    </w:p>
    <w:p w14:paraId="4A24887C">
      <w:pPr>
        <w:adjustRightInd w:val="0"/>
        <w:snapToGrid w:val="0"/>
        <w:spacing w:line="360" w:lineRule="auto"/>
        <w:ind w:firstLine="420" w:firstLineChars="200"/>
        <w:rPr>
          <w:rFonts w:cs="宋体"/>
          <w:bCs/>
          <w:sz w:val="21"/>
          <w:szCs w:val="21"/>
          <w:highlight w:val="none"/>
        </w:rPr>
      </w:pPr>
      <w:r>
        <w:rPr>
          <w:rFonts w:hint="eastAsia" w:cs="宋体"/>
          <w:sz w:val="21"/>
          <w:szCs w:val="21"/>
          <w:highlight w:val="none"/>
        </w:rPr>
        <w:t>（1）</w:t>
      </w:r>
      <w:r>
        <w:rPr>
          <w:rFonts w:hint="eastAsia" w:cs="宋体"/>
          <w:bCs/>
          <w:sz w:val="21"/>
          <w:szCs w:val="21"/>
          <w:highlight w:val="none"/>
        </w:rPr>
        <w:t>本工程农民工工资实行专用账户管理，承包人设立的专用账户开户行为</w:t>
      </w:r>
      <w:r>
        <w:rPr>
          <w:rFonts w:hint="eastAsia" w:cs="宋体"/>
          <w:bCs/>
          <w:sz w:val="21"/>
          <w:szCs w:val="21"/>
          <w:highlight w:val="none"/>
          <w:u w:val="single"/>
        </w:rPr>
        <w:t xml:space="preserve">：        </w:t>
      </w:r>
      <w:r>
        <w:rPr>
          <w:rFonts w:hint="eastAsia" w:cs="宋体"/>
          <w:bCs/>
          <w:sz w:val="21"/>
          <w:szCs w:val="21"/>
          <w:highlight w:val="none"/>
        </w:rPr>
        <w:t>，账号：</w:t>
      </w:r>
      <w:r>
        <w:rPr>
          <w:rFonts w:hint="eastAsia" w:cs="宋体"/>
          <w:bCs/>
          <w:sz w:val="21"/>
          <w:szCs w:val="21"/>
          <w:highlight w:val="none"/>
          <w:u w:val="single"/>
        </w:rPr>
        <w:t xml:space="preserve">              </w:t>
      </w:r>
      <w:r>
        <w:rPr>
          <w:rFonts w:hint="eastAsia" w:cs="宋体"/>
          <w:bCs/>
          <w:sz w:val="21"/>
          <w:szCs w:val="21"/>
          <w:highlight w:val="none"/>
        </w:rPr>
        <w:t>;</w:t>
      </w:r>
    </w:p>
    <w:p w14:paraId="61019B87">
      <w:pPr>
        <w:adjustRightInd w:val="0"/>
        <w:snapToGrid w:val="0"/>
        <w:spacing w:line="360" w:lineRule="auto"/>
        <w:ind w:firstLine="420" w:firstLineChars="200"/>
        <w:rPr>
          <w:rFonts w:cs="宋体"/>
          <w:bCs/>
          <w:sz w:val="21"/>
          <w:szCs w:val="21"/>
          <w:highlight w:val="none"/>
        </w:rPr>
      </w:pPr>
      <w:r>
        <w:rPr>
          <w:rFonts w:hint="eastAsia" w:cs="宋体"/>
          <w:sz w:val="21"/>
          <w:szCs w:val="21"/>
          <w:highlight w:val="none"/>
        </w:rPr>
        <w:t>（2）</w:t>
      </w:r>
      <w:r>
        <w:rPr>
          <w:rFonts w:hint="eastAsia" w:cs="宋体"/>
          <w:bCs/>
          <w:sz w:val="21"/>
          <w:szCs w:val="21"/>
          <w:highlight w:val="none"/>
        </w:rPr>
        <w:t>本工程工资性工程款</w:t>
      </w:r>
      <w:r>
        <w:rPr>
          <w:rFonts w:hint="eastAsia" w:cs="宋体"/>
          <w:bCs/>
          <w:sz w:val="21"/>
          <w:szCs w:val="21"/>
          <w:highlight w:val="none"/>
          <w:u w:val="single"/>
        </w:rPr>
        <w:t xml:space="preserve">         </w:t>
      </w:r>
      <w:r>
        <w:rPr>
          <w:rFonts w:hint="eastAsia" w:cs="宋体"/>
          <w:bCs/>
          <w:sz w:val="21"/>
          <w:szCs w:val="21"/>
          <w:highlight w:val="none"/>
        </w:rPr>
        <w:t>元。</w:t>
      </w:r>
    </w:p>
    <w:p w14:paraId="11317F49">
      <w:pPr>
        <w:adjustRightInd w:val="0"/>
        <w:snapToGrid w:val="0"/>
        <w:spacing w:line="360" w:lineRule="auto"/>
        <w:ind w:firstLine="420" w:firstLineChars="200"/>
        <w:rPr>
          <w:rFonts w:cs="宋体"/>
          <w:bCs/>
          <w:sz w:val="21"/>
          <w:szCs w:val="21"/>
          <w:highlight w:val="none"/>
        </w:rPr>
      </w:pPr>
      <w:r>
        <w:rPr>
          <w:rFonts w:hint="eastAsia" w:cs="宋体"/>
          <w:sz w:val="21"/>
          <w:szCs w:val="21"/>
          <w:highlight w:val="none"/>
        </w:rPr>
        <w:t>（3）</w:t>
      </w:r>
      <w:r>
        <w:rPr>
          <w:rFonts w:hint="eastAsia" w:cs="宋体"/>
          <w:bCs/>
          <w:sz w:val="21"/>
          <w:szCs w:val="21"/>
          <w:highlight w:val="none"/>
        </w:rPr>
        <w:t>发包人于每月25日前将工资性工程进度款转入农民工工资专用账户。</w:t>
      </w:r>
    </w:p>
    <w:p w14:paraId="3AF49A1B">
      <w:pPr>
        <w:adjustRightInd w:val="0"/>
        <w:snapToGrid w:val="0"/>
        <w:spacing w:line="360" w:lineRule="auto"/>
        <w:ind w:firstLine="420" w:firstLineChars="200"/>
        <w:rPr>
          <w:rFonts w:cs="宋体"/>
          <w:bCs/>
          <w:sz w:val="21"/>
          <w:szCs w:val="21"/>
          <w:highlight w:val="none"/>
        </w:rPr>
      </w:pPr>
      <w:r>
        <w:rPr>
          <w:rFonts w:hint="eastAsia" w:cs="宋体"/>
          <w:sz w:val="21"/>
          <w:szCs w:val="21"/>
          <w:highlight w:val="none"/>
        </w:rPr>
        <w:t>（4）</w:t>
      </w:r>
      <w:r>
        <w:rPr>
          <w:rFonts w:hint="eastAsia" w:cs="宋体"/>
          <w:bCs/>
          <w:sz w:val="21"/>
          <w:szCs w:val="21"/>
          <w:highlight w:val="none"/>
        </w:rPr>
        <w:t>承包人每月25日前上报本工程农民工工资清单，每月10日前委托开设农民工工资专用账户的银行支付农民工工资。</w:t>
      </w:r>
    </w:p>
    <w:p w14:paraId="7566B3C7">
      <w:pPr>
        <w:adjustRightInd w:val="0"/>
        <w:snapToGrid w:val="0"/>
        <w:spacing w:line="360" w:lineRule="auto"/>
        <w:ind w:firstLine="420" w:firstLineChars="200"/>
        <w:rPr>
          <w:rFonts w:cs="宋体"/>
          <w:b/>
          <w:sz w:val="21"/>
          <w:szCs w:val="21"/>
          <w:highlight w:val="none"/>
        </w:rPr>
      </w:pPr>
      <w:r>
        <w:rPr>
          <w:rFonts w:hint="eastAsia" w:cs="宋体"/>
          <w:sz w:val="21"/>
          <w:szCs w:val="21"/>
          <w:highlight w:val="none"/>
        </w:rPr>
        <w:t>（5）</w:t>
      </w:r>
      <w:r>
        <w:rPr>
          <w:rFonts w:hint="eastAsia" w:cs="宋体"/>
          <w:bCs/>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40"/>
    <w:p w14:paraId="083B653B">
      <w:pPr>
        <w:snapToGrid w:val="0"/>
        <w:spacing w:before="312" w:beforeLines="100" w:after="312" w:afterLines="100" w:line="360" w:lineRule="auto"/>
        <w:outlineLvl w:val="2"/>
        <w:rPr>
          <w:rFonts w:cs="宋体"/>
          <w:sz w:val="21"/>
          <w:szCs w:val="21"/>
          <w:highlight w:val="none"/>
        </w:rPr>
      </w:pPr>
      <w:bookmarkStart w:id="511" w:name="_Toc351203645"/>
      <w:bookmarkStart w:id="512" w:name="_Toc312678053"/>
      <w:bookmarkStart w:id="513" w:name="_Toc300935015"/>
      <w:bookmarkStart w:id="514" w:name="_Toc296346720"/>
      <w:bookmarkStart w:id="515" w:name="_Toc297120519"/>
      <w:bookmarkStart w:id="516" w:name="_Toc292559929"/>
      <w:bookmarkStart w:id="517" w:name="_Toc304295593"/>
      <w:bookmarkStart w:id="518" w:name="_Toc297216223"/>
      <w:bookmarkStart w:id="519" w:name="_Toc297123564"/>
      <w:bookmarkStart w:id="520" w:name="_Toc303539172"/>
      <w:bookmarkStart w:id="521" w:name="_Toc296944558"/>
      <w:bookmarkStart w:id="522" w:name="_Toc296503219"/>
      <w:bookmarkStart w:id="523" w:name="_Toc297048405"/>
      <w:bookmarkStart w:id="524" w:name="_Toc296891047"/>
      <w:bookmarkStart w:id="525" w:name="_Toc296891259"/>
      <w:bookmarkStart w:id="526" w:name="_Toc296347218"/>
      <w:bookmarkStart w:id="527" w:name="_Toc292559424"/>
      <w:r>
        <w:rPr>
          <w:rFonts w:hint="eastAsia" w:cs="宋体"/>
          <w:sz w:val="21"/>
          <w:szCs w:val="21"/>
          <w:highlight w:val="none"/>
        </w:rPr>
        <w:t>13. 验收和工程试车</w:t>
      </w:r>
      <w:bookmarkEnd w:id="511"/>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14:paraId="045D126B">
      <w:pPr>
        <w:keepNext/>
        <w:keepLines/>
        <w:snapToGrid w:val="0"/>
        <w:spacing w:before="120" w:after="120" w:line="360" w:lineRule="auto"/>
        <w:jc w:val="left"/>
        <w:outlineLvl w:val="2"/>
        <w:rPr>
          <w:rFonts w:cs="宋体"/>
          <w:bCs/>
          <w:sz w:val="21"/>
          <w:szCs w:val="21"/>
          <w:highlight w:val="none"/>
        </w:rPr>
      </w:pPr>
      <w:r>
        <w:rPr>
          <w:rFonts w:hint="eastAsia" w:cs="宋体"/>
          <w:bCs/>
          <w:sz w:val="21"/>
          <w:szCs w:val="21"/>
          <w:highlight w:val="none"/>
        </w:rPr>
        <w:t>13.1 分部分项工程验收</w:t>
      </w:r>
    </w:p>
    <w:p w14:paraId="62836E81">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13.1.2 监理人不能按时进行验收时，应提前</w:t>
      </w:r>
      <w:r>
        <w:rPr>
          <w:rFonts w:hint="eastAsia" w:cs="宋体"/>
          <w:sz w:val="21"/>
          <w:szCs w:val="21"/>
          <w:highlight w:val="none"/>
          <w:u w:val="single"/>
        </w:rPr>
        <w:t>24</w:t>
      </w:r>
      <w:r>
        <w:rPr>
          <w:rFonts w:hint="eastAsia" w:cs="宋体"/>
          <w:sz w:val="21"/>
          <w:szCs w:val="21"/>
          <w:highlight w:val="none"/>
        </w:rPr>
        <w:t>小时提交书面延期要求。</w:t>
      </w:r>
    </w:p>
    <w:p w14:paraId="7E8FB971">
      <w:pPr>
        <w:adjustRightInd w:val="0"/>
        <w:snapToGrid w:val="0"/>
        <w:spacing w:line="360" w:lineRule="auto"/>
        <w:ind w:firstLine="420" w:firstLineChars="200"/>
        <w:rPr>
          <w:rFonts w:cs="宋体"/>
          <w:b/>
          <w:sz w:val="21"/>
          <w:szCs w:val="21"/>
          <w:highlight w:val="none"/>
        </w:rPr>
      </w:pPr>
      <w:r>
        <w:rPr>
          <w:rFonts w:hint="eastAsia" w:cs="宋体"/>
          <w:sz w:val="21"/>
          <w:szCs w:val="21"/>
          <w:highlight w:val="none"/>
        </w:rPr>
        <w:t>关于延期最长不得超过：</w:t>
      </w:r>
      <w:r>
        <w:rPr>
          <w:rFonts w:hint="eastAsia" w:cs="宋体"/>
          <w:sz w:val="21"/>
          <w:szCs w:val="21"/>
          <w:highlight w:val="none"/>
          <w:u w:val="single"/>
        </w:rPr>
        <w:t>48</w:t>
      </w:r>
      <w:r>
        <w:rPr>
          <w:rFonts w:hint="eastAsia" w:cs="宋体"/>
          <w:sz w:val="21"/>
          <w:szCs w:val="21"/>
          <w:highlight w:val="none"/>
        </w:rPr>
        <w:t>小时。</w:t>
      </w:r>
    </w:p>
    <w:p w14:paraId="4A968E63">
      <w:pPr>
        <w:keepNext/>
        <w:keepLines/>
        <w:snapToGrid w:val="0"/>
        <w:spacing w:before="120" w:after="120" w:line="360" w:lineRule="auto"/>
        <w:ind w:firstLine="420" w:firstLineChars="200"/>
        <w:outlineLvl w:val="3"/>
        <w:rPr>
          <w:rFonts w:cs="宋体"/>
          <w:bCs/>
          <w:sz w:val="21"/>
          <w:szCs w:val="21"/>
          <w:highlight w:val="none"/>
        </w:rPr>
      </w:pPr>
      <w:bookmarkStart w:id="528" w:name="_Toc304295596"/>
      <w:bookmarkStart w:id="529" w:name="_Toc312678056"/>
      <w:bookmarkStart w:id="530" w:name="_Toc292559428"/>
      <w:bookmarkStart w:id="531" w:name="_Toc292559933"/>
      <w:bookmarkStart w:id="532" w:name="_Toc303539173"/>
      <w:bookmarkStart w:id="533" w:name="_Toc296503223"/>
      <w:bookmarkStart w:id="534" w:name="_Toc296347222"/>
      <w:bookmarkStart w:id="535" w:name="_Toc296346724"/>
      <w:bookmarkStart w:id="536" w:name="_Toc297123565"/>
      <w:bookmarkStart w:id="537" w:name="_Toc296891051"/>
      <w:bookmarkStart w:id="538" w:name="_Toc297120523"/>
      <w:bookmarkStart w:id="539" w:name="_Toc297216224"/>
      <w:bookmarkStart w:id="540" w:name="_Toc300935016"/>
      <w:bookmarkStart w:id="541" w:name="_Toc296891263"/>
      <w:bookmarkStart w:id="542" w:name="_Toc297048409"/>
      <w:bookmarkStart w:id="543" w:name="_Toc296944562"/>
      <w:bookmarkStart w:id="544" w:name="_Toc267251473"/>
      <w:bookmarkStart w:id="545" w:name="_Toc267251471"/>
      <w:bookmarkStart w:id="546" w:name="_Toc267251472"/>
      <w:bookmarkStart w:id="547" w:name="_Toc267251470"/>
      <w:bookmarkStart w:id="548" w:name="_Toc267251474"/>
      <w:bookmarkStart w:id="549" w:name="_Toc267251476"/>
      <w:bookmarkStart w:id="550" w:name="_Toc267251475"/>
      <w:r>
        <w:rPr>
          <w:rFonts w:hint="eastAsia" w:cs="宋体"/>
          <w:bCs/>
          <w:sz w:val="21"/>
          <w:szCs w:val="21"/>
          <w:highlight w:val="none"/>
        </w:rPr>
        <w:t>13.2 竣工验收</w:t>
      </w:r>
    </w:p>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064C330A">
      <w:pPr>
        <w:adjustRightInd w:val="0"/>
        <w:snapToGrid w:val="0"/>
        <w:spacing w:line="360" w:lineRule="auto"/>
        <w:ind w:firstLine="420" w:firstLineChars="200"/>
        <w:rPr>
          <w:rFonts w:cs="宋体"/>
          <w:sz w:val="21"/>
          <w:szCs w:val="21"/>
          <w:highlight w:val="none"/>
        </w:rPr>
      </w:pPr>
      <w:bookmarkStart w:id="551" w:name="_Toc280868704"/>
      <w:bookmarkStart w:id="552" w:name="_Toc280868705"/>
      <w:bookmarkStart w:id="553" w:name="_Toc280868706"/>
      <w:bookmarkStart w:id="554" w:name="_Toc280868707"/>
      <w:bookmarkStart w:id="555" w:name="_Toc280868708"/>
      <w:bookmarkStart w:id="556" w:name="_Toc280868709"/>
      <w:r>
        <w:rPr>
          <w:rFonts w:hint="eastAsia" w:cs="宋体"/>
          <w:sz w:val="21"/>
          <w:szCs w:val="21"/>
          <w:highlight w:val="none"/>
        </w:rPr>
        <w:t>13.2.2 竣工验收程序</w:t>
      </w:r>
    </w:p>
    <w:bookmarkEnd w:id="551"/>
    <w:p w14:paraId="4F93A88E">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关于竣工验收程序的约定：</w:t>
      </w:r>
      <w:r>
        <w:rPr>
          <w:rFonts w:hint="eastAsia" w:cs="宋体"/>
          <w:sz w:val="21"/>
          <w:szCs w:val="21"/>
          <w:highlight w:val="none"/>
          <w:u w:val="single"/>
        </w:rPr>
        <w:t>执行通用条款</w:t>
      </w:r>
      <w:r>
        <w:rPr>
          <w:rFonts w:hint="eastAsia" w:cs="宋体"/>
          <w:sz w:val="21"/>
          <w:szCs w:val="21"/>
          <w:highlight w:val="none"/>
        </w:rPr>
        <w:t>。</w:t>
      </w:r>
    </w:p>
    <w:p w14:paraId="1C1652D2">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发包人不按照本项约定组织竣工验收、颁发工程接收证书的违约金的计算方法：</w:t>
      </w:r>
      <w:r>
        <w:rPr>
          <w:rFonts w:hint="eastAsia" w:cs="宋体"/>
          <w:sz w:val="21"/>
          <w:szCs w:val="21"/>
          <w:highlight w:val="none"/>
          <w:u w:val="single"/>
        </w:rPr>
        <w:t>执行通用条款</w:t>
      </w:r>
      <w:r>
        <w:rPr>
          <w:rFonts w:hint="eastAsia" w:cs="宋体"/>
          <w:sz w:val="21"/>
          <w:szCs w:val="21"/>
          <w:highlight w:val="none"/>
        </w:rPr>
        <w:t>。</w:t>
      </w:r>
    </w:p>
    <w:bookmarkEnd w:id="552"/>
    <w:p w14:paraId="6C6358E7">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13.2.5 移交、接收全部与部分工程</w:t>
      </w:r>
    </w:p>
    <w:bookmarkEnd w:id="553"/>
    <w:p w14:paraId="6F0CA5AC">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承包人向发包人移交工程的期限：</w:t>
      </w:r>
      <w:r>
        <w:rPr>
          <w:rFonts w:hint="eastAsia" w:cs="宋体"/>
          <w:sz w:val="21"/>
          <w:szCs w:val="21"/>
          <w:highlight w:val="none"/>
          <w:u w:val="single"/>
        </w:rPr>
        <w:t>颁发工程接收证书后7天内完成工程的移交</w:t>
      </w:r>
      <w:r>
        <w:rPr>
          <w:rFonts w:hint="eastAsia" w:cs="宋体"/>
          <w:sz w:val="21"/>
          <w:szCs w:val="21"/>
          <w:highlight w:val="none"/>
        </w:rPr>
        <w:t>。</w:t>
      </w:r>
    </w:p>
    <w:p w14:paraId="13421196">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发包人未按本合同约定接收全部或部分工程的，违约金的计算方法为：</w:t>
      </w:r>
      <w:r>
        <w:rPr>
          <w:rFonts w:hint="eastAsia" w:cs="宋体"/>
          <w:sz w:val="21"/>
          <w:szCs w:val="21"/>
          <w:highlight w:val="none"/>
          <w:u w:val="single"/>
        </w:rPr>
        <w:t>发包人自应当接收工程之日起，承担工程照管、成品保护、保管等与工程有关的各项费用</w:t>
      </w:r>
      <w:r>
        <w:rPr>
          <w:rFonts w:hint="eastAsia" w:cs="宋体"/>
          <w:sz w:val="21"/>
          <w:szCs w:val="21"/>
          <w:highlight w:val="none"/>
        </w:rPr>
        <w:t>。</w:t>
      </w:r>
    </w:p>
    <w:bookmarkEnd w:id="554"/>
    <w:p w14:paraId="102FFF89">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承包人未按时移交工程的，违约金的计算方法为：</w:t>
      </w:r>
      <w:r>
        <w:rPr>
          <w:rFonts w:hint="eastAsia" w:cs="宋体"/>
          <w:sz w:val="21"/>
          <w:szCs w:val="21"/>
          <w:highlight w:val="none"/>
          <w:u w:val="single"/>
        </w:rPr>
        <w:t>承包人应承担工程照管、成品保护、保管等与工程有关的各项费用</w:t>
      </w:r>
      <w:r>
        <w:rPr>
          <w:rFonts w:hint="eastAsia" w:cs="宋体"/>
          <w:sz w:val="21"/>
          <w:szCs w:val="21"/>
          <w:highlight w:val="none"/>
        </w:rPr>
        <w:t>。</w:t>
      </w:r>
    </w:p>
    <w:p w14:paraId="390E83F0">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13.3 工程试车</w:t>
      </w:r>
    </w:p>
    <w:bookmarkEnd w:id="555"/>
    <w:p w14:paraId="48993BA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13.3.1 试车程序</w:t>
      </w:r>
    </w:p>
    <w:p w14:paraId="48F18851">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工程试车内容：</w:t>
      </w:r>
      <w:r>
        <w:rPr>
          <w:rFonts w:hint="eastAsia" w:cs="宋体"/>
          <w:sz w:val="21"/>
          <w:szCs w:val="21"/>
          <w:highlight w:val="none"/>
          <w:u w:val="single"/>
        </w:rPr>
        <w:t xml:space="preserve">                                        </w:t>
      </w:r>
      <w:r>
        <w:rPr>
          <w:rFonts w:hint="eastAsia" w:cs="宋体"/>
          <w:sz w:val="21"/>
          <w:szCs w:val="21"/>
          <w:highlight w:val="none"/>
        </w:rPr>
        <w:t>。</w:t>
      </w:r>
    </w:p>
    <w:p w14:paraId="4B642C5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（1）单机无负荷试车费用由</w:t>
      </w:r>
      <w:r>
        <w:rPr>
          <w:rFonts w:hint="eastAsia" w:cs="宋体"/>
          <w:sz w:val="21"/>
          <w:szCs w:val="21"/>
          <w:highlight w:val="none"/>
          <w:u w:val="single"/>
        </w:rPr>
        <w:t>试车消耗的生产性原材料由发包人承担；试车其他费用（包括试车所需水电油等费用）由承包人在投标报价中综合考虑并</w:t>
      </w:r>
      <w:r>
        <w:rPr>
          <w:rFonts w:hint="eastAsia" w:cs="宋体"/>
          <w:sz w:val="21"/>
          <w:szCs w:val="21"/>
          <w:highlight w:val="none"/>
        </w:rPr>
        <w:t>承担；</w:t>
      </w:r>
    </w:p>
    <w:p w14:paraId="62B19319">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（2）无负荷联动试车费用由</w:t>
      </w:r>
      <w:r>
        <w:rPr>
          <w:rFonts w:hint="eastAsia" w:cs="宋体"/>
          <w:sz w:val="21"/>
          <w:szCs w:val="21"/>
          <w:highlight w:val="none"/>
          <w:u w:val="single"/>
        </w:rPr>
        <w:t>试车消耗的生产性原材料由发包人承担；试车其他费用（包括试车所需水电油等费用）由承包人在投标报价中综合考虑并</w:t>
      </w:r>
      <w:r>
        <w:rPr>
          <w:rFonts w:hint="eastAsia" w:cs="宋体"/>
          <w:sz w:val="21"/>
          <w:szCs w:val="21"/>
          <w:highlight w:val="none"/>
        </w:rPr>
        <w:t>承担。</w:t>
      </w:r>
    </w:p>
    <w:p w14:paraId="0AC1153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13.3.3 投料试车</w:t>
      </w:r>
    </w:p>
    <w:p w14:paraId="015415C8">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关于投料试车相关事项的约定：</w:t>
      </w:r>
      <w:r>
        <w:rPr>
          <w:rFonts w:hint="eastAsia" w:cs="宋体"/>
          <w:sz w:val="21"/>
          <w:szCs w:val="21"/>
          <w:highlight w:val="none"/>
          <w:u w:val="single"/>
        </w:rPr>
        <w:t>执行通用条款</w:t>
      </w:r>
      <w:r>
        <w:rPr>
          <w:rFonts w:hint="eastAsia" w:cs="宋体"/>
          <w:sz w:val="21"/>
          <w:szCs w:val="21"/>
          <w:highlight w:val="none"/>
        </w:rPr>
        <w:t>。</w:t>
      </w:r>
    </w:p>
    <w:p w14:paraId="5ED3406C">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13.6 竣工退场</w:t>
      </w:r>
    </w:p>
    <w:p w14:paraId="0DC76E5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13.6.1 竣工退场</w:t>
      </w:r>
    </w:p>
    <w:p w14:paraId="4131CAF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承包人完成竣工退场的期限：</w:t>
      </w:r>
      <w:r>
        <w:rPr>
          <w:rFonts w:hint="eastAsia" w:cs="宋体"/>
          <w:sz w:val="21"/>
          <w:szCs w:val="21"/>
          <w:highlight w:val="none"/>
          <w:u w:val="single"/>
        </w:rPr>
        <w:t xml:space="preserve">                            </w:t>
      </w:r>
      <w:r>
        <w:rPr>
          <w:rFonts w:hint="eastAsia" w:cs="宋体"/>
          <w:sz w:val="21"/>
          <w:szCs w:val="21"/>
          <w:highlight w:val="none"/>
        </w:rPr>
        <w:t>。</w:t>
      </w:r>
    </w:p>
    <w:p w14:paraId="012757F1">
      <w:pPr>
        <w:snapToGrid w:val="0"/>
        <w:spacing w:before="312" w:beforeLines="100" w:after="312" w:afterLines="100" w:line="360" w:lineRule="auto"/>
        <w:outlineLvl w:val="2"/>
        <w:rPr>
          <w:rFonts w:cs="宋体"/>
          <w:sz w:val="21"/>
          <w:szCs w:val="21"/>
          <w:highlight w:val="none"/>
        </w:rPr>
      </w:pPr>
      <w:bookmarkStart w:id="557" w:name="_Toc351203646"/>
      <w:r>
        <w:rPr>
          <w:rFonts w:hint="eastAsia" w:cs="宋体"/>
          <w:sz w:val="21"/>
          <w:szCs w:val="21"/>
          <w:highlight w:val="none"/>
        </w:rPr>
        <w:t>14. 竣工结算</w:t>
      </w:r>
      <w:bookmarkEnd w:id="557"/>
    </w:p>
    <w:p w14:paraId="473A0585">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14.1 竣工结算申请</w:t>
      </w:r>
    </w:p>
    <w:p w14:paraId="2412332B">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承包人提交竣工结算申请单的期限：</w:t>
      </w:r>
      <w:r>
        <w:rPr>
          <w:rFonts w:hint="eastAsia" w:cs="宋体"/>
          <w:sz w:val="21"/>
          <w:szCs w:val="21"/>
          <w:highlight w:val="none"/>
          <w:u w:val="single"/>
        </w:rPr>
        <w:t>承包人应在工程竣工验收合格后28天内</w:t>
      </w:r>
      <w:r>
        <w:rPr>
          <w:rFonts w:hint="eastAsia" w:cs="宋体"/>
          <w:sz w:val="21"/>
          <w:szCs w:val="21"/>
          <w:highlight w:val="none"/>
        </w:rPr>
        <w:t>。</w:t>
      </w:r>
    </w:p>
    <w:p w14:paraId="28151F5D">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竣工结算申请单应包括的内容：</w:t>
      </w:r>
      <w:r>
        <w:rPr>
          <w:rFonts w:hint="eastAsia" w:cs="宋体"/>
          <w:sz w:val="21"/>
          <w:szCs w:val="21"/>
          <w:highlight w:val="none"/>
          <w:u w:val="single"/>
        </w:rPr>
        <w:t>执行通用条款</w:t>
      </w:r>
      <w:r>
        <w:rPr>
          <w:rFonts w:hint="eastAsia" w:cs="宋体"/>
          <w:sz w:val="21"/>
          <w:szCs w:val="21"/>
          <w:highlight w:val="none"/>
        </w:rPr>
        <w:t>。</w:t>
      </w:r>
    </w:p>
    <w:p w14:paraId="0A5AE236">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14.2 竣工结算审核</w:t>
      </w:r>
    </w:p>
    <w:p w14:paraId="65213C01">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发包人审批竣工付款申请单的期限：</w:t>
      </w:r>
      <w:r>
        <w:rPr>
          <w:rFonts w:hint="eastAsia" w:cs="宋体"/>
          <w:sz w:val="21"/>
          <w:szCs w:val="21"/>
          <w:highlight w:val="none"/>
          <w:u w:val="single"/>
        </w:rPr>
        <w:t>发包人应在收到监理人提交的经审核的竣工结算申请单后14天内完成审批</w:t>
      </w:r>
      <w:r>
        <w:rPr>
          <w:rFonts w:hint="eastAsia" w:cs="宋体"/>
          <w:sz w:val="21"/>
          <w:szCs w:val="21"/>
          <w:highlight w:val="none"/>
        </w:rPr>
        <w:t>。</w:t>
      </w:r>
    </w:p>
    <w:p w14:paraId="1B9505BB">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发包人完成竣工付款的期限：</w:t>
      </w:r>
      <w:r>
        <w:rPr>
          <w:rFonts w:hint="eastAsia" w:cs="宋体"/>
          <w:sz w:val="21"/>
          <w:szCs w:val="21"/>
          <w:highlight w:val="none"/>
          <w:u w:val="single"/>
        </w:rPr>
        <w:t>发包人应在签发竣工付款证书后的14 天内，完成对承包人的竣工付款</w:t>
      </w:r>
      <w:r>
        <w:rPr>
          <w:rFonts w:hint="eastAsia" w:cs="宋体"/>
          <w:sz w:val="21"/>
          <w:szCs w:val="21"/>
          <w:highlight w:val="none"/>
        </w:rPr>
        <w:t>。</w:t>
      </w:r>
    </w:p>
    <w:p w14:paraId="4D5976F6">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关于竣工付款证书异议部分复核的方式和程序：</w:t>
      </w:r>
      <w:r>
        <w:rPr>
          <w:rFonts w:hint="eastAsia" w:cs="宋体"/>
          <w:sz w:val="21"/>
          <w:szCs w:val="21"/>
          <w:highlight w:val="none"/>
          <w:u w:val="single"/>
        </w:rPr>
        <w:t>执行通用条款</w:t>
      </w:r>
      <w:r>
        <w:rPr>
          <w:rFonts w:hint="eastAsia" w:cs="宋体"/>
          <w:sz w:val="21"/>
          <w:szCs w:val="21"/>
          <w:highlight w:val="none"/>
        </w:rPr>
        <w:t>。</w:t>
      </w:r>
    </w:p>
    <w:p w14:paraId="1AB762F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14.4 最终结清</w:t>
      </w:r>
    </w:p>
    <w:p w14:paraId="32376353">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14.4.1 最终结清申请单</w:t>
      </w:r>
    </w:p>
    <w:p w14:paraId="267E735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承包人提交最终结清申请单的份数：</w:t>
      </w:r>
      <w:r>
        <w:rPr>
          <w:rFonts w:hint="eastAsia" w:cs="宋体"/>
          <w:sz w:val="21"/>
          <w:szCs w:val="21"/>
          <w:highlight w:val="none"/>
          <w:u w:val="single"/>
        </w:rPr>
        <w:t xml:space="preserve">                    </w:t>
      </w:r>
      <w:r>
        <w:rPr>
          <w:rFonts w:hint="eastAsia" w:cs="宋体"/>
          <w:sz w:val="21"/>
          <w:szCs w:val="21"/>
          <w:highlight w:val="none"/>
        </w:rPr>
        <w:t>。</w:t>
      </w:r>
    </w:p>
    <w:p w14:paraId="5F893CC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承包人提交最终结算申请单的期限：</w:t>
      </w:r>
      <w:r>
        <w:rPr>
          <w:rFonts w:hint="eastAsia" w:cs="宋体"/>
          <w:sz w:val="21"/>
          <w:szCs w:val="21"/>
          <w:highlight w:val="none"/>
          <w:u w:val="single"/>
        </w:rPr>
        <w:t>缺陷责任期终止证书颁发后7天内</w:t>
      </w:r>
      <w:r>
        <w:rPr>
          <w:rFonts w:hint="eastAsia" w:cs="宋体"/>
          <w:sz w:val="21"/>
          <w:szCs w:val="21"/>
          <w:highlight w:val="none"/>
        </w:rPr>
        <w:t xml:space="preserve">。 </w:t>
      </w:r>
    </w:p>
    <w:p w14:paraId="5E1F1A2C">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14.4.2 最终结清证书和支付</w:t>
      </w:r>
    </w:p>
    <w:p w14:paraId="272644CD">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（1）发包人完成最终结清申请单的审批并颁发最终结清证书的期限：</w:t>
      </w:r>
      <w:r>
        <w:rPr>
          <w:rFonts w:hint="eastAsia" w:cs="宋体"/>
          <w:sz w:val="21"/>
          <w:szCs w:val="21"/>
          <w:highlight w:val="none"/>
          <w:u w:val="single"/>
        </w:rPr>
        <w:t>收到承包人提交的最终结清申请单后14天内</w:t>
      </w:r>
      <w:r>
        <w:rPr>
          <w:rFonts w:hint="eastAsia" w:cs="宋体"/>
          <w:sz w:val="21"/>
          <w:szCs w:val="21"/>
          <w:highlight w:val="none"/>
        </w:rPr>
        <w:t>。</w:t>
      </w:r>
    </w:p>
    <w:p w14:paraId="1316312C">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（2）发包人完成支付的期限：</w:t>
      </w:r>
      <w:r>
        <w:rPr>
          <w:rFonts w:hint="eastAsia" w:cs="宋体"/>
          <w:sz w:val="21"/>
          <w:szCs w:val="21"/>
          <w:highlight w:val="none"/>
          <w:u w:val="single"/>
        </w:rPr>
        <w:t>颁发最终结清证书后7天内完成支付</w:t>
      </w:r>
      <w:r>
        <w:rPr>
          <w:rFonts w:hint="eastAsia" w:cs="宋体"/>
          <w:sz w:val="21"/>
          <w:szCs w:val="21"/>
          <w:highlight w:val="none"/>
        </w:rPr>
        <w:t>。</w:t>
      </w:r>
    </w:p>
    <w:bookmarkEnd w:id="544"/>
    <w:bookmarkEnd w:id="545"/>
    <w:bookmarkEnd w:id="546"/>
    <w:bookmarkEnd w:id="547"/>
    <w:bookmarkEnd w:id="548"/>
    <w:bookmarkEnd w:id="549"/>
    <w:bookmarkEnd w:id="550"/>
    <w:bookmarkEnd w:id="556"/>
    <w:p w14:paraId="1DEDC159">
      <w:pPr>
        <w:snapToGrid w:val="0"/>
        <w:spacing w:before="312" w:beforeLines="100" w:after="312" w:afterLines="100" w:line="360" w:lineRule="auto"/>
        <w:outlineLvl w:val="2"/>
        <w:rPr>
          <w:rFonts w:cs="宋体"/>
          <w:sz w:val="21"/>
          <w:szCs w:val="21"/>
          <w:highlight w:val="none"/>
        </w:rPr>
      </w:pPr>
      <w:bookmarkStart w:id="558" w:name="_Toc351203647"/>
      <w:bookmarkStart w:id="559" w:name="_Toc267251483"/>
      <w:bookmarkStart w:id="560" w:name="_Toc267251484"/>
      <w:bookmarkStart w:id="561" w:name="_Toc267251482"/>
      <w:bookmarkStart w:id="562" w:name="_Toc267251485"/>
      <w:bookmarkStart w:id="563" w:name="_Toc267251486"/>
      <w:bookmarkStart w:id="564" w:name="_Toc267251489"/>
      <w:bookmarkStart w:id="565" w:name="_Toc267251490"/>
      <w:bookmarkStart w:id="566" w:name="_Toc267251488"/>
      <w:bookmarkStart w:id="567" w:name="_Toc267251496"/>
      <w:bookmarkStart w:id="568" w:name="_Toc267251502"/>
      <w:bookmarkStart w:id="569" w:name="_Toc267251495"/>
      <w:bookmarkStart w:id="570" w:name="_Toc267251501"/>
      <w:bookmarkStart w:id="571" w:name="_Toc267251494"/>
      <w:bookmarkStart w:id="572" w:name="_Toc267251497"/>
      <w:bookmarkStart w:id="573" w:name="_Toc267251499"/>
      <w:bookmarkStart w:id="574" w:name="_Toc267251492"/>
      <w:bookmarkStart w:id="575" w:name="_Toc267251503"/>
      <w:bookmarkStart w:id="576" w:name="_Toc267251498"/>
      <w:bookmarkStart w:id="577" w:name="_Toc267251493"/>
      <w:bookmarkStart w:id="578" w:name="_Toc267251491"/>
      <w:bookmarkStart w:id="579" w:name="_Toc267251504"/>
      <w:bookmarkStart w:id="580" w:name="_Toc267251506"/>
      <w:bookmarkStart w:id="581" w:name="_Toc267251507"/>
      <w:bookmarkStart w:id="582" w:name="_Toc267251508"/>
      <w:bookmarkStart w:id="583" w:name="_Toc267251511"/>
      <w:bookmarkStart w:id="584" w:name="_Toc267251513"/>
      <w:bookmarkStart w:id="585" w:name="_Toc267251510"/>
      <w:bookmarkStart w:id="586" w:name="_Toc267251509"/>
      <w:bookmarkStart w:id="587" w:name="_Toc267251514"/>
      <w:bookmarkStart w:id="588" w:name="_Toc267251515"/>
      <w:r>
        <w:rPr>
          <w:rFonts w:hint="eastAsia" w:cs="宋体"/>
          <w:sz w:val="21"/>
          <w:szCs w:val="21"/>
          <w:highlight w:val="none"/>
        </w:rPr>
        <w:t>15. 缺陷责任期与保修</w:t>
      </w:r>
      <w:bookmarkEnd w:id="558"/>
    </w:p>
    <w:p w14:paraId="024058A5">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15.2 缺陷责任期</w:t>
      </w:r>
      <w:bookmarkEnd w:id="559"/>
    </w:p>
    <w:p w14:paraId="0D543312">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缺陷责任期的具体期限：</w:t>
      </w:r>
      <w:r>
        <w:rPr>
          <w:rFonts w:hint="eastAsia" w:cs="宋体"/>
          <w:sz w:val="21"/>
          <w:szCs w:val="21"/>
          <w:highlight w:val="none"/>
          <w:u w:val="single"/>
        </w:rPr>
        <w:t>见《专用合同条款数据表》</w:t>
      </w:r>
      <w:r>
        <w:rPr>
          <w:rFonts w:hint="eastAsia" w:cs="宋体"/>
          <w:sz w:val="21"/>
          <w:szCs w:val="21"/>
          <w:highlight w:val="none"/>
        </w:rPr>
        <w:t>。</w:t>
      </w:r>
    </w:p>
    <w:p w14:paraId="03D866A3">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15.3 质量保证金</w:t>
      </w:r>
    </w:p>
    <w:p w14:paraId="5C8EB443">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关于是否扣留质量保证金的约定：扣留质量保证金</w:t>
      </w:r>
      <w:r>
        <w:rPr>
          <w:rFonts w:hint="eastAsia" w:cs="宋体"/>
          <w:sz w:val="21"/>
          <w:szCs w:val="21"/>
          <w:highlight w:val="none"/>
          <w:u w:val="single"/>
        </w:rPr>
        <w:t xml:space="preserve"> </w:t>
      </w:r>
      <w:r>
        <w:rPr>
          <w:rFonts w:hint="eastAsia" w:cs="宋体"/>
          <w:sz w:val="21"/>
          <w:szCs w:val="21"/>
          <w:highlight w:val="none"/>
        </w:rPr>
        <w:t>。在工程项目竣工前，承包人按专用合同条款第3.7款提供履约保证金的，发包人不得同时预留工程质量保证金。</w:t>
      </w:r>
    </w:p>
    <w:p w14:paraId="71212B11">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15.3.1 承包人提供质量保证金的方式</w:t>
      </w:r>
    </w:p>
    <w:p w14:paraId="263BD369">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质量保证金可采用以下任意一种方式：</w:t>
      </w:r>
    </w:p>
    <w:p w14:paraId="701958BD">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（1）由银行业金融机构、工程担保公司、保险机构出具银行保函、工程质量保险等担保方式，担保/保证金额为：</w:t>
      </w:r>
      <w:r>
        <w:rPr>
          <w:rFonts w:hint="eastAsia" w:cs="宋体"/>
          <w:sz w:val="21"/>
          <w:szCs w:val="21"/>
          <w:highlight w:val="none"/>
          <w:u w:val="single"/>
        </w:rPr>
        <w:t>见《专用合同条款数据表》</w:t>
      </w:r>
      <w:r>
        <w:rPr>
          <w:rFonts w:hint="eastAsia" w:cs="宋体"/>
          <w:sz w:val="21"/>
          <w:szCs w:val="21"/>
          <w:highlight w:val="none"/>
        </w:rPr>
        <w:t>；</w:t>
      </w:r>
    </w:p>
    <w:p w14:paraId="721E4FA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（2）</w:t>
      </w:r>
      <w:r>
        <w:rPr>
          <w:rFonts w:hint="eastAsia" w:cs="宋体"/>
          <w:sz w:val="21"/>
          <w:szCs w:val="21"/>
          <w:highlight w:val="none"/>
          <w:u w:val="single"/>
        </w:rPr>
        <w:t>见《专用合同条款数据表》</w:t>
      </w:r>
      <w:r>
        <w:rPr>
          <w:rFonts w:hint="eastAsia" w:cs="宋体"/>
          <w:sz w:val="21"/>
          <w:szCs w:val="21"/>
          <w:highlight w:val="none"/>
        </w:rPr>
        <w:t>；</w:t>
      </w:r>
    </w:p>
    <w:p w14:paraId="1CE2BF13">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（3）其他方式：</w:t>
      </w:r>
      <w:r>
        <w:rPr>
          <w:rFonts w:hint="eastAsia" w:cs="宋体"/>
          <w:sz w:val="21"/>
          <w:szCs w:val="21"/>
          <w:highlight w:val="none"/>
          <w:u w:val="single"/>
        </w:rPr>
        <w:t>见《专用合同条款数据表》</w:t>
      </w:r>
      <w:r>
        <w:rPr>
          <w:rFonts w:hint="eastAsia" w:cs="宋体"/>
          <w:sz w:val="21"/>
          <w:szCs w:val="21"/>
          <w:highlight w:val="none"/>
        </w:rPr>
        <w:t>。</w:t>
      </w:r>
    </w:p>
    <w:p w14:paraId="4CD1057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 xml:space="preserve">15.3.2 质量保证金的扣留 </w:t>
      </w:r>
    </w:p>
    <w:p w14:paraId="33205D45">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质量保证金的扣留采取以下第</w:t>
      </w:r>
      <w:r>
        <w:rPr>
          <w:rFonts w:hint="eastAsia" w:cs="宋体"/>
          <w:sz w:val="21"/>
          <w:szCs w:val="21"/>
          <w:highlight w:val="none"/>
          <w:u w:val="single"/>
          <w:lang w:eastAsia="zh-CN"/>
        </w:rPr>
        <w:t>（</w:t>
      </w:r>
      <w:r>
        <w:rPr>
          <w:rFonts w:hint="eastAsia" w:cs="宋体"/>
          <w:sz w:val="21"/>
          <w:szCs w:val="21"/>
          <w:highlight w:val="none"/>
          <w:u w:val="single"/>
          <w:lang w:val="en-US" w:eastAsia="zh-CN"/>
        </w:rPr>
        <w:t>2）</w:t>
      </w:r>
      <w:r>
        <w:rPr>
          <w:rFonts w:hint="eastAsia" w:cs="宋体"/>
          <w:sz w:val="21"/>
          <w:szCs w:val="21"/>
          <w:highlight w:val="none"/>
        </w:rPr>
        <w:t>种方式：</w:t>
      </w:r>
    </w:p>
    <w:p w14:paraId="27663CF5">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（1）在支付工程进度款时逐次扣留，在此情形下，质量保证金的计算基数不包括预付款的支付、扣回以及价格调整的金额；</w:t>
      </w:r>
    </w:p>
    <w:p w14:paraId="3FEA8F9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（2）工程竣工结算时一次性扣留质量保证金；</w:t>
      </w:r>
    </w:p>
    <w:p w14:paraId="16B2DB97">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（3）其他扣留方式：</w:t>
      </w:r>
      <w:r>
        <w:rPr>
          <w:rFonts w:hint="eastAsia" w:cs="宋体"/>
          <w:sz w:val="21"/>
          <w:szCs w:val="21"/>
          <w:highlight w:val="none"/>
          <w:u w:val="single"/>
          <w:lang w:val="en-US" w:eastAsia="zh-CN"/>
        </w:rPr>
        <w:t>/</w:t>
      </w:r>
      <w:r>
        <w:rPr>
          <w:rFonts w:hint="eastAsia" w:cs="宋体"/>
          <w:sz w:val="21"/>
          <w:szCs w:val="21"/>
          <w:highlight w:val="none"/>
        </w:rPr>
        <w:t>。</w:t>
      </w:r>
    </w:p>
    <w:p w14:paraId="7840AF5B">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关于质量保证金的补充约定：</w:t>
      </w:r>
    </w:p>
    <w:p w14:paraId="6AC1979B">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①在工程项目竣工前，承包人按专用合同条款第3.7款提供履约保证金的，可在工程进入缺陷责任期时按照多退少补原则转为质量保证金；</w:t>
      </w:r>
    </w:p>
    <w:p w14:paraId="6B085595">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②质量保证金保函采用银行保函，银行保函应为银行出具的见索即付无条件保函。保函质保时间同工程质保期。</w:t>
      </w:r>
    </w:p>
    <w:bookmarkEnd w:id="560"/>
    <w:bookmarkEnd w:id="561"/>
    <w:p w14:paraId="5FDEBA3E">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15.4 保修</w:t>
      </w:r>
    </w:p>
    <w:bookmarkEnd w:id="562"/>
    <w:p w14:paraId="4FFD8B4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15.4.1 保修责任</w:t>
      </w:r>
    </w:p>
    <w:p w14:paraId="39ABD3B9">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工程保修期为：</w:t>
      </w:r>
      <w:r>
        <w:rPr>
          <w:rFonts w:hint="eastAsia" w:cs="宋体"/>
          <w:sz w:val="21"/>
          <w:szCs w:val="21"/>
          <w:highlight w:val="none"/>
          <w:u w:val="single"/>
        </w:rPr>
        <w:t>执行《工程质量保修书》规定</w:t>
      </w:r>
      <w:r>
        <w:rPr>
          <w:rFonts w:hint="eastAsia" w:cs="宋体"/>
          <w:sz w:val="21"/>
          <w:szCs w:val="21"/>
          <w:highlight w:val="none"/>
        </w:rPr>
        <w:t>。</w:t>
      </w:r>
    </w:p>
    <w:p w14:paraId="085BF753">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15.4.3 修复通知</w:t>
      </w:r>
    </w:p>
    <w:p w14:paraId="209CA8A6">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承包人收到保修通知并到达工程现场的合理时间：</w:t>
      </w:r>
      <w:r>
        <w:rPr>
          <w:rFonts w:hint="eastAsia" w:cs="宋体"/>
          <w:sz w:val="21"/>
          <w:szCs w:val="21"/>
          <w:highlight w:val="none"/>
          <w:u w:val="single"/>
        </w:rPr>
        <w:t xml:space="preserve">                 </w:t>
      </w:r>
      <w:r>
        <w:rPr>
          <w:rFonts w:hint="eastAsia" w:cs="宋体"/>
          <w:sz w:val="21"/>
          <w:szCs w:val="21"/>
          <w:highlight w:val="none"/>
        </w:rPr>
        <w:t>。</w:t>
      </w:r>
    </w:p>
    <w:bookmarkEnd w:id="563"/>
    <w:bookmarkEnd w:id="564"/>
    <w:bookmarkEnd w:id="565"/>
    <w:bookmarkEnd w:id="566"/>
    <w:p w14:paraId="328250C9">
      <w:pPr>
        <w:snapToGrid w:val="0"/>
        <w:spacing w:before="312" w:beforeLines="100" w:after="312" w:afterLines="100" w:line="360" w:lineRule="auto"/>
        <w:outlineLvl w:val="2"/>
        <w:rPr>
          <w:rFonts w:cs="宋体"/>
          <w:sz w:val="21"/>
          <w:szCs w:val="21"/>
          <w:highlight w:val="none"/>
        </w:rPr>
      </w:pPr>
      <w:bookmarkStart w:id="589" w:name="_Toc351203648"/>
      <w:bookmarkStart w:id="590" w:name="_Toc280868717"/>
      <w:bookmarkStart w:id="591" w:name="_Toc280868718"/>
      <w:r>
        <w:rPr>
          <w:rFonts w:hint="eastAsia" w:cs="宋体"/>
          <w:sz w:val="21"/>
          <w:szCs w:val="21"/>
          <w:highlight w:val="none"/>
        </w:rPr>
        <w:t>16. 违约</w:t>
      </w:r>
      <w:bookmarkEnd w:id="589"/>
    </w:p>
    <w:p w14:paraId="673A237B">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16.1 发包人违约</w:t>
      </w:r>
    </w:p>
    <w:p w14:paraId="184078E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16.1.1 发包人违约的情形</w:t>
      </w:r>
    </w:p>
    <w:p w14:paraId="4BD28ED0">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发包人违约的其他情形：</w:t>
      </w:r>
      <w:r>
        <w:rPr>
          <w:rFonts w:hint="eastAsia" w:cs="宋体"/>
          <w:sz w:val="21"/>
          <w:szCs w:val="21"/>
          <w:highlight w:val="none"/>
          <w:u w:val="single"/>
        </w:rPr>
        <w:t xml:space="preserve">       </w:t>
      </w:r>
      <w:r>
        <w:rPr>
          <w:rFonts w:hint="eastAsia" w:cs="宋体"/>
          <w:sz w:val="21"/>
          <w:szCs w:val="21"/>
          <w:highlight w:val="none"/>
          <w:u w:val="single"/>
          <w:lang w:val="en-US" w:eastAsia="zh-CN"/>
        </w:rPr>
        <w:t>/</w:t>
      </w:r>
      <w:r>
        <w:rPr>
          <w:rFonts w:hint="eastAsia" w:cs="宋体"/>
          <w:sz w:val="21"/>
          <w:szCs w:val="21"/>
          <w:highlight w:val="none"/>
          <w:u w:val="single"/>
        </w:rPr>
        <w:t xml:space="preserve">                           </w:t>
      </w:r>
      <w:r>
        <w:rPr>
          <w:rFonts w:hint="eastAsia" w:cs="宋体"/>
          <w:sz w:val="21"/>
          <w:szCs w:val="21"/>
          <w:highlight w:val="none"/>
        </w:rPr>
        <w:t>。</w:t>
      </w:r>
    </w:p>
    <w:p w14:paraId="589B3EB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16.1.2 发包人违约的责任</w:t>
      </w:r>
    </w:p>
    <w:p w14:paraId="4A9BF7D9">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发包人违约责任的承担方式和计算方法：</w:t>
      </w:r>
    </w:p>
    <w:p w14:paraId="1B6A822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（1）因发包人原因未能在计划开工日期前7天内下达开工通知的违约责任：发包人以书面通知承包人推迟开工日期，竣工工期相应顺延，发包人不因推迟开工向承包人承担任何额外的费用支付义务。</w:t>
      </w:r>
    </w:p>
    <w:p w14:paraId="07883EF7">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（2）因发包人原因未能按合同约定支付合同价款的违约责任：</w:t>
      </w:r>
      <w:r>
        <w:rPr>
          <w:rFonts w:hint="eastAsia" w:cs="宋体"/>
          <w:sz w:val="21"/>
          <w:szCs w:val="21"/>
          <w:highlight w:val="none"/>
          <w:u w:val="single"/>
          <w:lang w:val="en-US" w:eastAsia="zh-CN"/>
        </w:rPr>
        <w:t>/</w:t>
      </w:r>
      <w:r>
        <w:rPr>
          <w:rFonts w:hint="eastAsia" w:cs="宋体"/>
          <w:sz w:val="21"/>
          <w:szCs w:val="21"/>
          <w:highlight w:val="none"/>
          <w:u w:val="single"/>
        </w:rPr>
        <w:t xml:space="preserve"> </w:t>
      </w:r>
      <w:r>
        <w:rPr>
          <w:rFonts w:hint="eastAsia" w:cs="宋体"/>
          <w:sz w:val="21"/>
          <w:szCs w:val="21"/>
          <w:highlight w:val="none"/>
        </w:rPr>
        <w:t>。</w:t>
      </w:r>
    </w:p>
    <w:p w14:paraId="2DF9F8C9">
      <w:pPr>
        <w:adjustRightInd w:val="0"/>
        <w:snapToGrid w:val="0"/>
        <w:spacing w:line="360" w:lineRule="auto"/>
        <w:ind w:firstLine="420" w:firstLineChars="200"/>
        <w:rPr>
          <w:rFonts w:cs="宋体"/>
          <w:b/>
          <w:sz w:val="21"/>
          <w:szCs w:val="21"/>
          <w:highlight w:val="none"/>
          <w:u w:val="single"/>
        </w:rPr>
      </w:pPr>
      <w:r>
        <w:rPr>
          <w:rFonts w:hint="eastAsia" w:cs="宋体"/>
          <w:sz w:val="21"/>
          <w:szCs w:val="21"/>
          <w:highlight w:val="none"/>
        </w:rPr>
        <w:t>（3）发包人违反第10.1款〔变更的范围〕第（2）项约定，自行实施被取消的工作或转由他人实施的违约责任：</w:t>
      </w:r>
      <w:r>
        <w:rPr>
          <w:rFonts w:hint="eastAsia" w:cs="宋体"/>
          <w:sz w:val="21"/>
          <w:szCs w:val="21"/>
          <w:highlight w:val="none"/>
          <w:u w:val="single"/>
        </w:rPr>
        <w:t xml:space="preserve">   </w:t>
      </w:r>
      <w:r>
        <w:rPr>
          <w:rFonts w:hint="eastAsia" w:cs="宋体"/>
          <w:sz w:val="21"/>
          <w:szCs w:val="21"/>
          <w:highlight w:val="none"/>
          <w:u w:val="single"/>
          <w:lang w:val="en-US" w:eastAsia="zh-CN"/>
        </w:rPr>
        <w:t>/</w:t>
      </w:r>
      <w:r>
        <w:rPr>
          <w:rFonts w:hint="eastAsia" w:cs="宋体"/>
          <w:sz w:val="21"/>
          <w:szCs w:val="21"/>
          <w:highlight w:val="none"/>
          <w:u w:val="single"/>
        </w:rPr>
        <w:t xml:space="preserve">       </w:t>
      </w:r>
      <w:r>
        <w:rPr>
          <w:rFonts w:hint="eastAsia" w:cs="宋体"/>
          <w:sz w:val="21"/>
          <w:szCs w:val="21"/>
          <w:highlight w:val="none"/>
        </w:rPr>
        <w:t>。</w:t>
      </w:r>
    </w:p>
    <w:p w14:paraId="5E343129">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（4）发包人提供的材料、工程设备的规格、数量或质量不符合合同约定，或因发包人原因导致交货日期延误或交货地点变更等情况的违约责任：</w:t>
      </w:r>
      <w:r>
        <w:rPr>
          <w:rFonts w:hint="eastAsia" w:cs="宋体"/>
          <w:sz w:val="21"/>
          <w:szCs w:val="21"/>
          <w:highlight w:val="none"/>
          <w:u w:val="single"/>
        </w:rPr>
        <w:t xml:space="preserve">    </w:t>
      </w:r>
      <w:r>
        <w:rPr>
          <w:rFonts w:hint="eastAsia" w:cs="宋体"/>
          <w:sz w:val="21"/>
          <w:szCs w:val="21"/>
          <w:highlight w:val="none"/>
          <w:u w:val="single"/>
          <w:lang w:val="en-US" w:eastAsia="zh-CN"/>
        </w:rPr>
        <w:t>/</w:t>
      </w:r>
      <w:r>
        <w:rPr>
          <w:rFonts w:hint="eastAsia" w:cs="宋体"/>
          <w:sz w:val="21"/>
          <w:szCs w:val="21"/>
          <w:highlight w:val="none"/>
          <w:u w:val="single"/>
        </w:rPr>
        <w:t xml:space="preserve">      </w:t>
      </w:r>
      <w:r>
        <w:rPr>
          <w:rFonts w:hint="eastAsia" w:cs="宋体"/>
          <w:sz w:val="21"/>
          <w:szCs w:val="21"/>
          <w:highlight w:val="none"/>
        </w:rPr>
        <w:t>。</w:t>
      </w:r>
    </w:p>
    <w:p w14:paraId="37102703">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（5）因发包人违反合同约定造成暂停施工的违约责任： 发包人应按照合同约定承担因其违约给承包人增加的费用和（或）延误的工期。如果因其违约造成了承包人关键线路工期延误，则应相应顺延工期，但如果未造成关键线路工期延误，则工期不予顺延 。</w:t>
      </w:r>
    </w:p>
    <w:p w14:paraId="0C151C5B">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6）发包人无正当理由没有在约定期限内发出复工指示，导致承包人无法复工的违约责任：发包人应按照合同约定承担因其违约给承包人增加的费用和（或）延误的工期。如果因其违约造成了承包人关键线路工期延误，则应相应顺延工期，但如果未造成关键线路工期延误，则工期不予顺延。</w:t>
      </w:r>
    </w:p>
    <w:p w14:paraId="3589E0E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（7）其他：</w:t>
      </w:r>
      <w:r>
        <w:rPr>
          <w:rFonts w:hint="eastAsia" w:cs="宋体"/>
          <w:sz w:val="21"/>
          <w:szCs w:val="21"/>
          <w:highlight w:val="none"/>
          <w:u w:val="single"/>
        </w:rPr>
        <w:t xml:space="preserve"> 双方协商解决  </w:t>
      </w:r>
      <w:r>
        <w:rPr>
          <w:rFonts w:hint="eastAsia" w:cs="宋体"/>
          <w:sz w:val="21"/>
          <w:szCs w:val="21"/>
          <w:highlight w:val="none"/>
        </w:rPr>
        <w:t>。</w:t>
      </w:r>
    </w:p>
    <w:p w14:paraId="2696F2A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16.1.3 因发包人违约解除合同</w:t>
      </w:r>
    </w:p>
    <w:p w14:paraId="6788AFCD">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承包人按16.1.1项〔发包人违约的情形〕约定暂停施工满</w:t>
      </w:r>
      <w:r>
        <w:rPr>
          <w:rFonts w:hint="eastAsia" w:cs="宋体"/>
          <w:sz w:val="21"/>
          <w:szCs w:val="21"/>
          <w:highlight w:val="none"/>
          <w:u w:val="single"/>
        </w:rPr>
        <w:t>28</w:t>
      </w:r>
      <w:r>
        <w:rPr>
          <w:rFonts w:hint="eastAsia" w:cs="宋体"/>
          <w:sz w:val="21"/>
          <w:szCs w:val="21"/>
          <w:highlight w:val="none"/>
        </w:rPr>
        <w:t>天后发包人仍不纠正其违约行为并致使合同目的不能实现的，承包人有权解除合同。</w:t>
      </w:r>
    </w:p>
    <w:p w14:paraId="7EC220CD">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16.2 承包人违约</w:t>
      </w:r>
    </w:p>
    <w:p w14:paraId="33BFDC6A">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16.2.1 承包人违约的情形</w:t>
      </w:r>
    </w:p>
    <w:p w14:paraId="39C337BD">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承包人违约的其他情形：</w:t>
      </w:r>
      <w:r>
        <w:rPr>
          <w:rFonts w:hint="eastAsia" w:cs="宋体"/>
          <w:sz w:val="21"/>
          <w:szCs w:val="21"/>
          <w:highlight w:val="none"/>
          <w:u w:val="single"/>
        </w:rPr>
        <w:t xml:space="preserve">  承包人违反第3.2条【项目经理】、3.3条【承包人人员】的约定等    </w:t>
      </w:r>
      <w:r>
        <w:rPr>
          <w:rFonts w:hint="eastAsia" w:cs="宋体"/>
          <w:sz w:val="21"/>
          <w:szCs w:val="21"/>
          <w:highlight w:val="none"/>
        </w:rPr>
        <w:t>。</w:t>
      </w:r>
    </w:p>
    <w:p w14:paraId="7D86454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16.2.2 承包人违约的责任</w:t>
      </w:r>
    </w:p>
    <w:p w14:paraId="272CA1AE">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承包人违约责任的承担方式和计算方法：</w:t>
      </w:r>
      <w:r>
        <w:rPr>
          <w:rFonts w:hint="eastAsia" w:cs="宋体"/>
          <w:sz w:val="21"/>
          <w:szCs w:val="21"/>
          <w:highlight w:val="none"/>
          <w:u w:val="single"/>
        </w:rPr>
        <w:t xml:space="preserve"> 除本合同其他条款对承包人违约责任已有的规定外，另增加以下补充规定：    </w:t>
      </w:r>
      <w:r>
        <w:rPr>
          <w:rFonts w:hint="eastAsia" w:cs="宋体"/>
          <w:sz w:val="21"/>
          <w:szCs w:val="21"/>
          <w:highlight w:val="none"/>
        </w:rPr>
        <w:t>。</w:t>
      </w:r>
    </w:p>
    <w:p w14:paraId="6FAE9CF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16.2.3 因承包人违约解除合同</w:t>
      </w:r>
    </w:p>
    <w:p w14:paraId="4FD8923C">
      <w:pPr>
        <w:adjustRightInd w:val="0"/>
        <w:snapToGrid w:val="0"/>
        <w:spacing w:line="360" w:lineRule="auto"/>
        <w:ind w:firstLine="420" w:firstLineChars="200"/>
        <w:rPr>
          <w:rFonts w:cs="宋体"/>
          <w:sz w:val="21"/>
          <w:szCs w:val="21"/>
          <w:highlight w:val="none"/>
        </w:rPr>
      </w:pPr>
      <w:r>
        <w:rPr>
          <w:rFonts w:cs="宋体"/>
          <w:sz w:val="21"/>
          <w:szCs w:val="21"/>
          <w:highlight w:val="none"/>
        </w:rPr>
        <w:t>本合同中，关于承包人违约的具体责任如下：</w:t>
      </w:r>
    </w:p>
    <w:p w14:paraId="00E3089A">
      <w:pPr>
        <w:adjustRightInd w:val="0"/>
        <w:snapToGrid w:val="0"/>
        <w:spacing w:line="360" w:lineRule="auto"/>
        <w:ind w:firstLine="420" w:firstLineChars="200"/>
        <w:rPr>
          <w:rFonts w:cs="宋体"/>
          <w:sz w:val="21"/>
          <w:szCs w:val="21"/>
          <w:highlight w:val="none"/>
        </w:rPr>
      </w:pPr>
      <w:r>
        <w:rPr>
          <w:rFonts w:cs="宋体"/>
          <w:sz w:val="21"/>
          <w:szCs w:val="21"/>
          <w:highlight w:val="none"/>
        </w:rPr>
        <w:t>16.2.2.</w:t>
      </w:r>
      <w:r>
        <w:rPr>
          <w:rFonts w:hint="eastAsia" w:cs="宋体"/>
          <w:sz w:val="21"/>
          <w:szCs w:val="21"/>
          <w:highlight w:val="none"/>
        </w:rPr>
        <w:t>1</w:t>
      </w:r>
      <w:r>
        <w:rPr>
          <w:rFonts w:cs="宋体"/>
          <w:sz w:val="21"/>
          <w:szCs w:val="21"/>
          <w:highlight w:val="none"/>
        </w:rPr>
        <w:t>施工进度方面违约责任</w:t>
      </w:r>
    </w:p>
    <w:p w14:paraId="5D36BCD3">
      <w:pPr>
        <w:adjustRightInd w:val="0"/>
        <w:snapToGrid w:val="0"/>
        <w:spacing w:line="360" w:lineRule="auto"/>
        <w:ind w:firstLine="420" w:firstLineChars="200"/>
        <w:rPr>
          <w:rFonts w:cs="宋体"/>
          <w:sz w:val="21"/>
          <w:szCs w:val="21"/>
          <w:highlight w:val="none"/>
        </w:rPr>
      </w:pPr>
      <w:r>
        <w:rPr>
          <w:rFonts w:cs="宋体"/>
          <w:sz w:val="21"/>
          <w:szCs w:val="21"/>
          <w:highlight w:val="none"/>
        </w:rPr>
        <w:t>(1)承包人的项目经理和相关管理人员必须严格执行招标文件要求、全部到位，同时，必须确保劳动力、材料、机械设备等的现场需求，服从监理人员的监控，否则，发包人将以罚款处罚和违约金的形式追究承包人违约责任：对于现场劳动力的缺位，按照200元/天/人进行处罚；对于现场施工机械的缺位，按照1000元/天/台进行处罚，同时形成书面记录予以通报；各种材料设备必须按计划进场，充分满足进度计划需求，如因材料设备进场滞后对工程进度产生重大影响，发包人有权处以</w:t>
      </w:r>
      <w:r>
        <w:rPr>
          <w:rFonts w:hint="eastAsia" w:cs="宋体"/>
          <w:sz w:val="21"/>
          <w:szCs w:val="21"/>
          <w:highlight w:val="none"/>
        </w:rPr>
        <w:t>1</w:t>
      </w:r>
      <w:r>
        <w:rPr>
          <w:rFonts w:cs="宋体"/>
          <w:sz w:val="21"/>
          <w:szCs w:val="21"/>
          <w:highlight w:val="none"/>
        </w:rPr>
        <w:t>000元/次</w:t>
      </w:r>
      <w:r>
        <w:rPr>
          <w:rFonts w:hint="eastAsia" w:cs="宋体"/>
          <w:sz w:val="21"/>
          <w:szCs w:val="21"/>
          <w:highlight w:val="none"/>
        </w:rPr>
        <w:t>进行</w:t>
      </w:r>
      <w:r>
        <w:rPr>
          <w:rFonts w:cs="宋体"/>
          <w:sz w:val="21"/>
          <w:szCs w:val="21"/>
          <w:highlight w:val="none"/>
        </w:rPr>
        <w:t>处罚。承包人根据施工总进度计划，分别编制月进度计划和周进度计划报发包人和监理单位，严格执行“周进度计划服从月进度计划、月进度计划服从总进度计划”的原则。周计划未完成的，按人民币</w:t>
      </w:r>
      <w:r>
        <w:rPr>
          <w:rFonts w:hint="eastAsia" w:cs="宋体"/>
          <w:sz w:val="21"/>
          <w:szCs w:val="21"/>
          <w:highlight w:val="none"/>
        </w:rPr>
        <w:t>5</w:t>
      </w:r>
      <w:r>
        <w:rPr>
          <w:rFonts w:cs="宋体"/>
          <w:sz w:val="21"/>
          <w:szCs w:val="21"/>
          <w:highlight w:val="none"/>
        </w:rPr>
        <w:t>00元/次处罚；月进度计划未完成的，按人民币</w:t>
      </w:r>
      <w:r>
        <w:rPr>
          <w:rFonts w:hint="eastAsia" w:cs="宋体"/>
          <w:sz w:val="21"/>
          <w:szCs w:val="21"/>
          <w:highlight w:val="none"/>
        </w:rPr>
        <w:t>1</w:t>
      </w:r>
      <w:r>
        <w:rPr>
          <w:rFonts w:cs="宋体"/>
          <w:sz w:val="21"/>
          <w:szCs w:val="21"/>
          <w:highlight w:val="none"/>
        </w:rPr>
        <w:t>000元/次处罚；总工期如按期完成，以上罚款全部返还施工单位；总工期逾期的，执行以上处罚基础上，同时按照逾期竣工交付的约定追究违约责任；</w:t>
      </w:r>
    </w:p>
    <w:p w14:paraId="03BBD0C8">
      <w:pPr>
        <w:adjustRightInd w:val="0"/>
        <w:snapToGrid w:val="0"/>
        <w:spacing w:line="360" w:lineRule="auto"/>
        <w:ind w:firstLine="420" w:firstLineChars="200"/>
        <w:rPr>
          <w:rFonts w:cs="宋体"/>
          <w:sz w:val="21"/>
          <w:szCs w:val="21"/>
          <w:highlight w:val="none"/>
        </w:rPr>
      </w:pPr>
      <w:r>
        <w:rPr>
          <w:rFonts w:cs="宋体"/>
          <w:sz w:val="21"/>
          <w:szCs w:val="21"/>
          <w:highlight w:val="none"/>
        </w:rPr>
        <w:t>16.2.2.</w:t>
      </w:r>
      <w:r>
        <w:rPr>
          <w:rFonts w:hint="eastAsia" w:cs="宋体"/>
          <w:sz w:val="21"/>
          <w:szCs w:val="21"/>
          <w:highlight w:val="none"/>
        </w:rPr>
        <w:t>2</w:t>
      </w:r>
      <w:r>
        <w:rPr>
          <w:rFonts w:cs="宋体"/>
          <w:sz w:val="21"/>
          <w:szCs w:val="21"/>
          <w:highlight w:val="none"/>
        </w:rPr>
        <w:t xml:space="preserve"> 工程质量方面的违约责任</w:t>
      </w:r>
    </w:p>
    <w:p w14:paraId="41B4F6AC">
      <w:pPr>
        <w:adjustRightInd w:val="0"/>
        <w:snapToGrid w:val="0"/>
        <w:spacing w:line="360" w:lineRule="auto"/>
        <w:ind w:firstLine="420" w:firstLineChars="200"/>
        <w:rPr>
          <w:rFonts w:cs="宋体"/>
          <w:sz w:val="21"/>
          <w:szCs w:val="21"/>
          <w:highlight w:val="none"/>
        </w:rPr>
      </w:pPr>
      <w:r>
        <w:rPr>
          <w:rFonts w:cs="宋体"/>
          <w:sz w:val="21"/>
          <w:szCs w:val="21"/>
          <w:highlight w:val="none"/>
        </w:rPr>
        <w:t>（1)乙供材料、设备方面违约责任</w:t>
      </w:r>
    </w:p>
    <w:p w14:paraId="5B748795">
      <w:pPr>
        <w:adjustRightInd w:val="0"/>
        <w:snapToGrid w:val="0"/>
        <w:spacing w:line="360" w:lineRule="auto"/>
        <w:ind w:firstLine="420" w:firstLineChars="200"/>
        <w:rPr>
          <w:rFonts w:cs="宋体"/>
          <w:sz w:val="21"/>
          <w:szCs w:val="21"/>
          <w:highlight w:val="none"/>
        </w:rPr>
      </w:pPr>
      <w:r>
        <w:rPr>
          <w:rFonts w:cs="宋体"/>
          <w:sz w:val="21"/>
          <w:szCs w:val="21"/>
          <w:highlight w:val="none"/>
        </w:rPr>
        <w:t xml:space="preserve">      a、承包人交付的</w:t>
      </w:r>
      <w:r>
        <w:rPr>
          <w:rFonts w:hint="eastAsia" w:cs="宋体"/>
          <w:sz w:val="21"/>
          <w:szCs w:val="21"/>
          <w:highlight w:val="none"/>
        </w:rPr>
        <w:t>产品</w:t>
      </w:r>
      <w:r>
        <w:rPr>
          <w:rFonts w:cs="宋体"/>
          <w:sz w:val="21"/>
          <w:szCs w:val="21"/>
          <w:highlight w:val="none"/>
        </w:rPr>
        <w:t>、性能、技术标准、质量要求不符合约定的</w:t>
      </w:r>
      <w:r>
        <w:rPr>
          <w:rFonts w:hint="eastAsia" w:cs="宋体"/>
          <w:sz w:val="21"/>
          <w:szCs w:val="21"/>
          <w:highlight w:val="none"/>
        </w:rPr>
        <w:t>；</w:t>
      </w:r>
      <w:r>
        <w:rPr>
          <w:rFonts w:cs="宋体"/>
          <w:sz w:val="21"/>
          <w:szCs w:val="21"/>
          <w:highlight w:val="none"/>
        </w:rPr>
        <w:t>发包人有权要求承包人更换货物</w:t>
      </w:r>
      <w:r>
        <w:rPr>
          <w:rFonts w:hint="eastAsia" w:cs="宋体"/>
          <w:sz w:val="21"/>
          <w:szCs w:val="21"/>
          <w:highlight w:val="none"/>
        </w:rPr>
        <w:t>或整改</w:t>
      </w:r>
      <w:r>
        <w:rPr>
          <w:rFonts w:cs="宋体"/>
          <w:sz w:val="21"/>
          <w:szCs w:val="21"/>
          <w:highlight w:val="none"/>
        </w:rPr>
        <w:t>，承包人应在发包人提出之日起7日内免费更换</w:t>
      </w:r>
      <w:r>
        <w:rPr>
          <w:rFonts w:hint="eastAsia" w:cs="宋体"/>
          <w:sz w:val="21"/>
          <w:szCs w:val="21"/>
          <w:highlight w:val="none"/>
        </w:rPr>
        <w:t>或整改</w:t>
      </w:r>
      <w:r>
        <w:rPr>
          <w:rFonts w:cs="宋体"/>
          <w:sz w:val="21"/>
          <w:szCs w:val="21"/>
          <w:highlight w:val="none"/>
        </w:rPr>
        <w:t>，由此造成的时间延误视作承包人未按时交货。</w:t>
      </w:r>
    </w:p>
    <w:p w14:paraId="2BB6ADFE">
      <w:pPr>
        <w:adjustRightInd w:val="0"/>
        <w:snapToGrid w:val="0"/>
        <w:spacing w:line="360" w:lineRule="auto"/>
        <w:ind w:firstLine="420" w:firstLineChars="200"/>
        <w:rPr>
          <w:rFonts w:cs="宋体"/>
          <w:sz w:val="21"/>
          <w:szCs w:val="21"/>
          <w:highlight w:val="none"/>
        </w:rPr>
      </w:pPr>
      <w:r>
        <w:rPr>
          <w:rFonts w:cs="宋体"/>
          <w:sz w:val="21"/>
          <w:szCs w:val="21"/>
          <w:highlight w:val="none"/>
        </w:rPr>
        <w:t>如经两次更换</w:t>
      </w:r>
      <w:r>
        <w:rPr>
          <w:rFonts w:hint="eastAsia" w:cs="宋体"/>
          <w:sz w:val="21"/>
          <w:szCs w:val="21"/>
          <w:highlight w:val="none"/>
        </w:rPr>
        <w:t>或整改</w:t>
      </w:r>
      <w:r>
        <w:rPr>
          <w:rFonts w:cs="宋体"/>
          <w:sz w:val="21"/>
          <w:szCs w:val="21"/>
          <w:highlight w:val="none"/>
        </w:rPr>
        <w:t>，质量仍不符合本合同约定的，发包人有权单方部分或全部解除合同并相应没收履约保证金，承包人应返还发包人已付款，承担逾期违约责任并按合同价款总额的30％（部分解除的，则按解除部分计算）向发包人支付违约金。</w:t>
      </w:r>
    </w:p>
    <w:p w14:paraId="35D9BDFE">
      <w:pPr>
        <w:adjustRightInd w:val="0"/>
        <w:snapToGrid w:val="0"/>
        <w:spacing w:line="360" w:lineRule="auto"/>
        <w:ind w:firstLine="420" w:firstLineChars="200"/>
        <w:rPr>
          <w:rFonts w:cs="宋体"/>
          <w:sz w:val="21"/>
          <w:szCs w:val="21"/>
          <w:highlight w:val="none"/>
        </w:rPr>
      </w:pPr>
      <w:r>
        <w:rPr>
          <w:rFonts w:cs="宋体"/>
          <w:sz w:val="21"/>
          <w:szCs w:val="21"/>
          <w:highlight w:val="none"/>
        </w:rPr>
        <w:t xml:space="preserve">   </w:t>
      </w:r>
      <w:r>
        <w:rPr>
          <w:rFonts w:hint="eastAsia" w:cs="宋体"/>
          <w:sz w:val="21"/>
          <w:szCs w:val="21"/>
          <w:highlight w:val="none"/>
        </w:rPr>
        <w:t>b</w:t>
      </w:r>
      <w:r>
        <w:rPr>
          <w:rFonts w:cs="宋体"/>
          <w:sz w:val="21"/>
          <w:szCs w:val="21"/>
          <w:highlight w:val="none"/>
        </w:rPr>
        <w:t>、设备供应商应按时派专业技术人员到场配合本项目工程的验收，如不按时到场，每出现一次，承包人应向发包人支付1000元的违约金。</w:t>
      </w:r>
    </w:p>
    <w:p w14:paraId="41D6FC4B">
      <w:pPr>
        <w:adjustRightInd w:val="0"/>
        <w:snapToGrid w:val="0"/>
        <w:spacing w:line="360" w:lineRule="auto"/>
        <w:ind w:firstLine="420" w:firstLineChars="200"/>
        <w:rPr>
          <w:rFonts w:cs="宋体"/>
          <w:sz w:val="21"/>
          <w:szCs w:val="21"/>
          <w:highlight w:val="none"/>
        </w:rPr>
      </w:pPr>
      <w:r>
        <w:rPr>
          <w:rFonts w:cs="宋体"/>
          <w:sz w:val="21"/>
          <w:szCs w:val="21"/>
          <w:highlight w:val="none"/>
        </w:rPr>
        <w:t>(2)承包人必须严格执行监理单位审批（专家论证）后的施工组织设计和专项施工方案；未能及时编制申报各类方案或方案或方案未及时进行报审、通过专家论证的，按10000元/次处罚。</w:t>
      </w:r>
    </w:p>
    <w:p w14:paraId="2C76C084">
      <w:pPr>
        <w:adjustRightInd w:val="0"/>
        <w:snapToGrid w:val="0"/>
        <w:spacing w:line="360" w:lineRule="auto"/>
        <w:ind w:firstLine="420" w:firstLineChars="200"/>
        <w:rPr>
          <w:rFonts w:cs="宋体"/>
          <w:sz w:val="21"/>
          <w:szCs w:val="21"/>
          <w:highlight w:val="none"/>
        </w:rPr>
      </w:pPr>
      <w:r>
        <w:rPr>
          <w:rFonts w:cs="宋体"/>
          <w:sz w:val="21"/>
          <w:szCs w:val="21"/>
          <w:highlight w:val="none"/>
        </w:rPr>
        <w:t>(3)承包人必须严格履行“三检”制度。未自检直接报监理验收的按1000元/次处罚；承包人擅自隐蔽或进行下道工序施工的，必须返工并按</w:t>
      </w:r>
      <w:r>
        <w:rPr>
          <w:rFonts w:hint="eastAsia" w:cs="宋体"/>
          <w:sz w:val="21"/>
          <w:szCs w:val="21"/>
          <w:highlight w:val="none"/>
        </w:rPr>
        <w:t>1</w:t>
      </w:r>
      <w:r>
        <w:rPr>
          <w:rFonts w:cs="宋体"/>
          <w:sz w:val="21"/>
          <w:szCs w:val="21"/>
          <w:highlight w:val="none"/>
        </w:rPr>
        <w:t>0000元/次处罚，因此延误工期的，同时承担延误工期的违约责任</w:t>
      </w:r>
      <w:r>
        <w:rPr>
          <w:rFonts w:hint="eastAsia" w:cs="宋体"/>
          <w:sz w:val="21"/>
          <w:szCs w:val="21"/>
          <w:highlight w:val="none"/>
        </w:rPr>
        <w:t>。</w:t>
      </w:r>
    </w:p>
    <w:p w14:paraId="73691C31">
      <w:pPr>
        <w:adjustRightInd w:val="0"/>
        <w:snapToGrid w:val="0"/>
        <w:spacing w:line="360" w:lineRule="auto"/>
        <w:ind w:firstLine="420" w:firstLineChars="200"/>
        <w:rPr>
          <w:rFonts w:cs="宋体"/>
          <w:sz w:val="21"/>
          <w:szCs w:val="21"/>
          <w:highlight w:val="none"/>
        </w:rPr>
      </w:pPr>
      <w:r>
        <w:rPr>
          <w:rFonts w:cs="宋体"/>
          <w:sz w:val="21"/>
          <w:szCs w:val="21"/>
          <w:highlight w:val="none"/>
        </w:rPr>
        <w:t>(4)承包人如在施工质量、安全方面存在隐患的，承包人应按发包人要求整改并及时书面回复，未及时书面回复监理单位、发包人的，按</w:t>
      </w:r>
      <w:r>
        <w:rPr>
          <w:rFonts w:hint="eastAsia" w:cs="宋体"/>
          <w:sz w:val="21"/>
          <w:szCs w:val="21"/>
          <w:highlight w:val="none"/>
        </w:rPr>
        <w:t>10</w:t>
      </w:r>
      <w:r>
        <w:rPr>
          <w:rFonts w:cs="宋体"/>
          <w:sz w:val="21"/>
          <w:szCs w:val="21"/>
          <w:highlight w:val="none"/>
        </w:rPr>
        <w:t>00元/次处罚；未整改或虽整改但未获发包人认可的，按10000元/次支付违约金，对同一问题再次下发监理通知时，发包人有权对承包人再处以承包人10000元的违约金；承包人均不因承担处罚责任而免除按要求整改到位的责任</w:t>
      </w:r>
      <w:r>
        <w:rPr>
          <w:rFonts w:hint="eastAsia" w:cs="宋体"/>
          <w:sz w:val="21"/>
          <w:szCs w:val="21"/>
          <w:highlight w:val="none"/>
        </w:rPr>
        <w:t>。</w:t>
      </w:r>
    </w:p>
    <w:p w14:paraId="50E70466">
      <w:pPr>
        <w:adjustRightInd w:val="0"/>
        <w:snapToGrid w:val="0"/>
        <w:spacing w:line="360" w:lineRule="auto"/>
        <w:ind w:firstLine="420" w:firstLineChars="200"/>
        <w:rPr>
          <w:rFonts w:cs="宋体"/>
          <w:sz w:val="21"/>
          <w:szCs w:val="21"/>
          <w:highlight w:val="none"/>
        </w:rPr>
      </w:pPr>
      <w:r>
        <w:rPr>
          <w:rFonts w:cs="宋体"/>
          <w:sz w:val="21"/>
          <w:szCs w:val="21"/>
          <w:highlight w:val="none"/>
        </w:rPr>
        <w:t>(5)承包人应严格执行见证取样制度，未经见证取样送检合格的材料严禁使用。进场材料不符合招标文件及合同约定的，必须按发包人指定的期限清除出场，并按</w:t>
      </w:r>
      <w:r>
        <w:rPr>
          <w:rFonts w:hint="eastAsia" w:cs="宋体"/>
          <w:sz w:val="21"/>
          <w:szCs w:val="21"/>
          <w:highlight w:val="none"/>
        </w:rPr>
        <w:t>2</w:t>
      </w:r>
      <w:r>
        <w:rPr>
          <w:rFonts w:cs="宋体"/>
          <w:sz w:val="21"/>
          <w:szCs w:val="21"/>
          <w:highlight w:val="none"/>
        </w:rPr>
        <w:t>000元/次处罚；擅自使用未经报验的材料、设备、构配件的，勒令退场并返工，按10000元/次处罚；材料供应人未按照监理工程师、发包人要求及时撤场的，发包人有权任意处置，其费用及损失由承包人承担；因此延误工期的，同时承担延误工期的违约责任。</w:t>
      </w:r>
    </w:p>
    <w:p w14:paraId="1EE37A68">
      <w:pPr>
        <w:adjustRightInd w:val="0"/>
        <w:snapToGrid w:val="0"/>
        <w:spacing w:line="360" w:lineRule="auto"/>
        <w:ind w:firstLine="420" w:firstLineChars="200"/>
        <w:rPr>
          <w:rFonts w:cs="宋体"/>
          <w:sz w:val="21"/>
          <w:szCs w:val="21"/>
          <w:highlight w:val="none"/>
        </w:rPr>
      </w:pPr>
      <w:r>
        <w:rPr>
          <w:rFonts w:cs="宋体"/>
          <w:sz w:val="21"/>
          <w:szCs w:val="21"/>
          <w:highlight w:val="none"/>
        </w:rPr>
        <w:t xml:space="preserve"> (</w:t>
      </w:r>
      <w:r>
        <w:rPr>
          <w:rFonts w:hint="eastAsia" w:cs="宋体"/>
          <w:sz w:val="21"/>
          <w:szCs w:val="21"/>
          <w:highlight w:val="none"/>
        </w:rPr>
        <w:t>6</w:t>
      </w:r>
      <w:r>
        <w:rPr>
          <w:rFonts w:cs="宋体"/>
          <w:sz w:val="21"/>
          <w:szCs w:val="21"/>
          <w:highlight w:val="none"/>
        </w:rPr>
        <w:t xml:space="preserve">)发包人、监理单位在日常的项目巡查中,如发现承包人存在偷工减料及/或不按规范施工等违规情形，有权处以人民币10000元/次违约金，承包人还应承担返工及延误工期的责任。 </w:t>
      </w:r>
    </w:p>
    <w:p w14:paraId="65F6B991">
      <w:pPr>
        <w:adjustRightInd w:val="0"/>
        <w:snapToGrid w:val="0"/>
        <w:spacing w:line="360" w:lineRule="auto"/>
        <w:ind w:firstLine="420" w:firstLineChars="200"/>
        <w:rPr>
          <w:rFonts w:hint="eastAsia" w:cs="宋体"/>
          <w:sz w:val="21"/>
          <w:szCs w:val="21"/>
          <w:highlight w:val="none"/>
        </w:rPr>
      </w:pPr>
      <w:r>
        <w:rPr>
          <w:rFonts w:cs="宋体"/>
          <w:sz w:val="21"/>
          <w:szCs w:val="21"/>
          <w:highlight w:val="none"/>
        </w:rPr>
        <w:t xml:space="preserve"> (</w:t>
      </w:r>
      <w:r>
        <w:rPr>
          <w:rFonts w:hint="eastAsia" w:cs="宋体"/>
          <w:sz w:val="21"/>
          <w:szCs w:val="21"/>
          <w:highlight w:val="none"/>
        </w:rPr>
        <w:t>7</w:t>
      </w:r>
      <w:r>
        <w:rPr>
          <w:rFonts w:cs="宋体"/>
          <w:sz w:val="21"/>
          <w:szCs w:val="21"/>
          <w:highlight w:val="none"/>
        </w:rPr>
        <w:t>)若相关行政管理部门检查中发现问题或隐患，或承包人的施工场地被评为不合格工地的，或者被通报批评的，或者被新闻媒体曝光的，承包人应立即采取切实有效措施予以整改，并自愿接受处罚</w:t>
      </w:r>
      <w:r>
        <w:rPr>
          <w:rFonts w:hint="eastAsia" w:cs="宋体"/>
          <w:sz w:val="21"/>
          <w:szCs w:val="21"/>
          <w:highlight w:val="none"/>
        </w:rPr>
        <w:t>。</w:t>
      </w:r>
    </w:p>
    <w:p w14:paraId="521BDE4D">
      <w:pPr>
        <w:adjustRightInd w:val="0"/>
        <w:snapToGrid w:val="0"/>
        <w:spacing w:line="360" w:lineRule="auto"/>
        <w:ind w:firstLine="420" w:firstLineChars="200"/>
        <w:rPr>
          <w:rFonts w:cs="宋体"/>
          <w:sz w:val="21"/>
          <w:szCs w:val="21"/>
          <w:highlight w:val="none"/>
        </w:rPr>
      </w:pPr>
      <w:r>
        <w:rPr>
          <w:rFonts w:cs="宋体"/>
          <w:sz w:val="21"/>
          <w:szCs w:val="21"/>
          <w:highlight w:val="none"/>
        </w:rPr>
        <w:t>16.2.2.</w:t>
      </w:r>
      <w:r>
        <w:rPr>
          <w:rFonts w:hint="eastAsia" w:cs="宋体"/>
          <w:sz w:val="21"/>
          <w:szCs w:val="21"/>
          <w:highlight w:val="none"/>
        </w:rPr>
        <w:t>3</w:t>
      </w:r>
      <w:r>
        <w:rPr>
          <w:rFonts w:cs="宋体"/>
          <w:sz w:val="21"/>
          <w:szCs w:val="21"/>
          <w:highlight w:val="none"/>
        </w:rPr>
        <w:t>安全生产方面的违约责任</w:t>
      </w:r>
    </w:p>
    <w:p w14:paraId="411FEA3E">
      <w:pPr>
        <w:adjustRightInd w:val="0"/>
        <w:snapToGrid w:val="0"/>
        <w:spacing w:line="360" w:lineRule="auto"/>
        <w:ind w:firstLine="420" w:firstLineChars="200"/>
        <w:rPr>
          <w:rFonts w:cs="宋体"/>
          <w:sz w:val="21"/>
          <w:szCs w:val="21"/>
          <w:highlight w:val="none"/>
        </w:rPr>
      </w:pPr>
      <w:r>
        <w:rPr>
          <w:rFonts w:cs="宋体"/>
          <w:sz w:val="21"/>
          <w:szCs w:val="21"/>
          <w:highlight w:val="none"/>
        </w:rPr>
        <w:t>（1）承包人应编制可操作性和针对性强的安全文明施工组织设计及安全类专项安全施工方案，在实际施工过程中应严格按照审批后的安全方案组织施工；</w:t>
      </w:r>
    </w:p>
    <w:p w14:paraId="58536219">
      <w:pPr>
        <w:adjustRightInd w:val="0"/>
        <w:snapToGrid w:val="0"/>
        <w:spacing w:line="360" w:lineRule="auto"/>
        <w:ind w:firstLine="420" w:firstLineChars="200"/>
        <w:rPr>
          <w:rFonts w:cs="宋体"/>
          <w:sz w:val="21"/>
          <w:szCs w:val="21"/>
          <w:highlight w:val="none"/>
        </w:rPr>
      </w:pPr>
      <w:r>
        <w:rPr>
          <w:rFonts w:cs="宋体"/>
          <w:sz w:val="21"/>
          <w:szCs w:val="21"/>
          <w:highlight w:val="none"/>
        </w:rPr>
        <w:t>（2）施工作业期间，承包人专职安全员必须每日驻守现场，保持通讯畅通，认真进行现场安全隐患排查，专职安全员缺勤的按500元/人/次处罚，特殊情况需离岗的，必须报经发包人、监理单位批准；</w:t>
      </w:r>
    </w:p>
    <w:p w14:paraId="749B9460">
      <w:pPr>
        <w:adjustRightInd w:val="0"/>
        <w:snapToGrid w:val="0"/>
        <w:spacing w:line="360" w:lineRule="auto"/>
        <w:ind w:firstLine="420" w:firstLineChars="200"/>
        <w:rPr>
          <w:rFonts w:cs="宋体"/>
          <w:sz w:val="21"/>
          <w:szCs w:val="21"/>
          <w:highlight w:val="none"/>
        </w:rPr>
      </w:pPr>
      <w:r>
        <w:rPr>
          <w:rFonts w:cs="宋体"/>
          <w:sz w:val="21"/>
          <w:szCs w:val="21"/>
          <w:highlight w:val="none"/>
        </w:rPr>
        <w:t>（3）监理单位对现场进行安全检查，发现问题及时通知承包人整改。承包人拖延或拒不整改的，每延误一日按5000元/日处罚；情节严重的，加倍处罚。施工人员不带安全帽、高空作业人员不带安全带进入施工现场，按500元/人/次处罚；</w:t>
      </w:r>
    </w:p>
    <w:p w14:paraId="6CBC529F">
      <w:pPr>
        <w:adjustRightInd w:val="0"/>
        <w:snapToGrid w:val="0"/>
        <w:spacing w:line="360" w:lineRule="auto"/>
        <w:ind w:firstLine="420" w:firstLineChars="200"/>
        <w:rPr>
          <w:rFonts w:cs="宋体"/>
          <w:sz w:val="21"/>
          <w:szCs w:val="21"/>
          <w:highlight w:val="none"/>
        </w:rPr>
      </w:pPr>
      <w:r>
        <w:rPr>
          <w:rFonts w:cs="宋体"/>
          <w:sz w:val="21"/>
          <w:szCs w:val="21"/>
          <w:highlight w:val="none"/>
        </w:rPr>
        <w:t>（4）经检查发现施工作业人员未经安全教育或交底即上岗，按2000元/人/次处罚；</w:t>
      </w:r>
    </w:p>
    <w:p w14:paraId="45DC2702">
      <w:pPr>
        <w:adjustRightInd w:val="0"/>
        <w:snapToGrid w:val="0"/>
        <w:spacing w:line="360" w:lineRule="auto"/>
        <w:ind w:firstLine="420" w:firstLineChars="200"/>
        <w:rPr>
          <w:rFonts w:cs="宋体"/>
          <w:sz w:val="21"/>
          <w:szCs w:val="21"/>
          <w:highlight w:val="none"/>
        </w:rPr>
      </w:pPr>
      <w:r>
        <w:rPr>
          <w:rFonts w:cs="宋体"/>
          <w:sz w:val="21"/>
          <w:szCs w:val="21"/>
          <w:highlight w:val="none"/>
        </w:rPr>
        <w:t>（5）承包人的焊工、电工、起重工、高空作业等特殊工种必须持证上岗，必要人员（如高空作业人员）须提供健康相关证明及保险，报监理核查，所报证件人员必须与实际施工人员一致。无证上岗的，按2000元/人/次处罚；</w:t>
      </w:r>
    </w:p>
    <w:p w14:paraId="79ED9C1F">
      <w:pPr>
        <w:adjustRightInd w:val="0"/>
        <w:snapToGrid w:val="0"/>
        <w:spacing w:line="360" w:lineRule="auto"/>
        <w:ind w:firstLine="420" w:firstLineChars="200"/>
        <w:rPr>
          <w:rFonts w:cs="宋体"/>
          <w:sz w:val="21"/>
          <w:szCs w:val="21"/>
          <w:highlight w:val="none"/>
        </w:rPr>
      </w:pPr>
      <w:r>
        <w:rPr>
          <w:rFonts w:cs="宋体"/>
          <w:sz w:val="21"/>
          <w:szCs w:val="21"/>
          <w:highlight w:val="none"/>
        </w:rPr>
        <w:t>（6）现场指挥和作业人员必须遵照安全技术规范和操作规程文明施工，发现违章指挥、违章操作等现象，按1000元/人/次处罚，同时给予教育批评；若出现打架斗殴等恶劣事件，处罚后清除出场，性质严重的，移交公安司法部门。</w:t>
      </w:r>
    </w:p>
    <w:p w14:paraId="757DFC94">
      <w:pPr>
        <w:adjustRightInd w:val="0"/>
        <w:snapToGrid w:val="0"/>
        <w:spacing w:line="360" w:lineRule="auto"/>
        <w:ind w:firstLine="420" w:firstLineChars="200"/>
        <w:rPr>
          <w:rFonts w:cs="宋体"/>
          <w:sz w:val="21"/>
          <w:szCs w:val="21"/>
          <w:highlight w:val="none"/>
        </w:rPr>
      </w:pPr>
      <w:r>
        <w:rPr>
          <w:rFonts w:cs="宋体"/>
          <w:sz w:val="21"/>
          <w:szCs w:val="21"/>
          <w:highlight w:val="none"/>
        </w:rPr>
        <w:t>（</w:t>
      </w:r>
      <w:r>
        <w:rPr>
          <w:rFonts w:hint="eastAsia" w:cs="宋体"/>
          <w:sz w:val="21"/>
          <w:szCs w:val="21"/>
          <w:highlight w:val="none"/>
        </w:rPr>
        <w:t>7</w:t>
      </w:r>
      <w:r>
        <w:rPr>
          <w:rFonts w:cs="宋体"/>
          <w:sz w:val="21"/>
          <w:szCs w:val="21"/>
          <w:highlight w:val="none"/>
        </w:rPr>
        <w:t>）承包人必须确保安全文明施工，严格执行国家、安徽省、</w:t>
      </w:r>
      <w:r>
        <w:rPr>
          <w:rFonts w:hint="eastAsia" w:cs="宋体"/>
          <w:sz w:val="21"/>
          <w:szCs w:val="21"/>
          <w:highlight w:val="none"/>
        </w:rPr>
        <w:t>项目</w:t>
      </w:r>
      <w:r>
        <w:rPr>
          <w:rFonts w:cs="宋体"/>
          <w:sz w:val="21"/>
          <w:szCs w:val="21"/>
          <w:highlight w:val="none"/>
        </w:rPr>
        <w:t>所在地的相关规定，同时遵守发包人对安全文明施工的相关要求，发包人认为不符合相关规定和要求的，处以承包人</w:t>
      </w:r>
      <w:r>
        <w:rPr>
          <w:rFonts w:hint="eastAsia" w:cs="宋体"/>
          <w:sz w:val="21"/>
          <w:szCs w:val="21"/>
          <w:highlight w:val="none"/>
        </w:rPr>
        <w:t>2</w:t>
      </w:r>
      <w:r>
        <w:rPr>
          <w:rFonts w:cs="宋体"/>
          <w:sz w:val="21"/>
          <w:szCs w:val="21"/>
          <w:highlight w:val="none"/>
        </w:rPr>
        <w:t>000元/次的违约金。</w:t>
      </w:r>
    </w:p>
    <w:p w14:paraId="05348546">
      <w:pPr>
        <w:adjustRightInd w:val="0"/>
        <w:snapToGrid w:val="0"/>
        <w:spacing w:line="360" w:lineRule="auto"/>
        <w:ind w:firstLine="420" w:firstLineChars="200"/>
        <w:rPr>
          <w:rFonts w:cs="宋体"/>
          <w:sz w:val="21"/>
          <w:szCs w:val="21"/>
          <w:highlight w:val="none"/>
        </w:rPr>
      </w:pPr>
      <w:r>
        <w:rPr>
          <w:rFonts w:cs="宋体"/>
          <w:sz w:val="21"/>
          <w:szCs w:val="21"/>
          <w:highlight w:val="none"/>
        </w:rPr>
        <w:t>（</w:t>
      </w:r>
      <w:r>
        <w:rPr>
          <w:rFonts w:hint="eastAsia" w:cs="宋体"/>
          <w:sz w:val="21"/>
          <w:szCs w:val="21"/>
          <w:highlight w:val="none"/>
        </w:rPr>
        <w:t>8</w:t>
      </w:r>
      <w:r>
        <w:rPr>
          <w:rFonts w:cs="宋体"/>
          <w:sz w:val="21"/>
          <w:szCs w:val="21"/>
          <w:highlight w:val="none"/>
        </w:rPr>
        <w:t>）承包人必须服从发包人的调度，做好迎检工作，若承包人拒不执行的，对承包人处以</w:t>
      </w:r>
      <w:r>
        <w:rPr>
          <w:rFonts w:hint="eastAsia" w:cs="宋体"/>
          <w:sz w:val="21"/>
          <w:szCs w:val="21"/>
          <w:highlight w:val="none"/>
        </w:rPr>
        <w:t>2</w:t>
      </w:r>
      <w:r>
        <w:rPr>
          <w:rFonts w:cs="宋体"/>
          <w:sz w:val="21"/>
          <w:szCs w:val="21"/>
          <w:highlight w:val="none"/>
        </w:rPr>
        <w:t>000元/次的违约金。</w:t>
      </w:r>
    </w:p>
    <w:p w14:paraId="312C500E">
      <w:pPr>
        <w:adjustRightInd w:val="0"/>
        <w:snapToGrid w:val="0"/>
        <w:spacing w:line="360" w:lineRule="auto"/>
        <w:ind w:firstLine="420" w:firstLineChars="200"/>
        <w:rPr>
          <w:rFonts w:cs="宋体"/>
          <w:sz w:val="21"/>
          <w:szCs w:val="21"/>
          <w:highlight w:val="none"/>
        </w:rPr>
      </w:pPr>
      <w:r>
        <w:rPr>
          <w:rFonts w:cs="宋体"/>
          <w:sz w:val="21"/>
          <w:szCs w:val="21"/>
          <w:highlight w:val="none"/>
        </w:rPr>
        <w:t>（</w:t>
      </w:r>
      <w:r>
        <w:rPr>
          <w:rFonts w:hint="eastAsia" w:cs="宋体"/>
          <w:sz w:val="21"/>
          <w:szCs w:val="21"/>
          <w:highlight w:val="none"/>
        </w:rPr>
        <w:t>9</w:t>
      </w:r>
      <w:r>
        <w:rPr>
          <w:rFonts w:cs="宋体"/>
          <w:sz w:val="21"/>
          <w:szCs w:val="21"/>
          <w:highlight w:val="none"/>
        </w:rPr>
        <w:t>）承包人违约情形严重或出现重大安全责任事故的，发包人有权部分或全部解除合同，承包人按合同总价款的10%支付违约金，已完工的合格部分按发包人审定价格的80%支付和结算，同时承包人需承担发包人二次组织招投标及施工单位进场施工的费用及损失。</w:t>
      </w:r>
    </w:p>
    <w:p w14:paraId="2E9F5FB3">
      <w:pPr>
        <w:adjustRightInd w:val="0"/>
        <w:snapToGrid w:val="0"/>
        <w:spacing w:line="360" w:lineRule="auto"/>
        <w:ind w:firstLine="420" w:firstLineChars="200"/>
        <w:rPr>
          <w:rFonts w:cs="宋体"/>
          <w:sz w:val="21"/>
          <w:szCs w:val="21"/>
          <w:highlight w:val="none"/>
        </w:rPr>
      </w:pPr>
      <w:r>
        <w:rPr>
          <w:rFonts w:cs="宋体"/>
          <w:sz w:val="21"/>
          <w:szCs w:val="21"/>
          <w:highlight w:val="none"/>
        </w:rPr>
        <w:t xml:space="preserve">    16.2.2.</w:t>
      </w:r>
      <w:r>
        <w:rPr>
          <w:rFonts w:hint="eastAsia" w:cs="宋体"/>
          <w:sz w:val="21"/>
          <w:szCs w:val="21"/>
          <w:highlight w:val="none"/>
        </w:rPr>
        <w:t>4</w:t>
      </w:r>
      <w:r>
        <w:rPr>
          <w:rFonts w:cs="宋体"/>
          <w:sz w:val="21"/>
          <w:szCs w:val="21"/>
          <w:highlight w:val="none"/>
        </w:rPr>
        <w:t>现场管理不到位的违约责任</w:t>
      </w:r>
    </w:p>
    <w:p w14:paraId="1095C375">
      <w:pPr>
        <w:adjustRightInd w:val="0"/>
        <w:snapToGrid w:val="0"/>
        <w:spacing w:line="360" w:lineRule="auto"/>
        <w:ind w:firstLine="420" w:firstLineChars="200"/>
        <w:rPr>
          <w:rFonts w:cs="宋体"/>
          <w:sz w:val="21"/>
          <w:szCs w:val="21"/>
          <w:highlight w:val="none"/>
        </w:rPr>
      </w:pPr>
      <w:r>
        <w:rPr>
          <w:rFonts w:cs="宋体"/>
          <w:sz w:val="21"/>
          <w:szCs w:val="21"/>
          <w:highlight w:val="none"/>
        </w:rPr>
        <w:t>(1)参加会议的所有人员无故不得缺席（有特殊事宜并提前向监理单位主持人请假的除外）。对无故迟到或缺席的施工方人员，将采取以下经济处罚措施，无故缺席的按</w:t>
      </w:r>
      <w:r>
        <w:rPr>
          <w:rFonts w:hint="eastAsia" w:cs="宋体"/>
          <w:sz w:val="21"/>
          <w:szCs w:val="21"/>
          <w:highlight w:val="none"/>
        </w:rPr>
        <w:t>5</w:t>
      </w:r>
      <w:r>
        <w:rPr>
          <w:rFonts w:cs="宋体"/>
          <w:sz w:val="21"/>
          <w:szCs w:val="21"/>
          <w:highlight w:val="none"/>
        </w:rPr>
        <w:t>00元/人处罚。</w:t>
      </w:r>
    </w:p>
    <w:p w14:paraId="33F796E3">
      <w:pPr>
        <w:adjustRightInd w:val="0"/>
        <w:snapToGrid w:val="0"/>
        <w:spacing w:line="360" w:lineRule="auto"/>
        <w:ind w:firstLine="420" w:firstLineChars="200"/>
        <w:rPr>
          <w:rFonts w:cs="宋体"/>
          <w:sz w:val="21"/>
          <w:szCs w:val="21"/>
          <w:highlight w:val="none"/>
        </w:rPr>
      </w:pPr>
      <w:r>
        <w:rPr>
          <w:rFonts w:cs="宋体"/>
          <w:sz w:val="21"/>
          <w:szCs w:val="21"/>
          <w:highlight w:val="none"/>
        </w:rPr>
        <w:t>(2)项目经理必须参加建设（监理）单位组织的工程会议，项目经理确有特殊情况必须提前向建设单位请假并经建设单位同意，否则，每缺席一次扣</w:t>
      </w:r>
      <w:r>
        <w:rPr>
          <w:rFonts w:hint="eastAsia" w:cs="宋体"/>
          <w:sz w:val="21"/>
          <w:szCs w:val="21"/>
          <w:highlight w:val="none"/>
        </w:rPr>
        <w:t>1</w:t>
      </w:r>
      <w:r>
        <w:rPr>
          <w:rFonts w:cs="宋体"/>
          <w:sz w:val="21"/>
          <w:szCs w:val="21"/>
          <w:highlight w:val="none"/>
        </w:rPr>
        <w:t>000元。</w:t>
      </w:r>
    </w:p>
    <w:p w14:paraId="3C4DF865">
      <w:pPr>
        <w:adjustRightInd w:val="0"/>
        <w:snapToGrid w:val="0"/>
        <w:spacing w:line="360" w:lineRule="auto"/>
        <w:ind w:firstLine="420" w:firstLineChars="200"/>
        <w:rPr>
          <w:rFonts w:cs="宋体"/>
          <w:sz w:val="21"/>
          <w:szCs w:val="21"/>
          <w:highlight w:val="none"/>
        </w:rPr>
      </w:pPr>
      <w:r>
        <w:rPr>
          <w:rFonts w:cs="宋体"/>
          <w:sz w:val="21"/>
          <w:szCs w:val="21"/>
          <w:highlight w:val="none"/>
        </w:rPr>
        <w:t>(3)经会议决议后统一布置的任务，执行不力或未有效落实的，按</w:t>
      </w:r>
      <w:r>
        <w:rPr>
          <w:rFonts w:hint="eastAsia" w:cs="宋体"/>
          <w:sz w:val="21"/>
          <w:szCs w:val="21"/>
          <w:highlight w:val="none"/>
        </w:rPr>
        <w:t>1</w:t>
      </w:r>
      <w:r>
        <w:rPr>
          <w:rFonts w:cs="宋体"/>
          <w:sz w:val="21"/>
          <w:szCs w:val="21"/>
          <w:highlight w:val="none"/>
        </w:rPr>
        <w:t>000元/次进行处罚。</w:t>
      </w:r>
    </w:p>
    <w:p w14:paraId="7ED879C0">
      <w:pPr>
        <w:adjustRightInd w:val="0"/>
        <w:snapToGrid w:val="0"/>
        <w:spacing w:line="360" w:lineRule="auto"/>
        <w:ind w:firstLine="420" w:firstLineChars="200"/>
        <w:rPr>
          <w:rFonts w:cs="宋体"/>
          <w:sz w:val="21"/>
          <w:szCs w:val="21"/>
          <w:highlight w:val="none"/>
        </w:rPr>
      </w:pPr>
      <w:r>
        <w:rPr>
          <w:rFonts w:cs="宋体"/>
          <w:sz w:val="21"/>
          <w:szCs w:val="21"/>
          <w:highlight w:val="none"/>
        </w:rPr>
        <w:t xml:space="preserve">    16.2.2.</w:t>
      </w:r>
      <w:r>
        <w:rPr>
          <w:rFonts w:hint="eastAsia" w:cs="宋体"/>
          <w:sz w:val="21"/>
          <w:szCs w:val="21"/>
          <w:highlight w:val="none"/>
        </w:rPr>
        <w:t>5</w:t>
      </w:r>
      <w:r>
        <w:rPr>
          <w:rFonts w:cs="宋体"/>
          <w:sz w:val="21"/>
          <w:szCs w:val="21"/>
          <w:highlight w:val="none"/>
        </w:rPr>
        <w:t xml:space="preserve"> 工程挂靠、擅自分包、转包方面的违约责任</w:t>
      </w:r>
    </w:p>
    <w:p w14:paraId="5B8E36FC">
      <w:pPr>
        <w:adjustRightInd w:val="0"/>
        <w:snapToGrid w:val="0"/>
        <w:spacing w:line="360" w:lineRule="auto"/>
        <w:ind w:firstLine="420" w:firstLineChars="200"/>
        <w:rPr>
          <w:rFonts w:cs="宋体"/>
          <w:sz w:val="21"/>
          <w:szCs w:val="21"/>
          <w:highlight w:val="none"/>
        </w:rPr>
      </w:pPr>
      <w:r>
        <w:rPr>
          <w:rFonts w:cs="宋体"/>
          <w:sz w:val="21"/>
          <w:szCs w:val="21"/>
          <w:highlight w:val="none"/>
        </w:rPr>
        <w:t xml:space="preserve">(1)若发包人发现承包人有挂靠行为或承包人擅自分包或者转包工程的，发包人有权单方部分解除合同或解除合同，承包人按合同总价款的10%支付违约金，已完工的合格部分按发包人审定价格的80%支付和结算，同时承包人需承担发包人二次组织招投标及/或施工单位进场施工的费用及损失。  </w:t>
      </w:r>
    </w:p>
    <w:p w14:paraId="5690836F">
      <w:pPr>
        <w:adjustRightInd w:val="0"/>
        <w:snapToGrid w:val="0"/>
        <w:spacing w:line="360" w:lineRule="auto"/>
        <w:ind w:firstLine="420" w:firstLineChars="200"/>
        <w:rPr>
          <w:rFonts w:cs="宋体"/>
          <w:sz w:val="21"/>
          <w:szCs w:val="21"/>
          <w:highlight w:val="none"/>
        </w:rPr>
      </w:pPr>
      <w:r>
        <w:rPr>
          <w:rFonts w:cs="宋体"/>
          <w:sz w:val="21"/>
          <w:szCs w:val="21"/>
          <w:highlight w:val="none"/>
        </w:rPr>
        <w:t xml:space="preserve">    16.2.2.</w:t>
      </w:r>
      <w:r>
        <w:rPr>
          <w:rFonts w:hint="eastAsia" w:cs="宋体"/>
          <w:sz w:val="21"/>
          <w:szCs w:val="21"/>
          <w:highlight w:val="none"/>
        </w:rPr>
        <w:t>6</w:t>
      </w:r>
      <w:r>
        <w:rPr>
          <w:rFonts w:cs="宋体"/>
          <w:sz w:val="21"/>
          <w:szCs w:val="21"/>
          <w:highlight w:val="none"/>
        </w:rPr>
        <w:t xml:space="preserve"> 民工工资支付方面的违约责任</w:t>
      </w:r>
    </w:p>
    <w:p w14:paraId="7A81AC3A">
      <w:pPr>
        <w:adjustRightInd w:val="0"/>
        <w:snapToGrid w:val="0"/>
        <w:spacing w:line="360" w:lineRule="auto"/>
        <w:ind w:firstLine="420" w:firstLineChars="200"/>
        <w:rPr>
          <w:rFonts w:cs="宋体"/>
          <w:sz w:val="21"/>
          <w:szCs w:val="21"/>
          <w:highlight w:val="none"/>
        </w:rPr>
      </w:pPr>
      <w:r>
        <w:rPr>
          <w:rFonts w:cs="宋体"/>
          <w:sz w:val="21"/>
          <w:szCs w:val="21"/>
          <w:highlight w:val="none"/>
        </w:rPr>
        <w:t>承包人违反本合同关于民工工资支付的规定，被民工投诉属实的，承包人必须在3天内予以发放拖欠的款项。若拖延被投诉的，经查实，发包人有权按</w:t>
      </w:r>
      <w:r>
        <w:rPr>
          <w:rFonts w:hint="eastAsia" w:cs="宋体"/>
          <w:sz w:val="21"/>
          <w:szCs w:val="21"/>
          <w:highlight w:val="none"/>
        </w:rPr>
        <w:t>5</w:t>
      </w:r>
      <w:r>
        <w:rPr>
          <w:rFonts w:cs="宋体"/>
          <w:sz w:val="21"/>
          <w:szCs w:val="21"/>
          <w:highlight w:val="none"/>
        </w:rPr>
        <w:t>万元/次的处罚承包人，且有权直接从进度款中扣除直接支付。</w:t>
      </w:r>
    </w:p>
    <w:p w14:paraId="6A319061">
      <w:pPr>
        <w:adjustRightInd w:val="0"/>
        <w:snapToGrid w:val="0"/>
        <w:spacing w:line="360" w:lineRule="auto"/>
        <w:ind w:firstLine="420" w:firstLineChars="200"/>
        <w:rPr>
          <w:rFonts w:cs="宋体"/>
          <w:sz w:val="21"/>
          <w:szCs w:val="21"/>
          <w:highlight w:val="none"/>
        </w:rPr>
      </w:pPr>
      <w:r>
        <w:rPr>
          <w:rFonts w:cs="宋体"/>
          <w:sz w:val="21"/>
          <w:szCs w:val="21"/>
          <w:highlight w:val="none"/>
        </w:rPr>
        <w:t>处罚后若仍然不予整改，继续拖欠款项使民工采取停工、集聚围阻发包人办公地点甚至政府办公部门等过激行动的，发包人有权单方部分解除合同或解除合同，承包人按合同总价款的10%支付违约金，已完工的合格部分按发包人审定价格的80%支付和结算，同时承包人需承担发包人二次组织招投标及/或施工单位进场施工的费用及损失。</w:t>
      </w:r>
    </w:p>
    <w:p w14:paraId="10B23EAB">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16.2.2.7 在合同履行过程中如发现有与招标文件、图纸、清单等要求不一致之处，每发现一次，发包人有权要求承包人按1000元/次进行处罚，并按监理单位、发包人要求进行整改。与其他条款不一致，按照罚款金额高的执行。</w:t>
      </w:r>
    </w:p>
    <w:p w14:paraId="56354432">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16.2.2.8 施工期间因施工单位违规不当操作或监管不严造成与项目相干扰的道路、水利、管线、电力电信及其他相关建筑设施或特殊保护区域的破坏，由施工单位负责并承担相应法律责任。</w:t>
      </w:r>
    </w:p>
    <w:p w14:paraId="377EB38A">
      <w:pPr>
        <w:adjustRightInd w:val="0"/>
        <w:snapToGrid w:val="0"/>
        <w:spacing w:line="360" w:lineRule="auto"/>
        <w:ind w:firstLine="420" w:firstLineChars="200"/>
        <w:rPr>
          <w:rFonts w:cs="宋体"/>
          <w:sz w:val="21"/>
          <w:szCs w:val="21"/>
          <w:highlight w:val="none"/>
        </w:rPr>
      </w:pPr>
      <w:r>
        <w:rPr>
          <w:rFonts w:cs="宋体"/>
          <w:sz w:val="21"/>
          <w:szCs w:val="21"/>
          <w:highlight w:val="none"/>
        </w:rPr>
        <w:t>16.2.2.</w:t>
      </w:r>
      <w:r>
        <w:rPr>
          <w:rFonts w:hint="eastAsia" w:cs="宋体"/>
          <w:sz w:val="21"/>
          <w:szCs w:val="21"/>
          <w:highlight w:val="none"/>
        </w:rPr>
        <w:t>9 合同执行过程中，应无条件按政府主管部门要求落实相关政策，完善相关手续。</w:t>
      </w:r>
    </w:p>
    <w:p w14:paraId="625E2DDF">
      <w:pPr>
        <w:adjustRightInd w:val="0"/>
        <w:snapToGrid w:val="0"/>
        <w:spacing w:line="360" w:lineRule="auto"/>
        <w:ind w:firstLine="420" w:firstLineChars="200"/>
        <w:rPr>
          <w:rFonts w:cs="宋体"/>
          <w:sz w:val="21"/>
          <w:szCs w:val="21"/>
          <w:highlight w:val="none"/>
        </w:rPr>
      </w:pPr>
      <w:r>
        <w:rPr>
          <w:rFonts w:cs="宋体"/>
          <w:sz w:val="21"/>
          <w:szCs w:val="21"/>
          <w:highlight w:val="none"/>
        </w:rPr>
        <w:t>16.2.2.</w:t>
      </w:r>
      <w:r>
        <w:rPr>
          <w:rFonts w:hint="eastAsia" w:cs="宋体"/>
          <w:sz w:val="21"/>
          <w:szCs w:val="21"/>
          <w:highlight w:val="none"/>
        </w:rPr>
        <w:t>10</w:t>
      </w:r>
      <w:r>
        <w:rPr>
          <w:rFonts w:cs="宋体"/>
          <w:sz w:val="21"/>
          <w:szCs w:val="21"/>
          <w:highlight w:val="none"/>
        </w:rPr>
        <w:t>承包人有其他违约情形的，据实赔偿发包人损失。</w:t>
      </w:r>
    </w:p>
    <w:p w14:paraId="7813E6D4">
      <w:pPr>
        <w:adjustRightInd w:val="0"/>
        <w:snapToGrid w:val="0"/>
        <w:spacing w:line="360" w:lineRule="auto"/>
        <w:ind w:firstLine="420" w:firstLineChars="200"/>
        <w:rPr>
          <w:rFonts w:cs="宋体"/>
          <w:sz w:val="21"/>
          <w:szCs w:val="21"/>
          <w:highlight w:val="none"/>
        </w:rPr>
      </w:pPr>
      <w:r>
        <w:rPr>
          <w:rFonts w:cs="宋体"/>
          <w:sz w:val="21"/>
          <w:szCs w:val="21"/>
          <w:highlight w:val="none"/>
        </w:rPr>
        <w:t>16.2.2.</w:t>
      </w:r>
      <w:r>
        <w:rPr>
          <w:rFonts w:hint="eastAsia" w:cs="宋体"/>
          <w:sz w:val="21"/>
          <w:szCs w:val="21"/>
          <w:highlight w:val="none"/>
        </w:rPr>
        <w:t>11</w:t>
      </w:r>
      <w:r>
        <w:rPr>
          <w:rFonts w:cs="宋体"/>
          <w:sz w:val="21"/>
          <w:szCs w:val="21"/>
          <w:highlight w:val="none"/>
        </w:rPr>
        <w:t>承包人支付发包人的违约金不足以弥补发包人损失的，据实赔偿。</w:t>
      </w:r>
    </w:p>
    <w:p w14:paraId="02E5CCC8">
      <w:pPr>
        <w:adjustRightInd w:val="0"/>
        <w:snapToGrid w:val="0"/>
        <w:spacing w:line="360" w:lineRule="auto"/>
        <w:ind w:firstLine="420" w:firstLineChars="200"/>
        <w:rPr>
          <w:rFonts w:cs="宋体"/>
          <w:sz w:val="21"/>
          <w:szCs w:val="21"/>
          <w:highlight w:val="none"/>
        </w:rPr>
      </w:pPr>
      <w:r>
        <w:rPr>
          <w:rFonts w:cs="宋体"/>
          <w:sz w:val="21"/>
          <w:szCs w:val="21"/>
          <w:highlight w:val="none"/>
        </w:rPr>
        <w:t>16.2.2.1</w:t>
      </w:r>
      <w:r>
        <w:rPr>
          <w:rFonts w:hint="eastAsia" w:cs="宋体"/>
          <w:sz w:val="21"/>
          <w:szCs w:val="21"/>
          <w:highlight w:val="none"/>
        </w:rPr>
        <w:t>2</w:t>
      </w:r>
      <w:r>
        <w:rPr>
          <w:rFonts w:cs="宋体"/>
          <w:sz w:val="21"/>
          <w:szCs w:val="21"/>
          <w:highlight w:val="none"/>
        </w:rPr>
        <w:t>承包人违约的，各种单项处罚、违约金与解除合同的违约金及赔偿责任同时适用。</w:t>
      </w:r>
    </w:p>
    <w:p w14:paraId="4913426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16.2.3 因承包人违约解除合同</w:t>
      </w:r>
    </w:p>
    <w:p w14:paraId="42AAE98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承包人违约解除合同的特别约定：任何一方违反合同约定单方解除本合同的，应按合同价款总额的20％向对方支付违约金并赔偿对方由此产生的直接经济损失；如果是承包人单方解除合同，除前述违约责任外，履约保证金将被没收。</w:t>
      </w:r>
    </w:p>
    <w:p w14:paraId="61961665">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发包人继续使用承包人在施工现场的材料、设备、临时工程、承包人文件和由承包人或以其名义编制的其他文件的费用承担方式：      由承包人承担        。</w:t>
      </w:r>
    </w:p>
    <w:p w14:paraId="542C8F6A">
      <w:pPr>
        <w:snapToGrid w:val="0"/>
        <w:spacing w:before="312" w:beforeLines="100" w:after="312" w:afterLines="100" w:line="360" w:lineRule="auto"/>
        <w:outlineLvl w:val="2"/>
        <w:rPr>
          <w:rFonts w:cs="宋体"/>
          <w:sz w:val="21"/>
          <w:szCs w:val="21"/>
          <w:highlight w:val="none"/>
        </w:rPr>
      </w:pPr>
      <w:bookmarkStart w:id="592" w:name="_Toc351203649"/>
      <w:r>
        <w:rPr>
          <w:rFonts w:hint="eastAsia" w:cs="宋体"/>
          <w:sz w:val="21"/>
          <w:szCs w:val="21"/>
          <w:highlight w:val="none"/>
        </w:rPr>
        <w:t>17. 不可抗力</w:t>
      </w:r>
      <w:bookmarkEnd w:id="592"/>
      <w:r>
        <w:rPr>
          <w:rFonts w:hint="eastAsia" w:cs="宋体"/>
          <w:sz w:val="21"/>
          <w:szCs w:val="21"/>
          <w:highlight w:val="none"/>
        </w:rPr>
        <w:t xml:space="preserve"> </w:t>
      </w:r>
      <w:bookmarkEnd w:id="590"/>
    </w:p>
    <w:p w14:paraId="4BA949E0">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17.1 不可抗力的确认</w:t>
      </w:r>
    </w:p>
    <w:p w14:paraId="1CFE79D8">
      <w:pPr>
        <w:adjustRightInd w:val="0"/>
        <w:snapToGrid w:val="0"/>
        <w:spacing w:line="360" w:lineRule="auto"/>
        <w:ind w:firstLine="420" w:firstLineChars="200"/>
        <w:rPr>
          <w:rFonts w:cs="宋体"/>
          <w:b/>
          <w:sz w:val="21"/>
          <w:szCs w:val="21"/>
          <w:highlight w:val="none"/>
          <w:u w:val="single"/>
        </w:rPr>
      </w:pPr>
      <w:r>
        <w:rPr>
          <w:rFonts w:hint="eastAsia" w:cs="宋体"/>
          <w:sz w:val="21"/>
          <w:szCs w:val="21"/>
          <w:highlight w:val="none"/>
        </w:rPr>
        <w:t>除通用合同条款约定的不可抗力事件之外，视为不可抗力的其他情形：</w:t>
      </w:r>
      <w:r>
        <w:rPr>
          <w:rFonts w:hint="eastAsia" w:cs="宋体"/>
          <w:sz w:val="21"/>
          <w:szCs w:val="21"/>
          <w:highlight w:val="none"/>
          <w:u w:val="single"/>
        </w:rPr>
        <w:t>执行通用条款</w:t>
      </w:r>
      <w:r>
        <w:rPr>
          <w:rFonts w:hint="eastAsia" w:cs="宋体"/>
          <w:sz w:val="21"/>
          <w:szCs w:val="21"/>
          <w:highlight w:val="none"/>
        </w:rPr>
        <w:t>。</w:t>
      </w:r>
    </w:p>
    <w:p w14:paraId="73E29518">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17.4 因不可抗力解除合同</w:t>
      </w:r>
    </w:p>
    <w:p w14:paraId="6592BEE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合同解除后，发包人应在商定或确定发包人应支付款项后</w:t>
      </w:r>
      <w:r>
        <w:rPr>
          <w:rFonts w:hint="eastAsia" w:cs="宋体"/>
          <w:sz w:val="21"/>
          <w:szCs w:val="21"/>
          <w:highlight w:val="none"/>
          <w:u w:val="single"/>
        </w:rPr>
        <w:t>28</w:t>
      </w:r>
      <w:r>
        <w:rPr>
          <w:rFonts w:hint="eastAsia" w:cs="宋体"/>
          <w:sz w:val="21"/>
          <w:szCs w:val="21"/>
          <w:highlight w:val="none"/>
        </w:rPr>
        <w:t>天内完成款项的支付。</w:t>
      </w:r>
    </w:p>
    <w:p w14:paraId="6C4BD672">
      <w:pPr>
        <w:snapToGrid w:val="0"/>
        <w:spacing w:before="312" w:beforeLines="100" w:after="312" w:afterLines="100" w:line="360" w:lineRule="auto"/>
        <w:outlineLvl w:val="2"/>
        <w:rPr>
          <w:rFonts w:cs="宋体"/>
          <w:sz w:val="21"/>
          <w:szCs w:val="21"/>
          <w:highlight w:val="none"/>
        </w:rPr>
      </w:pPr>
      <w:bookmarkStart w:id="593" w:name="_Toc351203650"/>
      <w:r>
        <w:rPr>
          <w:rFonts w:hint="eastAsia" w:cs="宋体"/>
          <w:sz w:val="21"/>
          <w:szCs w:val="21"/>
          <w:highlight w:val="none"/>
        </w:rPr>
        <w:t>18. 保险</w:t>
      </w:r>
      <w:bookmarkEnd w:id="593"/>
    </w:p>
    <w:bookmarkEnd w:id="591"/>
    <w:p w14:paraId="2062109F">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18.1 工程保险</w:t>
      </w:r>
    </w:p>
    <w:p w14:paraId="73D87E7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关于工程保险的特别约定：建筑安装工程一切险、第三者责任险由承包人投保，费用包含在投标报价中，投保范围为：本合同项下的全部内容，投保金额为：合同总价。</w:t>
      </w:r>
    </w:p>
    <w:p w14:paraId="2CF1146E">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其他涉及到本工程的所有保险由承包人自行考虑并按现行规定投保，如：投标人的财产保险和人员的人身伤亡保险、从事危险作业员工的意外伤害保险等。保险费用由投标人计入投标报价中。</w:t>
      </w:r>
    </w:p>
    <w:p w14:paraId="0F50D91A">
      <w:pPr>
        <w:adjustRightInd w:val="0"/>
        <w:snapToGrid w:val="0"/>
        <w:spacing w:line="360" w:lineRule="auto"/>
        <w:ind w:firstLine="420" w:firstLineChars="200"/>
        <w:rPr>
          <w:rFonts w:cs="宋体"/>
          <w:b/>
          <w:sz w:val="21"/>
          <w:szCs w:val="21"/>
          <w:highlight w:val="none"/>
        </w:rPr>
      </w:pPr>
      <w:r>
        <w:rPr>
          <w:rFonts w:hint="eastAsia" w:cs="宋体"/>
          <w:sz w:val="21"/>
          <w:szCs w:val="21"/>
          <w:highlight w:val="none"/>
        </w:rPr>
        <w:t>因承包人不办理保险所造成的一切损失费用均由承包人承担</w:t>
      </w:r>
      <w:r>
        <w:rPr>
          <w:rFonts w:hint="eastAsia" w:cs="宋体"/>
          <w:b/>
          <w:sz w:val="21"/>
          <w:szCs w:val="21"/>
          <w:highlight w:val="none"/>
        </w:rPr>
        <w:t>。</w:t>
      </w:r>
    </w:p>
    <w:p w14:paraId="1A3661D3">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18.3 其他保险</w:t>
      </w:r>
    </w:p>
    <w:p w14:paraId="03AD56E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关于其他保险的约定：</w:t>
      </w:r>
      <w:r>
        <w:rPr>
          <w:rFonts w:hint="eastAsia" w:cs="宋体"/>
          <w:sz w:val="21"/>
          <w:szCs w:val="21"/>
          <w:highlight w:val="none"/>
          <w:u w:val="single"/>
        </w:rPr>
        <w:t>承包人须为其施工现场的全部人员办理意外伤害保险并支付保险费，包括其员工及为履行合同聘请的第三方的人员</w:t>
      </w:r>
      <w:r>
        <w:rPr>
          <w:rFonts w:hint="eastAsia" w:cs="宋体"/>
          <w:sz w:val="21"/>
          <w:szCs w:val="21"/>
          <w:highlight w:val="none"/>
        </w:rPr>
        <w:t>。</w:t>
      </w:r>
    </w:p>
    <w:p w14:paraId="6B1AF534">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承包人是否应为其施工设备等办理财产保险：</w:t>
      </w:r>
      <w:r>
        <w:rPr>
          <w:rFonts w:hint="eastAsia" w:cs="宋体"/>
          <w:sz w:val="21"/>
          <w:szCs w:val="21"/>
          <w:highlight w:val="none"/>
          <w:u w:val="single"/>
        </w:rPr>
        <w:t>执行通用条款</w:t>
      </w:r>
      <w:r>
        <w:rPr>
          <w:rFonts w:hint="eastAsia" w:cs="宋体"/>
          <w:sz w:val="21"/>
          <w:szCs w:val="21"/>
          <w:highlight w:val="none"/>
        </w:rPr>
        <w:t>。</w:t>
      </w:r>
    </w:p>
    <w:p w14:paraId="48DD30F1">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18.7 通知义务</w:t>
      </w:r>
    </w:p>
    <w:p w14:paraId="1B301C02">
      <w:pPr>
        <w:adjustRightInd w:val="0"/>
        <w:snapToGrid w:val="0"/>
        <w:spacing w:line="360" w:lineRule="auto"/>
        <w:ind w:firstLine="420" w:firstLineChars="200"/>
        <w:rPr>
          <w:rFonts w:cs="宋体"/>
          <w:b/>
          <w:sz w:val="21"/>
          <w:szCs w:val="21"/>
          <w:highlight w:val="none"/>
          <w:u w:val="single"/>
        </w:rPr>
      </w:pPr>
      <w:r>
        <w:rPr>
          <w:rFonts w:hint="eastAsia" w:cs="宋体"/>
          <w:sz w:val="21"/>
          <w:szCs w:val="21"/>
          <w:highlight w:val="none"/>
        </w:rPr>
        <w:t>关于变更保险合同时的通知义务的约定：</w:t>
      </w:r>
      <w:r>
        <w:rPr>
          <w:rFonts w:hint="eastAsia" w:cs="宋体"/>
          <w:sz w:val="21"/>
          <w:szCs w:val="21"/>
          <w:highlight w:val="none"/>
          <w:u w:val="single"/>
        </w:rPr>
        <w:t>执行通用条款</w:t>
      </w:r>
      <w:r>
        <w:rPr>
          <w:rFonts w:hint="eastAsia" w:cs="宋体"/>
          <w:sz w:val="21"/>
          <w:szCs w:val="21"/>
          <w:highlight w:val="none"/>
        </w:rPr>
        <w:t>。</w:t>
      </w:r>
    </w:p>
    <w:bookmarkEnd w:id="567"/>
    <w:bookmarkEnd w:id="568"/>
    <w:bookmarkEnd w:id="569"/>
    <w:bookmarkEnd w:id="570"/>
    <w:bookmarkEnd w:id="571"/>
    <w:bookmarkEnd w:id="572"/>
    <w:bookmarkEnd w:id="573"/>
    <w:bookmarkEnd w:id="574"/>
    <w:bookmarkEnd w:id="575"/>
    <w:bookmarkEnd w:id="576"/>
    <w:bookmarkEnd w:id="577"/>
    <w:bookmarkEnd w:id="578"/>
    <w:p w14:paraId="78669A62">
      <w:pPr>
        <w:snapToGrid w:val="0"/>
        <w:spacing w:before="312" w:beforeLines="100" w:after="312" w:afterLines="100" w:line="360" w:lineRule="auto"/>
        <w:outlineLvl w:val="2"/>
        <w:rPr>
          <w:rFonts w:cs="宋体"/>
          <w:sz w:val="21"/>
          <w:szCs w:val="21"/>
          <w:highlight w:val="none"/>
        </w:rPr>
      </w:pPr>
      <w:bookmarkStart w:id="594" w:name="_Toc351203651"/>
      <w:r>
        <w:rPr>
          <w:rFonts w:hint="eastAsia" w:cs="宋体"/>
          <w:sz w:val="21"/>
          <w:szCs w:val="21"/>
          <w:highlight w:val="none"/>
        </w:rPr>
        <w:t>20. 争议解决</w:t>
      </w:r>
      <w:bookmarkEnd w:id="594"/>
    </w:p>
    <w:bookmarkEnd w:id="579"/>
    <w:bookmarkEnd w:id="580"/>
    <w:p w14:paraId="2A2A4B1D">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20.3 争</w:t>
      </w:r>
      <w:bookmarkEnd w:id="581"/>
      <w:r>
        <w:rPr>
          <w:rFonts w:hint="eastAsia" w:cs="宋体"/>
          <w:bCs/>
          <w:sz w:val="21"/>
          <w:szCs w:val="21"/>
          <w:highlight w:val="none"/>
        </w:rPr>
        <w:t>议评审</w:t>
      </w:r>
    </w:p>
    <w:p w14:paraId="2D2DA303">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合同当事人是否同意将工程争议提交争议评审小组决定：</w:t>
      </w:r>
      <w:r>
        <w:rPr>
          <w:rFonts w:hint="eastAsia" w:cs="宋体"/>
          <w:sz w:val="21"/>
          <w:szCs w:val="21"/>
          <w:highlight w:val="none"/>
          <w:u w:val="single"/>
        </w:rPr>
        <w:t xml:space="preserve">  不适用  </w:t>
      </w:r>
      <w:r>
        <w:rPr>
          <w:rFonts w:hint="eastAsia" w:cs="宋体"/>
          <w:sz w:val="21"/>
          <w:szCs w:val="21"/>
          <w:highlight w:val="none"/>
        </w:rPr>
        <w:t>。</w:t>
      </w:r>
    </w:p>
    <w:p w14:paraId="6FB2DDB7">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20.3.1 争议评审小组的确定</w:t>
      </w:r>
    </w:p>
    <w:p w14:paraId="24EA8804">
      <w:pPr>
        <w:adjustRightInd w:val="0"/>
        <w:snapToGrid w:val="0"/>
        <w:spacing w:line="360" w:lineRule="auto"/>
        <w:ind w:firstLine="420" w:firstLineChars="200"/>
        <w:rPr>
          <w:rFonts w:cs="宋体"/>
          <w:sz w:val="21"/>
          <w:szCs w:val="21"/>
          <w:highlight w:val="none"/>
          <w:u w:val="single"/>
        </w:rPr>
      </w:pPr>
      <w:r>
        <w:rPr>
          <w:rFonts w:hint="eastAsia" w:cs="宋体"/>
          <w:sz w:val="21"/>
          <w:szCs w:val="21"/>
          <w:highlight w:val="none"/>
        </w:rPr>
        <w:t>争议评审小组成员的确定：</w:t>
      </w:r>
      <w:r>
        <w:rPr>
          <w:rFonts w:hint="eastAsia" w:cs="宋体"/>
          <w:sz w:val="21"/>
          <w:szCs w:val="21"/>
          <w:highlight w:val="none"/>
          <w:u w:val="single"/>
        </w:rPr>
        <w:t xml:space="preserve">                             </w:t>
      </w:r>
      <w:r>
        <w:rPr>
          <w:rFonts w:hint="eastAsia" w:cs="宋体"/>
          <w:sz w:val="21"/>
          <w:szCs w:val="21"/>
          <w:highlight w:val="none"/>
        </w:rPr>
        <w:t>。</w:t>
      </w:r>
    </w:p>
    <w:p w14:paraId="6FDD9DDB">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选定争议评审员的期限：</w:t>
      </w:r>
      <w:r>
        <w:rPr>
          <w:rFonts w:hint="eastAsia" w:cs="宋体"/>
          <w:sz w:val="21"/>
          <w:szCs w:val="21"/>
          <w:highlight w:val="none"/>
          <w:u w:val="single"/>
        </w:rPr>
        <w:t xml:space="preserve">                               </w:t>
      </w:r>
      <w:r>
        <w:rPr>
          <w:rFonts w:hint="eastAsia" w:cs="宋体"/>
          <w:sz w:val="21"/>
          <w:szCs w:val="21"/>
          <w:highlight w:val="none"/>
        </w:rPr>
        <w:t>。</w:t>
      </w:r>
    </w:p>
    <w:p w14:paraId="2D15D139">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争议评审小组成员的报酬承担方式：</w:t>
      </w:r>
      <w:r>
        <w:rPr>
          <w:rFonts w:hint="eastAsia" w:cs="宋体"/>
          <w:sz w:val="21"/>
          <w:szCs w:val="21"/>
          <w:highlight w:val="none"/>
          <w:u w:val="single"/>
        </w:rPr>
        <w:t xml:space="preserve">                     </w:t>
      </w:r>
      <w:r>
        <w:rPr>
          <w:rFonts w:hint="eastAsia" w:cs="宋体"/>
          <w:sz w:val="21"/>
          <w:szCs w:val="21"/>
          <w:highlight w:val="none"/>
        </w:rPr>
        <w:t>。</w:t>
      </w:r>
    </w:p>
    <w:p w14:paraId="6A0CB0D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其他事项的约定：</w:t>
      </w:r>
      <w:r>
        <w:rPr>
          <w:rFonts w:hint="eastAsia" w:cs="宋体"/>
          <w:sz w:val="21"/>
          <w:szCs w:val="21"/>
          <w:highlight w:val="none"/>
          <w:u w:val="single"/>
        </w:rPr>
        <w:t xml:space="preserve">                                     </w:t>
      </w:r>
      <w:r>
        <w:rPr>
          <w:rFonts w:hint="eastAsia" w:cs="宋体"/>
          <w:sz w:val="21"/>
          <w:szCs w:val="21"/>
          <w:highlight w:val="none"/>
        </w:rPr>
        <w:t>。</w:t>
      </w:r>
    </w:p>
    <w:p w14:paraId="55C2FDEC">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20.3.2 争议评审小组的决定</w:t>
      </w:r>
    </w:p>
    <w:p w14:paraId="149E05F0">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合同当事人关于本项的约定：</w:t>
      </w:r>
      <w:r>
        <w:rPr>
          <w:rFonts w:hint="eastAsia" w:cs="宋体"/>
          <w:sz w:val="21"/>
          <w:szCs w:val="21"/>
          <w:highlight w:val="none"/>
          <w:u w:val="single"/>
        </w:rPr>
        <w:t xml:space="preserve">                           </w:t>
      </w:r>
      <w:r>
        <w:rPr>
          <w:rFonts w:hint="eastAsia" w:cs="宋体"/>
          <w:sz w:val="21"/>
          <w:szCs w:val="21"/>
          <w:highlight w:val="none"/>
        </w:rPr>
        <w:t>。</w:t>
      </w:r>
    </w:p>
    <w:p w14:paraId="45462E8D">
      <w:pPr>
        <w:keepNext/>
        <w:keepLines/>
        <w:snapToGrid w:val="0"/>
        <w:spacing w:before="120" w:after="120" w:line="360" w:lineRule="auto"/>
        <w:ind w:firstLine="420" w:firstLineChars="200"/>
        <w:outlineLvl w:val="3"/>
        <w:rPr>
          <w:rFonts w:cs="宋体"/>
          <w:bCs/>
          <w:sz w:val="21"/>
          <w:szCs w:val="21"/>
          <w:highlight w:val="none"/>
        </w:rPr>
      </w:pPr>
      <w:r>
        <w:rPr>
          <w:rFonts w:hint="eastAsia" w:cs="宋体"/>
          <w:bCs/>
          <w:sz w:val="21"/>
          <w:szCs w:val="21"/>
          <w:highlight w:val="none"/>
        </w:rPr>
        <w:t>20.4 仲裁或诉讼</w:t>
      </w:r>
      <w:bookmarkEnd w:id="582"/>
    </w:p>
    <w:bookmarkEnd w:id="583"/>
    <w:bookmarkEnd w:id="584"/>
    <w:bookmarkEnd w:id="585"/>
    <w:bookmarkEnd w:id="586"/>
    <w:bookmarkEnd w:id="587"/>
    <w:bookmarkEnd w:id="588"/>
    <w:p w14:paraId="05261412">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因合同及合同有关事项发生的争议，按下列</w:t>
      </w:r>
      <w:r>
        <w:rPr>
          <w:rFonts w:hint="eastAsia" w:cs="宋体"/>
          <w:b/>
          <w:bCs/>
          <w:sz w:val="21"/>
          <w:szCs w:val="21"/>
          <w:highlight w:val="none"/>
        </w:rPr>
        <w:t>第</w:t>
      </w:r>
      <w:r>
        <w:rPr>
          <w:rFonts w:hint="eastAsia" w:cs="宋体"/>
          <w:b/>
          <w:bCs/>
          <w:sz w:val="21"/>
          <w:szCs w:val="21"/>
          <w:highlight w:val="none"/>
          <w:u w:val="single"/>
        </w:rPr>
        <w:t xml:space="preserve"> 2 </w:t>
      </w:r>
      <w:r>
        <w:rPr>
          <w:rFonts w:hint="eastAsia" w:cs="宋体"/>
          <w:b/>
          <w:bCs/>
          <w:sz w:val="21"/>
          <w:szCs w:val="21"/>
          <w:highlight w:val="none"/>
        </w:rPr>
        <w:t>种</w:t>
      </w:r>
      <w:r>
        <w:rPr>
          <w:rFonts w:hint="eastAsia" w:cs="宋体"/>
          <w:sz w:val="21"/>
          <w:szCs w:val="21"/>
          <w:highlight w:val="none"/>
        </w:rPr>
        <w:t>方式解决：</w:t>
      </w:r>
    </w:p>
    <w:p w14:paraId="751A851C">
      <w:pPr>
        <w:numPr>
          <w:ilvl w:val="0"/>
          <w:numId w:val="9"/>
        </w:num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向</w:t>
      </w:r>
      <w:r>
        <w:rPr>
          <w:rFonts w:hint="eastAsia" w:cs="宋体"/>
          <w:sz w:val="21"/>
          <w:szCs w:val="21"/>
          <w:highlight w:val="none"/>
          <w:u w:val="single"/>
        </w:rPr>
        <w:t xml:space="preserve"> 合肥 </w:t>
      </w:r>
      <w:r>
        <w:rPr>
          <w:rFonts w:hint="eastAsia" w:cs="宋体"/>
          <w:sz w:val="21"/>
          <w:szCs w:val="21"/>
          <w:highlight w:val="none"/>
        </w:rPr>
        <w:t>仲裁委员会申请仲裁；</w:t>
      </w:r>
    </w:p>
    <w:p w14:paraId="1CE9E1A9">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（2）向</w:t>
      </w:r>
      <w:r>
        <w:rPr>
          <w:rFonts w:hint="eastAsia" w:cs="宋体"/>
          <w:sz w:val="21"/>
          <w:szCs w:val="21"/>
          <w:highlight w:val="none"/>
          <w:u w:val="single"/>
        </w:rPr>
        <w:t>工程所在地</w:t>
      </w:r>
      <w:r>
        <w:rPr>
          <w:rFonts w:hint="eastAsia" w:cs="宋体"/>
          <w:sz w:val="21"/>
          <w:szCs w:val="21"/>
          <w:highlight w:val="none"/>
        </w:rPr>
        <w:t>人民法院起诉。</w:t>
      </w:r>
    </w:p>
    <w:p w14:paraId="16568188">
      <w:pPr>
        <w:snapToGrid w:val="0"/>
        <w:spacing w:before="312" w:beforeLines="100" w:after="312" w:afterLines="100" w:line="360" w:lineRule="auto"/>
        <w:outlineLvl w:val="2"/>
        <w:rPr>
          <w:rFonts w:cs="宋体"/>
          <w:sz w:val="21"/>
          <w:szCs w:val="21"/>
          <w:highlight w:val="none"/>
        </w:rPr>
      </w:pPr>
      <w:r>
        <w:rPr>
          <w:rFonts w:hint="eastAsia" w:cs="宋体"/>
          <w:sz w:val="21"/>
          <w:szCs w:val="21"/>
          <w:highlight w:val="none"/>
        </w:rPr>
        <w:t xml:space="preserve">21. 补充条款 </w:t>
      </w:r>
    </w:p>
    <w:p w14:paraId="6132F3B6">
      <w:pPr>
        <w:pStyle w:val="19"/>
        <w:ind w:firstLine="420" w:firstLineChars="200"/>
        <w:rPr>
          <w:highlight w:val="none"/>
          <w:lang w:val="en-US"/>
        </w:rPr>
      </w:pPr>
      <w:r>
        <w:rPr>
          <w:rFonts w:hint="eastAsia" w:cs="宋体"/>
          <w:sz w:val="21"/>
          <w:szCs w:val="21"/>
          <w:highlight w:val="none"/>
          <w:u w:val="single"/>
        </w:rPr>
        <w:t xml:space="preserve">                           </w:t>
      </w:r>
      <w:r>
        <w:rPr>
          <w:rFonts w:hint="eastAsia" w:cs="宋体"/>
          <w:sz w:val="21"/>
          <w:szCs w:val="21"/>
          <w:highlight w:val="none"/>
          <w:u w:val="single"/>
          <w:lang w:val="en-US"/>
        </w:rPr>
        <w:t xml:space="preserve">               </w:t>
      </w:r>
    </w:p>
    <w:p w14:paraId="237156E8">
      <w:pPr>
        <w:snapToGrid w:val="0"/>
        <w:spacing w:line="360" w:lineRule="auto"/>
        <w:rPr>
          <w:rFonts w:cs="宋体"/>
          <w:b/>
          <w:sz w:val="21"/>
          <w:szCs w:val="21"/>
          <w:highlight w:val="none"/>
        </w:rPr>
      </w:pPr>
    </w:p>
    <w:p w14:paraId="2C14E85D">
      <w:pPr>
        <w:snapToGrid w:val="0"/>
        <w:spacing w:line="360" w:lineRule="auto"/>
        <w:rPr>
          <w:rFonts w:cs="宋体"/>
          <w:sz w:val="21"/>
          <w:szCs w:val="21"/>
          <w:highlight w:val="none"/>
        </w:rPr>
      </w:pPr>
      <w:r>
        <w:rPr>
          <w:rFonts w:hint="eastAsia" w:cs="宋体"/>
          <w:sz w:val="21"/>
          <w:szCs w:val="21"/>
          <w:highlight w:val="none"/>
        </w:rPr>
        <w:t>发包人：  （公章）                           承包人：  （公章）</w:t>
      </w:r>
    </w:p>
    <w:p w14:paraId="77F79DFC">
      <w:pPr>
        <w:snapToGrid w:val="0"/>
        <w:spacing w:line="360" w:lineRule="auto"/>
        <w:rPr>
          <w:rFonts w:cs="宋体"/>
          <w:sz w:val="21"/>
          <w:szCs w:val="21"/>
          <w:highlight w:val="none"/>
        </w:rPr>
      </w:pPr>
      <w:r>
        <w:rPr>
          <w:rFonts w:hint="eastAsia" w:cs="宋体"/>
          <w:sz w:val="21"/>
          <w:szCs w:val="21"/>
          <w:highlight w:val="none"/>
        </w:rPr>
        <w:t>法定代表人或其委托代理人：                 法定代表人或其委托代理人：</w:t>
      </w:r>
    </w:p>
    <w:p w14:paraId="61B4AFA1">
      <w:pPr>
        <w:snapToGrid w:val="0"/>
        <w:spacing w:line="360" w:lineRule="auto"/>
        <w:rPr>
          <w:rFonts w:cs="宋体"/>
          <w:sz w:val="21"/>
          <w:szCs w:val="21"/>
          <w:highlight w:val="none"/>
        </w:rPr>
      </w:pPr>
      <w:r>
        <w:rPr>
          <w:rFonts w:hint="eastAsia" w:cs="宋体"/>
          <w:sz w:val="21"/>
          <w:szCs w:val="21"/>
          <w:highlight w:val="none"/>
        </w:rPr>
        <w:t>（签字）                                  （签字）</w:t>
      </w:r>
    </w:p>
    <w:p w14:paraId="580E3889">
      <w:pPr>
        <w:snapToGrid w:val="0"/>
        <w:spacing w:line="360" w:lineRule="auto"/>
        <w:rPr>
          <w:rFonts w:cs="宋体"/>
          <w:sz w:val="21"/>
          <w:szCs w:val="21"/>
          <w:highlight w:val="none"/>
        </w:rPr>
      </w:pPr>
      <w:r>
        <w:rPr>
          <w:rFonts w:hint="eastAsia" w:cs="宋体"/>
          <w:sz w:val="21"/>
          <w:szCs w:val="21"/>
          <w:highlight w:val="none"/>
        </w:rPr>
        <w:t>组织机构代码：</w:t>
      </w:r>
      <w:r>
        <w:rPr>
          <w:rFonts w:hint="eastAsia" w:cs="宋体"/>
          <w:sz w:val="21"/>
          <w:szCs w:val="21"/>
          <w:highlight w:val="none"/>
          <w:u w:val="single"/>
        </w:rPr>
        <w:t xml:space="preserve">       </w:t>
      </w:r>
      <w:r>
        <w:rPr>
          <w:rFonts w:hint="eastAsia" w:cs="宋体"/>
          <w:sz w:val="21"/>
          <w:szCs w:val="21"/>
          <w:highlight w:val="none"/>
        </w:rPr>
        <w:t xml:space="preserve">                组织机构代码：</w:t>
      </w:r>
      <w:r>
        <w:rPr>
          <w:rFonts w:hint="eastAsia" w:cs="宋体"/>
          <w:sz w:val="21"/>
          <w:szCs w:val="21"/>
          <w:highlight w:val="none"/>
          <w:u w:val="single"/>
        </w:rPr>
        <w:t xml:space="preserve">          </w:t>
      </w:r>
      <w:r>
        <w:rPr>
          <w:rFonts w:hint="eastAsia" w:cs="宋体"/>
          <w:sz w:val="21"/>
          <w:szCs w:val="21"/>
          <w:highlight w:val="none"/>
        </w:rPr>
        <w:t xml:space="preserve"> </w:t>
      </w:r>
    </w:p>
    <w:p w14:paraId="4E3A411F">
      <w:pPr>
        <w:snapToGrid w:val="0"/>
        <w:spacing w:line="360" w:lineRule="auto"/>
        <w:rPr>
          <w:rFonts w:cs="宋体"/>
          <w:sz w:val="21"/>
          <w:szCs w:val="21"/>
          <w:highlight w:val="none"/>
        </w:rPr>
      </w:pPr>
      <w:r>
        <w:rPr>
          <w:rFonts w:hint="eastAsia" w:cs="宋体"/>
          <w:sz w:val="21"/>
          <w:szCs w:val="21"/>
          <w:highlight w:val="none"/>
        </w:rPr>
        <w:t>地  址：</w:t>
      </w:r>
      <w:r>
        <w:rPr>
          <w:rFonts w:hint="eastAsia" w:cs="宋体"/>
          <w:sz w:val="21"/>
          <w:szCs w:val="21"/>
          <w:highlight w:val="none"/>
          <w:u w:val="single"/>
        </w:rPr>
        <w:t xml:space="preserve">     </w:t>
      </w:r>
      <w:r>
        <w:rPr>
          <w:rFonts w:hint="eastAsia" w:cs="宋体"/>
          <w:sz w:val="21"/>
          <w:szCs w:val="21"/>
          <w:highlight w:val="none"/>
        </w:rPr>
        <w:t xml:space="preserve">                地  址：</w:t>
      </w:r>
      <w:r>
        <w:rPr>
          <w:rFonts w:hint="eastAsia" w:cs="宋体"/>
          <w:sz w:val="21"/>
          <w:szCs w:val="21"/>
          <w:highlight w:val="none"/>
          <w:u w:val="single"/>
        </w:rPr>
        <w:t xml:space="preserve">        </w:t>
      </w:r>
    </w:p>
    <w:p w14:paraId="4B87E7B5">
      <w:pPr>
        <w:snapToGrid w:val="0"/>
        <w:spacing w:line="360" w:lineRule="auto"/>
        <w:rPr>
          <w:rFonts w:cs="宋体"/>
          <w:sz w:val="21"/>
          <w:szCs w:val="21"/>
          <w:highlight w:val="none"/>
        </w:rPr>
      </w:pPr>
      <w:r>
        <w:rPr>
          <w:rFonts w:hint="eastAsia" w:cs="宋体"/>
          <w:sz w:val="21"/>
          <w:szCs w:val="21"/>
          <w:highlight w:val="none"/>
        </w:rPr>
        <w:t>邮政编码：</w:t>
      </w:r>
      <w:r>
        <w:rPr>
          <w:rFonts w:hint="eastAsia" w:cs="宋体"/>
          <w:sz w:val="21"/>
          <w:szCs w:val="21"/>
          <w:highlight w:val="none"/>
          <w:u w:val="single"/>
        </w:rPr>
        <w:t xml:space="preserve">      </w:t>
      </w:r>
      <w:r>
        <w:rPr>
          <w:rFonts w:hint="eastAsia" w:cs="宋体"/>
          <w:sz w:val="21"/>
          <w:szCs w:val="21"/>
          <w:highlight w:val="none"/>
        </w:rPr>
        <w:t xml:space="preserve">               邮政编码：</w:t>
      </w:r>
      <w:r>
        <w:rPr>
          <w:rFonts w:hint="eastAsia" w:cs="宋体"/>
          <w:sz w:val="21"/>
          <w:szCs w:val="21"/>
          <w:highlight w:val="none"/>
          <w:u w:val="single"/>
        </w:rPr>
        <w:t xml:space="preserve">   </w:t>
      </w:r>
    </w:p>
    <w:p w14:paraId="2ABBFB2C">
      <w:pPr>
        <w:snapToGrid w:val="0"/>
        <w:spacing w:line="360" w:lineRule="auto"/>
        <w:rPr>
          <w:rFonts w:cs="宋体"/>
          <w:sz w:val="21"/>
          <w:szCs w:val="21"/>
          <w:highlight w:val="none"/>
        </w:rPr>
      </w:pPr>
      <w:r>
        <w:rPr>
          <w:rFonts w:hint="eastAsia" w:cs="宋体"/>
          <w:sz w:val="21"/>
          <w:szCs w:val="21"/>
          <w:highlight w:val="none"/>
        </w:rPr>
        <w:t>法定代表人：</w:t>
      </w:r>
      <w:r>
        <w:rPr>
          <w:rFonts w:hint="eastAsia" w:cs="宋体"/>
          <w:sz w:val="21"/>
          <w:szCs w:val="21"/>
          <w:highlight w:val="none"/>
          <w:u w:val="single"/>
        </w:rPr>
        <w:t xml:space="preserve">           </w:t>
      </w:r>
      <w:r>
        <w:rPr>
          <w:rFonts w:hint="eastAsia" w:cs="宋体"/>
          <w:sz w:val="21"/>
          <w:szCs w:val="21"/>
          <w:highlight w:val="none"/>
        </w:rPr>
        <w:t xml:space="preserve">                法定代表人：</w:t>
      </w:r>
      <w:r>
        <w:rPr>
          <w:rFonts w:hint="eastAsia" w:cs="宋体"/>
          <w:sz w:val="21"/>
          <w:szCs w:val="21"/>
          <w:highlight w:val="none"/>
          <w:u w:val="single"/>
        </w:rPr>
        <w:t xml:space="preserve">             </w:t>
      </w:r>
    </w:p>
    <w:p w14:paraId="30478A02">
      <w:pPr>
        <w:snapToGrid w:val="0"/>
        <w:spacing w:line="360" w:lineRule="auto"/>
        <w:rPr>
          <w:rFonts w:cs="宋体"/>
          <w:sz w:val="21"/>
          <w:szCs w:val="21"/>
          <w:highlight w:val="none"/>
        </w:rPr>
      </w:pPr>
      <w:r>
        <w:rPr>
          <w:rFonts w:hint="eastAsia" w:cs="宋体"/>
          <w:sz w:val="21"/>
          <w:szCs w:val="21"/>
          <w:highlight w:val="none"/>
        </w:rPr>
        <w:t>委托代理人：</w:t>
      </w:r>
      <w:r>
        <w:rPr>
          <w:rFonts w:hint="eastAsia" w:cs="宋体"/>
          <w:sz w:val="21"/>
          <w:szCs w:val="21"/>
          <w:highlight w:val="none"/>
          <w:u w:val="single"/>
        </w:rPr>
        <w:t xml:space="preserve">           </w:t>
      </w:r>
      <w:r>
        <w:rPr>
          <w:rFonts w:hint="eastAsia" w:cs="宋体"/>
          <w:sz w:val="21"/>
          <w:szCs w:val="21"/>
          <w:highlight w:val="none"/>
        </w:rPr>
        <w:t xml:space="preserve">                委托代理人：</w:t>
      </w:r>
      <w:r>
        <w:rPr>
          <w:rFonts w:hint="eastAsia" w:cs="宋体"/>
          <w:sz w:val="21"/>
          <w:szCs w:val="21"/>
          <w:highlight w:val="none"/>
          <w:u w:val="single"/>
        </w:rPr>
        <w:t xml:space="preserve">             </w:t>
      </w:r>
    </w:p>
    <w:p w14:paraId="4198FBC6">
      <w:pPr>
        <w:snapToGrid w:val="0"/>
        <w:spacing w:line="360" w:lineRule="auto"/>
        <w:rPr>
          <w:rFonts w:cs="宋体"/>
          <w:sz w:val="21"/>
          <w:szCs w:val="21"/>
          <w:highlight w:val="none"/>
        </w:rPr>
      </w:pPr>
      <w:r>
        <w:rPr>
          <w:rFonts w:hint="eastAsia" w:cs="宋体"/>
          <w:sz w:val="21"/>
          <w:szCs w:val="21"/>
          <w:highlight w:val="none"/>
        </w:rPr>
        <w:t>电  话：</w:t>
      </w:r>
      <w:r>
        <w:rPr>
          <w:rFonts w:hint="eastAsia" w:cs="宋体"/>
          <w:sz w:val="21"/>
          <w:szCs w:val="21"/>
          <w:highlight w:val="none"/>
          <w:u w:val="single"/>
        </w:rPr>
        <w:t xml:space="preserve">   </w:t>
      </w:r>
      <w:r>
        <w:rPr>
          <w:rFonts w:hint="eastAsia" w:cs="宋体"/>
          <w:sz w:val="21"/>
          <w:szCs w:val="21"/>
          <w:highlight w:val="none"/>
        </w:rPr>
        <w:t xml:space="preserve">                电  话：</w:t>
      </w:r>
      <w:r>
        <w:rPr>
          <w:rFonts w:hint="eastAsia" w:cs="宋体"/>
          <w:sz w:val="21"/>
          <w:szCs w:val="21"/>
          <w:highlight w:val="none"/>
          <w:u w:val="single"/>
        </w:rPr>
        <w:t xml:space="preserve">     </w:t>
      </w:r>
    </w:p>
    <w:p w14:paraId="52242381">
      <w:pPr>
        <w:snapToGrid w:val="0"/>
        <w:spacing w:line="360" w:lineRule="auto"/>
        <w:rPr>
          <w:rFonts w:cs="宋体"/>
          <w:sz w:val="21"/>
          <w:szCs w:val="21"/>
          <w:highlight w:val="none"/>
        </w:rPr>
      </w:pPr>
      <w:r>
        <w:rPr>
          <w:rFonts w:hint="eastAsia" w:cs="宋体"/>
          <w:sz w:val="21"/>
          <w:szCs w:val="21"/>
          <w:highlight w:val="none"/>
        </w:rPr>
        <w:t>传  真：</w:t>
      </w:r>
      <w:r>
        <w:rPr>
          <w:rFonts w:hint="eastAsia" w:cs="宋体"/>
          <w:sz w:val="21"/>
          <w:szCs w:val="21"/>
          <w:highlight w:val="none"/>
          <w:u w:val="single"/>
        </w:rPr>
        <w:t xml:space="preserve">   </w:t>
      </w:r>
      <w:r>
        <w:rPr>
          <w:rFonts w:hint="eastAsia" w:cs="宋体"/>
          <w:sz w:val="21"/>
          <w:szCs w:val="21"/>
          <w:highlight w:val="none"/>
        </w:rPr>
        <w:t xml:space="preserve">                传  真：</w:t>
      </w:r>
      <w:r>
        <w:rPr>
          <w:rFonts w:hint="eastAsia" w:cs="宋体"/>
          <w:sz w:val="21"/>
          <w:szCs w:val="21"/>
          <w:highlight w:val="none"/>
          <w:u w:val="single"/>
        </w:rPr>
        <w:t xml:space="preserve">     </w:t>
      </w:r>
    </w:p>
    <w:p w14:paraId="2290BF7A">
      <w:pPr>
        <w:snapToGrid w:val="0"/>
        <w:spacing w:line="360" w:lineRule="auto"/>
        <w:rPr>
          <w:rFonts w:cs="宋体"/>
          <w:sz w:val="21"/>
          <w:szCs w:val="21"/>
          <w:highlight w:val="none"/>
        </w:rPr>
      </w:pPr>
      <w:r>
        <w:rPr>
          <w:rFonts w:hint="eastAsia" w:cs="宋体"/>
          <w:sz w:val="21"/>
          <w:szCs w:val="21"/>
          <w:highlight w:val="none"/>
        </w:rPr>
        <w:t>电子信箱：</w:t>
      </w:r>
      <w:r>
        <w:rPr>
          <w:rFonts w:hint="eastAsia" w:cs="宋体"/>
          <w:sz w:val="21"/>
          <w:szCs w:val="21"/>
          <w:highlight w:val="none"/>
          <w:u w:val="single"/>
        </w:rPr>
        <w:t xml:space="preserve">                 </w:t>
      </w:r>
      <w:r>
        <w:rPr>
          <w:rFonts w:hint="eastAsia" w:cs="宋体"/>
          <w:sz w:val="21"/>
          <w:szCs w:val="21"/>
          <w:highlight w:val="none"/>
        </w:rPr>
        <w:t xml:space="preserve">                电子信箱：</w:t>
      </w:r>
      <w:r>
        <w:rPr>
          <w:rFonts w:hint="eastAsia" w:cs="宋体"/>
          <w:sz w:val="21"/>
          <w:szCs w:val="21"/>
          <w:highlight w:val="none"/>
          <w:u w:val="single"/>
        </w:rPr>
        <w:t xml:space="preserve">   </w:t>
      </w:r>
    </w:p>
    <w:p w14:paraId="687EE14C">
      <w:pPr>
        <w:snapToGrid w:val="0"/>
        <w:spacing w:line="360" w:lineRule="auto"/>
        <w:rPr>
          <w:rFonts w:cs="宋体"/>
          <w:sz w:val="21"/>
          <w:szCs w:val="21"/>
          <w:highlight w:val="none"/>
        </w:rPr>
      </w:pPr>
      <w:r>
        <w:rPr>
          <w:rFonts w:hint="eastAsia" w:cs="宋体"/>
          <w:sz w:val="21"/>
          <w:szCs w:val="21"/>
          <w:highlight w:val="none"/>
        </w:rPr>
        <w:t>开户银行：</w:t>
      </w:r>
      <w:r>
        <w:rPr>
          <w:rFonts w:hint="eastAsia" w:cs="宋体"/>
          <w:sz w:val="21"/>
          <w:szCs w:val="21"/>
          <w:highlight w:val="none"/>
          <w:u w:val="single"/>
        </w:rPr>
        <w:t xml:space="preserve">   </w:t>
      </w:r>
      <w:r>
        <w:rPr>
          <w:rFonts w:hint="eastAsia" w:cs="宋体"/>
          <w:sz w:val="21"/>
          <w:szCs w:val="21"/>
          <w:highlight w:val="none"/>
        </w:rPr>
        <w:t xml:space="preserve">                开户银行：</w:t>
      </w:r>
      <w:r>
        <w:rPr>
          <w:rFonts w:hint="eastAsia" w:cs="宋体"/>
          <w:sz w:val="21"/>
          <w:szCs w:val="21"/>
          <w:highlight w:val="none"/>
          <w:u w:val="single"/>
        </w:rPr>
        <w:t xml:space="preserve">   </w:t>
      </w:r>
    </w:p>
    <w:p w14:paraId="7DE266CD">
      <w:pPr>
        <w:snapToGrid w:val="0"/>
        <w:spacing w:line="360" w:lineRule="auto"/>
        <w:rPr>
          <w:rFonts w:cs="宋体"/>
          <w:sz w:val="21"/>
          <w:szCs w:val="21"/>
          <w:highlight w:val="none"/>
        </w:rPr>
      </w:pPr>
      <w:r>
        <w:rPr>
          <w:rFonts w:hint="eastAsia" w:cs="宋体"/>
          <w:sz w:val="21"/>
          <w:szCs w:val="21"/>
          <w:highlight w:val="none"/>
        </w:rPr>
        <w:t>账  号：</w:t>
      </w:r>
      <w:r>
        <w:rPr>
          <w:rFonts w:hint="eastAsia" w:cs="宋体"/>
          <w:sz w:val="21"/>
          <w:szCs w:val="21"/>
          <w:highlight w:val="none"/>
          <w:u w:val="single"/>
        </w:rPr>
        <w:t xml:space="preserve">       </w:t>
      </w:r>
      <w:r>
        <w:rPr>
          <w:rFonts w:hint="eastAsia" w:cs="宋体"/>
          <w:sz w:val="21"/>
          <w:szCs w:val="21"/>
          <w:highlight w:val="none"/>
        </w:rPr>
        <w:t xml:space="preserve">                账  号：</w:t>
      </w:r>
      <w:r>
        <w:rPr>
          <w:rFonts w:hint="eastAsia" w:cs="宋体"/>
          <w:sz w:val="21"/>
          <w:szCs w:val="21"/>
          <w:highlight w:val="none"/>
          <w:u w:val="single"/>
        </w:rPr>
        <w:t xml:space="preserve">     </w:t>
      </w:r>
    </w:p>
    <w:bookmarkEnd w:id="61"/>
    <w:p w14:paraId="383FB23E">
      <w:pPr>
        <w:snapToGrid w:val="0"/>
        <w:spacing w:line="360" w:lineRule="auto"/>
        <w:rPr>
          <w:rFonts w:cs="宋体"/>
          <w:b/>
          <w:sz w:val="21"/>
          <w:szCs w:val="21"/>
          <w:highlight w:val="none"/>
        </w:rPr>
      </w:pPr>
      <w:r>
        <w:rPr>
          <w:rFonts w:hint="eastAsia" w:cs="宋体"/>
          <w:b/>
          <w:sz w:val="21"/>
          <w:szCs w:val="21"/>
          <w:highlight w:val="none"/>
        </w:rPr>
        <w:t>附件</w:t>
      </w:r>
    </w:p>
    <w:p w14:paraId="1EA5280E">
      <w:pPr>
        <w:snapToGrid w:val="0"/>
        <w:spacing w:line="360" w:lineRule="auto"/>
        <w:rPr>
          <w:rFonts w:cs="宋体"/>
          <w:sz w:val="21"/>
          <w:szCs w:val="21"/>
          <w:highlight w:val="none"/>
        </w:rPr>
      </w:pPr>
      <w:r>
        <w:rPr>
          <w:rFonts w:hint="eastAsia" w:cs="宋体"/>
          <w:sz w:val="21"/>
          <w:szCs w:val="21"/>
          <w:highlight w:val="none"/>
        </w:rPr>
        <w:t>协议书附件：</w:t>
      </w:r>
    </w:p>
    <w:p w14:paraId="047808C0">
      <w:pPr>
        <w:snapToGrid w:val="0"/>
        <w:spacing w:line="360" w:lineRule="auto"/>
        <w:rPr>
          <w:rFonts w:cs="宋体"/>
          <w:sz w:val="21"/>
          <w:szCs w:val="21"/>
          <w:highlight w:val="none"/>
        </w:rPr>
      </w:pPr>
      <w:bookmarkStart w:id="595" w:name="_Toc128950221"/>
      <w:r>
        <w:rPr>
          <w:rFonts w:hint="eastAsia" w:cs="宋体"/>
          <w:sz w:val="21"/>
          <w:szCs w:val="21"/>
          <w:highlight w:val="none"/>
        </w:rPr>
        <w:t>附件1：承包人承揽工程项目一览表</w:t>
      </w:r>
      <w:bookmarkEnd w:id="595"/>
    </w:p>
    <w:p w14:paraId="21847036">
      <w:pPr>
        <w:snapToGrid w:val="0"/>
        <w:spacing w:line="360" w:lineRule="auto"/>
        <w:rPr>
          <w:rFonts w:cs="宋体"/>
          <w:sz w:val="21"/>
          <w:szCs w:val="21"/>
          <w:highlight w:val="none"/>
        </w:rPr>
      </w:pPr>
    </w:p>
    <w:p w14:paraId="4759BD48">
      <w:pPr>
        <w:snapToGrid w:val="0"/>
        <w:spacing w:line="360" w:lineRule="auto"/>
        <w:rPr>
          <w:rFonts w:cs="宋体"/>
          <w:sz w:val="21"/>
          <w:szCs w:val="21"/>
          <w:highlight w:val="none"/>
        </w:rPr>
      </w:pPr>
      <w:r>
        <w:rPr>
          <w:rFonts w:hint="eastAsia" w:cs="宋体"/>
          <w:sz w:val="21"/>
          <w:szCs w:val="21"/>
          <w:highlight w:val="none"/>
        </w:rPr>
        <w:t>专用合同条款附件：</w:t>
      </w:r>
    </w:p>
    <w:p w14:paraId="23059B62">
      <w:pPr>
        <w:snapToGrid w:val="0"/>
        <w:spacing w:line="360" w:lineRule="auto"/>
        <w:rPr>
          <w:rFonts w:cs="宋体"/>
          <w:sz w:val="21"/>
          <w:szCs w:val="21"/>
          <w:highlight w:val="none"/>
        </w:rPr>
      </w:pPr>
      <w:bookmarkStart w:id="596" w:name="_Toc128950222"/>
      <w:r>
        <w:rPr>
          <w:rFonts w:hint="eastAsia" w:cs="宋体"/>
          <w:sz w:val="21"/>
          <w:szCs w:val="21"/>
          <w:highlight w:val="none"/>
        </w:rPr>
        <w:t>附件2：发包人供应材料设备一览表</w:t>
      </w:r>
      <w:bookmarkEnd w:id="596"/>
    </w:p>
    <w:p w14:paraId="3A740E59">
      <w:pPr>
        <w:snapToGrid w:val="0"/>
        <w:spacing w:line="360" w:lineRule="auto"/>
        <w:rPr>
          <w:rFonts w:cs="宋体"/>
          <w:sz w:val="21"/>
          <w:szCs w:val="21"/>
          <w:highlight w:val="none"/>
        </w:rPr>
      </w:pPr>
      <w:bookmarkStart w:id="597" w:name="_Toc128950223"/>
      <w:r>
        <w:rPr>
          <w:rFonts w:hint="eastAsia" w:cs="宋体"/>
          <w:sz w:val="21"/>
          <w:szCs w:val="21"/>
          <w:highlight w:val="none"/>
        </w:rPr>
        <w:t>附件3：工程质量保修书</w:t>
      </w:r>
      <w:bookmarkEnd w:id="597"/>
    </w:p>
    <w:p w14:paraId="5AD93ED1">
      <w:pPr>
        <w:snapToGrid w:val="0"/>
        <w:spacing w:line="360" w:lineRule="auto"/>
        <w:rPr>
          <w:rFonts w:cs="宋体"/>
          <w:sz w:val="21"/>
          <w:szCs w:val="21"/>
          <w:highlight w:val="none"/>
        </w:rPr>
      </w:pPr>
      <w:bookmarkStart w:id="598" w:name="_Toc128950224"/>
      <w:r>
        <w:rPr>
          <w:rFonts w:hint="eastAsia" w:cs="宋体"/>
          <w:sz w:val="21"/>
          <w:szCs w:val="21"/>
          <w:highlight w:val="none"/>
        </w:rPr>
        <w:t>附件4：主要建设工程文件目录</w:t>
      </w:r>
      <w:bookmarkEnd w:id="598"/>
    </w:p>
    <w:p w14:paraId="26D4BA2D">
      <w:pPr>
        <w:snapToGrid w:val="0"/>
        <w:spacing w:line="360" w:lineRule="auto"/>
        <w:rPr>
          <w:rFonts w:cs="宋体"/>
          <w:sz w:val="21"/>
          <w:szCs w:val="21"/>
          <w:highlight w:val="none"/>
        </w:rPr>
      </w:pPr>
      <w:bookmarkStart w:id="599" w:name="_Toc128950225"/>
      <w:r>
        <w:rPr>
          <w:rFonts w:hint="eastAsia" w:cs="宋体"/>
          <w:sz w:val="21"/>
          <w:szCs w:val="21"/>
          <w:highlight w:val="none"/>
        </w:rPr>
        <w:t>附件5：承包人用于本工程施工的机械设备表</w:t>
      </w:r>
      <w:bookmarkEnd w:id="599"/>
    </w:p>
    <w:p w14:paraId="46B4D632">
      <w:pPr>
        <w:snapToGrid w:val="0"/>
        <w:spacing w:line="360" w:lineRule="auto"/>
        <w:rPr>
          <w:rFonts w:cs="宋体"/>
          <w:sz w:val="21"/>
          <w:szCs w:val="21"/>
          <w:highlight w:val="none"/>
        </w:rPr>
      </w:pPr>
      <w:bookmarkStart w:id="600" w:name="_Toc128950226"/>
      <w:r>
        <w:rPr>
          <w:rFonts w:hint="eastAsia" w:cs="宋体"/>
          <w:sz w:val="21"/>
          <w:szCs w:val="21"/>
          <w:highlight w:val="none"/>
        </w:rPr>
        <w:t>附件6：承包人主要施工管理人员表</w:t>
      </w:r>
      <w:bookmarkEnd w:id="600"/>
    </w:p>
    <w:p w14:paraId="42003AF3">
      <w:pPr>
        <w:snapToGrid w:val="0"/>
        <w:spacing w:line="360" w:lineRule="auto"/>
        <w:rPr>
          <w:rFonts w:cs="宋体"/>
          <w:sz w:val="21"/>
          <w:szCs w:val="21"/>
          <w:highlight w:val="none"/>
        </w:rPr>
      </w:pPr>
      <w:bookmarkStart w:id="601" w:name="_Toc128950227"/>
      <w:r>
        <w:rPr>
          <w:rFonts w:hint="eastAsia" w:cs="宋体"/>
          <w:sz w:val="21"/>
          <w:szCs w:val="21"/>
          <w:highlight w:val="none"/>
        </w:rPr>
        <w:t>附件7：分包人主要施工管理人员表</w:t>
      </w:r>
      <w:bookmarkEnd w:id="601"/>
    </w:p>
    <w:p w14:paraId="6BF53D59">
      <w:pPr>
        <w:snapToGrid w:val="0"/>
        <w:spacing w:line="360" w:lineRule="auto"/>
        <w:rPr>
          <w:rFonts w:cs="宋体"/>
          <w:sz w:val="21"/>
          <w:szCs w:val="21"/>
          <w:highlight w:val="none"/>
        </w:rPr>
      </w:pPr>
      <w:bookmarkStart w:id="602" w:name="_Toc128950228"/>
      <w:r>
        <w:rPr>
          <w:rFonts w:hint="eastAsia" w:cs="宋体"/>
          <w:sz w:val="21"/>
          <w:szCs w:val="21"/>
          <w:highlight w:val="none"/>
        </w:rPr>
        <w:t>附件8：廉政协议</w:t>
      </w:r>
      <w:bookmarkEnd w:id="602"/>
    </w:p>
    <w:p w14:paraId="351CF058">
      <w:pPr>
        <w:snapToGrid w:val="0"/>
        <w:spacing w:line="360" w:lineRule="auto"/>
        <w:rPr>
          <w:rFonts w:cs="宋体"/>
          <w:sz w:val="21"/>
          <w:szCs w:val="21"/>
          <w:highlight w:val="none"/>
        </w:rPr>
      </w:pPr>
      <w:bookmarkStart w:id="603" w:name="_Toc128950229"/>
      <w:r>
        <w:rPr>
          <w:rFonts w:hint="eastAsia" w:cs="宋体"/>
          <w:sz w:val="21"/>
          <w:szCs w:val="21"/>
          <w:highlight w:val="none"/>
        </w:rPr>
        <w:t>附件9：履约保证金格式</w:t>
      </w:r>
      <w:bookmarkEnd w:id="603"/>
    </w:p>
    <w:p w14:paraId="36A759CA">
      <w:pPr>
        <w:snapToGrid w:val="0"/>
        <w:spacing w:line="360" w:lineRule="auto"/>
        <w:rPr>
          <w:rFonts w:cs="宋体"/>
          <w:sz w:val="21"/>
          <w:szCs w:val="21"/>
          <w:highlight w:val="none"/>
        </w:rPr>
      </w:pPr>
      <w:bookmarkStart w:id="604" w:name="_Toc128950230"/>
      <w:r>
        <w:rPr>
          <w:rFonts w:hint="eastAsia" w:cs="宋体"/>
          <w:sz w:val="21"/>
          <w:szCs w:val="21"/>
          <w:highlight w:val="none"/>
        </w:rPr>
        <w:t>附件10：预付款担保格式</w:t>
      </w:r>
      <w:bookmarkEnd w:id="604"/>
    </w:p>
    <w:p w14:paraId="44F694C0">
      <w:pPr>
        <w:snapToGrid w:val="0"/>
        <w:spacing w:line="360" w:lineRule="auto"/>
        <w:rPr>
          <w:rFonts w:cs="宋体"/>
          <w:sz w:val="21"/>
          <w:szCs w:val="21"/>
          <w:highlight w:val="none"/>
        </w:rPr>
      </w:pPr>
      <w:bookmarkStart w:id="605" w:name="_Toc128950231"/>
      <w:r>
        <w:rPr>
          <w:rFonts w:hint="eastAsia" w:cs="宋体"/>
          <w:sz w:val="21"/>
          <w:szCs w:val="21"/>
          <w:highlight w:val="none"/>
        </w:rPr>
        <w:t>附件11：支付担保格式</w:t>
      </w:r>
      <w:bookmarkEnd w:id="605"/>
    </w:p>
    <w:p w14:paraId="723C27FA">
      <w:pPr>
        <w:snapToGrid w:val="0"/>
        <w:spacing w:line="360" w:lineRule="auto"/>
        <w:rPr>
          <w:rFonts w:cs="宋体"/>
          <w:sz w:val="21"/>
          <w:szCs w:val="21"/>
          <w:highlight w:val="none"/>
        </w:rPr>
      </w:pPr>
      <w:bookmarkStart w:id="606" w:name="_Toc128950232"/>
      <w:r>
        <w:rPr>
          <w:rFonts w:hint="eastAsia" w:cs="宋体"/>
          <w:sz w:val="21"/>
          <w:szCs w:val="21"/>
          <w:highlight w:val="none"/>
        </w:rPr>
        <w:t>附件12：暂估价一览表</w:t>
      </w:r>
      <w:bookmarkEnd w:id="606"/>
    </w:p>
    <w:p w14:paraId="2FF2A0B4">
      <w:pPr>
        <w:snapToGrid w:val="0"/>
        <w:spacing w:line="360" w:lineRule="auto"/>
        <w:rPr>
          <w:rFonts w:cs="宋体"/>
          <w:sz w:val="21"/>
          <w:szCs w:val="21"/>
          <w:highlight w:val="none"/>
        </w:rPr>
      </w:pPr>
      <w:bookmarkStart w:id="607" w:name="_Toc128950233"/>
      <w:r>
        <w:rPr>
          <w:rFonts w:hint="eastAsia" w:cs="宋体"/>
          <w:sz w:val="21"/>
          <w:szCs w:val="21"/>
          <w:highlight w:val="none"/>
        </w:rPr>
        <w:t>附件13：安全生产合同</w:t>
      </w:r>
      <w:bookmarkEnd w:id="607"/>
    </w:p>
    <w:p w14:paraId="25C0C3E8">
      <w:pPr>
        <w:snapToGrid w:val="0"/>
        <w:spacing w:line="360" w:lineRule="auto"/>
        <w:rPr>
          <w:rFonts w:cs="宋体"/>
          <w:sz w:val="21"/>
          <w:szCs w:val="21"/>
          <w:highlight w:val="none"/>
        </w:rPr>
      </w:pPr>
      <w:bookmarkStart w:id="608" w:name="_Toc128950234"/>
      <w:r>
        <w:rPr>
          <w:rFonts w:hint="eastAsia" w:cs="宋体"/>
          <w:sz w:val="21"/>
          <w:szCs w:val="21"/>
          <w:highlight w:val="none"/>
        </w:rPr>
        <w:t>附件14：项目经理质量终身责任制承诺</w:t>
      </w:r>
      <w:bookmarkEnd w:id="608"/>
    </w:p>
    <w:p w14:paraId="598DFF58">
      <w:pPr>
        <w:snapToGrid w:val="0"/>
        <w:spacing w:before="312" w:beforeLines="100" w:after="312" w:afterLines="100" w:line="360" w:lineRule="auto"/>
        <w:outlineLvl w:val="2"/>
        <w:rPr>
          <w:rFonts w:ascii="Times New Roman" w:eastAsia="黑体"/>
          <w:szCs w:val="24"/>
          <w:highlight w:val="none"/>
        </w:rPr>
      </w:pPr>
      <w:r>
        <w:rPr>
          <w:rFonts w:hint="eastAsia" w:cs="宋体"/>
          <w:bCs/>
          <w:sz w:val="21"/>
          <w:szCs w:val="21"/>
          <w:highlight w:val="none"/>
        </w:rPr>
        <w:br w:type="page"/>
      </w:r>
      <w:bookmarkStart w:id="609" w:name="_Toc128950235"/>
      <w:r>
        <w:rPr>
          <w:rFonts w:hint="eastAsia" w:ascii="Times New Roman" w:eastAsia="黑体"/>
          <w:szCs w:val="24"/>
          <w:highlight w:val="none"/>
        </w:rPr>
        <w:t>附件</w:t>
      </w:r>
      <w:r>
        <w:rPr>
          <w:rFonts w:ascii="Times New Roman" w:eastAsia="黑体"/>
          <w:szCs w:val="24"/>
          <w:highlight w:val="none"/>
        </w:rPr>
        <w:t>1</w:t>
      </w:r>
      <w:r>
        <w:rPr>
          <w:rFonts w:hint="eastAsia" w:ascii="Times New Roman" w:eastAsia="黑体"/>
          <w:szCs w:val="24"/>
          <w:highlight w:val="none"/>
        </w:rPr>
        <w:t>：承包人承揽工程项目一览表</w:t>
      </w:r>
      <w:bookmarkEnd w:id="609"/>
    </w:p>
    <w:p w14:paraId="09E47318">
      <w:pPr>
        <w:spacing w:line="360" w:lineRule="auto"/>
        <w:jc w:val="center"/>
        <w:rPr>
          <w:rFonts w:cs="宋体"/>
          <w:sz w:val="22"/>
          <w:szCs w:val="21"/>
          <w:highlight w:val="none"/>
        </w:rPr>
      </w:pPr>
      <w:r>
        <w:rPr>
          <w:rFonts w:hint="eastAsia" w:cs="宋体"/>
          <w:sz w:val="22"/>
          <w:szCs w:val="21"/>
          <w:highlight w:val="none"/>
        </w:rPr>
        <w:t>承包人承揽工程项目一览表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58BEF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vAlign w:val="center"/>
          </w:tcPr>
          <w:p w14:paraId="26CCBABC">
            <w:pPr>
              <w:keepNext/>
              <w:snapToGrid w:val="0"/>
              <w:spacing w:line="360" w:lineRule="auto"/>
              <w:jc w:val="center"/>
              <w:rPr>
                <w:rFonts w:cs="宋体"/>
                <w:sz w:val="22"/>
                <w:szCs w:val="21"/>
                <w:highlight w:val="none"/>
              </w:rPr>
            </w:pPr>
            <w:r>
              <w:rPr>
                <w:rFonts w:hint="eastAsia" w:cs="宋体"/>
                <w:sz w:val="22"/>
                <w:szCs w:val="21"/>
                <w:highlight w:val="none"/>
              </w:rPr>
              <w:t>单位工程名称</w:t>
            </w:r>
          </w:p>
        </w:tc>
        <w:tc>
          <w:tcPr>
            <w:tcW w:w="413" w:type="pct"/>
            <w:tcBorders>
              <w:top w:val="single" w:color="auto" w:sz="12" w:space="0"/>
              <w:bottom w:val="double" w:color="auto" w:sz="6" w:space="0"/>
            </w:tcBorders>
            <w:vAlign w:val="center"/>
          </w:tcPr>
          <w:p w14:paraId="4646CB0F">
            <w:pPr>
              <w:keepNext/>
              <w:snapToGrid w:val="0"/>
              <w:spacing w:line="360" w:lineRule="auto"/>
              <w:jc w:val="center"/>
              <w:rPr>
                <w:rFonts w:cs="宋体"/>
                <w:sz w:val="22"/>
                <w:szCs w:val="21"/>
                <w:highlight w:val="none"/>
              </w:rPr>
            </w:pPr>
            <w:r>
              <w:rPr>
                <w:rFonts w:hint="eastAsia" w:cs="宋体"/>
                <w:sz w:val="22"/>
                <w:szCs w:val="21"/>
                <w:highlight w:val="none"/>
              </w:rPr>
              <w:t>建设规模</w:t>
            </w:r>
          </w:p>
        </w:tc>
        <w:tc>
          <w:tcPr>
            <w:tcW w:w="778" w:type="pct"/>
            <w:tcBorders>
              <w:top w:val="single" w:color="auto" w:sz="12" w:space="0"/>
              <w:bottom w:val="double" w:color="auto" w:sz="6" w:space="0"/>
            </w:tcBorders>
            <w:vAlign w:val="center"/>
          </w:tcPr>
          <w:p w14:paraId="5E629E28">
            <w:pPr>
              <w:keepNext/>
              <w:snapToGrid w:val="0"/>
              <w:spacing w:line="360" w:lineRule="auto"/>
              <w:jc w:val="center"/>
              <w:rPr>
                <w:rFonts w:cs="宋体"/>
                <w:sz w:val="22"/>
                <w:szCs w:val="21"/>
                <w:highlight w:val="none"/>
              </w:rPr>
            </w:pPr>
            <w:r>
              <w:rPr>
                <w:rFonts w:hint="eastAsia" w:cs="宋体"/>
                <w:sz w:val="22"/>
                <w:szCs w:val="21"/>
                <w:highlight w:val="none"/>
              </w:rPr>
              <w:t>建筑面积（平方米）</w:t>
            </w:r>
          </w:p>
        </w:tc>
        <w:tc>
          <w:tcPr>
            <w:tcW w:w="413" w:type="pct"/>
            <w:tcBorders>
              <w:top w:val="single" w:color="auto" w:sz="12" w:space="0"/>
              <w:bottom w:val="double" w:color="auto" w:sz="6" w:space="0"/>
            </w:tcBorders>
            <w:vAlign w:val="center"/>
          </w:tcPr>
          <w:p w14:paraId="60B8DBA1">
            <w:pPr>
              <w:keepNext/>
              <w:snapToGrid w:val="0"/>
              <w:spacing w:line="360" w:lineRule="auto"/>
              <w:jc w:val="center"/>
              <w:rPr>
                <w:rFonts w:cs="宋体"/>
                <w:sz w:val="22"/>
                <w:szCs w:val="21"/>
                <w:highlight w:val="none"/>
              </w:rPr>
            </w:pPr>
            <w:r>
              <w:rPr>
                <w:rFonts w:hint="eastAsia" w:cs="宋体"/>
                <w:sz w:val="22"/>
                <w:szCs w:val="21"/>
                <w:highlight w:val="none"/>
              </w:rPr>
              <w:t>结构形式</w:t>
            </w:r>
          </w:p>
        </w:tc>
        <w:tc>
          <w:tcPr>
            <w:tcW w:w="240" w:type="pct"/>
            <w:tcBorders>
              <w:top w:val="single" w:color="auto" w:sz="12" w:space="0"/>
              <w:bottom w:val="double" w:color="auto" w:sz="6" w:space="0"/>
            </w:tcBorders>
            <w:vAlign w:val="center"/>
          </w:tcPr>
          <w:p w14:paraId="4204EB35">
            <w:pPr>
              <w:keepNext/>
              <w:snapToGrid w:val="0"/>
              <w:spacing w:line="360" w:lineRule="auto"/>
              <w:jc w:val="center"/>
              <w:rPr>
                <w:rFonts w:cs="宋体"/>
                <w:sz w:val="22"/>
                <w:szCs w:val="21"/>
                <w:highlight w:val="none"/>
              </w:rPr>
            </w:pPr>
            <w:r>
              <w:rPr>
                <w:rFonts w:hint="eastAsia" w:cs="宋体"/>
                <w:sz w:val="22"/>
                <w:szCs w:val="21"/>
                <w:highlight w:val="none"/>
              </w:rPr>
              <w:t>层数</w:t>
            </w:r>
          </w:p>
        </w:tc>
        <w:tc>
          <w:tcPr>
            <w:tcW w:w="413" w:type="pct"/>
            <w:tcBorders>
              <w:top w:val="single" w:color="auto" w:sz="12" w:space="0"/>
              <w:bottom w:val="double" w:color="auto" w:sz="6" w:space="0"/>
            </w:tcBorders>
            <w:vAlign w:val="center"/>
          </w:tcPr>
          <w:p w14:paraId="4DF426B2">
            <w:pPr>
              <w:keepNext/>
              <w:snapToGrid w:val="0"/>
              <w:spacing w:line="360" w:lineRule="auto"/>
              <w:jc w:val="center"/>
              <w:rPr>
                <w:rFonts w:cs="宋体"/>
                <w:sz w:val="22"/>
                <w:szCs w:val="21"/>
                <w:highlight w:val="none"/>
              </w:rPr>
            </w:pPr>
            <w:r>
              <w:rPr>
                <w:rFonts w:hint="eastAsia" w:cs="宋体"/>
                <w:sz w:val="22"/>
                <w:szCs w:val="21"/>
                <w:highlight w:val="none"/>
              </w:rPr>
              <w:t>生产能力</w:t>
            </w:r>
          </w:p>
        </w:tc>
        <w:tc>
          <w:tcPr>
            <w:tcW w:w="587" w:type="pct"/>
            <w:tcBorders>
              <w:top w:val="single" w:color="auto" w:sz="12" w:space="0"/>
              <w:bottom w:val="double" w:color="auto" w:sz="6" w:space="0"/>
            </w:tcBorders>
            <w:vAlign w:val="center"/>
          </w:tcPr>
          <w:p w14:paraId="22BAA8E5">
            <w:pPr>
              <w:keepNext/>
              <w:snapToGrid w:val="0"/>
              <w:spacing w:line="360" w:lineRule="auto"/>
              <w:jc w:val="center"/>
              <w:rPr>
                <w:rFonts w:cs="宋体"/>
                <w:sz w:val="22"/>
                <w:szCs w:val="21"/>
                <w:highlight w:val="none"/>
              </w:rPr>
            </w:pPr>
            <w:r>
              <w:rPr>
                <w:rFonts w:hint="eastAsia" w:cs="宋体"/>
                <w:sz w:val="22"/>
                <w:szCs w:val="21"/>
                <w:highlight w:val="none"/>
              </w:rPr>
              <w:t>设备安装内容</w:t>
            </w:r>
          </w:p>
        </w:tc>
        <w:tc>
          <w:tcPr>
            <w:tcW w:w="744" w:type="pct"/>
            <w:tcBorders>
              <w:top w:val="single" w:color="auto" w:sz="12" w:space="0"/>
              <w:bottom w:val="double" w:color="auto" w:sz="6" w:space="0"/>
            </w:tcBorders>
            <w:vAlign w:val="center"/>
          </w:tcPr>
          <w:p w14:paraId="25B105E6">
            <w:pPr>
              <w:keepNext/>
              <w:snapToGrid w:val="0"/>
              <w:spacing w:line="360" w:lineRule="auto"/>
              <w:jc w:val="center"/>
              <w:rPr>
                <w:rFonts w:cs="宋体"/>
                <w:sz w:val="22"/>
                <w:szCs w:val="21"/>
                <w:highlight w:val="none"/>
              </w:rPr>
            </w:pPr>
            <w:r>
              <w:rPr>
                <w:rFonts w:hint="eastAsia" w:cs="宋体"/>
                <w:sz w:val="22"/>
                <w:szCs w:val="21"/>
                <w:highlight w:val="none"/>
              </w:rPr>
              <w:t>合同价格（元）</w:t>
            </w:r>
          </w:p>
        </w:tc>
        <w:tc>
          <w:tcPr>
            <w:tcW w:w="413" w:type="pct"/>
            <w:tcBorders>
              <w:top w:val="single" w:color="auto" w:sz="12" w:space="0"/>
              <w:bottom w:val="double" w:color="auto" w:sz="6" w:space="0"/>
            </w:tcBorders>
            <w:vAlign w:val="center"/>
          </w:tcPr>
          <w:p w14:paraId="3E4EC57A">
            <w:pPr>
              <w:keepNext/>
              <w:snapToGrid w:val="0"/>
              <w:spacing w:line="360" w:lineRule="auto"/>
              <w:jc w:val="center"/>
              <w:rPr>
                <w:rFonts w:cs="宋体"/>
                <w:sz w:val="22"/>
                <w:szCs w:val="21"/>
                <w:highlight w:val="none"/>
              </w:rPr>
            </w:pPr>
            <w:r>
              <w:rPr>
                <w:rFonts w:hint="eastAsia" w:cs="宋体"/>
                <w:sz w:val="22"/>
                <w:szCs w:val="21"/>
                <w:highlight w:val="none"/>
              </w:rPr>
              <w:t>开工日期</w:t>
            </w:r>
          </w:p>
        </w:tc>
        <w:tc>
          <w:tcPr>
            <w:tcW w:w="413" w:type="pct"/>
            <w:tcBorders>
              <w:top w:val="single" w:color="auto" w:sz="12" w:space="0"/>
              <w:bottom w:val="double" w:color="auto" w:sz="6" w:space="0"/>
            </w:tcBorders>
            <w:vAlign w:val="center"/>
          </w:tcPr>
          <w:p w14:paraId="284DAC6B">
            <w:pPr>
              <w:keepNext/>
              <w:snapToGrid w:val="0"/>
              <w:spacing w:line="360" w:lineRule="auto"/>
              <w:jc w:val="center"/>
              <w:rPr>
                <w:rFonts w:cs="宋体"/>
                <w:sz w:val="22"/>
                <w:szCs w:val="21"/>
                <w:highlight w:val="none"/>
              </w:rPr>
            </w:pPr>
            <w:r>
              <w:rPr>
                <w:rFonts w:hint="eastAsia" w:cs="宋体"/>
                <w:sz w:val="22"/>
                <w:szCs w:val="21"/>
                <w:highlight w:val="none"/>
              </w:rPr>
              <w:t>竣工日期</w:t>
            </w:r>
          </w:p>
        </w:tc>
      </w:tr>
      <w:tr w14:paraId="2A31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vAlign w:val="center"/>
          </w:tcPr>
          <w:p w14:paraId="26F13785">
            <w:pPr>
              <w:keepNext/>
              <w:snapToGrid w:val="0"/>
              <w:spacing w:line="360" w:lineRule="auto"/>
              <w:jc w:val="center"/>
              <w:rPr>
                <w:rFonts w:cs="宋体"/>
                <w:sz w:val="22"/>
                <w:szCs w:val="21"/>
                <w:highlight w:val="none"/>
              </w:rPr>
            </w:pPr>
          </w:p>
        </w:tc>
        <w:tc>
          <w:tcPr>
            <w:tcW w:w="413" w:type="pct"/>
            <w:tcBorders>
              <w:top w:val="double" w:color="auto" w:sz="6" w:space="0"/>
            </w:tcBorders>
            <w:vAlign w:val="center"/>
          </w:tcPr>
          <w:p w14:paraId="51A2E5E7">
            <w:pPr>
              <w:keepNext/>
              <w:snapToGrid w:val="0"/>
              <w:spacing w:line="360" w:lineRule="auto"/>
              <w:jc w:val="center"/>
              <w:rPr>
                <w:rFonts w:cs="宋体"/>
                <w:sz w:val="22"/>
                <w:szCs w:val="21"/>
                <w:highlight w:val="none"/>
              </w:rPr>
            </w:pPr>
          </w:p>
        </w:tc>
        <w:tc>
          <w:tcPr>
            <w:tcW w:w="778" w:type="pct"/>
            <w:tcBorders>
              <w:top w:val="double" w:color="auto" w:sz="6" w:space="0"/>
            </w:tcBorders>
            <w:vAlign w:val="center"/>
          </w:tcPr>
          <w:p w14:paraId="650666A2">
            <w:pPr>
              <w:keepNext/>
              <w:snapToGrid w:val="0"/>
              <w:spacing w:line="360" w:lineRule="auto"/>
              <w:jc w:val="center"/>
              <w:rPr>
                <w:rFonts w:cs="宋体"/>
                <w:sz w:val="22"/>
                <w:szCs w:val="21"/>
                <w:highlight w:val="none"/>
              </w:rPr>
            </w:pPr>
          </w:p>
        </w:tc>
        <w:tc>
          <w:tcPr>
            <w:tcW w:w="413" w:type="pct"/>
            <w:tcBorders>
              <w:top w:val="double" w:color="auto" w:sz="6" w:space="0"/>
            </w:tcBorders>
            <w:vAlign w:val="center"/>
          </w:tcPr>
          <w:p w14:paraId="39453A0C">
            <w:pPr>
              <w:keepNext/>
              <w:snapToGrid w:val="0"/>
              <w:spacing w:line="360" w:lineRule="auto"/>
              <w:jc w:val="center"/>
              <w:rPr>
                <w:rFonts w:cs="宋体"/>
                <w:sz w:val="22"/>
                <w:szCs w:val="21"/>
                <w:highlight w:val="none"/>
              </w:rPr>
            </w:pPr>
          </w:p>
        </w:tc>
        <w:tc>
          <w:tcPr>
            <w:tcW w:w="240" w:type="pct"/>
            <w:tcBorders>
              <w:top w:val="double" w:color="auto" w:sz="6" w:space="0"/>
            </w:tcBorders>
            <w:vAlign w:val="center"/>
          </w:tcPr>
          <w:p w14:paraId="52CE2772">
            <w:pPr>
              <w:keepNext/>
              <w:snapToGrid w:val="0"/>
              <w:spacing w:line="360" w:lineRule="auto"/>
              <w:jc w:val="center"/>
              <w:rPr>
                <w:rFonts w:cs="宋体"/>
                <w:sz w:val="22"/>
                <w:szCs w:val="21"/>
                <w:highlight w:val="none"/>
              </w:rPr>
            </w:pPr>
          </w:p>
        </w:tc>
        <w:tc>
          <w:tcPr>
            <w:tcW w:w="413" w:type="pct"/>
            <w:tcBorders>
              <w:top w:val="double" w:color="auto" w:sz="6" w:space="0"/>
            </w:tcBorders>
            <w:vAlign w:val="center"/>
          </w:tcPr>
          <w:p w14:paraId="09D3C792">
            <w:pPr>
              <w:keepNext/>
              <w:snapToGrid w:val="0"/>
              <w:spacing w:line="360" w:lineRule="auto"/>
              <w:jc w:val="center"/>
              <w:rPr>
                <w:rFonts w:cs="宋体"/>
                <w:sz w:val="22"/>
                <w:szCs w:val="21"/>
                <w:highlight w:val="none"/>
              </w:rPr>
            </w:pPr>
          </w:p>
        </w:tc>
        <w:tc>
          <w:tcPr>
            <w:tcW w:w="587" w:type="pct"/>
            <w:tcBorders>
              <w:top w:val="double" w:color="auto" w:sz="6" w:space="0"/>
            </w:tcBorders>
            <w:vAlign w:val="center"/>
          </w:tcPr>
          <w:p w14:paraId="4CC492AF">
            <w:pPr>
              <w:keepNext/>
              <w:snapToGrid w:val="0"/>
              <w:spacing w:line="360" w:lineRule="auto"/>
              <w:jc w:val="center"/>
              <w:rPr>
                <w:rFonts w:cs="宋体"/>
                <w:sz w:val="22"/>
                <w:szCs w:val="21"/>
                <w:highlight w:val="none"/>
              </w:rPr>
            </w:pPr>
          </w:p>
        </w:tc>
        <w:tc>
          <w:tcPr>
            <w:tcW w:w="744" w:type="pct"/>
            <w:tcBorders>
              <w:top w:val="double" w:color="auto" w:sz="6" w:space="0"/>
            </w:tcBorders>
            <w:vAlign w:val="center"/>
          </w:tcPr>
          <w:p w14:paraId="336633AF">
            <w:pPr>
              <w:keepNext/>
              <w:snapToGrid w:val="0"/>
              <w:spacing w:line="360" w:lineRule="auto"/>
              <w:jc w:val="center"/>
              <w:rPr>
                <w:rFonts w:cs="宋体"/>
                <w:sz w:val="22"/>
                <w:szCs w:val="21"/>
                <w:highlight w:val="none"/>
              </w:rPr>
            </w:pPr>
          </w:p>
        </w:tc>
        <w:tc>
          <w:tcPr>
            <w:tcW w:w="413" w:type="pct"/>
            <w:tcBorders>
              <w:top w:val="double" w:color="auto" w:sz="6" w:space="0"/>
            </w:tcBorders>
            <w:vAlign w:val="center"/>
          </w:tcPr>
          <w:p w14:paraId="778AF8C7">
            <w:pPr>
              <w:keepNext/>
              <w:snapToGrid w:val="0"/>
              <w:spacing w:line="360" w:lineRule="auto"/>
              <w:jc w:val="center"/>
              <w:rPr>
                <w:rFonts w:cs="宋体"/>
                <w:sz w:val="22"/>
                <w:szCs w:val="21"/>
                <w:highlight w:val="none"/>
              </w:rPr>
            </w:pPr>
          </w:p>
        </w:tc>
        <w:tc>
          <w:tcPr>
            <w:tcW w:w="413" w:type="pct"/>
            <w:tcBorders>
              <w:top w:val="double" w:color="auto" w:sz="6" w:space="0"/>
            </w:tcBorders>
            <w:vAlign w:val="center"/>
          </w:tcPr>
          <w:p w14:paraId="0D0B61F7">
            <w:pPr>
              <w:keepNext/>
              <w:snapToGrid w:val="0"/>
              <w:spacing w:line="360" w:lineRule="auto"/>
              <w:jc w:val="center"/>
              <w:rPr>
                <w:rFonts w:cs="宋体"/>
                <w:sz w:val="22"/>
                <w:szCs w:val="21"/>
                <w:highlight w:val="none"/>
              </w:rPr>
            </w:pPr>
          </w:p>
        </w:tc>
      </w:tr>
      <w:tr w14:paraId="2A1D3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610B68E3">
            <w:pPr>
              <w:keepNext/>
              <w:snapToGrid w:val="0"/>
              <w:spacing w:line="360" w:lineRule="auto"/>
              <w:jc w:val="center"/>
              <w:rPr>
                <w:rFonts w:cs="宋体"/>
                <w:sz w:val="22"/>
                <w:szCs w:val="21"/>
                <w:highlight w:val="none"/>
              </w:rPr>
            </w:pPr>
          </w:p>
        </w:tc>
        <w:tc>
          <w:tcPr>
            <w:tcW w:w="413" w:type="pct"/>
            <w:tcBorders>
              <w:top w:val="nil"/>
            </w:tcBorders>
            <w:vAlign w:val="center"/>
          </w:tcPr>
          <w:p w14:paraId="1068C7BA">
            <w:pPr>
              <w:keepNext/>
              <w:snapToGrid w:val="0"/>
              <w:spacing w:line="360" w:lineRule="auto"/>
              <w:jc w:val="center"/>
              <w:rPr>
                <w:rFonts w:cs="宋体"/>
                <w:sz w:val="22"/>
                <w:szCs w:val="21"/>
                <w:highlight w:val="none"/>
              </w:rPr>
            </w:pPr>
          </w:p>
        </w:tc>
        <w:tc>
          <w:tcPr>
            <w:tcW w:w="778" w:type="pct"/>
            <w:tcBorders>
              <w:top w:val="nil"/>
            </w:tcBorders>
            <w:vAlign w:val="center"/>
          </w:tcPr>
          <w:p w14:paraId="043CD658">
            <w:pPr>
              <w:keepNext/>
              <w:snapToGrid w:val="0"/>
              <w:spacing w:line="360" w:lineRule="auto"/>
              <w:jc w:val="center"/>
              <w:rPr>
                <w:rFonts w:cs="宋体"/>
                <w:sz w:val="22"/>
                <w:szCs w:val="21"/>
                <w:highlight w:val="none"/>
              </w:rPr>
            </w:pPr>
          </w:p>
        </w:tc>
        <w:tc>
          <w:tcPr>
            <w:tcW w:w="413" w:type="pct"/>
            <w:tcBorders>
              <w:top w:val="nil"/>
            </w:tcBorders>
            <w:vAlign w:val="center"/>
          </w:tcPr>
          <w:p w14:paraId="651F6E5C">
            <w:pPr>
              <w:keepNext/>
              <w:snapToGrid w:val="0"/>
              <w:spacing w:line="360" w:lineRule="auto"/>
              <w:jc w:val="center"/>
              <w:rPr>
                <w:rFonts w:cs="宋体"/>
                <w:sz w:val="22"/>
                <w:szCs w:val="21"/>
                <w:highlight w:val="none"/>
              </w:rPr>
            </w:pPr>
          </w:p>
        </w:tc>
        <w:tc>
          <w:tcPr>
            <w:tcW w:w="240" w:type="pct"/>
            <w:tcBorders>
              <w:top w:val="nil"/>
            </w:tcBorders>
            <w:vAlign w:val="center"/>
          </w:tcPr>
          <w:p w14:paraId="7757C2FF">
            <w:pPr>
              <w:keepNext/>
              <w:snapToGrid w:val="0"/>
              <w:spacing w:line="360" w:lineRule="auto"/>
              <w:jc w:val="center"/>
              <w:rPr>
                <w:rFonts w:cs="宋体"/>
                <w:sz w:val="22"/>
                <w:szCs w:val="21"/>
                <w:highlight w:val="none"/>
              </w:rPr>
            </w:pPr>
          </w:p>
        </w:tc>
        <w:tc>
          <w:tcPr>
            <w:tcW w:w="413" w:type="pct"/>
            <w:tcBorders>
              <w:top w:val="nil"/>
            </w:tcBorders>
            <w:vAlign w:val="center"/>
          </w:tcPr>
          <w:p w14:paraId="38C25884">
            <w:pPr>
              <w:keepNext/>
              <w:snapToGrid w:val="0"/>
              <w:spacing w:line="360" w:lineRule="auto"/>
              <w:jc w:val="center"/>
              <w:rPr>
                <w:rFonts w:cs="宋体"/>
                <w:sz w:val="22"/>
                <w:szCs w:val="21"/>
                <w:highlight w:val="none"/>
              </w:rPr>
            </w:pPr>
          </w:p>
        </w:tc>
        <w:tc>
          <w:tcPr>
            <w:tcW w:w="587" w:type="pct"/>
            <w:tcBorders>
              <w:top w:val="nil"/>
            </w:tcBorders>
            <w:vAlign w:val="center"/>
          </w:tcPr>
          <w:p w14:paraId="2167B8F7">
            <w:pPr>
              <w:keepNext/>
              <w:snapToGrid w:val="0"/>
              <w:spacing w:line="360" w:lineRule="auto"/>
              <w:jc w:val="center"/>
              <w:rPr>
                <w:rFonts w:cs="宋体"/>
                <w:sz w:val="22"/>
                <w:szCs w:val="21"/>
                <w:highlight w:val="none"/>
              </w:rPr>
            </w:pPr>
          </w:p>
        </w:tc>
        <w:tc>
          <w:tcPr>
            <w:tcW w:w="744" w:type="pct"/>
            <w:tcBorders>
              <w:top w:val="nil"/>
            </w:tcBorders>
            <w:vAlign w:val="center"/>
          </w:tcPr>
          <w:p w14:paraId="262FEC41">
            <w:pPr>
              <w:keepNext/>
              <w:snapToGrid w:val="0"/>
              <w:spacing w:line="360" w:lineRule="auto"/>
              <w:jc w:val="center"/>
              <w:rPr>
                <w:rFonts w:cs="宋体"/>
                <w:sz w:val="22"/>
                <w:szCs w:val="21"/>
                <w:highlight w:val="none"/>
              </w:rPr>
            </w:pPr>
          </w:p>
        </w:tc>
        <w:tc>
          <w:tcPr>
            <w:tcW w:w="413" w:type="pct"/>
            <w:tcBorders>
              <w:top w:val="nil"/>
            </w:tcBorders>
            <w:vAlign w:val="center"/>
          </w:tcPr>
          <w:p w14:paraId="5A321148">
            <w:pPr>
              <w:keepNext/>
              <w:snapToGrid w:val="0"/>
              <w:spacing w:line="360" w:lineRule="auto"/>
              <w:jc w:val="center"/>
              <w:rPr>
                <w:rFonts w:cs="宋体"/>
                <w:sz w:val="22"/>
                <w:szCs w:val="21"/>
                <w:highlight w:val="none"/>
              </w:rPr>
            </w:pPr>
          </w:p>
        </w:tc>
        <w:tc>
          <w:tcPr>
            <w:tcW w:w="413" w:type="pct"/>
            <w:tcBorders>
              <w:top w:val="nil"/>
            </w:tcBorders>
            <w:vAlign w:val="center"/>
          </w:tcPr>
          <w:p w14:paraId="49C883E7">
            <w:pPr>
              <w:keepNext/>
              <w:snapToGrid w:val="0"/>
              <w:spacing w:line="360" w:lineRule="auto"/>
              <w:jc w:val="center"/>
              <w:rPr>
                <w:rFonts w:cs="宋体"/>
                <w:sz w:val="22"/>
                <w:szCs w:val="21"/>
                <w:highlight w:val="none"/>
              </w:rPr>
            </w:pPr>
          </w:p>
        </w:tc>
      </w:tr>
      <w:tr w14:paraId="141BE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25136526">
            <w:pPr>
              <w:keepNext/>
              <w:snapToGrid w:val="0"/>
              <w:spacing w:line="360" w:lineRule="auto"/>
              <w:jc w:val="center"/>
              <w:rPr>
                <w:rFonts w:cs="宋体"/>
                <w:sz w:val="22"/>
                <w:szCs w:val="21"/>
                <w:highlight w:val="none"/>
              </w:rPr>
            </w:pPr>
          </w:p>
        </w:tc>
        <w:tc>
          <w:tcPr>
            <w:tcW w:w="413" w:type="pct"/>
            <w:tcBorders>
              <w:top w:val="nil"/>
            </w:tcBorders>
            <w:vAlign w:val="center"/>
          </w:tcPr>
          <w:p w14:paraId="007473D1">
            <w:pPr>
              <w:keepNext/>
              <w:snapToGrid w:val="0"/>
              <w:spacing w:line="360" w:lineRule="auto"/>
              <w:jc w:val="center"/>
              <w:rPr>
                <w:rFonts w:cs="宋体"/>
                <w:sz w:val="22"/>
                <w:szCs w:val="21"/>
                <w:highlight w:val="none"/>
              </w:rPr>
            </w:pPr>
          </w:p>
        </w:tc>
        <w:tc>
          <w:tcPr>
            <w:tcW w:w="778" w:type="pct"/>
            <w:tcBorders>
              <w:top w:val="nil"/>
            </w:tcBorders>
            <w:vAlign w:val="center"/>
          </w:tcPr>
          <w:p w14:paraId="66F2696E">
            <w:pPr>
              <w:keepNext/>
              <w:snapToGrid w:val="0"/>
              <w:spacing w:line="360" w:lineRule="auto"/>
              <w:jc w:val="center"/>
              <w:rPr>
                <w:rFonts w:cs="宋体"/>
                <w:sz w:val="22"/>
                <w:szCs w:val="21"/>
                <w:highlight w:val="none"/>
              </w:rPr>
            </w:pPr>
          </w:p>
        </w:tc>
        <w:tc>
          <w:tcPr>
            <w:tcW w:w="413" w:type="pct"/>
            <w:tcBorders>
              <w:top w:val="nil"/>
            </w:tcBorders>
            <w:vAlign w:val="center"/>
          </w:tcPr>
          <w:p w14:paraId="51FD12E0">
            <w:pPr>
              <w:keepNext/>
              <w:snapToGrid w:val="0"/>
              <w:spacing w:line="360" w:lineRule="auto"/>
              <w:jc w:val="center"/>
              <w:rPr>
                <w:rFonts w:cs="宋体"/>
                <w:sz w:val="22"/>
                <w:szCs w:val="21"/>
                <w:highlight w:val="none"/>
              </w:rPr>
            </w:pPr>
          </w:p>
        </w:tc>
        <w:tc>
          <w:tcPr>
            <w:tcW w:w="240" w:type="pct"/>
            <w:tcBorders>
              <w:top w:val="nil"/>
            </w:tcBorders>
            <w:vAlign w:val="center"/>
          </w:tcPr>
          <w:p w14:paraId="3ACD394C">
            <w:pPr>
              <w:keepNext/>
              <w:snapToGrid w:val="0"/>
              <w:spacing w:line="360" w:lineRule="auto"/>
              <w:jc w:val="center"/>
              <w:rPr>
                <w:rFonts w:cs="宋体"/>
                <w:sz w:val="22"/>
                <w:szCs w:val="21"/>
                <w:highlight w:val="none"/>
              </w:rPr>
            </w:pPr>
          </w:p>
        </w:tc>
        <w:tc>
          <w:tcPr>
            <w:tcW w:w="413" w:type="pct"/>
            <w:tcBorders>
              <w:top w:val="nil"/>
            </w:tcBorders>
            <w:vAlign w:val="center"/>
          </w:tcPr>
          <w:p w14:paraId="6CB5722E">
            <w:pPr>
              <w:keepNext/>
              <w:snapToGrid w:val="0"/>
              <w:spacing w:line="360" w:lineRule="auto"/>
              <w:jc w:val="center"/>
              <w:rPr>
                <w:rFonts w:cs="宋体"/>
                <w:sz w:val="22"/>
                <w:szCs w:val="21"/>
                <w:highlight w:val="none"/>
              </w:rPr>
            </w:pPr>
          </w:p>
        </w:tc>
        <w:tc>
          <w:tcPr>
            <w:tcW w:w="587" w:type="pct"/>
            <w:tcBorders>
              <w:top w:val="nil"/>
            </w:tcBorders>
            <w:vAlign w:val="center"/>
          </w:tcPr>
          <w:p w14:paraId="675631FB">
            <w:pPr>
              <w:keepNext/>
              <w:snapToGrid w:val="0"/>
              <w:spacing w:line="360" w:lineRule="auto"/>
              <w:jc w:val="center"/>
              <w:rPr>
                <w:rFonts w:cs="宋体"/>
                <w:sz w:val="22"/>
                <w:szCs w:val="21"/>
                <w:highlight w:val="none"/>
              </w:rPr>
            </w:pPr>
          </w:p>
        </w:tc>
        <w:tc>
          <w:tcPr>
            <w:tcW w:w="744" w:type="pct"/>
            <w:tcBorders>
              <w:top w:val="nil"/>
            </w:tcBorders>
            <w:vAlign w:val="center"/>
          </w:tcPr>
          <w:p w14:paraId="304285B8">
            <w:pPr>
              <w:keepNext/>
              <w:snapToGrid w:val="0"/>
              <w:spacing w:line="360" w:lineRule="auto"/>
              <w:jc w:val="center"/>
              <w:rPr>
                <w:rFonts w:cs="宋体"/>
                <w:sz w:val="22"/>
                <w:szCs w:val="21"/>
                <w:highlight w:val="none"/>
              </w:rPr>
            </w:pPr>
          </w:p>
        </w:tc>
        <w:tc>
          <w:tcPr>
            <w:tcW w:w="413" w:type="pct"/>
            <w:tcBorders>
              <w:top w:val="nil"/>
            </w:tcBorders>
            <w:vAlign w:val="center"/>
          </w:tcPr>
          <w:p w14:paraId="21BBEA9F">
            <w:pPr>
              <w:keepNext/>
              <w:snapToGrid w:val="0"/>
              <w:spacing w:line="360" w:lineRule="auto"/>
              <w:jc w:val="center"/>
              <w:rPr>
                <w:rFonts w:cs="宋体"/>
                <w:sz w:val="22"/>
                <w:szCs w:val="21"/>
                <w:highlight w:val="none"/>
              </w:rPr>
            </w:pPr>
          </w:p>
        </w:tc>
        <w:tc>
          <w:tcPr>
            <w:tcW w:w="413" w:type="pct"/>
            <w:tcBorders>
              <w:top w:val="nil"/>
            </w:tcBorders>
            <w:vAlign w:val="center"/>
          </w:tcPr>
          <w:p w14:paraId="30CA56BB">
            <w:pPr>
              <w:keepNext/>
              <w:snapToGrid w:val="0"/>
              <w:spacing w:line="360" w:lineRule="auto"/>
              <w:jc w:val="center"/>
              <w:rPr>
                <w:rFonts w:cs="宋体"/>
                <w:sz w:val="22"/>
                <w:szCs w:val="21"/>
                <w:highlight w:val="none"/>
              </w:rPr>
            </w:pPr>
          </w:p>
        </w:tc>
      </w:tr>
      <w:tr w14:paraId="2137D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vAlign w:val="center"/>
          </w:tcPr>
          <w:p w14:paraId="37CEC336">
            <w:pPr>
              <w:keepNext/>
              <w:snapToGrid w:val="0"/>
              <w:spacing w:line="360" w:lineRule="auto"/>
              <w:jc w:val="center"/>
              <w:rPr>
                <w:rFonts w:cs="宋体"/>
                <w:sz w:val="22"/>
                <w:szCs w:val="21"/>
                <w:highlight w:val="none"/>
              </w:rPr>
            </w:pPr>
          </w:p>
        </w:tc>
        <w:tc>
          <w:tcPr>
            <w:tcW w:w="413" w:type="pct"/>
            <w:tcBorders>
              <w:bottom w:val="single" w:color="auto" w:sz="12" w:space="0"/>
            </w:tcBorders>
            <w:vAlign w:val="center"/>
          </w:tcPr>
          <w:p w14:paraId="28B8B2BE">
            <w:pPr>
              <w:keepNext/>
              <w:snapToGrid w:val="0"/>
              <w:spacing w:line="360" w:lineRule="auto"/>
              <w:jc w:val="center"/>
              <w:rPr>
                <w:rFonts w:cs="宋体"/>
                <w:sz w:val="22"/>
                <w:szCs w:val="21"/>
                <w:highlight w:val="none"/>
              </w:rPr>
            </w:pPr>
          </w:p>
        </w:tc>
        <w:tc>
          <w:tcPr>
            <w:tcW w:w="778" w:type="pct"/>
            <w:tcBorders>
              <w:bottom w:val="single" w:color="auto" w:sz="12" w:space="0"/>
            </w:tcBorders>
            <w:vAlign w:val="center"/>
          </w:tcPr>
          <w:p w14:paraId="1FE7F68A">
            <w:pPr>
              <w:keepNext/>
              <w:snapToGrid w:val="0"/>
              <w:spacing w:line="360" w:lineRule="auto"/>
              <w:jc w:val="center"/>
              <w:rPr>
                <w:rFonts w:cs="宋体"/>
                <w:sz w:val="22"/>
                <w:szCs w:val="21"/>
                <w:highlight w:val="none"/>
              </w:rPr>
            </w:pPr>
          </w:p>
        </w:tc>
        <w:tc>
          <w:tcPr>
            <w:tcW w:w="413" w:type="pct"/>
            <w:tcBorders>
              <w:bottom w:val="single" w:color="auto" w:sz="12" w:space="0"/>
            </w:tcBorders>
            <w:vAlign w:val="center"/>
          </w:tcPr>
          <w:p w14:paraId="368901E0">
            <w:pPr>
              <w:keepNext/>
              <w:snapToGrid w:val="0"/>
              <w:spacing w:line="360" w:lineRule="auto"/>
              <w:jc w:val="center"/>
              <w:rPr>
                <w:rFonts w:cs="宋体"/>
                <w:sz w:val="22"/>
                <w:szCs w:val="21"/>
                <w:highlight w:val="none"/>
              </w:rPr>
            </w:pPr>
          </w:p>
        </w:tc>
        <w:tc>
          <w:tcPr>
            <w:tcW w:w="240" w:type="pct"/>
            <w:tcBorders>
              <w:bottom w:val="single" w:color="auto" w:sz="12" w:space="0"/>
            </w:tcBorders>
            <w:vAlign w:val="center"/>
          </w:tcPr>
          <w:p w14:paraId="34FD4387">
            <w:pPr>
              <w:keepNext/>
              <w:snapToGrid w:val="0"/>
              <w:spacing w:line="360" w:lineRule="auto"/>
              <w:jc w:val="center"/>
              <w:rPr>
                <w:rFonts w:cs="宋体"/>
                <w:sz w:val="22"/>
                <w:szCs w:val="21"/>
                <w:highlight w:val="none"/>
              </w:rPr>
            </w:pPr>
          </w:p>
        </w:tc>
        <w:tc>
          <w:tcPr>
            <w:tcW w:w="413" w:type="pct"/>
            <w:tcBorders>
              <w:bottom w:val="single" w:color="auto" w:sz="12" w:space="0"/>
            </w:tcBorders>
            <w:vAlign w:val="center"/>
          </w:tcPr>
          <w:p w14:paraId="37FEF433">
            <w:pPr>
              <w:keepNext/>
              <w:snapToGrid w:val="0"/>
              <w:spacing w:line="360" w:lineRule="auto"/>
              <w:jc w:val="center"/>
              <w:rPr>
                <w:rFonts w:cs="宋体"/>
                <w:sz w:val="22"/>
                <w:szCs w:val="21"/>
                <w:highlight w:val="none"/>
              </w:rPr>
            </w:pPr>
          </w:p>
        </w:tc>
        <w:tc>
          <w:tcPr>
            <w:tcW w:w="587" w:type="pct"/>
            <w:tcBorders>
              <w:bottom w:val="single" w:color="auto" w:sz="12" w:space="0"/>
            </w:tcBorders>
            <w:vAlign w:val="center"/>
          </w:tcPr>
          <w:p w14:paraId="39ED33F3">
            <w:pPr>
              <w:keepNext/>
              <w:snapToGrid w:val="0"/>
              <w:spacing w:line="360" w:lineRule="auto"/>
              <w:jc w:val="center"/>
              <w:rPr>
                <w:rFonts w:cs="宋体"/>
                <w:sz w:val="22"/>
                <w:szCs w:val="21"/>
                <w:highlight w:val="none"/>
              </w:rPr>
            </w:pPr>
          </w:p>
        </w:tc>
        <w:tc>
          <w:tcPr>
            <w:tcW w:w="744" w:type="pct"/>
            <w:tcBorders>
              <w:bottom w:val="single" w:color="auto" w:sz="12" w:space="0"/>
            </w:tcBorders>
            <w:vAlign w:val="center"/>
          </w:tcPr>
          <w:p w14:paraId="76D3F1E7">
            <w:pPr>
              <w:keepNext/>
              <w:snapToGrid w:val="0"/>
              <w:spacing w:line="360" w:lineRule="auto"/>
              <w:jc w:val="center"/>
              <w:rPr>
                <w:rFonts w:cs="宋体"/>
                <w:sz w:val="22"/>
                <w:szCs w:val="21"/>
                <w:highlight w:val="none"/>
              </w:rPr>
            </w:pPr>
          </w:p>
        </w:tc>
        <w:tc>
          <w:tcPr>
            <w:tcW w:w="413" w:type="pct"/>
            <w:tcBorders>
              <w:bottom w:val="single" w:color="auto" w:sz="12" w:space="0"/>
            </w:tcBorders>
            <w:vAlign w:val="center"/>
          </w:tcPr>
          <w:p w14:paraId="0593AEBC">
            <w:pPr>
              <w:keepNext/>
              <w:snapToGrid w:val="0"/>
              <w:spacing w:line="360" w:lineRule="auto"/>
              <w:jc w:val="center"/>
              <w:rPr>
                <w:rFonts w:cs="宋体"/>
                <w:sz w:val="22"/>
                <w:szCs w:val="21"/>
                <w:highlight w:val="none"/>
              </w:rPr>
            </w:pPr>
          </w:p>
        </w:tc>
        <w:tc>
          <w:tcPr>
            <w:tcW w:w="413" w:type="pct"/>
            <w:tcBorders>
              <w:bottom w:val="single" w:color="auto" w:sz="12" w:space="0"/>
            </w:tcBorders>
            <w:vAlign w:val="center"/>
          </w:tcPr>
          <w:p w14:paraId="47DEBDE4">
            <w:pPr>
              <w:keepNext/>
              <w:snapToGrid w:val="0"/>
              <w:spacing w:line="360" w:lineRule="auto"/>
              <w:jc w:val="center"/>
              <w:rPr>
                <w:rFonts w:cs="宋体"/>
                <w:sz w:val="22"/>
                <w:szCs w:val="21"/>
                <w:highlight w:val="none"/>
              </w:rPr>
            </w:pPr>
          </w:p>
        </w:tc>
      </w:tr>
    </w:tbl>
    <w:p w14:paraId="67C823C5">
      <w:pPr>
        <w:spacing w:before="312" w:beforeLines="100" w:after="312" w:afterLines="100"/>
        <w:outlineLvl w:val="2"/>
        <w:rPr>
          <w:rFonts w:ascii="Times New Roman" w:eastAsia="黑体"/>
          <w:szCs w:val="24"/>
          <w:highlight w:val="none"/>
        </w:rPr>
      </w:pPr>
      <w:r>
        <w:rPr>
          <w:rFonts w:hint="eastAsia" w:ascii="Times New Roman" w:eastAsia="黑体"/>
          <w:bCs/>
          <w:highlight w:val="none"/>
        </w:rPr>
        <w:br w:type="page"/>
      </w:r>
      <w:bookmarkStart w:id="610" w:name="_Toc128950236"/>
      <w:r>
        <w:rPr>
          <w:rFonts w:hint="eastAsia" w:ascii="Times New Roman" w:eastAsia="黑体"/>
          <w:szCs w:val="24"/>
          <w:highlight w:val="none"/>
        </w:rPr>
        <w:t>附</w:t>
      </w:r>
      <w:bookmarkStart w:id="611" w:name="_Toc296347224"/>
      <w:bookmarkStart w:id="612" w:name="_Toc296891053"/>
      <w:bookmarkStart w:id="613" w:name="_Toc296944564"/>
      <w:bookmarkStart w:id="614" w:name="_Toc296503225"/>
      <w:bookmarkStart w:id="615" w:name="_Toc296346726"/>
      <w:bookmarkStart w:id="616" w:name="_Toc296891265"/>
      <w:bookmarkStart w:id="617" w:name="_Toc267261692"/>
      <w:r>
        <w:rPr>
          <w:rFonts w:hint="eastAsia" w:ascii="Times New Roman" w:eastAsia="黑体"/>
          <w:szCs w:val="24"/>
          <w:highlight w:val="none"/>
        </w:rPr>
        <w:t>件</w:t>
      </w:r>
      <w:r>
        <w:rPr>
          <w:rFonts w:ascii="Times New Roman" w:eastAsia="黑体"/>
          <w:szCs w:val="24"/>
          <w:highlight w:val="none"/>
        </w:rPr>
        <w:t>2</w:t>
      </w:r>
      <w:r>
        <w:rPr>
          <w:rFonts w:hint="eastAsia" w:ascii="Times New Roman" w:eastAsia="黑体"/>
          <w:szCs w:val="24"/>
          <w:highlight w:val="none"/>
        </w:rPr>
        <w:t>：发包人供应材料设备一览表</w:t>
      </w:r>
      <w:bookmarkEnd w:id="610"/>
    </w:p>
    <w:bookmarkEnd w:id="611"/>
    <w:bookmarkEnd w:id="612"/>
    <w:bookmarkEnd w:id="613"/>
    <w:bookmarkEnd w:id="614"/>
    <w:bookmarkEnd w:id="615"/>
    <w:bookmarkEnd w:id="616"/>
    <w:bookmarkEnd w:id="617"/>
    <w:p w14:paraId="3E833CAF">
      <w:pPr>
        <w:spacing w:line="360" w:lineRule="auto"/>
        <w:jc w:val="center"/>
        <w:rPr>
          <w:rFonts w:cs="宋体"/>
          <w:sz w:val="22"/>
          <w:szCs w:val="21"/>
          <w:highlight w:val="none"/>
        </w:rPr>
      </w:pPr>
      <w:r>
        <w:rPr>
          <w:rFonts w:hint="eastAsia" w:cs="宋体"/>
          <w:sz w:val="22"/>
          <w:szCs w:val="21"/>
          <w:highlight w:val="none"/>
        </w:rPr>
        <w:t>发包人供应材料设备一览表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02FAF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92" w:type="pct"/>
            <w:tcBorders>
              <w:top w:val="single" w:color="auto" w:sz="12" w:space="0"/>
              <w:bottom w:val="double" w:color="auto" w:sz="6" w:space="0"/>
            </w:tcBorders>
            <w:vAlign w:val="center"/>
          </w:tcPr>
          <w:p w14:paraId="137A1789">
            <w:pPr>
              <w:keepNext/>
              <w:snapToGrid w:val="0"/>
              <w:spacing w:line="360" w:lineRule="auto"/>
              <w:jc w:val="center"/>
              <w:rPr>
                <w:rFonts w:cs="宋体"/>
                <w:sz w:val="22"/>
                <w:szCs w:val="21"/>
                <w:highlight w:val="none"/>
              </w:rPr>
            </w:pPr>
            <w:r>
              <w:rPr>
                <w:rFonts w:hint="eastAsia" w:cs="宋体"/>
                <w:sz w:val="22"/>
                <w:szCs w:val="21"/>
                <w:highlight w:val="none"/>
              </w:rPr>
              <w:t>序号</w:t>
            </w:r>
          </w:p>
        </w:tc>
        <w:tc>
          <w:tcPr>
            <w:tcW w:w="941" w:type="pct"/>
            <w:tcBorders>
              <w:top w:val="single" w:color="auto" w:sz="12" w:space="0"/>
              <w:bottom w:val="double" w:color="auto" w:sz="6" w:space="0"/>
            </w:tcBorders>
            <w:vAlign w:val="center"/>
          </w:tcPr>
          <w:p w14:paraId="102430E7">
            <w:pPr>
              <w:keepNext/>
              <w:snapToGrid w:val="0"/>
              <w:spacing w:line="360" w:lineRule="auto"/>
              <w:jc w:val="center"/>
              <w:rPr>
                <w:rFonts w:cs="宋体"/>
                <w:sz w:val="22"/>
                <w:szCs w:val="21"/>
                <w:highlight w:val="none"/>
              </w:rPr>
            </w:pPr>
            <w:r>
              <w:rPr>
                <w:rFonts w:hint="eastAsia" w:cs="宋体"/>
                <w:sz w:val="22"/>
                <w:szCs w:val="21"/>
                <w:highlight w:val="none"/>
              </w:rPr>
              <w:t>材料、设备品种</w:t>
            </w:r>
          </w:p>
        </w:tc>
        <w:tc>
          <w:tcPr>
            <w:tcW w:w="552" w:type="pct"/>
            <w:tcBorders>
              <w:top w:val="single" w:color="auto" w:sz="12" w:space="0"/>
              <w:bottom w:val="double" w:color="auto" w:sz="6" w:space="0"/>
            </w:tcBorders>
            <w:vAlign w:val="center"/>
          </w:tcPr>
          <w:p w14:paraId="10CE9FA7">
            <w:pPr>
              <w:keepNext/>
              <w:snapToGrid w:val="0"/>
              <w:spacing w:line="360" w:lineRule="auto"/>
              <w:jc w:val="center"/>
              <w:rPr>
                <w:rFonts w:cs="宋体"/>
                <w:sz w:val="22"/>
                <w:szCs w:val="21"/>
                <w:highlight w:val="none"/>
              </w:rPr>
            </w:pPr>
            <w:r>
              <w:rPr>
                <w:rFonts w:hint="eastAsia" w:cs="宋体"/>
                <w:sz w:val="22"/>
                <w:szCs w:val="21"/>
                <w:highlight w:val="none"/>
              </w:rPr>
              <w:t>规格型号</w:t>
            </w:r>
          </w:p>
        </w:tc>
        <w:tc>
          <w:tcPr>
            <w:tcW w:w="292" w:type="pct"/>
            <w:tcBorders>
              <w:top w:val="single" w:color="auto" w:sz="12" w:space="0"/>
              <w:bottom w:val="double" w:color="auto" w:sz="6" w:space="0"/>
            </w:tcBorders>
            <w:vAlign w:val="center"/>
          </w:tcPr>
          <w:p w14:paraId="1AD5D3FC">
            <w:pPr>
              <w:keepNext/>
              <w:snapToGrid w:val="0"/>
              <w:spacing w:line="360" w:lineRule="auto"/>
              <w:jc w:val="center"/>
              <w:rPr>
                <w:rFonts w:cs="宋体"/>
                <w:sz w:val="22"/>
                <w:szCs w:val="21"/>
                <w:highlight w:val="none"/>
              </w:rPr>
            </w:pPr>
            <w:r>
              <w:rPr>
                <w:rFonts w:hint="eastAsia" w:cs="宋体"/>
                <w:sz w:val="22"/>
                <w:szCs w:val="21"/>
                <w:highlight w:val="none"/>
              </w:rPr>
              <w:t>单位</w:t>
            </w:r>
          </w:p>
        </w:tc>
        <w:tc>
          <w:tcPr>
            <w:tcW w:w="292" w:type="pct"/>
            <w:tcBorders>
              <w:top w:val="single" w:color="auto" w:sz="12" w:space="0"/>
              <w:bottom w:val="double" w:color="auto" w:sz="6" w:space="0"/>
            </w:tcBorders>
            <w:vAlign w:val="center"/>
          </w:tcPr>
          <w:p w14:paraId="77C0592A">
            <w:pPr>
              <w:keepNext/>
              <w:snapToGrid w:val="0"/>
              <w:spacing w:line="360" w:lineRule="auto"/>
              <w:jc w:val="center"/>
              <w:rPr>
                <w:rFonts w:cs="宋体"/>
                <w:sz w:val="22"/>
                <w:szCs w:val="21"/>
                <w:highlight w:val="none"/>
              </w:rPr>
            </w:pPr>
            <w:r>
              <w:rPr>
                <w:rFonts w:hint="eastAsia" w:cs="宋体"/>
                <w:sz w:val="22"/>
                <w:szCs w:val="21"/>
                <w:highlight w:val="none"/>
              </w:rPr>
              <w:t>数量</w:t>
            </w:r>
          </w:p>
        </w:tc>
        <w:tc>
          <w:tcPr>
            <w:tcW w:w="682" w:type="pct"/>
            <w:tcBorders>
              <w:top w:val="single" w:color="auto" w:sz="12" w:space="0"/>
              <w:bottom w:val="double" w:color="auto" w:sz="6" w:space="0"/>
            </w:tcBorders>
            <w:vAlign w:val="center"/>
          </w:tcPr>
          <w:p w14:paraId="3D3EF2ED">
            <w:pPr>
              <w:keepNext/>
              <w:snapToGrid w:val="0"/>
              <w:spacing w:line="360" w:lineRule="auto"/>
              <w:jc w:val="center"/>
              <w:rPr>
                <w:rFonts w:cs="宋体"/>
                <w:sz w:val="22"/>
                <w:szCs w:val="21"/>
                <w:highlight w:val="none"/>
              </w:rPr>
            </w:pPr>
            <w:r>
              <w:rPr>
                <w:rFonts w:hint="eastAsia" w:cs="宋体"/>
                <w:sz w:val="22"/>
                <w:szCs w:val="21"/>
                <w:highlight w:val="none"/>
              </w:rPr>
              <w:t>单价（元）</w:t>
            </w:r>
          </w:p>
        </w:tc>
        <w:tc>
          <w:tcPr>
            <w:tcW w:w="552" w:type="pct"/>
            <w:tcBorders>
              <w:top w:val="single" w:color="auto" w:sz="12" w:space="0"/>
              <w:bottom w:val="double" w:color="auto" w:sz="6" w:space="0"/>
            </w:tcBorders>
            <w:vAlign w:val="center"/>
          </w:tcPr>
          <w:p w14:paraId="6F2C0E76">
            <w:pPr>
              <w:keepNext/>
              <w:snapToGrid w:val="0"/>
              <w:spacing w:line="360" w:lineRule="auto"/>
              <w:jc w:val="center"/>
              <w:rPr>
                <w:rFonts w:cs="宋体"/>
                <w:sz w:val="22"/>
                <w:szCs w:val="21"/>
                <w:highlight w:val="none"/>
              </w:rPr>
            </w:pPr>
            <w:r>
              <w:rPr>
                <w:rFonts w:hint="eastAsia" w:cs="宋体"/>
                <w:sz w:val="22"/>
                <w:szCs w:val="21"/>
                <w:highlight w:val="none"/>
              </w:rPr>
              <w:t>质量等级</w:t>
            </w:r>
          </w:p>
        </w:tc>
        <w:tc>
          <w:tcPr>
            <w:tcW w:w="552" w:type="pct"/>
            <w:tcBorders>
              <w:top w:val="single" w:color="auto" w:sz="12" w:space="0"/>
              <w:bottom w:val="double" w:color="auto" w:sz="6" w:space="0"/>
            </w:tcBorders>
            <w:vAlign w:val="center"/>
          </w:tcPr>
          <w:p w14:paraId="44706EE3">
            <w:pPr>
              <w:keepNext/>
              <w:snapToGrid w:val="0"/>
              <w:spacing w:line="360" w:lineRule="auto"/>
              <w:jc w:val="center"/>
              <w:rPr>
                <w:rFonts w:cs="宋体"/>
                <w:sz w:val="22"/>
                <w:szCs w:val="21"/>
                <w:highlight w:val="none"/>
              </w:rPr>
            </w:pPr>
            <w:r>
              <w:rPr>
                <w:rFonts w:hint="eastAsia" w:cs="宋体"/>
                <w:sz w:val="22"/>
                <w:szCs w:val="21"/>
                <w:highlight w:val="none"/>
              </w:rPr>
              <w:t>供应时间</w:t>
            </w:r>
          </w:p>
        </w:tc>
        <w:tc>
          <w:tcPr>
            <w:tcW w:w="552" w:type="pct"/>
            <w:tcBorders>
              <w:top w:val="single" w:color="auto" w:sz="12" w:space="0"/>
              <w:bottom w:val="double" w:color="auto" w:sz="6" w:space="0"/>
            </w:tcBorders>
            <w:vAlign w:val="center"/>
          </w:tcPr>
          <w:p w14:paraId="58EB4024">
            <w:pPr>
              <w:keepNext/>
              <w:snapToGrid w:val="0"/>
              <w:spacing w:line="360" w:lineRule="auto"/>
              <w:jc w:val="center"/>
              <w:rPr>
                <w:rFonts w:cs="宋体"/>
                <w:sz w:val="22"/>
                <w:szCs w:val="21"/>
                <w:highlight w:val="none"/>
              </w:rPr>
            </w:pPr>
            <w:r>
              <w:rPr>
                <w:rFonts w:hint="eastAsia" w:cs="宋体"/>
                <w:sz w:val="22"/>
                <w:szCs w:val="21"/>
                <w:highlight w:val="none"/>
              </w:rPr>
              <w:t>送达地点</w:t>
            </w:r>
          </w:p>
        </w:tc>
        <w:tc>
          <w:tcPr>
            <w:tcW w:w="292" w:type="pct"/>
            <w:tcBorders>
              <w:top w:val="single" w:color="auto" w:sz="12" w:space="0"/>
              <w:bottom w:val="double" w:color="auto" w:sz="6" w:space="0"/>
            </w:tcBorders>
            <w:vAlign w:val="center"/>
          </w:tcPr>
          <w:p w14:paraId="5AAB5CBB">
            <w:pPr>
              <w:keepNext/>
              <w:snapToGrid w:val="0"/>
              <w:spacing w:line="360" w:lineRule="auto"/>
              <w:jc w:val="center"/>
              <w:rPr>
                <w:rFonts w:cs="宋体"/>
                <w:sz w:val="22"/>
                <w:szCs w:val="21"/>
                <w:highlight w:val="none"/>
              </w:rPr>
            </w:pPr>
            <w:r>
              <w:rPr>
                <w:rFonts w:hint="eastAsia" w:cs="宋体"/>
                <w:sz w:val="22"/>
                <w:szCs w:val="21"/>
                <w:highlight w:val="none"/>
              </w:rPr>
              <w:t>备注</w:t>
            </w:r>
          </w:p>
        </w:tc>
      </w:tr>
      <w:tr w14:paraId="500825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vAlign w:val="center"/>
          </w:tcPr>
          <w:p w14:paraId="6527925F">
            <w:pPr>
              <w:keepNext/>
              <w:snapToGrid w:val="0"/>
              <w:spacing w:line="360" w:lineRule="auto"/>
              <w:jc w:val="center"/>
              <w:rPr>
                <w:rFonts w:cs="宋体"/>
                <w:sz w:val="22"/>
                <w:szCs w:val="21"/>
                <w:highlight w:val="none"/>
              </w:rPr>
            </w:pPr>
          </w:p>
        </w:tc>
        <w:tc>
          <w:tcPr>
            <w:tcW w:w="941" w:type="pct"/>
            <w:tcBorders>
              <w:top w:val="double" w:color="auto" w:sz="6" w:space="0"/>
            </w:tcBorders>
            <w:vAlign w:val="center"/>
          </w:tcPr>
          <w:p w14:paraId="7941B220">
            <w:pPr>
              <w:keepNext/>
              <w:snapToGrid w:val="0"/>
              <w:spacing w:line="360" w:lineRule="auto"/>
              <w:jc w:val="center"/>
              <w:rPr>
                <w:rFonts w:cs="宋体"/>
                <w:sz w:val="22"/>
                <w:szCs w:val="21"/>
                <w:highlight w:val="none"/>
              </w:rPr>
            </w:pPr>
          </w:p>
        </w:tc>
        <w:tc>
          <w:tcPr>
            <w:tcW w:w="552" w:type="pct"/>
            <w:tcBorders>
              <w:top w:val="double" w:color="auto" w:sz="6" w:space="0"/>
            </w:tcBorders>
            <w:vAlign w:val="center"/>
          </w:tcPr>
          <w:p w14:paraId="114ACBC9">
            <w:pPr>
              <w:keepNext/>
              <w:snapToGrid w:val="0"/>
              <w:spacing w:line="360" w:lineRule="auto"/>
              <w:jc w:val="center"/>
              <w:rPr>
                <w:rFonts w:cs="宋体"/>
                <w:sz w:val="22"/>
                <w:szCs w:val="21"/>
                <w:highlight w:val="none"/>
              </w:rPr>
            </w:pPr>
          </w:p>
        </w:tc>
        <w:tc>
          <w:tcPr>
            <w:tcW w:w="292" w:type="pct"/>
            <w:tcBorders>
              <w:top w:val="double" w:color="auto" w:sz="6" w:space="0"/>
            </w:tcBorders>
            <w:vAlign w:val="center"/>
          </w:tcPr>
          <w:p w14:paraId="2B5E817E">
            <w:pPr>
              <w:keepNext/>
              <w:snapToGrid w:val="0"/>
              <w:spacing w:line="360" w:lineRule="auto"/>
              <w:jc w:val="center"/>
              <w:rPr>
                <w:rFonts w:cs="宋体"/>
                <w:sz w:val="22"/>
                <w:szCs w:val="21"/>
                <w:highlight w:val="none"/>
              </w:rPr>
            </w:pPr>
          </w:p>
        </w:tc>
        <w:tc>
          <w:tcPr>
            <w:tcW w:w="292" w:type="pct"/>
            <w:tcBorders>
              <w:top w:val="double" w:color="auto" w:sz="6" w:space="0"/>
            </w:tcBorders>
            <w:vAlign w:val="center"/>
          </w:tcPr>
          <w:p w14:paraId="0613B490">
            <w:pPr>
              <w:keepNext/>
              <w:snapToGrid w:val="0"/>
              <w:spacing w:line="360" w:lineRule="auto"/>
              <w:jc w:val="center"/>
              <w:rPr>
                <w:rFonts w:cs="宋体"/>
                <w:sz w:val="22"/>
                <w:szCs w:val="21"/>
                <w:highlight w:val="none"/>
              </w:rPr>
            </w:pPr>
          </w:p>
        </w:tc>
        <w:tc>
          <w:tcPr>
            <w:tcW w:w="682" w:type="pct"/>
            <w:tcBorders>
              <w:top w:val="double" w:color="auto" w:sz="6" w:space="0"/>
            </w:tcBorders>
            <w:vAlign w:val="center"/>
          </w:tcPr>
          <w:p w14:paraId="2CA19882">
            <w:pPr>
              <w:keepNext/>
              <w:snapToGrid w:val="0"/>
              <w:spacing w:line="360" w:lineRule="auto"/>
              <w:jc w:val="center"/>
              <w:rPr>
                <w:rFonts w:cs="宋体"/>
                <w:sz w:val="22"/>
                <w:szCs w:val="21"/>
                <w:highlight w:val="none"/>
              </w:rPr>
            </w:pPr>
          </w:p>
        </w:tc>
        <w:tc>
          <w:tcPr>
            <w:tcW w:w="552" w:type="pct"/>
            <w:tcBorders>
              <w:top w:val="double" w:color="auto" w:sz="6" w:space="0"/>
            </w:tcBorders>
            <w:vAlign w:val="center"/>
          </w:tcPr>
          <w:p w14:paraId="161378A0">
            <w:pPr>
              <w:keepNext/>
              <w:snapToGrid w:val="0"/>
              <w:spacing w:line="360" w:lineRule="auto"/>
              <w:jc w:val="center"/>
              <w:rPr>
                <w:rFonts w:cs="宋体"/>
                <w:sz w:val="22"/>
                <w:szCs w:val="21"/>
                <w:highlight w:val="none"/>
              </w:rPr>
            </w:pPr>
          </w:p>
        </w:tc>
        <w:tc>
          <w:tcPr>
            <w:tcW w:w="552" w:type="pct"/>
            <w:tcBorders>
              <w:top w:val="double" w:color="auto" w:sz="6" w:space="0"/>
            </w:tcBorders>
            <w:vAlign w:val="center"/>
          </w:tcPr>
          <w:p w14:paraId="4F6BC99C">
            <w:pPr>
              <w:keepNext/>
              <w:snapToGrid w:val="0"/>
              <w:spacing w:line="360" w:lineRule="auto"/>
              <w:jc w:val="center"/>
              <w:rPr>
                <w:rFonts w:cs="宋体"/>
                <w:sz w:val="22"/>
                <w:szCs w:val="21"/>
                <w:highlight w:val="none"/>
              </w:rPr>
            </w:pPr>
          </w:p>
        </w:tc>
        <w:tc>
          <w:tcPr>
            <w:tcW w:w="552" w:type="pct"/>
            <w:tcBorders>
              <w:top w:val="double" w:color="auto" w:sz="6" w:space="0"/>
            </w:tcBorders>
            <w:vAlign w:val="center"/>
          </w:tcPr>
          <w:p w14:paraId="149ED711">
            <w:pPr>
              <w:keepNext/>
              <w:snapToGrid w:val="0"/>
              <w:spacing w:line="360" w:lineRule="auto"/>
              <w:jc w:val="center"/>
              <w:rPr>
                <w:rFonts w:cs="宋体"/>
                <w:sz w:val="22"/>
                <w:szCs w:val="21"/>
                <w:highlight w:val="none"/>
              </w:rPr>
            </w:pPr>
          </w:p>
        </w:tc>
        <w:tc>
          <w:tcPr>
            <w:tcW w:w="292" w:type="pct"/>
            <w:tcBorders>
              <w:top w:val="double" w:color="auto" w:sz="6" w:space="0"/>
            </w:tcBorders>
            <w:vAlign w:val="center"/>
          </w:tcPr>
          <w:p w14:paraId="1DC225AC">
            <w:pPr>
              <w:keepNext/>
              <w:snapToGrid w:val="0"/>
              <w:spacing w:line="360" w:lineRule="auto"/>
              <w:jc w:val="center"/>
              <w:rPr>
                <w:rFonts w:cs="宋体"/>
                <w:sz w:val="22"/>
                <w:szCs w:val="21"/>
                <w:highlight w:val="none"/>
              </w:rPr>
            </w:pPr>
          </w:p>
        </w:tc>
      </w:tr>
      <w:tr w14:paraId="19C60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vAlign w:val="center"/>
          </w:tcPr>
          <w:p w14:paraId="2A5A2C2A">
            <w:pPr>
              <w:snapToGrid w:val="0"/>
              <w:spacing w:line="360" w:lineRule="auto"/>
              <w:jc w:val="center"/>
              <w:rPr>
                <w:rFonts w:cs="宋体"/>
                <w:sz w:val="22"/>
                <w:szCs w:val="21"/>
                <w:highlight w:val="none"/>
              </w:rPr>
            </w:pPr>
          </w:p>
        </w:tc>
        <w:tc>
          <w:tcPr>
            <w:tcW w:w="941" w:type="pct"/>
            <w:vAlign w:val="center"/>
          </w:tcPr>
          <w:p w14:paraId="165708BB">
            <w:pPr>
              <w:snapToGrid w:val="0"/>
              <w:spacing w:line="360" w:lineRule="auto"/>
              <w:jc w:val="center"/>
              <w:rPr>
                <w:rFonts w:cs="宋体"/>
                <w:sz w:val="22"/>
                <w:szCs w:val="21"/>
                <w:highlight w:val="none"/>
              </w:rPr>
            </w:pPr>
          </w:p>
        </w:tc>
        <w:tc>
          <w:tcPr>
            <w:tcW w:w="552" w:type="pct"/>
            <w:vAlign w:val="center"/>
          </w:tcPr>
          <w:p w14:paraId="0CAFC76D">
            <w:pPr>
              <w:snapToGrid w:val="0"/>
              <w:spacing w:line="360" w:lineRule="auto"/>
              <w:jc w:val="center"/>
              <w:rPr>
                <w:rFonts w:cs="宋体"/>
                <w:sz w:val="22"/>
                <w:szCs w:val="21"/>
                <w:highlight w:val="none"/>
              </w:rPr>
            </w:pPr>
          </w:p>
        </w:tc>
        <w:tc>
          <w:tcPr>
            <w:tcW w:w="292" w:type="pct"/>
            <w:vAlign w:val="center"/>
          </w:tcPr>
          <w:p w14:paraId="37ADD293">
            <w:pPr>
              <w:snapToGrid w:val="0"/>
              <w:spacing w:line="360" w:lineRule="auto"/>
              <w:jc w:val="center"/>
              <w:rPr>
                <w:rFonts w:cs="宋体"/>
                <w:sz w:val="22"/>
                <w:szCs w:val="21"/>
                <w:highlight w:val="none"/>
              </w:rPr>
            </w:pPr>
          </w:p>
        </w:tc>
        <w:tc>
          <w:tcPr>
            <w:tcW w:w="292" w:type="pct"/>
            <w:vAlign w:val="center"/>
          </w:tcPr>
          <w:p w14:paraId="111E13F2">
            <w:pPr>
              <w:snapToGrid w:val="0"/>
              <w:spacing w:line="360" w:lineRule="auto"/>
              <w:jc w:val="center"/>
              <w:rPr>
                <w:rFonts w:cs="宋体"/>
                <w:sz w:val="22"/>
                <w:szCs w:val="21"/>
                <w:highlight w:val="none"/>
              </w:rPr>
            </w:pPr>
          </w:p>
        </w:tc>
        <w:tc>
          <w:tcPr>
            <w:tcW w:w="682" w:type="pct"/>
            <w:vAlign w:val="center"/>
          </w:tcPr>
          <w:p w14:paraId="391C1349">
            <w:pPr>
              <w:snapToGrid w:val="0"/>
              <w:spacing w:line="360" w:lineRule="auto"/>
              <w:jc w:val="center"/>
              <w:rPr>
                <w:rFonts w:cs="宋体"/>
                <w:sz w:val="22"/>
                <w:szCs w:val="21"/>
                <w:highlight w:val="none"/>
              </w:rPr>
            </w:pPr>
          </w:p>
        </w:tc>
        <w:tc>
          <w:tcPr>
            <w:tcW w:w="552" w:type="pct"/>
            <w:vAlign w:val="center"/>
          </w:tcPr>
          <w:p w14:paraId="547795FB">
            <w:pPr>
              <w:snapToGrid w:val="0"/>
              <w:spacing w:line="360" w:lineRule="auto"/>
              <w:jc w:val="center"/>
              <w:rPr>
                <w:rFonts w:cs="宋体"/>
                <w:sz w:val="22"/>
                <w:szCs w:val="21"/>
                <w:highlight w:val="none"/>
              </w:rPr>
            </w:pPr>
          </w:p>
        </w:tc>
        <w:tc>
          <w:tcPr>
            <w:tcW w:w="552" w:type="pct"/>
            <w:vAlign w:val="center"/>
          </w:tcPr>
          <w:p w14:paraId="2586E4A5">
            <w:pPr>
              <w:snapToGrid w:val="0"/>
              <w:spacing w:line="360" w:lineRule="auto"/>
              <w:jc w:val="center"/>
              <w:rPr>
                <w:rFonts w:cs="宋体"/>
                <w:sz w:val="22"/>
                <w:szCs w:val="21"/>
                <w:highlight w:val="none"/>
              </w:rPr>
            </w:pPr>
          </w:p>
        </w:tc>
        <w:tc>
          <w:tcPr>
            <w:tcW w:w="552" w:type="pct"/>
            <w:vAlign w:val="center"/>
          </w:tcPr>
          <w:p w14:paraId="3CB2FBE0">
            <w:pPr>
              <w:snapToGrid w:val="0"/>
              <w:spacing w:line="360" w:lineRule="auto"/>
              <w:jc w:val="center"/>
              <w:rPr>
                <w:rFonts w:cs="宋体"/>
                <w:sz w:val="22"/>
                <w:szCs w:val="21"/>
                <w:highlight w:val="none"/>
              </w:rPr>
            </w:pPr>
          </w:p>
        </w:tc>
        <w:tc>
          <w:tcPr>
            <w:tcW w:w="292" w:type="pct"/>
            <w:vAlign w:val="center"/>
          </w:tcPr>
          <w:p w14:paraId="22FFE5B8">
            <w:pPr>
              <w:snapToGrid w:val="0"/>
              <w:spacing w:line="360" w:lineRule="auto"/>
              <w:jc w:val="center"/>
              <w:rPr>
                <w:rFonts w:cs="宋体"/>
                <w:sz w:val="22"/>
                <w:szCs w:val="21"/>
                <w:highlight w:val="none"/>
              </w:rPr>
            </w:pPr>
          </w:p>
        </w:tc>
      </w:tr>
      <w:tr w14:paraId="43C6A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vAlign w:val="center"/>
          </w:tcPr>
          <w:p w14:paraId="2C7DD220">
            <w:pPr>
              <w:snapToGrid w:val="0"/>
              <w:spacing w:line="360" w:lineRule="auto"/>
              <w:jc w:val="center"/>
              <w:rPr>
                <w:rFonts w:cs="宋体"/>
                <w:sz w:val="22"/>
                <w:szCs w:val="21"/>
                <w:highlight w:val="none"/>
              </w:rPr>
            </w:pPr>
          </w:p>
        </w:tc>
        <w:tc>
          <w:tcPr>
            <w:tcW w:w="941" w:type="pct"/>
            <w:tcBorders>
              <w:bottom w:val="single" w:color="auto" w:sz="12" w:space="0"/>
            </w:tcBorders>
            <w:vAlign w:val="center"/>
          </w:tcPr>
          <w:p w14:paraId="750F99DD">
            <w:pPr>
              <w:snapToGrid w:val="0"/>
              <w:spacing w:line="360" w:lineRule="auto"/>
              <w:jc w:val="center"/>
              <w:rPr>
                <w:rFonts w:cs="宋体"/>
                <w:sz w:val="22"/>
                <w:szCs w:val="21"/>
                <w:highlight w:val="none"/>
              </w:rPr>
            </w:pPr>
          </w:p>
        </w:tc>
        <w:tc>
          <w:tcPr>
            <w:tcW w:w="552" w:type="pct"/>
            <w:tcBorders>
              <w:bottom w:val="single" w:color="auto" w:sz="12" w:space="0"/>
            </w:tcBorders>
            <w:vAlign w:val="center"/>
          </w:tcPr>
          <w:p w14:paraId="55CB4404">
            <w:pPr>
              <w:snapToGrid w:val="0"/>
              <w:spacing w:line="360" w:lineRule="auto"/>
              <w:jc w:val="center"/>
              <w:rPr>
                <w:rFonts w:cs="宋体"/>
                <w:sz w:val="22"/>
                <w:szCs w:val="21"/>
                <w:highlight w:val="none"/>
              </w:rPr>
            </w:pPr>
          </w:p>
        </w:tc>
        <w:tc>
          <w:tcPr>
            <w:tcW w:w="292" w:type="pct"/>
            <w:tcBorders>
              <w:bottom w:val="single" w:color="auto" w:sz="12" w:space="0"/>
            </w:tcBorders>
            <w:vAlign w:val="center"/>
          </w:tcPr>
          <w:p w14:paraId="5A94CFC6">
            <w:pPr>
              <w:snapToGrid w:val="0"/>
              <w:spacing w:line="360" w:lineRule="auto"/>
              <w:jc w:val="center"/>
              <w:rPr>
                <w:rFonts w:cs="宋体"/>
                <w:sz w:val="22"/>
                <w:szCs w:val="21"/>
                <w:highlight w:val="none"/>
              </w:rPr>
            </w:pPr>
          </w:p>
        </w:tc>
        <w:tc>
          <w:tcPr>
            <w:tcW w:w="292" w:type="pct"/>
            <w:tcBorders>
              <w:bottom w:val="single" w:color="auto" w:sz="12" w:space="0"/>
            </w:tcBorders>
            <w:vAlign w:val="center"/>
          </w:tcPr>
          <w:p w14:paraId="47F17BAF">
            <w:pPr>
              <w:snapToGrid w:val="0"/>
              <w:spacing w:line="360" w:lineRule="auto"/>
              <w:jc w:val="center"/>
              <w:rPr>
                <w:rFonts w:cs="宋体"/>
                <w:sz w:val="22"/>
                <w:szCs w:val="21"/>
                <w:highlight w:val="none"/>
              </w:rPr>
            </w:pPr>
          </w:p>
        </w:tc>
        <w:tc>
          <w:tcPr>
            <w:tcW w:w="682" w:type="pct"/>
            <w:tcBorders>
              <w:bottom w:val="single" w:color="auto" w:sz="12" w:space="0"/>
            </w:tcBorders>
            <w:vAlign w:val="center"/>
          </w:tcPr>
          <w:p w14:paraId="54DE7763">
            <w:pPr>
              <w:snapToGrid w:val="0"/>
              <w:spacing w:line="360" w:lineRule="auto"/>
              <w:jc w:val="center"/>
              <w:rPr>
                <w:rFonts w:cs="宋体"/>
                <w:sz w:val="22"/>
                <w:szCs w:val="21"/>
                <w:highlight w:val="none"/>
              </w:rPr>
            </w:pPr>
          </w:p>
        </w:tc>
        <w:tc>
          <w:tcPr>
            <w:tcW w:w="552" w:type="pct"/>
            <w:tcBorders>
              <w:bottom w:val="single" w:color="auto" w:sz="12" w:space="0"/>
            </w:tcBorders>
            <w:vAlign w:val="center"/>
          </w:tcPr>
          <w:p w14:paraId="59D89184">
            <w:pPr>
              <w:snapToGrid w:val="0"/>
              <w:spacing w:line="360" w:lineRule="auto"/>
              <w:jc w:val="center"/>
              <w:rPr>
                <w:rFonts w:cs="宋体"/>
                <w:sz w:val="22"/>
                <w:szCs w:val="21"/>
                <w:highlight w:val="none"/>
              </w:rPr>
            </w:pPr>
          </w:p>
        </w:tc>
        <w:tc>
          <w:tcPr>
            <w:tcW w:w="552" w:type="pct"/>
            <w:tcBorders>
              <w:bottom w:val="single" w:color="auto" w:sz="12" w:space="0"/>
            </w:tcBorders>
            <w:vAlign w:val="center"/>
          </w:tcPr>
          <w:p w14:paraId="4ED38175">
            <w:pPr>
              <w:snapToGrid w:val="0"/>
              <w:spacing w:line="360" w:lineRule="auto"/>
              <w:jc w:val="center"/>
              <w:rPr>
                <w:rFonts w:cs="宋体"/>
                <w:sz w:val="22"/>
                <w:szCs w:val="21"/>
                <w:highlight w:val="none"/>
              </w:rPr>
            </w:pPr>
          </w:p>
        </w:tc>
        <w:tc>
          <w:tcPr>
            <w:tcW w:w="552" w:type="pct"/>
            <w:tcBorders>
              <w:bottom w:val="single" w:color="auto" w:sz="12" w:space="0"/>
            </w:tcBorders>
            <w:vAlign w:val="center"/>
          </w:tcPr>
          <w:p w14:paraId="2334AC83">
            <w:pPr>
              <w:snapToGrid w:val="0"/>
              <w:spacing w:line="360" w:lineRule="auto"/>
              <w:jc w:val="center"/>
              <w:rPr>
                <w:rFonts w:cs="宋体"/>
                <w:sz w:val="22"/>
                <w:szCs w:val="21"/>
                <w:highlight w:val="none"/>
              </w:rPr>
            </w:pPr>
          </w:p>
        </w:tc>
        <w:tc>
          <w:tcPr>
            <w:tcW w:w="292" w:type="pct"/>
            <w:tcBorders>
              <w:bottom w:val="single" w:color="auto" w:sz="12" w:space="0"/>
            </w:tcBorders>
            <w:vAlign w:val="center"/>
          </w:tcPr>
          <w:p w14:paraId="53537A63">
            <w:pPr>
              <w:snapToGrid w:val="0"/>
              <w:spacing w:line="360" w:lineRule="auto"/>
              <w:jc w:val="center"/>
              <w:rPr>
                <w:rFonts w:cs="宋体"/>
                <w:sz w:val="22"/>
                <w:szCs w:val="21"/>
                <w:highlight w:val="none"/>
              </w:rPr>
            </w:pPr>
          </w:p>
        </w:tc>
      </w:tr>
    </w:tbl>
    <w:p w14:paraId="238202F0">
      <w:pPr>
        <w:spacing w:before="312" w:beforeLines="100" w:after="312" w:afterLines="100"/>
        <w:outlineLvl w:val="2"/>
        <w:rPr>
          <w:rFonts w:ascii="Times New Roman" w:eastAsia="黑体"/>
          <w:szCs w:val="24"/>
          <w:highlight w:val="none"/>
        </w:rPr>
      </w:pPr>
      <w:r>
        <w:rPr>
          <w:rFonts w:hint="eastAsia" w:cs="宋体"/>
          <w:bCs/>
          <w:highlight w:val="none"/>
        </w:rPr>
        <w:br w:type="page"/>
      </w:r>
      <w:bookmarkStart w:id="618" w:name="_Toc128950237"/>
      <w:r>
        <w:rPr>
          <w:rFonts w:hint="eastAsia" w:ascii="Times New Roman" w:eastAsia="黑体"/>
          <w:szCs w:val="24"/>
          <w:highlight w:val="none"/>
        </w:rPr>
        <w:t>附件3：工程质量保修书（房屋建筑工程）</w:t>
      </w:r>
      <w:bookmarkEnd w:id="618"/>
    </w:p>
    <w:p w14:paraId="7FA78EBF">
      <w:pPr>
        <w:adjustRightInd w:val="0"/>
        <w:snapToGrid w:val="0"/>
        <w:spacing w:before="156" w:beforeLines="50" w:after="156" w:afterLines="50" w:line="360" w:lineRule="auto"/>
        <w:jc w:val="center"/>
        <w:rPr>
          <w:rFonts w:cs="宋体"/>
          <w:b/>
          <w:highlight w:val="none"/>
        </w:rPr>
      </w:pPr>
      <w:r>
        <w:rPr>
          <w:rFonts w:hint="eastAsia" w:cs="宋体"/>
          <w:b/>
          <w:highlight w:val="none"/>
        </w:rPr>
        <w:t>工程质量保修书</w:t>
      </w:r>
    </w:p>
    <w:p w14:paraId="11929CD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发包人（全称）：</w:t>
      </w:r>
      <w:r>
        <w:rPr>
          <w:rFonts w:hint="eastAsia" w:cs="宋体"/>
          <w:sz w:val="21"/>
          <w:szCs w:val="21"/>
          <w:highlight w:val="none"/>
          <w:u w:val="single"/>
        </w:rPr>
        <w:t xml:space="preserve">                                </w:t>
      </w:r>
      <w:r>
        <w:rPr>
          <w:rFonts w:hint="eastAsia" w:cs="宋体"/>
          <w:sz w:val="21"/>
          <w:szCs w:val="21"/>
          <w:highlight w:val="none"/>
        </w:rPr>
        <w:t xml:space="preserve"> </w:t>
      </w:r>
    </w:p>
    <w:p w14:paraId="1F05257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承包人（全称）：</w:t>
      </w:r>
      <w:r>
        <w:rPr>
          <w:rFonts w:hint="eastAsia" w:cs="宋体"/>
          <w:sz w:val="21"/>
          <w:szCs w:val="21"/>
          <w:highlight w:val="none"/>
          <w:u w:val="single"/>
        </w:rPr>
        <w:t xml:space="preserve">                                </w:t>
      </w:r>
      <w:r>
        <w:rPr>
          <w:rFonts w:hint="eastAsia" w:cs="宋体"/>
          <w:sz w:val="21"/>
          <w:szCs w:val="21"/>
          <w:highlight w:val="none"/>
        </w:rPr>
        <w:t xml:space="preserve"> </w:t>
      </w:r>
    </w:p>
    <w:p w14:paraId="22EEA2C9">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发包人和承包人根据《中华人民共和国建筑法》和《建设工程质量管理条例》，经协商一致就_______________（工程全称）签订工程质量保修书。</w:t>
      </w:r>
    </w:p>
    <w:p w14:paraId="73B91E14">
      <w:pPr>
        <w:adjustRightInd w:val="0"/>
        <w:snapToGrid w:val="0"/>
        <w:spacing w:line="360" w:lineRule="auto"/>
        <w:ind w:firstLine="422" w:firstLineChars="200"/>
        <w:rPr>
          <w:rFonts w:cs="宋体"/>
          <w:b/>
          <w:sz w:val="21"/>
          <w:szCs w:val="21"/>
          <w:highlight w:val="none"/>
        </w:rPr>
      </w:pPr>
      <w:r>
        <w:rPr>
          <w:rFonts w:hint="eastAsia" w:cs="宋体"/>
          <w:b/>
          <w:sz w:val="21"/>
          <w:szCs w:val="21"/>
          <w:highlight w:val="none"/>
        </w:rPr>
        <w:t>一、工程质量保修范围和内容</w:t>
      </w:r>
    </w:p>
    <w:p w14:paraId="26693137">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承包人在质量保修期内，按照有关法律规定和合同约定，承担工程质量保修责任。</w:t>
      </w:r>
    </w:p>
    <w:p w14:paraId="6D2FBC07">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sz w:val="21"/>
          <w:szCs w:val="21"/>
          <w:highlight w:val="none"/>
          <w:u w:val="single"/>
        </w:rPr>
        <w:t xml:space="preserve">                </w:t>
      </w:r>
      <w:r>
        <w:rPr>
          <w:rFonts w:hint="eastAsia" w:cs="宋体"/>
          <w:sz w:val="21"/>
          <w:szCs w:val="21"/>
          <w:highlight w:val="none"/>
        </w:rPr>
        <w:t>。</w:t>
      </w:r>
    </w:p>
    <w:p w14:paraId="6CDB0406">
      <w:pPr>
        <w:adjustRightInd w:val="0"/>
        <w:snapToGrid w:val="0"/>
        <w:spacing w:line="360" w:lineRule="auto"/>
        <w:ind w:firstLine="413" w:firstLineChars="196"/>
        <w:rPr>
          <w:rFonts w:cs="宋体"/>
          <w:b/>
          <w:sz w:val="21"/>
          <w:szCs w:val="21"/>
          <w:highlight w:val="none"/>
        </w:rPr>
      </w:pPr>
      <w:r>
        <w:rPr>
          <w:rFonts w:hint="eastAsia" w:cs="宋体"/>
          <w:b/>
          <w:sz w:val="21"/>
          <w:szCs w:val="21"/>
          <w:highlight w:val="none"/>
        </w:rPr>
        <w:t>二、质量保修期</w:t>
      </w:r>
    </w:p>
    <w:p w14:paraId="577954F8">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根据《建设工程质量管理条例》及有关规定，工程的质量保修期如下：</w:t>
      </w:r>
    </w:p>
    <w:p w14:paraId="4BEEA08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1. 地基基础工程和主体结构工程为设计文件规定的工程合理使用年限；</w:t>
      </w:r>
    </w:p>
    <w:p w14:paraId="35BE0555">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2. 屋面防水工程、有防水要求的卫生间、房间和外墙面的防渗为</w:t>
      </w:r>
      <w:r>
        <w:rPr>
          <w:rFonts w:hint="eastAsia" w:cs="宋体"/>
          <w:sz w:val="21"/>
          <w:szCs w:val="21"/>
          <w:highlight w:val="none"/>
          <w:u w:val="single"/>
        </w:rPr>
        <w:t>5</w:t>
      </w:r>
      <w:r>
        <w:rPr>
          <w:rFonts w:hint="eastAsia" w:cs="宋体"/>
          <w:sz w:val="21"/>
          <w:szCs w:val="21"/>
          <w:highlight w:val="none"/>
        </w:rPr>
        <w:t>年；</w:t>
      </w:r>
    </w:p>
    <w:p w14:paraId="01358BAF">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3. 装修工程为</w:t>
      </w:r>
      <w:r>
        <w:rPr>
          <w:rFonts w:hint="eastAsia" w:cs="宋体"/>
          <w:sz w:val="21"/>
          <w:szCs w:val="21"/>
          <w:highlight w:val="none"/>
          <w:u w:val="single"/>
        </w:rPr>
        <w:t>2</w:t>
      </w:r>
      <w:r>
        <w:rPr>
          <w:rFonts w:hint="eastAsia" w:cs="宋体"/>
          <w:sz w:val="21"/>
          <w:szCs w:val="21"/>
          <w:highlight w:val="none"/>
        </w:rPr>
        <w:t>年；</w:t>
      </w:r>
    </w:p>
    <w:p w14:paraId="59D9E32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4. 电气管线、给排水管道、设备安装工程为</w:t>
      </w:r>
      <w:r>
        <w:rPr>
          <w:rFonts w:hint="eastAsia" w:cs="宋体"/>
          <w:sz w:val="21"/>
          <w:szCs w:val="21"/>
          <w:highlight w:val="none"/>
          <w:u w:val="single"/>
        </w:rPr>
        <w:t>2</w:t>
      </w:r>
      <w:r>
        <w:rPr>
          <w:rFonts w:hint="eastAsia" w:cs="宋体"/>
          <w:sz w:val="21"/>
          <w:szCs w:val="21"/>
          <w:highlight w:val="none"/>
        </w:rPr>
        <w:t>年；</w:t>
      </w:r>
    </w:p>
    <w:p w14:paraId="68DFB107">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5. 供热与供冷系统为</w:t>
      </w:r>
      <w:r>
        <w:rPr>
          <w:rFonts w:hint="eastAsia" w:cs="宋体"/>
          <w:sz w:val="21"/>
          <w:szCs w:val="21"/>
          <w:highlight w:val="none"/>
          <w:u w:val="single"/>
        </w:rPr>
        <w:t>2</w:t>
      </w:r>
      <w:r>
        <w:rPr>
          <w:rFonts w:hint="eastAsia" w:cs="宋体"/>
          <w:sz w:val="21"/>
          <w:szCs w:val="21"/>
          <w:highlight w:val="none"/>
        </w:rPr>
        <w:t>个采暖期、供冷期；</w:t>
      </w:r>
    </w:p>
    <w:p w14:paraId="1201DA73">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6. 住宅小区内的给排水设施、道路等配套工程为</w:t>
      </w:r>
      <w:r>
        <w:rPr>
          <w:rFonts w:hint="eastAsia" w:cs="宋体"/>
          <w:sz w:val="21"/>
          <w:szCs w:val="21"/>
          <w:highlight w:val="none"/>
          <w:u w:val="single"/>
        </w:rPr>
        <w:t>2</w:t>
      </w:r>
      <w:r>
        <w:rPr>
          <w:rFonts w:hint="eastAsia" w:cs="宋体"/>
          <w:sz w:val="21"/>
          <w:szCs w:val="21"/>
          <w:highlight w:val="none"/>
        </w:rPr>
        <w:t>年；</w:t>
      </w:r>
    </w:p>
    <w:p w14:paraId="2894420E">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7. 其他项目保修期限约定如下：</w:t>
      </w:r>
      <w:r>
        <w:rPr>
          <w:rFonts w:hint="eastAsia" w:cs="宋体"/>
          <w:sz w:val="21"/>
          <w:szCs w:val="21"/>
          <w:highlight w:val="none"/>
          <w:u w:val="single"/>
        </w:rPr>
        <w:t>保温工程5年</w:t>
      </w:r>
      <w:r>
        <w:rPr>
          <w:rFonts w:hint="eastAsia" w:cs="宋体"/>
          <w:sz w:val="21"/>
          <w:szCs w:val="21"/>
          <w:highlight w:val="none"/>
        </w:rPr>
        <w:t>。</w:t>
      </w:r>
    </w:p>
    <w:p w14:paraId="1298C614">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质量保修期自工程竣工验收合格之日起计算。</w:t>
      </w:r>
    </w:p>
    <w:p w14:paraId="5DE31CAB">
      <w:pPr>
        <w:adjustRightInd w:val="0"/>
        <w:snapToGrid w:val="0"/>
        <w:spacing w:line="360" w:lineRule="auto"/>
        <w:ind w:firstLine="422" w:firstLineChars="200"/>
        <w:rPr>
          <w:rFonts w:cs="宋体"/>
          <w:b/>
          <w:sz w:val="21"/>
          <w:szCs w:val="21"/>
          <w:highlight w:val="none"/>
        </w:rPr>
      </w:pPr>
      <w:r>
        <w:rPr>
          <w:rFonts w:hint="eastAsia" w:cs="宋体"/>
          <w:b/>
          <w:sz w:val="21"/>
          <w:szCs w:val="21"/>
          <w:highlight w:val="none"/>
        </w:rPr>
        <w:t>三、缺陷责任期</w:t>
      </w:r>
    </w:p>
    <w:p w14:paraId="377A6BB1">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工程缺陷责任期为</w:t>
      </w:r>
      <w:r>
        <w:rPr>
          <w:rFonts w:hint="eastAsia" w:cs="宋体"/>
          <w:sz w:val="21"/>
          <w:szCs w:val="21"/>
          <w:highlight w:val="none"/>
          <w:u w:val="single"/>
        </w:rPr>
        <w:t xml:space="preserve">          </w:t>
      </w:r>
      <w:r>
        <w:rPr>
          <w:rFonts w:hint="eastAsia" w:cs="宋体"/>
          <w:sz w:val="21"/>
          <w:szCs w:val="21"/>
          <w:highlight w:val="none"/>
        </w:rPr>
        <w:t>，缺陷责任期自工程竣工验收合格之日起计算。单位工程先于全部工程进行验收，单位工程缺陷责任期自单位工程验收合格之日起算。</w:t>
      </w:r>
    </w:p>
    <w:p w14:paraId="2038749B">
      <w:pPr>
        <w:adjustRightInd w:val="0"/>
        <w:snapToGrid w:val="0"/>
        <w:spacing w:line="360" w:lineRule="auto"/>
        <w:ind w:firstLine="420" w:firstLineChars="200"/>
        <w:rPr>
          <w:rFonts w:cs="宋体"/>
          <w:b/>
          <w:sz w:val="21"/>
          <w:szCs w:val="21"/>
          <w:highlight w:val="none"/>
        </w:rPr>
      </w:pPr>
      <w:r>
        <w:rPr>
          <w:rFonts w:hint="eastAsia" w:cs="宋体"/>
          <w:sz w:val="21"/>
          <w:szCs w:val="21"/>
          <w:highlight w:val="none"/>
        </w:rPr>
        <w:t>缺陷责任期终止后，发包人应退还剩余的质量保证金。</w:t>
      </w:r>
    </w:p>
    <w:p w14:paraId="39AFCE3B">
      <w:pPr>
        <w:adjustRightInd w:val="0"/>
        <w:snapToGrid w:val="0"/>
        <w:spacing w:line="360" w:lineRule="auto"/>
        <w:ind w:firstLine="422" w:firstLineChars="200"/>
        <w:rPr>
          <w:rFonts w:cs="宋体"/>
          <w:b/>
          <w:sz w:val="21"/>
          <w:szCs w:val="21"/>
          <w:highlight w:val="none"/>
        </w:rPr>
      </w:pPr>
      <w:r>
        <w:rPr>
          <w:rFonts w:hint="eastAsia" w:cs="宋体"/>
          <w:b/>
          <w:sz w:val="21"/>
          <w:szCs w:val="21"/>
          <w:highlight w:val="none"/>
        </w:rPr>
        <w:t>四、质量保修责任</w:t>
      </w:r>
    </w:p>
    <w:p w14:paraId="72D1FA4C">
      <w:pPr>
        <w:adjustRightInd w:val="0"/>
        <w:snapToGrid w:val="0"/>
        <w:spacing w:line="360" w:lineRule="auto"/>
        <w:ind w:firstLine="430" w:firstLineChars="205"/>
        <w:rPr>
          <w:rFonts w:cs="宋体"/>
          <w:sz w:val="21"/>
          <w:szCs w:val="21"/>
          <w:highlight w:val="none"/>
        </w:rPr>
      </w:pPr>
      <w:r>
        <w:rPr>
          <w:rFonts w:hint="eastAsia" w:cs="宋体"/>
          <w:sz w:val="21"/>
          <w:szCs w:val="21"/>
          <w:highlight w:val="none"/>
        </w:rPr>
        <w:t>1. 属于保修范围、内容的项目，承包人应当在接到保修通知之日起7天内派人保修。承包人不在约定期限内派人保修的，发包人可以委托他人修理。</w:t>
      </w:r>
    </w:p>
    <w:p w14:paraId="5D68C963">
      <w:pPr>
        <w:adjustRightInd w:val="0"/>
        <w:snapToGrid w:val="0"/>
        <w:spacing w:line="360" w:lineRule="auto"/>
        <w:ind w:firstLine="430" w:firstLineChars="205"/>
        <w:rPr>
          <w:rFonts w:cs="宋体"/>
          <w:sz w:val="21"/>
          <w:szCs w:val="21"/>
          <w:highlight w:val="none"/>
        </w:rPr>
      </w:pPr>
      <w:r>
        <w:rPr>
          <w:rFonts w:hint="eastAsia" w:cs="宋体"/>
          <w:sz w:val="21"/>
          <w:szCs w:val="21"/>
          <w:highlight w:val="none"/>
        </w:rPr>
        <w:t>2. 发生紧急事故需抢修的，承包人在接到事故通知后，应当立即到达事故现场抢修。</w:t>
      </w:r>
    </w:p>
    <w:p w14:paraId="2D304DCC">
      <w:pPr>
        <w:adjustRightInd w:val="0"/>
        <w:snapToGrid w:val="0"/>
        <w:spacing w:line="360" w:lineRule="auto"/>
        <w:ind w:firstLine="430" w:firstLineChars="205"/>
        <w:rPr>
          <w:rFonts w:cs="宋体"/>
          <w:sz w:val="21"/>
          <w:szCs w:val="21"/>
          <w:highlight w:val="none"/>
        </w:rPr>
      </w:pPr>
      <w:r>
        <w:rPr>
          <w:rFonts w:hint="eastAsia" w:cs="宋体"/>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12A7F2B">
      <w:pPr>
        <w:adjustRightInd w:val="0"/>
        <w:snapToGrid w:val="0"/>
        <w:spacing w:line="360" w:lineRule="auto"/>
        <w:ind w:firstLine="430" w:firstLineChars="205"/>
        <w:rPr>
          <w:rFonts w:cs="宋体"/>
          <w:sz w:val="21"/>
          <w:szCs w:val="21"/>
          <w:highlight w:val="none"/>
        </w:rPr>
      </w:pPr>
      <w:r>
        <w:rPr>
          <w:rFonts w:hint="eastAsia" w:cs="宋体"/>
          <w:sz w:val="21"/>
          <w:szCs w:val="21"/>
          <w:highlight w:val="none"/>
        </w:rPr>
        <w:t>4. 质量保修完成后，由发包人组织验收。</w:t>
      </w:r>
    </w:p>
    <w:p w14:paraId="17734417">
      <w:pPr>
        <w:adjustRightInd w:val="0"/>
        <w:snapToGrid w:val="0"/>
        <w:spacing w:line="360" w:lineRule="auto"/>
        <w:ind w:firstLine="422" w:firstLineChars="200"/>
        <w:rPr>
          <w:rFonts w:cs="宋体"/>
          <w:b/>
          <w:sz w:val="21"/>
          <w:szCs w:val="21"/>
          <w:highlight w:val="none"/>
        </w:rPr>
      </w:pPr>
      <w:r>
        <w:rPr>
          <w:rFonts w:hint="eastAsia" w:cs="宋体"/>
          <w:b/>
          <w:sz w:val="21"/>
          <w:szCs w:val="21"/>
          <w:highlight w:val="none"/>
        </w:rPr>
        <w:t>五、保修费用</w:t>
      </w:r>
    </w:p>
    <w:p w14:paraId="49201065">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保修费用由造成质量缺陷的责任方承担。</w:t>
      </w:r>
    </w:p>
    <w:p w14:paraId="5328DBDE">
      <w:pPr>
        <w:adjustRightInd w:val="0"/>
        <w:snapToGrid w:val="0"/>
        <w:spacing w:line="360" w:lineRule="auto"/>
        <w:ind w:firstLine="422" w:firstLineChars="200"/>
        <w:rPr>
          <w:rFonts w:cs="宋体"/>
          <w:b/>
          <w:sz w:val="21"/>
          <w:szCs w:val="21"/>
          <w:highlight w:val="none"/>
        </w:rPr>
      </w:pPr>
      <w:r>
        <w:rPr>
          <w:rFonts w:hint="eastAsia" w:cs="宋体"/>
          <w:b/>
          <w:sz w:val="21"/>
          <w:szCs w:val="21"/>
          <w:highlight w:val="none"/>
        </w:rPr>
        <w:t>六、双方约定的其他工程质量保修事项：</w:t>
      </w:r>
      <w:r>
        <w:rPr>
          <w:rFonts w:hint="eastAsia" w:cs="宋体"/>
          <w:b/>
          <w:sz w:val="21"/>
          <w:szCs w:val="21"/>
          <w:highlight w:val="none"/>
          <w:u w:val="single"/>
        </w:rPr>
        <w:t xml:space="preserve">             </w:t>
      </w:r>
      <w:r>
        <w:rPr>
          <w:rFonts w:hint="eastAsia" w:cs="宋体"/>
          <w:b/>
          <w:sz w:val="21"/>
          <w:szCs w:val="21"/>
          <w:highlight w:val="none"/>
        </w:rPr>
        <w:t>。</w:t>
      </w:r>
    </w:p>
    <w:p w14:paraId="3F398224">
      <w:pPr>
        <w:adjustRightInd w:val="0"/>
        <w:snapToGrid w:val="0"/>
        <w:spacing w:line="360" w:lineRule="auto"/>
        <w:ind w:firstLine="399" w:firstLineChars="190"/>
        <w:rPr>
          <w:rFonts w:cs="宋体"/>
          <w:sz w:val="21"/>
          <w:szCs w:val="21"/>
          <w:highlight w:val="none"/>
        </w:rPr>
      </w:pPr>
      <w:r>
        <w:rPr>
          <w:rFonts w:hint="eastAsia" w:cs="宋体"/>
          <w:sz w:val="21"/>
          <w:szCs w:val="21"/>
          <w:highlight w:val="none"/>
        </w:rPr>
        <w:t>工程质量保修书由发包人、承包人在工程竣工验收前共同签署，作为施工合同附件，其有效期限至保修期满。</w:t>
      </w:r>
    </w:p>
    <w:p w14:paraId="32B745DB">
      <w:pPr>
        <w:adjustRightInd w:val="0"/>
        <w:snapToGrid w:val="0"/>
        <w:spacing w:line="360" w:lineRule="auto"/>
        <w:ind w:firstLine="420"/>
        <w:rPr>
          <w:rFonts w:cs="宋体"/>
          <w:sz w:val="21"/>
          <w:szCs w:val="21"/>
          <w:highlight w:val="none"/>
        </w:rPr>
      </w:pPr>
    </w:p>
    <w:p w14:paraId="2B9926F8">
      <w:pPr>
        <w:adjustRightInd w:val="0"/>
        <w:snapToGrid w:val="0"/>
        <w:spacing w:line="360" w:lineRule="auto"/>
        <w:ind w:firstLine="420"/>
        <w:rPr>
          <w:rFonts w:cs="宋体"/>
          <w:sz w:val="21"/>
          <w:szCs w:val="21"/>
          <w:highlight w:val="none"/>
        </w:rPr>
      </w:pPr>
    </w:p>
    <w:p w14:paraId="56F96FB6">
      <w:pPr>
        <w:adjustRightInd w:val="0"/>
        <w:snapToGrid w:val="0"/>
        <w:spacing w:line="360" w:lineRule="auto"/>
        <w:rPr>
          <w:rFonts w:cs="宋体"/>
          <w:sz w:val="21"/>
          <w:szCs w:val="21"/>
          <w:highlight w:val="none"/>
          <w:u w:val="single"/>
        </w:rPr>
      </w:pPr>
      <w:r>
        <w:rPr>
          <w:rFonts w:hint="eastAsia" w:cs="宋体"/>
          <w:sz w:val="21"/>
          <w:szCs w:val="21"/>
          <w:highlight w:val="none"/>
        </w:rPr>
        <w:t>发包人（公章）：</w:t>
      </w:r>
      <w:r>
        <w:rPr>
          <w:rFonts w:hint="eastAsia" w:cs="宋体"/>
          <w:sz w:val="21"/>
          <w:szCs w:val="21"/>
          <w:highlight w:val="none"/>
          <w:u w:val="single"/>
        </w:rPr>
        <w:t xml:space="preserve">      </w:t>
      </w:r>
      <w:r>
        <w:rPr>
          <w:rFonts w:hint="eastAsia" w:cs="宋体"/>
          <w:sz w:val="21"/>
          <w:szCs w:val="21"/>
          <w:highlight w:val="none"/>
        </w:rPr>
        <w:t xml:space="preserve">           承包人（公章）：</w:t>
      </w:r>
      <w:r>
        <w:rPr>
          <w:rFonts w:hint="eastAsia" w:cs="宋体"/>
          <w:sz w:val="21"/>
          <w:szCs w:val="21"/>
          <w:highlight w:val="none"/>
          <w:u w:val="single"/>
        </w:rPr>
        <w:t>          </w:t>
      </w:r>
    </w:p>
    <w:p w14:paraId="28E060B7">
      <w:pPr>
        <w:adjustRightInd w:val="0"/>
        <w:snapToGrid w:val="0"/>
        <w:spacing w:line="360" w:lineRule="auto"/>
        <w:rPr>
          <w:rFonts w:cs="宋体"/>
          <w:sz w:val="21"/>
          <w:szCs w:val="21"/>
          <w:highlight w:val="none"/>
          <w:u w:val="single"/>
        </w:rPr>
      </w:pPr>
      <w:r>
        <w:rPr>
          <w:rFonts w:hint="eastAsia" w:cs="宋体"/>
          <w:sz w:val="21"/>
          <w:szCs w:val="21"/>
          <w:highlight w:val="none"/>
        </w:rPr>
        <w:t>地  址：</w:t>
      </w:r>
      <w:r>
        <w:rPr>
          <w:rFonts w:hint="eastAsia" w:cs="宋体"/>
          <w:sz w:val="21"/>
          <w:szCs w:val="21"/>
          <w:highlight w:val="none"/>
          <w:u w:val="single"/>
        </w:rPr>
        <w:t xml:space="preserve">     </w:t>
      </w:r>
      <w:r>
        <w:rPr>
          <w:rFonts w:hint="eastAsia" w:cs="宋体"/>
          <w:sz w:val="21"/>
          <w:szCs w:val="21"/>
          <w:highlight w:val="none"/>
        </w:rPr>
        <w:t xml:space="preserve">            地  址：</w:t>
      </w:r>
      <w:r>
        <w:rPr>
          <w:rFonts w:hint="eastAsia" w:cs="宋体"/>
          <w:sz w:val="21"/>
          <w:szCs w:val="21"/>
          <w:highlight w:val="none"/>
          <w:u w:val="single"/>
        </w:rPr>
        <w:t xml:space="preserve">    </w:t>
      </w:r>
    </w:p>
    <w:p w14:paraId="5BD2C624">
      <w:pPr>
        <w:adjustRightInd w:val="0"/>
        <w:snapToGrid w:val="0"/>
        <w:spacing w:line="360" w:lineRule="auto"/>
        <w:rPr>
          <w:rFonts w:cs="宋体"/>
          <w:sz w:val="21"/>
          <w:szCs w:val="21"/>
          <w:highlight w:val="none"/>
          <w:u w:val="single"/>
        </w:rPr>
      </w:pPr>
      <w:r>
        <w:rPr>
          <w:rFonts w:hint="eastAsia" w:cs="宋体"/>
          <w:sz w:val="21"/>
          <w:szCs w:val="21"/>
          <w:highlight w:val="none"/>
        </w:rPr>
        <w:t>法定代表人（签字）：</w:t>
      </w:r>
      <w:r>
        <w:rPr>
          <w:rFonts w:hint="eastAsia" w:cs="宋体"/>
          <w:sz w:val="21"/>
          <w:szCs w:val="21"/>
          <w:highlight w:val="none"/>
          <w:u w:val="single"/>
        </w:rPr>
        <w:t xml:space="preserve">      </w:t>
      </w:r>
      <w:r>
        <w:rPr>
          <w:rFonts w:hint="eastAsia" w:cs="宋体"/>
          <w:sz w:val="21"/>
          <w:szCs w:val="21"/>
          <w:highlight w:val="none"/>
        </w:rPr>
        <w:t xml:space="preserve">         法定代表人（签字）：</w:t>
      </w:r>
      <w:r>
        <w:rPr>
          <w:rFonts w:hint="eastAsia" w:cs="宋体"/>
          <w:sz w:val="21"/>
          <w:szCs w:val="21"/>
          <w:highlight w:val="none"/>
          <w:u w:val="single"/>
        </w:rPr>
        <w:t xml:space="preserve">    </w:t>
      </w:r>
    </w:p>
    <w:p w14:paraId="7A1F43B0">
      <w:pPr>
        <w:adjustRightInd w:val="0"/>
        <w:snapToGrid w:val="0"/>
        <w:spacing w:line="360" w:lineRule="auto"/>
        <w:rPr>
          <w:rFonts w:cs="宋体"/>
          <w:sz w:val="21"/>
          <w:szCs w:val="21"/>
          <w:highlight w:val="none"/>
          <w:u w:val="single"/>
        </w:rPr>
      </w:pPr>
      <w:r>
        <w:rPr>
          <w:rFonts w:hint="eastAsia" w:cs="宋体"/>
          <w:sz w:val="21"/>
          <w:szCs w:val="21"/>
          <w:highlight w:val="none"/>
        </w:rPr>
        <w:t>委托代理人（签字）：</w:t>
      </w:r>
      <w:r>
        <w:rPr>
          <w:rFonts w:hint="eastAsia" w:cs="宋体"/>
          <w:sz w:val="21"/>
          <w:szCs w:val="21"/>
          <w:highlight w:val="none"/>
          <w:u w:val="single"/>
        </w:rPr>
        <w:t xml:space="preserve">      </w:t>
      </w:r>
      <w:r>
        <w:rPr>
          <w:rFonts w:hint="eastAsia" w:cs="宋体"/>
          <w:sz w:val="21"/>
          <w:szCs w:val="21"/>
          <w:highlight w:val="none"/>
        </w:rPr>
        <w:t xml:space="preserve">         委托代理人（签字）：</w:t>
      </w:r>
      <w:r>
        <w:rPr>
          <w:rFonts w:hint="eastAsia" w:cs="宋体"/>
          <w:sz w:val="21"/>
          <w:szCs w:val="21"/>
          <w:highlight w:val="none"/>
          <w:u w:val="single"/>
        </w:rPr>
        <w:t xml:space="preserve">    </w:t>
      </w:r>
    </w:p>
    <w:p w14:paraId="45F60681">
      <w:pPr>
        <w:adjustRightInd w:val="0"/>
        <w:snapToGrid w:val="0"/>
        <w:spacing w:line="360" w:lineRule="auto"/>
        <w:rPr>
          <w:rFonts w:cs="宋体"/>
          <w:sz w:val="21"/>
          <w:szCs w:val="21"/>
          <w:highlight w:val="none"/>
        </w:rPr>
      </w:pPr>
      <w:r>
        <w:rPr>
          <w:rFonts w:hint="eastAsia" w:cs="宋体"/>
          <w:sz w:val="21"/>
          <w:szCs w:val="21"/>
          <w:highlight w:val="none"/>
        </w:rPr>
        <w:t>电  话：</w:t>
      </w:r>
      <w:r>
        <w:rPr>
          <w:rFonts w:hint="eastAsia" w:cs="宋体"/>
          <w:sz w:val="21"/>
          <w:szCs w:val="21"/>
          <w:highlight w:val="none"/>
          <w:u w:val="single"/>
        </w:rPr>
        <w:t xml:space="preserve">   </w:t>
      </w:r>
      <w:r>
        <w:rPr>
          <w:rFonts w:hint="eastAsia" w:cs="宋体"/>
          <w:sz w:val="21"/>
          <w:szCs w:val="21"/>
          <w:highlight w:val="none"/>
        </w:rPr>
        <w:t xml:space="preserve">            电  话：</w:t>
      </w:r>
      <w:r>
        <w:rPr>
          <w:rFonts w:hint="eastAsia" w:cs="宋体"/>
          <w:sz w:val="21"/>
          <w:szCs w:val="21"/>
          <w:highlight w:val="none"/>
          <w:u w:val="single"/>
        </w:rPr>
        <w:t xml:space="preserve">  </w:t>
      </w:r>
    </w:p>
    <w:p w14:paraId="1A2ADC2F">
      <w:pPr>
        <w:adjustRightInd w:val="0"/>
        <w:snapToGrid w:val="0"/>
        <w:spacing w:line="360" w:lineRule="auto"/>
        <w:rPr>
          <w:rFonts w:cs="宋体"/>
          <w:sz w:val="21"/>
          <w:szCs w:val="21"/>
          <w:highlight w:val="none"/>
        </w:rPr>
      </w:pPr>
      <w:r>
        <w:rPr>
          <w:rFonts w:hint="eastAsia" w:cs="宋体"/>
          <w:sz w:val="21"/>
          <w:szCs w:val="21"/>
          <w:highlight w:val="none"/>
        </w:rPr>
        <w:t>传  真：</w:t>
      </w:r>
      <w:r>
        <w:rPr>
          <w:rFonts w:hint="eastAsia" w:cs="宋体"/>
          <w:sz w:val="21"/>
          <w:szCs w:val="21"/>
          <w:highlight w:val="none"/>
          <w:u w:val="single"/>
        </w:rPr>
        <w:t xml:space="preserve">   </w:t>
      </w:r>
      <w:r>
        <w:rPr>
          <w:rFonts w:hint="eastAsia" w:cs="宋体"/>
          <w:sz w:val="21"/>
          <w:szCs w:val="21"/>
          <w:highlight w:val="none"/>
        </w:rPr>
        <w:t xml:space="preserve">            传  真：</w:t>
      </w:r>
      <w:r>
        <w:rPr>
          <w:rFonts w:hint="eastAsia" w:cs="宋体"/>
          <w:sz w:val="21"/>
          <w:szCs w:val="21"/>
          <w:highlight w:val="none"/>
          <w:u w:val="single"/>
        </w:rPr>
        <w:t>  </w:t>
      </w:r>
    </w:p>
    <w:p w14:paraId="00E492F9">
      <w:pPr>
        <w:adjustRightInd w:val="0"/>
        <w:snapToGrid w:val="0"/>
        <w:spacing w:line="360" w:lineRule="auto"/>
        <w:rPr>
          <w:rFonts w:cs="宋体"/>
          <w:sz w:val="21"/>
          <w:szCs w:val="21"/>
          <w:highlight w:val="none"/>
        </w:rPr>
      </w:pPr>
      <w:r>
        <w:rPr>
          <w:rFonts w:hint="eastAsia" w:cs="宋体"/>
          <w:sz w:val="21"/>
          <w:szCs w:val="21"/>
          <w:highlight w:val="none"/>
        </w:rPr>
        <w:t>开户银行：</w:t>
      </w:r>
      <w:r>
        <w:rPr>
          <w:rFonts w:hint="eastAsia" w:cs="宋体"/>
          <w:sz w:val="21"/>
          <w:szCs w:val="21"/>
          <w:highlight w:val="none"/>
          <w:u w:val="single"/>
        </w:rPr>
        <w:t xml:space="preserve">   </w:t>
      </w:r>
      <w:r>
        <w:rPr>
          <w:rFonts w:hint="eastAsia" w:cs="宋体"/>
          <w:sz w:val="21"/>
          <w:szCs w:val="21"/>
          <w:highlight w:val="none"/>
        </w:rPr>
        <w:t xml:space="preserve">            开户银行：</w:t>
      </w:r>
      <w:r>
        <w:rPr>
          <w:rFonts w:hint="eastAsia" w:cs="宋体"/>
          <w:sz w:val="21"/>
          <w:szCs w:val="21"/>
          <w:highlight w:val="none"/>
          <w:u w:val="single"/>
        </w:rPr>
        <w:t></w:t>
      </w:r>
    </w:p>
    <w:p w14:paraId="79FFB39E">
      <w:pPr>
        <w:adjustRightInd w:val="0"/>
        <w:snapToGrid w:val="0"/>
        <w:spacing w:line="360" w:lineRule="auto"/>
        <w:rPr>
          <w:rFonts w:cs="宋体"/>
          <w:sz w:val="21"/>
          <w:szCs w:val="21"/>
          <w:highlight w:val="none"/>
        </w:rPr>
      </w:pPr>
      <w:r>
        <w:rPr>
          <w:rFonts w:hint="eastAsia" w:cs="宋体"/>
          <w:sz w:val="21"/>
          <w:szCs w:val="21"/>
          <w:highlight w:val="none"/>
        </w:rPr>
        <w:t>账  号：</w:t>
      </w:r>
      <w:r>
        <w:rPr>
          <w:rFonts w:hint="eastAsia" w:cs="宋体"/>
          <w:sz w:val="21"/>
          <w:szCs w:val="21"/>
          <w:highlight w:val="none"/>
          <w:u w:val="single"/>
        </w:rPr>
        <w:t xml:space="preserve">       </w:t>
      </w:r>
      <w:r>
        <w:rPr>
          <w:rFonts w:hint="eastAsia" w:cs="宋体"/>
          <w:sz w:val="21"/>
          <w:szCs w:val="21"/>
          <w:highlight w:val="none"/>
        </w:rPr>
        <w:t xml:space="preserve">            账  号：</w:t>
      </w:r>
      <w:r>
        <w:rPr>
          <w:rFonts w:hint="eastAsia" w:cs="宋体"/>
          <w:sz w:val="21"/>
          <w:szCs w:val="21"/>
          <w:highlight w:val="none"/>
          <w:u w:val="single"/>
        </w:rPr>
        <w:t xml:space="preserve">  </w:t>
      </w:r>
    </w:p>
    <w:p w14:paraId="6C99A5FA">
      <w:pPr>
        <w:adjustRightInd w:val="0"/>
        <w:snapToGrid w:val="0"/>
        <w:spacing w:line="360" w:lineRule="auto"/>
        <w:rPr>
          <w:rFonts w:cs="宋体"/>
          <w:sz w:val="21"/>
          <w:szCs w:val="21"/>
          <w:highlight w:val="none"/>
        </w:rPr>
      </w:pPr>
      <w:r>
        <w:rPr>
          <w:rFonts w:hint="eastAsia" w:cs="宋体"/>
          <w:sz w:val="21"/>
          <w:szCs w:val="21"/>
          <w:highlight w:val="none"/>
        </w:rPr>
        <w:t>邮政编码：</w:t>
      </w:r>
      <w:r>
        <w:rPr>
          <w:rFonts w:hint="eastAsia" w:cs="宋体"/>
          <w:sz w:val="21"/>
          <w:szCs w:val="21"/>
          <w:highlight w:val="none"/>
          <w:u w:val="single"/>
        </w:rPr>
        <w:t xml:space="preserve">     </w:t>
      </w:r>
      <w:r>
        <w:rPr>
          <w:rFonts w:hint="eastAsia" w:cs="宋体"/>
          <w:sz w:val="21"/>
          <w:szCs w:val="21"/>
          <w:highlight w:val="none"/>
        </w:rPr>
        <w:t xml:space="preserve">            邮政编码：</w:t>
      </w:r>
      <w:r>
        <w:rPr>
          <w:rFonts w:hint="eastAsia" w:cs="宋体"/>
          <w:sz w:val="21"/>
          <w:szCs w:val="21"/>
          <w:highlight w:val="none"/>
          <w:u w:val="single"/>
        </w:rPr>
        <w:t></w:t>
      </w:r>
    </w:p>
    <w:p w14:paraId="173D377A">
      <w:pPr>
        <w:spacing w:before="312" w:beforeLines="100" w:after="312" w:afterLines="100"/>
        <w:outlineLvl w:val="2"/>
        <w:rPr>
          <w:rFonts w:ascii="Times New Roman" w:eastAsia="黑体"/>
          <w:szCs w:val="24"/>
          <w:highlight w:val="none"/>
        </w:rPr>
      </w:pPr>
      <w:r>
        <w:rPr>
          <w:rFonts w:hint="eastAsia" w:ascii="Times New Roman" w:eastAsia="黑体"/>
          <w:bCs/>
          <w:highlight w:val="none"/>
        </w:rPr>
        <w:br w:type="page"/>
      </w:r>
      <w:bookmarkStart w:id="619" w:name="_Toc128950238"/>
      <w:r>
        <w:rPr>
          <w:rFonts w:hint="eastAsia" w:ascii="Times New Roman" w:eastAsia="黑体"/>
          <w:szCs w:val="24"/>
          <w:highlight w:val="none"/>
        </w:rPr>
        <w:t>附</w:t>
      </w:r>
      <w:bookmarkStart w:id="620" w:name="_Toc296944565"/>
      <w:bookmarkStart w:id="621" w:name="_Toc296503226"/>
      <w:bookmarkStart w:id="622" w:name="_Toc267261693"/>
      <w:bookmarkStart w:id="623" w:name="_Toc296891266"/>
      <w:bookmarkStart w:id="624" w:name="_Toc296891054"/>
      <w:bookmarkStart w:id="625" w:name="_Toc296346727"/>
      <w:bookmarkStart w:id="626" w:name="_Toc296347225"/>
      <w:r>
        <w:rPr>
          <w:rFonts w:hint="eastAsia" w:ascii="Times New Roman" w:eastAsia="黑体"/>
          <w:szCs w:val="24"/>
          <w:highlight w:val="none"/>
        </w:rPr>
        <w:t>件</w:t>
      </w:r>
      <w:r>
        <w:rPr>
          <w:rFonts w:ascii="Times New Roman" w:eastAsia="黑体"/>
          <w:szCs w:val="24"/>
          <w:highlight w:val="none"/>
        </w:rPr>
        <w:t>3</w:t>
      </w:r>
      <w:r>
        <w:rPr>
          <w:rFonts w:hint="eastAsia" w:ascii="Times New Roman" w:eastAsia="黑体"/>
          <w:szCs w:val="24"/>
          <w:highlight w:val="none"/>
        </w:rPr>
        <w:t>：</w:t>
      </w:r>
      <w:bookmarkEnd w:id="620"/>
      <w:bookmarkEnd w:id="621"/>
      <w:bookmarkEnd w:id="622"/>
      <w:bookmarkEnd w:id="623"/>
      <w:bookmarkEnd w:id="624"/>
      <w:bookmarkEnd w:id="625"/>
      <w:bookmarkEnd w:id="626"/>
      <w:r>
        <w:rPr>
          <w:rFonts w:hint="eastAsia" w:ascii="Times New Roman" w:eastAsia="黑体"/>
          <w:szCs w:val="24"/>
          <w:highlight w:val="none"/>
        </w:rPr>
        <w:t>工程质量保修书（市政公用工程）</w:t>
      </w:r>
      <w:bookmarkEnd w:id="619"/>
    </w:p>
    <w:p w14:paraId="471A04EF">
      <w:pPr>
        <w:adjustRightInd w:val="0"/>
        <w:snapToGrid w:val="0"/>
        <w:spacing w:line="360" w:lineRule="auto"/>
        <w:jc w:val="center"/>
        <w:rPr>
          <w:rFonts w:cs="宋体"/>
          <w:sz w:val="28"/>
          <w:szCs w:val="28"/>
          <w:highlight w:val="none"/>
        </w:rPr>
      </w:pPr>
      <w:r>
        <w:rPr>
          <w:rFonts w:hint="eastAsia" w:cs="宋体"/>
          <w:sz w:val="28"/>
          <w:szCs w:val="28"/>
          <w:highlight w:val="none"/>
        </w:rPr>
        <w:t>工程质量保修书</w:t>
      </w:r>
    </w:p>
    <w:p w14:paraId="012251FC">
      <w:pPr>
        <w:adjustRightInd w:val="0"/>
        <w:snapToGrid w:val="0"/>
        <w:spacing w:line="360" w:lineRule="auto"/>
        <w:ind w:firstLine="420" w:firstLineChars="200"/>
        <w:rPr>
          <w:rFonts w:cs="宋体"/>
          <w:position w:val="14"/>
          <w:sz w:val="21"/>
          <w:szCs w:val="21"/>
          <w:highlight w:val="none"/>
        </w:rPr>
      </w:pPr>
      <w:r>
        <w:rPr>
          <w:rFonts w:hint="eastAsia" w:cs="宋体"/>
          <w:bCs/>
          <w:position w:val="14"/>
          <w:sz w:val="21"/>
          <w:szCs w:val="21"/>
          <w:highlight w:val="none"/>
        </w:rPr>
        <w:t>发包人</w:t>
      </w:r>
      <w:r>
        <w:rPr>
          <w:rFonts w:hint="eastAsia" w:cs="宋体"/>
          <w:position w:val="14"/>
          <w:sz w:val="21"/>
          <w:szCs w:val="21"/>
          <w:highlight w:val="none"/>
        </w:rPr>
        <w:t>：_______________________________</w:t>
      </w:r>
    </w:p>
    <w:p w14:paraId="0803F620">
      <w:pPr>
        <w:widowControl/>
        <w:adjustRightInd w:val="0"/>
        <w:snapToGrid w:val="0"/>
        <w:spacing w:line="360" w:lineRule="auto"/>
        <w:ind w:firstLine="420" w:firstLineChars="200"/>
        <w:jc w:val="left"/>
        <w:rPr>
          <w:rFonts w:cs="宋体"/>
          <w:position w:val="14"/>
          <w:sz w:val="21"/>
          <w:szCs w:val="21"/>
          <w:highlight w:val="none"/>
        </w:rPr>
      </w:pPr>
      <w:r>
        <w:rPr>
          <w:rFonts w:hint="eastAsia" w:cs="宋体"/>
          <w:bCs/>
          <w:position w:val="14"/>
          <w:sz w:val="21"/>
          <w:szCs w:val="21"/>
          <w:highlight w:val="none"/>
        </w:rPr>
        <w:t>承包人</w:t>
      </w:r>
      <w:r>
        <w:rPr>
          <w:rFonts w:hint="eastAsia" w:cs="宋体"/>
          <w:position w:val="14"/>
          <w:sz w:val="21"/>
          <w:szCs w:val="21"/>
          <w:highlight w:val="none"/>
        </w:rPr>
        <w:t>：_______________________________</w:t>
      </w:r>
    </w:p>
    <w:p w14:paraId="07F2C414">
      <w:pPr>
        <w:widowControl/>
        <w:adjustRightInd w:val="0"/>
        <w:snapToGrid w:val="0"/>
        <w:spacing w:line="360" w:lineRule="auto"/>
        <w:ind w:firstLine="420" w:firstLineChars="200"/>
        <w:jc w:val="left"/>
        <w:rPr>
          <w:rFonts w:cs="宋体"/>
          <w:position w:val="6"/>
          <w:sz w:val="21"/>
          <w:szCs w:val="21"/>
          <w:highlight w:val="none"/>
        </w:rPr>
      </w:pPr>
      <w:r>
        <w:rPr>
          <w:rFonts w:hint="eastAsia" w:cs="宋体"/>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73138707">
      <w:pPr>
        <w:widowControl/>
        <w:adjustRightInd w:val="0"/>
        <w:snapToGrid w:val="0"/>
        <w:spacing w:line="360" w:lineRule="auto"/>
        <w:ind w:firstLine="422" w:firstLineChars="200"/>
        <w:jc w:val="left"/>
        <w:rPr>
          <w:rFonts w:cs="宋体"/>
          <w:b/>
          <w:bCs/>
          <w:position w:val="6"/>
          <w:sz w:val="21"/>
          <w:szCs w:val="21"/>
          <w:highlight w:val="none"/>
        </w:rPr>
      </w:pPr>
      <w:r>
        <w:rPr>
          <w:rFonts w:hint="eastAsia" w:cs="宋体"/>
          <w:b/>
          <w:bCs/>
          <w:position w:val="6"/>
          <w:sz w:val="21"/>
          <w:szCs w:val="21"/>
          <w:highlight w:val="none"/>
        </w:rPr>
        <w:t>一、工程质量保修范围和内容</w:t>
      </w:r>
    </w:p>
    <w:p w14:paraId="5D35D559">
      <w:pPr>
        <w:adjustRightInd w:val="0"/>
        <w:snapToGrid w:val="0"/>
        <w:spacing w:line="360" w:lineRule="auto"/>
        <w:ind w:firstLine="420" w:firstLineChars="200"/>
        <w:jc w:val="left"/>
        <w:rPr>
          <w:rFonts w:cs="宋体"/>
          <w:position w:val="6"/>
          <w:sz w:val="21"/>
          <w:szCs w:val="21"/>
          <w:highlight w:val="none"/>
        </w:rPr>
      </w:pPr>
      <w:r>
        <w:rPr>
          <w:rFonts w:hint="eastAsia" w:cs="宋体"/>
          <w:position w:val="6"/>
          <w:sz w:val="21"/>
          <w:szCs w:val="21"/>
          <w:highlight w:val="none"/>
        </w:rPr>
        <w:t>按照《建设工程质量管理条例》及有关法律、法规、规章的管理规定，双方约定由施工单位在质量保修期内，承担本工程的质量保修责任。</w:t>
      </w:r>
    </w:p>
    <w:p w14:paraId="06701270">
      <w:pPr>
        <w:adjustRightInd w:val="0"/>
        <w:snapToGrid w:val="0"/>
        <w:spacing w:line="360" w:lineRule="auto"/>
        <w:ind w:firstLine="420" w:firstLineChars="200"/>
        <w:jc w:val="left"/>
        <w:rPr>
          <w:rFonts w:cs="宋体"/>
          <w:position w:val="6"/>
          <w:sz w:val="21"/>
          <w:szCs w:val="21"/>
          <w:highlight w:val="none"/>
        </w:rPr>
      </w:pPr>
      <w:r>
        <w:rPr>
          <w:rFonts w:hint="eastAsia" w:cs="宋体"/>
          <w:position w:val="6"/>
          <w:sz w:val="21"/>
          <w:szCs w:val="21"/>
          <w:highlight w:val="none"/>
        </w:rPr>
        <w:t>质量保修范围和内容：______________________。</w:t>
      </w:r>
      <w:r>
        <w:rPr>
          <w:rFonts w:hint="eastAsia" w:cs="宋体"/>
          <w:bCs/>
          <w:position w:val="6"/>
          <w:sz w:val="21"/>
          <w:szCs w:val="21"/>
          <w:highlight w:val="none"/>
        </w:rPr>
        <w:t>因不可抗力或使用不当造成的质量缺陷，不属保修范围。</w:t>
      </w:r>
    </w:p>
    <w:p w14:paraId="55ED5E99">
      <w:pPr>
        <w:widowControl/>
        <w:adjustRightInd w:val="0"/>
        <w:snapToGrid w:val="0"/>
        <w:spacing w:line="360" w:lineRule="auto"/>
        <w:ind w:firstLine="422" w:firstLineChars="200"/>
        <w:jc w:val="left"/>
        <w:rPr>
          <w:rFonts w:cs="宋体"/>
          <w:b/>
          <w:bCs/>
          <w:position w:val="6"/>
          <w:sz w:val="21"/>
          <w:szCs w:val="21"/>
          <w:highlight w:val="none"/>
        </w:rPr>
      </w:pPr>
      <w:r>
        <w:rPr>
          <w:rFonts w:hint="eastAsia" w:cs="宋体"/>
          <w:b/>
          <w:bCs/>
          <w:position w:val="6"/>
          <w:sz w:val="21"/>
          <w:szCs w:val="21"/>
          <w:highlight w:val="none"/>
        </w:rPr>
        <w:t>二、质量保修期</w:t>
      </w:r>
    </w:p>
    <w:p w14:paraId="4C5D1468">
      <w:pPr>
        <w:adjustRightInd w:val="0"/>
        <w:snapToGrid w:val="0"/>
        <w:spacing w:line="360" w:lineRule="auto"/>
        <w:ind w:firstLine="420" w:firstLineChars="200"/>
        <w:jc w:val="left"/>
        <w:rPr>
          <w:rFonts w:cs="宋体"/>
          <w:position w:val="6"/>
          <w:sz w:val="21"/>
          <w:szCs w:val="21"/>
          <w:highlight w:val="none"/>
        </w:rPr>
      </w:pPr>
      <w:r>
        <w:rPr>
          <w:rFonts w:hint="eastAsia" w:cs="宋体"/>
          <w:position w:val="6"/>
          <w:sz w:val="21"/>
          <w:szCs w:val="21"/>
          <w:highlight w:val="none"/>
        </w:rPr>
        <w:t>双方根据《建设工程质量管理条例》及有关规定，约定本工程的质量保修期如下：</w:t>
      </w:r>
    </w:p>
    <w:p w14:paraId="1A515298">
      <w:pPr>
        <w:widowControl/>
        <w:adjustRightInd w:val="0"/>
        <w:snapToGrid w:val="0"/>
        <w:spacing w:line="360" w:lineRule="auto"/>
        <w:ind w:left="400" w:leftChars="200" w:firstLine="58" w:firstLineChars="28"/>
        <w:jc w:val="left"/>
        <w:rPr>
          <w:rFonts w:cs="宋体"/>
          <w:position w:val="6"/>
          <w:sz w:val="21"/>
          <w:szCs w:val="21"/>
          <w:highlight w:val="none"/>
        </w:rPr>
      </w:pPr>
      <w:r>
        <w:rPr>
          <w:rFonts w:hint="eastAsia" w:cs="宋体"/>
          <w:position w:val="6"/>
          <w:sz w:val="21"/>
          <w:szCs w:val="21"/>
          <w:highlight w:val="none"/>
        </w:rPr>
        <w:t>1. 主体结构和基础工程，为</w:t>
      </w:r>
      <w:r>
        <w:rPr>
          <w:rFonts w:hint="eastAsia" w:cs="宋体"/>
          <w:position w:val="6"/>
          <w:sz w:val="21"/>
          <w:szCs w:val="21"/>
          <w:highlight w:val="none"/>
          <w:u w:val="single"/>
        </w:rPr>
        <w:t xml:space="preserve">     </w:t>
      </w:r>
      <w:r>
        <w:rPr>
          <w:rFonts w:hint="eastAsia" w:cs="宋体"/>
          <w:position w:val="6"/>
          <w:sz w:val="21"/>
          <w:szCs w:val="21"/>
          <w:highlight w:val="none"/>
        </w:rPr>
        <w:t>年；</w:t>
      </w:r>
    </w:p>
    <w:p w14:paraId="12036F23">
      <w:pPr>
        <w:widowControl/>
        <w:adjustRightInd w:val="0"/>
        <w:snapToGrid w:val="0"/>
        <w:spacing w:line="360" w:lineRule="auto"/>
        <w:ind w:left="400" w:leftChars="200" w:firstLine="58" w:firstLineChars="28"/>
        <w:jc w:val="left"/>
        <w:rPr>
          <w:rFonts w:cs="宋体"/>
          <w:position w:val="6"/>
          <w:sz w:val="21"/>
          <w:szCs w:val="21"/>
          <w:highlight w:val="none"/>
        </w:rPr>
      </w:pPr>
      <w:r>
        <w:rPr>
          <w:rFonts w:hint="eastAsia" w:cs="宋体"/>
          <w:position w:val="6"/>
          <w:sz w:val="21"/>
          <w:szCs w:val="21"/>
          <w:highlight w:val="none"/>
        </w:rPr>
        <w:t>2. _____________工程，为</w:t>
      </w:r>
      <w:r>
        <w:rPr>
          <w:rFonts w:hint="eastAsia" w:cs="宋体"/>
          <w:position w:val="6"/>
          <w:sz w:val="21"/>
          <w:szCs w:val="21"/>
          <w:highlight w:val="none"/>
          <w:u w:val="single"/>
        </w:rPr>
        <w:t xml:space="preserve">     </w:t>
      </w:r>
      <w:r>
        <w:rPr>
          <w:rFonts w:hint="eastAsia" w:cs="宋体"/>
          <w:position w:val="6"/>
          <w:sz w:val="21"/>
          <w:szCs w:val="21"/>
          <w:highlight w:val="none"/>
        </w:rPr>
        <w:t>年；</w:t>
      </w:r>
    </w:p>
    <w:p w14:paraId="6B6152B6">
      <w:pPr>
        <w:widowControl/>
        <w:adjustRightInd w:val="0"/>
        <w:snapToGrid w:val="0"/>
        <w:spacing w:line="360" w:lineRule="auto"/>
        <w:ind w:left="400" w:leftChars="200" w:firstLine="58" w:firstLineChars="28"/>
        <w:jc w:val="left"/>
        <w:rPr>
          <w:rFonts w:cs="宋体"/>
          <w:position w:val="6"/>
          <w:sz w:val="21"/>
          <w:szCs w:val="21"/>
          <w:highlight w:val="none"/>
        </w:rPr>
      </w:pPr>
      <w:r>
        <w:rPr>
          <w:rFonts w:hint="eastAsia" w:cs="宋体"/>
          <w:position w:val="6"/>
          <w:sz w:val="21"/>
          <w:szCs w:val="21"/>
          <w:highlight w:val="none"/>
        </w:rPr>
        <w:t>3. _____________工程，为</w:t>
      </w:r>
      <w:r>
        <w:rPr>
          <w:rFonts w:hint="eastAsia" w:cs="宋体"/>
          <w:position w:val="6"/>
          <w:sz w:val="21"/>
          <w:szCs w:val="21"/>
          <w:highlight w:val="none"/>
          <w:u w:val="single"/>
        </w:rPr>
        <w:t xml:space="preserve">     </w:t>
      </w:r>
      <w:r>
        <w:rPr>
          <w:rFonts w:hint="eastAsia" w:cs="宋体"/>
          <w:position w:val="6"/>
          <w:sz w:val="21"/>
          <w:szCs w:val="21"/>
          <w:highlight w:val="none"/>
        </w:rPr>
        <w:t>年；</w:t>
      </w:r>
    </w:p>
    <w:p w14:paraId="3E1654B2">
      <w:pPr>
        <w:adjustRightInd w:val="0"/>
        <w:snapToGrid w:val="0"/>
        <w:spacing w:line="360" w:lineRule="auto"/>
        <w:ind w:left="342" w:leftChars="171" w:firstLine="105" w:firstLineChars="50"/>
        <w:rPr>
          <w:rFonts w:cs="宋体"/>
          <w:position w:val="6"/>
          <w:sz w:val="21"/>
          <w:szCs w:val="21"/>
          <w:highlight w:val="none"/>
        </w:rPr>
      </w:pPr>
      <w:r>
        <w:rPr>
          <w:rFonts w:hint="eastAsia" w:cs="宋体"/>
          <w:position w:val="6"/>
          <w:sz w:val="21"/>
          <w:szCs w:val="21"/>
          <w:highlight w:val="none"/>
        </w:rPr>
        <w:t xml:space="preserve">4. _____________工程，为 </w:t>
      </w:r>
      <w:r>
        <w:rPr>
          <w:rFonts w:hint="eastAsia" w:cs="宋体"/>
          <w:position w:val="6"/>
          <w:sz w:val="21"/>
          <w:szCs w:val="21"/>
          <w:highlight w:val="none"/>
          <w:u w:val="single"/>
        </w:rPr>
        <w:t xml:space="preserve">     </w:t>
      </w:r>
      <w:r>
        <w:rPr>
          <w:rFonts w:hint="eastAsia" w:cs="宋体"/>
          <w:position w:val="6"/>
          <w:sz w:val="21"/>
          <w:szCs w:val="21"/>
          <w:highlight w:val="none"/>
        </w:rPr>
        <w:t>年；</w:t>
      </w:r>
    </w:p>
    <w:p w14:paraId="012EEBF8">
      <w:pPr>
        <w:adjustRightInd w:val="0"/>
        <w:snapToGrid w:val="0"/>
        <w:spacing w:line="360" w:lineRule="auto"/>
        <w:ind w:left="342" w:leftChars="171" w:firstLine="105" w:firstLineChars="50"/>
        <w:rPr>
          <w:rFonts w:cs="宋体"/>
          <w:position w:val="6"/>
          <w:sz w:val="21"/>
          <w:szCs w:val="21"/>
          <w:highlight w:val="none"/>
        </w:rPr>
      </w:pPr>
      <w:r>
        <w:rPr>
          <w:rFonts w:hint="eastAsia" w:cs="宋体"/>
          <w:position w:val="6"/>
          <w:sz w:val="21"/>
          <w:szCs w:val="21"/>
          <w:highlight w:val="none"/>
        </w:rPr>
        <w:t>质量保修期自工程竣工验收合格之日起计算。</w:t>
      </w:r>
    </w:p>
    <w:p w14:paraId="5A545E33">
      <w:pPr>
        <w:adjustRightInd w:val="0"/>
        <w:snapToGrid w:val="0"/>
        <w:spacing w:line="360" w:lineRule="auto"/>
        <w:ind w:firstLine="422" w:firstLineChars="200"/>
        <w:rPr>
          <w:rFonts w:cs="宋体"/>
          <w:b/>
          <w:sz w:val="21"/>
          <w:szCs w:val="21"/>
          <w:highlight w:val="none"/>
        </w:rPr>
      </w:pPr>
      <w:r>
        <w:rPr>
          <w:rFonts w:hint="eastAsia" w:cs="宋体"/>
          <w:b/>
          <w:sz w:val="21"/>
          <w:szCs w:val="21"/>
          <w:highlight w:val="none"/>
        </w:rPr>
        <w:t>三、缺陷责任期</w:t>
      </w:r>
    </w:p>
    <w:p w14:paraId="0969270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工程缺陷责任期为</w:t>
      </w:r>
      <w:r>
        <w:rPr>
          <w:rFonts w:hint="eastAsia" w:cs="宋体"/>
          <w:sz w:val="21"/>
          <w:szCs w:val="21"/>
          <w:highlight w:val="none"/>
          <w:u w:val="single"/>
        </w:rPr>
        <w:t xml:space="preserve">     </w:t>
      </w:r>
      <w:r>
        <w:rPr>
          <w:rFonts w:hint="eastAsia" w:cs="宋体"/>
          <w:sz w:val="21"/>
          <w:szCs w:val="21"/>
          <w:highlight w:val="none"/>
        </w:rPr>
        <w:t>，缺陷责任期自工程竣工验收合格之日起计算。单位工程先于全部工程进行验收，单位工程缺陷责任期自单位工程验收合格之日起算。</w:t>
      </w:r>
    </w:p>
    <w:p w14:paraId="16F45CA6">
      <w:pPr>
        <w:adjustRightInd w:val="0"/>
        <w:snapToGrid w:val="0"/>
        <w:spacing w:line="360" w:lineRule="auto"/>
        <w:ind w:firstLine="420" w:firstLineChars="200"/>
        <w:rPr>
          <w:rFonts w:cs="宋体"/>
          <w:sz w:val="21"/>
          <w:szCs w:val="21"/>
          <w:highlight w:val="none"/>
        </w:rPr>
      </w:pPr>
      <w:r>
        <w:rPr>
          <w:rFonts w:hint="eastAsia" w:cs="宋体"/>
          <w:sz w:val="21"/>
          <w:szCs w:val="21"/>
          <w:highlight w:val="none"/>
        </w:rPr>
        <w:t>缺陷责任期终止后，发包人应退还剩余的质量保证金。</w:t>
      </w:r>
    </w:p>
    <w:p w14:paraId="529C1E2F">
      <w:pPr>
        <w:widowControl/>
        <w:adjustRightInd w:val="0"/>
        <w:snapToGrid w:val="0"/>
        <w:spacing w:line="360" w:lineRule="auto"/>
        <w:ind w:firstLine="422" w:firstLineChars="200"/>
        <w:jc w:val="left"/>
        <w:rPr>
          <w:rFonts w:cs="宋体"/>
          <w:b/>
          <w:bCs/>
          <w:position w:val="6"/>
          <w:sz w:val="21"/>
          <w:szCs w:val="21"/>
          <w:highlight w:val="none"/>
        </w:rPr>
      </w:pPr>
      <w:r>
        <w:rPr>
          <w:rFonts w:hint="eastAsia" w:cs="宋体"/>
          <w:b/>
          <w:sz w:val="21"/>
          <w:szCs w:val="21"/>
          <w:highlight w:val="none"/>
        </w:rPr>
        <w:t>四、质量保修责任</w:t>
      </w:r>
    </w:p>
    <w:p w14:paraId="2CFD3121">
      <w:pPr>
        <w:widowControl/>
        <w:adjustRightInd w:val="0"/>
        <w:snapToGrid w:val="0"/>
        <w:spacing w:line="360" w:lineRule="auto"/>
        <w:ind w:firstLine="420" w:firstLineChars="200"/>
        <w:jc w:val="left"/>
        <w:rPr>
          <w:rFonts w:cs="宋体"/>
          <w:position w:val="6"/>
          <w:sz w:val="21"/>
          <w:szCs w:val="21"/>
          <w:highlight w:val="none"/>
        </w:rPr>
      </w:pPr>
      <w:r>
        <w:rPr>
          <w:rFonts w:hint="eastAsia" w:cs="宋体"/>
          <w:position w:val="6"/>
          <w:sz w:val="21"/>
          <w:szCs w:val="21"/>
          <w:highlight w:val="none"/>
        </w:rPr>
        <w:t>1. 属于保修范围、内容的项目，承包人应当在接到保修通知之日起7天内派人保修。承包人不在约定期限内派人保修的，发包人可以委托他人修理。</w:t>
      </w:r>
    </w:p>
    <w:p w14:paraId="710F88E9">
      <w:pPr>
        <w:widowControl/>
        <w:adjustRightInd w:val="0"/>
        <w:snapToGrid w:val="0"/>
        <w:spacing w:line="360" w:lineRule="auto"/>
        <w:ind w:firstLine="420" w:firstLineChars="200"/>
        <w:jc w:val="left"/>
        <w:rPr>
          <w:rFonts w:cs="宋体"/>
          <w:position w:val="6"/>
          <w:sz w:val="21"/>
          <w:szCs w:val="21"/>
          <w:highlight w:val="none"/>
        </w:rPr>
      </w:pPr>
      <w:r>
        <w:rPr>
          <w:rFonts w:hint="eastAsia" w:cs="宋体"/>
          <w:position w:val="6"/>
          <w:sz w:val="21"/>
          <w:szCs w:val="21"/>
          <w:highlight w:val="none"/>
        </w:rPr>
        <w:t>2. 发生紧急抢修事故的，承包人在接到事故通知后，应当立即到达事故现场抢修。</w:t>
      </w:r>
    </w:p>
    <w:p w14:paraId="17A0D5DC">
      <w:pPr>
        <w:widowControl/>
        <w:adjustRightInd w:val="0"/>
        <w:snapToGrid w:val="0"/>
        <w:spacing w:line="360" w:lineRule="auto"/>
        <w:ind w:firstLine="420" w:firstLineChars="200"/>
        <w:jc w:val="left"/>
        <w:rPr>
          <w:rFonts w:cs="宋体"/>
          <w:position w:val="6"/>
          <w:sz w:val="21"/>
          <w:szCs w:val="21"/>
          <w:highlight w:val="none"/>
        </w:rPr>
      </w:pPr>
      <w:r>
        <w:rPr>
          <w:rFonts w:hint="eastAsia" w:cs="宋体"/>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2E89A480">
      <w:pPr>
        <w:widowControl/>
        <w:adjustRightInd w:val="0"/>
        <w:snapToGrid w:val="0"/>
        <w:spacing w:line="360" w:lineRule="auto"/>
        <w:ind w:firstLine="420" w:firstLineChars="200"/>
        <w:jc w:val="left"/>
        <w:rPr>
          <w:rFonts w:cs="宋体"/>
          <w:position w:val="6"/>
          <w:sz w:val="21"/>
          <w:szCs w:val="21"/>
          <w:highlight w:val="none"/>
        </w:rPr>
      </w:pPr>
      <w:r>
        <w:rPr>
          <w:rFonts w:hint="eastAsia" w:cs="宋体"/>
          <w:position w:val="6"/>
          <w:sz w:val="21"/>
          <w:szCs w:val="21"/>
          <w:highlight w:val="none"/>
        </w:rPr>
        <w:t>4. 质量保修完成后，由发包人组织验收。</w:t>
      </w:r>
    </w:p>
    <w:p w14:paraId="30094967">
      <w:pPr>
        <w:widowControl/>
        <w:adjustRightInd w:val="0"/>
        <w:snapToGrid w:val="0"/>
        <w:spacing w:line="360" w:lineRule="auto"/>
        <w:ind w:firstLine="422" w:firstLineChars="200"/>
        <w:jc w:val="left"/>
        <w:rPr>
          <w:rFonts w:cs="宋体"/>
          <w:b/>
          <w:bCs/>
          <w:position w:val="6"/>
          <w:sz w:val="21"/>
          <w:szCs w:val="21"/>
          <w:highlight w:val="none"/>
        </w:rPr>
      </w:pPr>
      <w:r>
        <w:rPr>
          <w:rFonts w:hint="eastAsia" w:cs="宋体"/>
          <w:b/>
          <w:bCs/>
          <w:position w:val="6"/>
          <w:sz w:val="21"/>
          <w:szCs w:val="21"/>
          <w:highlight w:val="none"/>
        </w:rPr>
        <w:t>五、保修费用</w:t>
      </w:r>
    </w:p>
    <w:p w14:paraId="5E495B7A">
      <w:pPr>
        <w:widowControl/>
        <w:adjustRightInd w:val="0"/>
        <w:snapToGrid w:val="0"/>
        <w:spacing w:line="360" w:lineRule="auto"/>
        <w:ind w:firstLine="420" w:firstLineChars="200"/>
        <w:jc w:val="left"/>
        <w:rPr>
          <w:rFonts w:cs="宋体"/>
          <w:position w:val="6"/>
          <w:sz w:val="21"/>
          <w:szCs w:val="21"/>
          <w:highlight w:val="none"/>
        </w:rPr>
      </w:pPr>
      <w:r>
        <w:rPr>
          <w:rFonts w:hint="eastAsia" w:cs="宋体"/>
          <w:position w:val="6"/>
          <w:sz w:val="21"/>
          <w:szCs w:val="21"/>
          <w:highlight w:val="none"/>
        </w:rPr>
        <w:t>保修费用由造成质量缺陷的责任方承担。</w:t>
      </w:r>
    </w:p>
    <w:p w14:paraId="1FD9A5BA">
      <w:pPr>
        <w:widowControl/>
        <w:adjustRightInd w:val="0"/>
        <w:snapToGrid w:val="0"/>
        <w:spacing w:line="360" w:lineRule="auto"/>
        <w:ind w:firstLine="420" w:firstLineChars="200"/>
        <w:jc w:val="left"/>
        <w:rPr>
          <w:rFonts w:cs="宋体"/>
          <w:b/>
          <w:sz w:val="21"/>
          <w:szCs w:val="21"/>
          <w:highlight w:val="none"/>
        </w:rPr>
      </w:pPr>
      <w:r>
        <w:rPr>
          <w:rFonts w:hint="eastAsia" w:cs="宋体"/>
          <w:bCs/>
          <w:position w:val="6"/>
          <w:sz w:val="21"/>
          <w:szCs w:val="21"/>
          <w:highlight w:val="none"/>
        </w:rPr>
        <w:t>六、</w:t>
      </w:r>
      <w:r>
        <w:rPr>
          <w:rFonts w:hint="eastAsia" w:cs="宋体"/>
          <w:b/>
          <w:sz w:val="21"/>
          <w:szCs w:val="21"/>
          <w:highlight w:val="none"/>
        </w:rPr>
        <w:t>双方约定的其他工程质量保修事项：</w:t>
      </w:r>
      <w:r>
        <w:rPr>
          <w:rFonts w:hint="eastAsia" w:cs="宋体"/>
          <w:b/>
          <w:sz w:val="21"/>
          <w:szCs w:val="21"/>
          <w:highlight w:val="none"/>
          <w:u w:val="single"/>
        </w:rPr>
        <w:t xml:space="preserve">             </w:t>
      </w:r>
      <w:r>
        <w:rPr>
          <w:rFonts w:hint="eastAsia" w:cs="宋体"/>
          <w:b/>
          <w:sz w:val="21"/>
          <w:szCs w:val="21"/>
          <w:highlight w:val="none"/>
        </w:rPr>
        <w:t>。</w:t>
      </w:r>
    </w:p>
    <w:p w14:paraId="54C199BD">
      <w:pPr>
        <w:widowControl/>
        <w:adjustRightInd w:val="0"/>
        <w:snapToGrid w:val="0"/>
        <w:spacing w:line="360" w:lineRule="auto"/>
        <w:ind w:firstLine="420" w:firstLineChars="200"/>
        <w:jc w:val="left"/>
        <w:rPr>
          <w:rFonts w:cs="宋体"/>
          <w:bCs/>
          <w:sz w:val="21"/>
          <w:szCs w:val="21"/>
          <w:highlight w:val="none"/>
        </w:rPr>
      </w:pPr>
      <w:r>
        <w:rPr>
          <w:rFonts w:hint="eastAsia" w:cs="宋体"/>
          <w:bCs/>
          <w:position w:val="6"/>
          <w:sz w:val="21"/>
          <w:szCs w:val="21"/>
          <w:highlight w:val="none"/>
        </w:rPr>
        <w:t>本工程质量保修书，由施工合同发包人、承包人双方在竣工验收前共同签署，作为施工合同附件，其有效期限至保修期满。</w:t>
      </w:r>
    </w:p>
    <w:p w14:paraId="0FAFB00A">
      <w:pPr>
        <w:adjustRightInd w:val="0"/>
        <w:snapToGrid w:val="0"/>
        <w:spacing w:line="360" w:lineRule="auto"/>
        <w:ind w:firstLine="420"/>
        <w:rPr>
          <w:rFonts w:cs="宋体"/>
          <w:sz w:val="21"/>
          <w:szCs w:val="21"/>
          <w:highlight w:val="none"/>
        </w:rPr>
      </w:pPr>
    </w:p>
    <w:p w14:paraId="5A37237A">
      <w:pPr>
        <w:adjustRightInd w:val="0"/>
        <w:snapToGrid w:val="0"/>
        <w:spacing w:line="360" w:lineRule="auto"/>
        <w:rPr>
          <w:rFonts w:cs="宋体"/>
          <w:sz w:val="21"/>
          <w:szCs w:val="21"/>
          <w:highlight w:val="none"/>
          <w:u w:val="single"/>
        </w:rPr>
      </w:pPr>
      <w:r>
        <w:rPr>
          <w:rFonts w:hint="eastAsia" w:cs="宋体"/>
          <w:sz w:val="21"/>
          <w:szCs w:val="21"/>
          <w:highlight w:val="none"/>
        </w:rPr>
        <w:t>发包人（公章）：</w:t>
      </w:r>
      <w:r>
        <w:rPr>
          <w:rFonts w:hint="eastAsia" w:cs="宋体"/>
          <w:sz w:val="21"/>
          <w:szCs w:val="21"/>
          <w:highlight w:val="none"/>
          <w:u w:val="single"/>
        </w:rPr>
        <w:t xml:space="preserve">        </w:t>
      </w:r>
      <w:r>
        <w:rPr>
          <w:rFonts w:hint="eastAsia" w:cs="宋体"/>
          <w:sz w:val="21"/>
          <w:szCs w:val="21"/>
          <w:highlight w:val="none"/>
        </w:rPr>
        <w:t xml:space="preserve">           承包人（公章）：</w:t>
      </w:r>
      <w:r>
        <w:rPr>
          <w:rFonts w:hint="eastAsia" w:cs="宋体"/>
          <w:sz w:val="21"/>
          <w:szCs w:val="21"/>
          <w:highlight w:val="none"/>
          <w:u w:val="single"/>
        </w:rPr>
        <w:t xml:space="preserve">        </w:t>
      </w:r>
    </w:p>
    <w:p w14:paraId="0E523642">
      <w:pPr>
        <w:adjustRightInd w:val="0"/>
        <w:snapToGrid w:val="0"/>
        <w:spacing w:line="360" w:lineRule="auto"/>
        <w:rPr>
          <w:rFonts w:cs="宋体"/>
          <w:sz w:val="21"/>
          <w:szCs w:val="21"/>
          <w:highlight w:val="none"/>
          <w:u w:val="single"/>
        </w:rPr>
      </w:pPr>
      <w:r>
        <w:rPr>
          <w:rFonts w:hint="eastAsia" w:cs="宋体"/>
          <w:sz w:val="21"/>
          <w:szCs w:val="21"/>
          <w:highlight w:val="none"/>
        </w:rPr>
        <w:t>地  址：</w:t>
      </w:r>
      <w:r>
        <w:rPr>
          <w:rFonts w:hint="eastAsia" w:cs="宋体"/>
          <w:sz w:val="21"/>
          <w:szCs w:val="21"/>
          <w:highlight w:val="none"/>
          <w:u w:val="single"/>
        </w:rPr>
        <w:t xml:space="preserve">     </w:t>
      </w:r>
      <w:r>
        <w:rPr>
          <w:rFonts w:hint="eastAsia" w:cs="宋体"/>
          <w:sz w:val="21"/>
          <w:szCs w:val="21"/>
          <w:highlight w:val="none"/>
        </w:rPr>
        <w:t xml:space="preserve">              地  址：</w:t>
      </w:r>
      <w:r>
        <w:rPr>
          <w:rFonts w:hint="eastAsia" w:cs="宋体"/>
          <w:sz w:val="21"/>
          <w:szCs w:val="21"/>
          <w:highlight w:val="none"/>
          <w:u w:val="single"/>
        </w:rPr>
        <w:t xml:space="preserve">       </w:t>
      </w:r>
    </w:p>
    <w:p w14:paraId="65232194">
      <w:pPr>
        <w:adjustRightInd w:val="0"/>
        <w:snapToGrid w:val="0"/>
        <w:spacing w:line="360" w:lineRule="auto"/>
        <w:rPr>
          <w:rFonts w:cs="宋体"/>
          <w:sz w:val="21"/>
          <w:szCs w:val="21"/>
          <w:highlight w:val="none"/>
          <w:u w:val="single"/>
        </w:rPr>
      </w:pPr>
      <w:r>
        <w:rPr>
          <w:rFonts w:hint="eastAsia" w:cs="宋体"/>
          <w:sz w:val="21"/>
          <w:szCs w:val="21"/>
          <w:highlight w:val="none"/>
        </w:rPr>
        <w:t>法定代表人（签字）：</w:t>
      </w:r>
      <w:r>
        <w:rPr>
          <w:rFonts w:hint="eastAsia" w:cs="宋体"/>
          <w:sz w:val="21"/>
          <w:szCs w:val="21"/>
          <w:highlight w:val="none"/>
          <w:u w:val="single"/>
        </w:rPr>
        <w:t xml:space="preserve">      </w:t>
      </w:r>
      <w:r>
        <w:rPr>
          <w:rFonts w:hint="eastAsia" w:cs="宋体"/>
          <w:sz w:val="21"/>
          <w:szCs w:val="21"/>
          <w:highlight w:val="none"/>
        </w:rPr>
        <w:t xml:space="preserve">           法定代表人（签字）：</w:t>
      </w:r>
      <w:r>
        <w:rPr>
          <w:rFonts w:hint="eastAsia" w:cs="宋体"/>
          <w:sz w:val="21"/>
          <w:szCs w:val="21"/>
          <w:highlight w:val="none"/>
          <w:u w:val="single"/>
        </w:rPr>
        <w:t xml:space="preserve">       </w:t>
      </w:r>
    </w:p>
    <w:p w14:paraId="2EEDD1EB">
      <w:pPr>
        <w:adjustRightInd w:val="0"/>
        <w:snapToGrid w:val="0"/>
        <w:spacing w:line="360" w:lineRule="auto"/>
        <w:rPr>
          <w:rFonts w:cs="宋体"/>
          <w:sz w:val="21"/>
          <w:szCs w:val="21"/>
          <w:highlight w:val="none"/>
          <w:u w:val="single"/>
        </w:rPr>
      </w:pPr>
      <w:r>
        <w:rPr>
          <w:rFonts w:hint="eastAsia" w:cs="宋体"/>
          <w:sz w:val="21"/>
          <w:szCs w:val="21"/>
          <w:highlight w:val="none"/>
        </w:rPr>
        <w:t>委托代理人（签字）：</w:t>
      </w:r>
      <w:r>
        <w:rPr>
          <w:rFonts w:hint="eastAsia" w:cs="宋体"/>
          <w:sz w:val="21"/>
          <w:szCs w:val="21"/>
          <w:highlight w:val="none"/>
          <w:u w:val="single"/>
        </w:rPr>
        <w:t xml:space="preserve">      </w:t>
      </w:r>
      <w:r>
        <w:rPr>
          <w:rFonts w:hint="eastAsia" w:cs="宋体"/>
          <w:sz w:val="21"/>
          <w:szCs w:val="21"/>
          <w:highlight w:val="none"/>
        </w:rPr>
        <w:t xml:space="preserve">           委托代理人（签字）：</w:t>
      </w:r>
      <w:r>
        <w:rPr>
          <w:rFonts w:hint="eastAsia" w:cs="宋体"/>
          <w:sz w:val="21"/>
          <w:szCs w:val="21"/>
          <w:highlight w:val="none"/>
          <w:u w:val="single"/>
        </w:rPr>
        <w:t xml:space="preserve">       </w:t>
      </w:r>
    </w:p>
    <w:p w14:paraId="1975771F">
      <w:pPr>
        <w:adjustRightInd w:val="0"/>
        <w:snapToGrid w:val="0"/>
        <w:spacing w:line="360" w:lineRule="auto"/>
        <w:rPr>
          <w:rFonts w:cs="宋体"/>
          <w:sz w:val="21"/>
          <w:szCs w:val="21"/>
          <w:highlight w:val="none"/>
        </w:rPr>
      </w:pPr>
      <w:r>
        <w:rPr>
          <w:rFonts w:hint="eastAsia" w:cs="宋体"/>
          <w:sz w:val="21"/>
          <w:szCs w:val="21"/>
          <w:highlight w:val="none"/>
        </w:rPr>
        <w:t>电  话：</w:t>
      </w:r>
      <w:r>
        <w:rPr>
          <w:rFonts w:hint="eastAsia" w:cs="宋体"/>
          <w:sz w:val="21"/>
          <w:szCs w:val="21"/>
          <w:highlight w:val="none"/>
          <w:u w:val="single"/>
        </w:rPr>
        <w:t xml:space="preserve">   </w:t>
      </w:r>
      <w:r>
        <w:rPr>
          <w:rFonts w:hint="eastAsia" w:cs="宋体"/>
          <w:sz w:val="21"/>
          <w:szCs w:val="21"/>
          <w:highlight w:val="none"/>
        </w:rPr>
        <w:t xml:space="preserve">              电  话：</w:t>
      </w:r>
      <w:r>
        <w:rPr>
          <w:rFonts w:hint="eastAsia" w:cs="宋体"/>
          <w:sz w:val="21"/>
          <w:szCs w:val="21"/>
          <w:highlight w:val="none"/>
          <w:u w:val="single"/>
        </w:rPr>
        <w:t xml:space="preserve">     </w:t>
      </w:r>
    </w:p>
    <w:p w14:paraId="1C394FF6">
      <w:pPr>
        <w:adjustRightInd w:val="0"/>
        <w:snapToGrid w:val="0"/>
        <w:spacing w:line="360" w:lineRule="auto"/>
        <w:rPr>
          <w:rFonts w:cs="宋体"/>
          <w:sz w:val="21"/>
          <w:szCs w:val="21"/>
          <w:highlight w:val="none"/>
        </w:rPr>
      </w:pPr>
      <w:r>
        <w:rPr>
          <w:rFonts w:hint="eastAsia" w:cs="宋体"/>
          <w:sz w:val="21"/>
          <w:szCs w:val="21"/>
          <w:highlight w:val="none"/>
        </w:rPr>
        <w:t>传  真：</w:t>
      </w:r>
      <w:r>
        <w:rPr>
          <w:rFonts w:hint="eastAsia" w:cs="宋体"/>
          <w:sz w:val="21"/>
          <w:szCs w:val="21"/>
          <w:highlight w:val="none"/>
          <w:u w:val="single"/>
        </w:rPr>
        <w:t xml:space="preserve">   </w:t>
      </w:r>
      <w:r>
        <w:rPr>
          <w:rFonts w:hint="eastAsia" w:cs="宋体"/>
          <w:sz w:val="21"/>
          <w:szCs w:val="21"/>
          <w:highlight w:val="none"/>
        </w:rPr>
        <w:t xml:space="preserve">              传  真：</w:t>
      </w:r>
      <w:r>
        <w:rPr>
          <w:rFonts w:hint="eastAsia" w:cs="宋体"/>
          <w:sz w:val="21"/>
          <w:szCs w:val="21"/>
          <w:highlight w:val="none"/>
          <w:u w:val="single"/>
        </w:rPr>
        <w:t xml:space="preserve">     </w:t>
      </w:r>
    </w:p>
    <w:p w14:paraId="3B6B34DE">
      <w:pPr>
        <w:adjustRightInd w:val="0"/>
        <w:snapToGrid w:val="0"/>
        <w:spacing w:line="360" w:lineRule="auto"/>
        <w:rPr>
          <w:rFonts w:cs="宋体"/>
          <w:sz w:val="21"/>
          <w:szCs w:val="21"/>
          <w:highlight w:val="none"/>
        </w:rPr>
      </w:pPr>
      <w:r>
        <w:rPr>
          <w:rFonts w:hint="eastAsia" w:cs="宋体"/>
          <w:sz w:val="21"/>
          <w:szCs w:val="21"/>
          <w:highlight w:val="none"/>
        </w:rPr>
        <w:t>开户银行：</w:t>
      </w:r>
      <w:r>
        <w:rPr>
          <w:rFonts w:hint="eastAsia" w:cs="宋体"/>
          <w:sz w:val="21"/>
          <w:szCs w:val="21"/>
          <w:highlight w:val="none"/>
          <w:u w:val="single"/>
        </w:rPr>
        <w:t xml:space="preserve">   </w:t>
      </w:r>
      <w:r>
        <w:rPr>
          <w:rFonts w:hint="eastAsia" w:cs="宋体"/>
          <w:sz w:val="21"/>
          <w:szCs w:val="21"/>
          <w:highlight w:val="none"/>
        </w:rPr>
        <w:t xml:space="preserve">              开户银行：</w:t>
      </w:r>
      <w:r>
        <w:rPr>
          <w:rFonts w:hint="eastAsia" w:cs="宋体"/>
          <w:sz w:val="21"/>
          <w:szCs w:val="21"/>
          <w:highlight w:val="none"/>
          <w:u w:val="single"/>
        </w:rPr>
        <w:t xml:space="preserve">   </w:t>
      </w:r>
    </w:p>
    <w:p w14:paraId="2F87C0E8">
      <w:pPr>
        <w:adjustRightInd w:val="0"/>
        <w:snapToGrid w:val="0"/>
        <w:spacing w:line="360" w:lineRule="auto"/>
        <w:rPr>
          <w:rFonts w:cs="宋体"/>
          <w:sz w:val="21"/>
          <w:szCs w:val="21"/>
          <w:highlight w:val="none"/>
        </w:rPr>
      </w:pPr>
      <w:r>
        <w:rPr>
          <w:rFonts w:hint="eastAsia" w:cs="宋体"/>
          <w:sz w:val="21"/>
          <w:szCs w:val="21"/>
          <w:highlight w:val="none"/>
        </w:rPr>
        <w:t>账  号：</w:t>
      </w:r>
      <w:r>
        <w:rPr>
          <w:rFonts w:hint="eastAsia" w:cs="宋体"/>
          <w:sz w:val="21"/>
          <w:szCs w:val="21"/>
          <w:highlight w:val="none"/>
          <w:u w:val="single"/>
        </w:rPr>
        <w:t xml:space="preserve">       </w:t>
      </w:r>
      <w:r>
        <w:rPr>
          <w:rFonts w:hint="eastAsia" w:cs="宋体"/>
          <w:sz w:val="21"/>
          <w:szCs w:val="21"/>
          <w:highlight w:val="none"/>
        </w:rPr>
        <w:t xml:space="preserve">              账  号：</w:t>
      </w:r>
      <w:r>
        <w:rPr>
          <w:rFonts w:hint="eastAsia" w:cs="宋体"/>
          <w:sz w:val="21"/>
          <w:szCs w:val="21"/>
          <w:highlight w:val="none"/>
          <w:u w:val="single"/>
        </w:rPr>
        <w:t xml:space="preserve">     </w:t>
      </w:r>
    </w:p>
    <w:p w14:paraId="556C7E83">
      <w:pPr>
        <w:adjustRightInd w:val="0"/>
        <w:snapToGrid w:val="0"/>
        <w:spacing w:line="360" w:lineRule="auto"/>
        <w:rPr>
          <w:rFonts w:cs="宋体"/>
          <w:sz w:val="21"/>
          <w:szCs w:val="21"/>
          <w:highlight w:val="none"/>
        </w:rPr>
      </w:pPr>
      <w:r>
        <w:rPr>
          <w:rFonts w:hint="eastAsia" w:cs="宋体"/>
          <w:sz w:val="21"/>
          <w:szCs w:val="21"/>
          <w:highlight w:val="none"/>
        </w:rPr>
        <w:t>邮政编码：</w:t>
      </w:r>
      <w:r>
        <w:rPr>
          <w:rFonts w:hint="eastAsia" w:cs="宋体"/>
          <w:sz w:val="21"/>
          <w:szCs w:val="21"/>
          <w:highlight w:val="none"/>
          <w:u w:val="single"/>
        </w:rPr>
        <w:t xml:space="preserve">     </w:t>
      </w:r>
      <w:r>
        <w:rPr>
          <w:rFonts w:hint="eastAsia" w:cs="宋体"/>
          <w:sz w:val="21"/>
          <w:szCs w:val="21"/>
          <w:highlight w:val="none"/>
        </w:rPr>
        <w:t xml:space="preserve">              邮政编码：</w:t>
      </w:r>
      <w:r>
        <w:rPr>
          <w:rFonts w:hint="eastAsia" w:cs="宋体"/>
          <w:sz w:val="21"/>
          <w:szCs w:val="21"/>
          <w:highlight w:val="none"/>
          <w:u w:val="single"/>
        </w:rPr>
        <w:t xml:space="preserve">   </w:t>
      </w:r>
    </w:p>
    <w:p w14:paraId="115AF0EA">
      <w:pPr>
        <w:spacing w:before="312" w:beforeLines="100" w:after="312" w:afterLines="100"/>
        <w:outlineLvl w:val="2"/>
        <w:rPr>
          <w:rFonts w:ascii="Times New Roman" w:eastAsia="黑体"/>
          <w:szCs w:val="24"/>
          <w:highlight w:val="none"/>
        </w:rPr>
      </w:pPr>
      <w:r>
        <w:rPr>
          <w:rFonts w:ascii="Times New Roman" w:eastAsia="黑体"/>
          <w:b/>
          <w:bCs/>
          <w:highlight w:val="none"/>
        </w:rPr>
        <w:br w:type="page"/>
      </w:r>
      <w:bookmarkStart w:id="627" w:name="_Toc128950239"/>
      <w:r>
        <w:rPr>
          <w:rFonts w:hint="eastAsia" w:ascii="Times New Roman" w:eastAsia="黑体"/>
          <w:szCs w:val="24"/>
          <w:highlight w:val="none"/>
        </w:rPr>
        <w:t>附件</w:t>
      </w:r>
      <w:r>
        <w:rPr>
          <w:rFonts w:ascii="Times New Roman" w:eastAsia="黑体"/>
          <w:szCs w:val="24"/>
          <w:highlight w:val="none"/>
        </w:rPr>
        <w:t>4</w:t>
      </w:r>
      <w:r>
        <w:rPr>
          <w:rFonts w:hint="eastAsia" w:ascii="Times New Roman" w:eastAsia="黑体"/>
          <w:szCs w:val="24"/>
          <w:highlight w:val="none"/>
        </w:rPr>
        <w:t>：主要建设工程文件目录</w:t>
      </w:r>
      <w:bookmarkEnd w:id="627"/>
    </w:p>
    <w:p w14:paraId="5EB984ED">
      <w:pPr>
        <w:spacing w:before="156" w:beforeLines="50" w:after="156" w:afterLines="50"/>
        <w:jc w:val="center"/>
        <w:rPr>
          <w:rFonts w:cs="宋体"/>
          <w:szCs w:val="21"/>
          <w:highlight w:val="none"/>
        </w:rPr>
      </w:pPr>
      <w:r>
        <w:rPr>
          <w:rFonts w:hint="eastAsia" w:cs="宋体"/>
          <w:szCs w:val="21"/>
          <w:highlight w:val="none"/>
        </w:rPr>
        <w:t>主要建设工程文件目录</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25555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53DB1A75">
            <w:pPr>
              <w:keepNext/>
              <w:jc w:val="center"/>
              <w:rPr>
                <w:rFonts w:cs="宋体"/>
                <w:szCs w:val="21"/>
                <w:highlight w:val="none"/>
              </w:rPr>
            </w:pPr>
            <w:r>
              <w:rPr>
                <w:rFonts w:hint="eastAsia" w:cs="宋体"/>
                <w:szCs w:val="21"/>
                <w:highlight w:val="none"/>
              </w:rPr>
              <w:t>文件名称</w:t>
            </w:r>
          </w:p>
        </w:tc>
        <w:tc>
          <w:tcPr>
            <w:tcW w:w="706" w:type="pct"/>
            <w:tcBorders>
              <w:top w:val="single" w:color="auto" w:sz="12" w:space="0"/>
              <w:bottom w:val="double" w:color="auto" w:sz="6" w:space="0"/>
            </w:tcBorders>
            <w:vAlign w:val="center"/>
          </w:tcPr>
          <w:p w14:paraId="65CD5397">
            <w:pPr>
              <w:keepNext/>
              <w:jc w:val="center"/>
              <w:rPr>
                <w:rFonts w:cs="宋体"/>
                <w:szCs w:val="21"/>
                <w:highlight w:val="none"/>
              </w:rPr>
            </w:pPr>
            <w:r>
              <w:rPr>
                <w:rFonts w:hint="eastAsia" w:cs="宋体"/>
                <w:szCs w:val="21"/>
                <w:highlight w:val="none"/>
              </w:rPr>
              <w:t>套数</w:t>
            </w:r>
          </w:p>
        </w:tc>
        <w:tc>
          <w:tcPr>
            <w:tcW w:w="802" w:type="pct"/>
            <w:tcBorders>
              <w:top w:val="single" w:color="auto" w:sz="12" w:space="0"/>
              <w:bottom w:val="double" w:color="auto" w:sz="6" w:space="0"/>
            </w:tcBorders>
            <w:vAlign w:val="center"/>
          </w:tcPr>
          <w:p w14:paraId="2E005760">
            <w:pPr>
              <w:keepNext/>
              <w:jc w:val="center"/>
              <w:rPr>
                <w:rFonts w:cs="宋体"/>
                <w:szCs w:val="21"/>
                <w:highlight w:val="none"/>
              </w:rPr>
            </w:pPr>
            <w:r>
              <w:rPr>
                <w:rFonts w:hint="eastAsia" w:cs="宋体"/>
                <w:szCs w:val="21"/>
                <w:highlight w:val="none"/>
              </w:rPr>
              <w:t>费用（元）</w:t>
            </w:r>
          </w:p>
        </w:tc>
        <w:tc>
          <w:tcPr>
            <w:tcW w:w="687" w:type="pct"/>
            <w:tcBorders>
              <w:top w:val="single" w:color="auto" w:sz="12" w:space="0"/>
              <w:bottom w:val="double" w:color="auto" w:sz="6" w:space="0"/>
            </w:tcBorders>
            <w:vAlign w:val="center"/>
          </w:tcPr>
          <w:p w14:paraId="70C5852E">
            <w:pPr>
              <w:keepNext/>
              <w:jc w:val="center"/>
              <w:rPr>
                <w:rFonts w:cs="宋体"/>
                <w:szCs w:val="21"/>
                <w:highlight w:val="none"/>
              </w:rPr>
            </w:pPr>
            <w:r>
              <w:rPr>
                <w:rFonts w:hint="eastAsia" w:cs="宋体"/>
                <w:szCs w:val="21"/>
                <w:highlight w:val="none"/>
              </w:rPr>
              <w:t>质量</w:t>
            </w:r>
          </w:p>
        </w:tc>
        <w:tc>
          <w:tcPr>
            <w:tcW w:w="802" w:type="pct"/>
            <w:tcBorders>
              <w:top w:val="single" w:color="auto" w:sz="12" w:space="0"/>
              <w:bottom w:val="double" w:color="auto" w:sz="6" w:space="0"/>
            </w:tcBorders>
            <w:vAlign w:val="center"/>
          </w:tcPr>
          <w:p w14:paraId="328192F3">
            <w:pPr>
              <w:jc w:val="center"/>
              <w:rPr>
                <w:rFonts w:cs="宋体"/>
                <w:szCs w:val="21"/>
                <w:highlight w:val="none"/>
              </w:rPr>
            </w:pPr>
            <w:r>
              <w:rPr>
                <w:rFonts w:hint="eastAsia" w:cs="宋体"/>
                <w:szCs w:val="21"/>
                <w:highlight w:val="none"/>
              </w:rPr>
              <w:t>移交时间</w:t>
            </w:r>
          </w:p>
        </w:tc>
        <w:tc>
          <w:tcPr>
            <w:tcW w:w="922" w:type="pct"/>
            <w:tcBorders>
              <w:top w:val="single" w:color="auto" w:sz="12" w:space="0"/>
              <w:bottom w:val="double" w:color="auto" w:sz="6" w:space="0"/>
            </w:tcBorders>
            <w:vAlign w:val="center"/>
          </w:tcPr>
          <w:p w14:paraId="0FB86ADF">
            <w:pPr>
              <w:jc w:val="center"/>
              <w:rPr>
                <w:rFonts w:cs="宋体"/>
                <w:szCs w:val="21"/>
                <w:highlight w:val="none"/>
              </w:rPr>
            </w:pPr>
            <w:r>
              <w:rPr>
                <w:rFonts w:hint="eastAsia" w:cs="宋体"/>
                <w:szCs w:val="21"/>
                <w:highlight w:val="none"/>
              </w:rPr>
              <w:t>责任人</w:t>
            </w:r>
          </w:p>
        </w:tc>
      </w:tr>
      <w:tr w14:paraId="63936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0F014B86">
            <w:pPr>
              <w:keepNext/>
              <w:jc w:val="center"/>
              <w:rPr>
                <w:rFonts w:cs="宋体"/>
                <w:szCs w:val="21"/>
                <w:highlight w:val="none"/>
              </w:rPr>
            </w:pPr>
          </w:p>
        </w:tc>
        <w:tc>
          <w:tcPr>
            <w:tcW w:w="706" w:type="pct"/>
            <w:tcBorders>
              <w:top w:val="double" w:color="auto" w:sz="6" w:space="0"/>
            </w:tcBorders>
            <w:vAlign w:val="center"/>
          </w:tcPr>
          <w:p w14:paraId="466DCF5B">
            <w:pPr>
              <w:keepNext/>
              <w:jc w:val="center"/>
              <w:rPr>
                <w:rFonts w:cs="宋体"/>
                <w:szCs w:val="21"/>
                <w:highlight w:val="none"/>
              </w:rPr>
            </w:pPr>
          </w:p>
        </w:tc>
        <w:tc>
          <w:tcPr>
            <w:tcW w:w="802" w:type="pct"/>
            <w:tcBorders>
              <w:top w:val="double" w:color="auto" w:sz="6" w:space="0"/>
            </w:tcBorders>
            <w:vAlign w:val="center"/>
          </w:tcPr>
          <w:p w14:paraId="5D8464CC">
            <w:pPr>
              <w:keepNext/>
              <w:jc w:val="center"/>
              <w:rPr>
                <w:rFonts w:cs="宋体"/>
                <w:szCs w:val="21"/>
                <w:highlight w:val="none"/>
              </w:rPr>
            </w:pPr>
          </w:p>
        </w:tc>
        <w:tc>
          <w:tcPr>
            <w:tcW w:w="687" w:type="pct"/>
            <w:tcBorders>
              <w:top w:val="double" w:color="auto" w:sz="6" w:space="0"/>
            </w:tcBorders>
            <w:vAlign w:val="center"/>
          </w:tcPr>
          <w:p w14:paraId="27A9E3EA">
            <w:pPr>
              <w:keepNext/>
              <w:jc w:val="center"/>
              <w:rPr>
                <w:rFonts w:cs="宋体"/>
                <w:szCs w:val="21"/>
                <w:highlight w:val="none"/>
              </w:rPr>
            </w:pPr>
          </w:p>
        </w:tc>
        <w:tc>
          <w:tcPr>
            <w:tcW w:w="802" w:type="pct"/>
            <w:tcBorders>
              <w:top w:val="double" w:color="auto" w:sz="6" w:space="0"/>
            </w:tcBorders>
            <w:vAlign w:val="center"/>
          </w:tcPr>
          <w:p w14:paraId="2B1E3075">
            <w:pPr>
              <w:keepNext/>
              <w:jc w:val="center"/>
              <w:rPr>
                <w:rFonts w:cs="宋体"/>
                <w:szCs w:val="21"/>
                <w:highlight w:val="none"/>
              </w:rPr>
            </w:pPr>
          </w:p>
        </w:tc>
        <w:tc>
          <w:tcPr>
            <w:tcW w:w="922" w:type="pct"/>
            <w:tcBorders>
              <w:top w:val="double" w:color="auto" w:sz="6" w:space="0"/>
            </w:tcBorders>
            <w:vAlign w:val="center"/>
          </w:tcPr>
          <w:p w14:paraId="4001E8C0">
            <w:pPr>
              <w:keepNext/>
              <w:jc w:val="center"/>
              <w:rPr>
                <w:rFonts w:cs="宋体"/>
                <w:szCs w:val="21"/>
                <w:highlight w:val="none"/>
              </w:rPr>
            </w:pPr>
          </w:p>
        </w:tc>
      </w:tr>
      <w:tr w14:paraId="5C501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74F54BAF">
            <w:pPr>
              <w:keepNext/>
              <w:jc w:val="center"/>
              <w:rPr>
                <w:rFonts w:cs="宋体"/>
                <w:szCs w:val="21"/>
                <w:highlight w:val="none"/>
              </w:rPr>
            </w:pPr>
          </w:p>
        </w:tc>
        <w:tc>
          <w:tcPr>
            <w:tcW w:w="706" w:type="pct"/>
            <w:tcBorders>
              <w:top w:val="nil"/>
            </w:tcBorders>
            <w:vAlign w:val="center"/>
          </w:tcPr>
          <w:p w14:paraId="19AFD867">
            <w:pPr>
              <w:keepNext/>
              <w:jc w:val="center"/>
              <w:rPr>
                <w:rFonts w:cs="宋体"/>
                <w:szCs w:val="21"/>
                <w:highlight w:val="none"/>
              </w:rPr>
            </w:pPr>
          </w:p>
        </w:tc>
        <w:tc>
          <w:tcPr>
            <w:tcW w:w="802" w:type="pct"/>
            <w:tcBorders>
              <w:top w:val="nil"/>
            </w:tcBorders>
            <w:vAlign w:val="center"/>
          </w:tcPr>
          <w:p w14:paraId="6A3309A9">
            <w:pPr>
              <w:keepNext/>
              <w:jc w:val="center"/>
              <w:rPr>
                <w:rFonts w:cs="宋体"/>
                <w:szCs w:val="21"/>
                <w:highlight w:val="none"/>
              </w:rPr>
            </w:pPr>
          </w:p>
        </w:tc>
        <w:tc>
          <w:tcPr>
            <w:tcW w:w="687" w:type="pct"/>
            <w:tcBorders>
              <w:top w:val="nil"/>
            </w:tcBorders>
            <w:vAlign w:val="center"/>
          </w:tcPr>
          <w:p w14:paraId="6F87B3D2">
            <w:pPr>
              <w:keepNext/>
              <w:jc w:val="center"/>
              <w:rPr>
                <w:rFonts w:cs="宋体"/>
                <w:szCs w:val="21"/>
                <w:highlight w:val="none"/>
              </w:rPr>
            </w:pPr>
          </w:p>
        </w:tc>
        <w:tc>
          <w:tcPr>
            <w:tcW w:w="802" w:type="pct"/>
            <w:tcBorders>
              <w:top w:val="nil"/>
            </w:tcBorders>
            <w:vAlign w:val="center"/>
          </w:tcPr>
          <w:p w14:paraId="6919D1B6">
            <w:pPr>
              <w:keepNext/>
              <w:jc w:val="center"/>
              <w:rPr>
                <w:rFonts w:cs="宋体"/>
                <w:szCs w:val="21"/>
                <w:highlight w:val="none"/>
              </w:rPr>
            </w:pPr>
          </w:p>
        </w:tc>
        <w:tc>
          <w:tcPr>
            <w:tcW w:w="922" w:type="pct"/>
            <w:tcBorders>
              <w:top w:val="nil"/>
            </w:tcBorders>
            <w:vAlign w:val="center"/>
          </w:tcPr>
          <w:p w14:paraId="0FE3052A">
            <w:pPr>
              <w:keepNext/>
              <w:jc w:val="center"/>
              <w:rPr>
                <w:rFonts w:cs="宋体"/>
                <w:szCs w:val="21"/>
                <w:highlight w:val="none"/>
              </w:rPr>
            </w:pPr>
          </w:p>
        </w:tc>
      </w:tr>
      <w:tr w14:paraId="608E0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19E93AE9">
            <w:pPr>
              <w:jc w:val="center"/>
              <w:rPr>
                <w:rFonts w:cs="宋体"/>
                <w:szCs w:val="21"/>
                <w:highlight w:val="none"/>
              </w:rPr>
            </w:pPr>
          </w:p>
        </w:tc>
        <w:tc>
          <w:tcPr>
            <w:tcW w:w="706" w:type="pct"/>
            <w:vAlign w:val="center"/>
          </w:tcPr>
          <w:p w14:paraId="583DE0AC">
            <w:pPr>
              <w:jc w:val="center"/>
              <w:rPr>
                <w:rFonts w:cs="宋体"/>
                <w:szCs w:val="21"/>
                <w:highlight w:val="none"/>
              </w:rPr>
            </w:pPr>
          </w:p>
        </w:tc>
        <w:tc>
          <w:tcPr>
            <w:tcW w:w="802" w:type="pct"/>
            <w:vAlign w:val="center"/>
          </w:tcPr>
          <w:p w14:paraId="17E7F0C1">
            <w:pPr>
              <w:jc w:val="center"/>
              <w:rPr>
                <w:rFonts w:cs="宋体"/>
                <w:szCs w:val="21"/>
                <w:highlight w:val="none"/>
              </w:rPr>
            </w:pPr>
          </w:p>
        </w:tc>
        <w:tc>
          <w:tcPr>
            <w:tcW w:w="687" w:type="pct"/>
            <w:vAlign w:val="center"/>
          </w:tcPr>
          <w:p w14:paraId="6EDE3ADD">
            <w:pPr>
              <w:jc w:val="center"/>
              <w:rPr>
                <w:rFonts w:cs="宋体"/>
                <w:szCs w:val="21"/>
                <w:highlight w:val="none"/>
              </w:rPr>
            </w:pPr>
          </w:p>
        </w:tc>
        <w:tc>
          <w:tcPr>
            <w:tcW w:w="802" w:type="pct"/>
            <w:vAlign w:val="center"/>
          </w:tcPr>
          <w:p w14:paraId="06F19A3E">
            <w:pPr>
              <w:jc w:val="center"/>
              <w:rPr>
                <w:rFonts w:cs="宋体"/>
                <w:szCs w:val="21"/>
                <w:highlight w:val="none"/>
              </w:rPr>
            </w:pPr>
          </w:p>
        </w:tc>
        <w:tc>
          <w:tcPr>
            <w:tcW w:w="922" w:type="pct"/>
            <w:vAlign w:val="center"/>
          </w:tcPr>
          <w:p w14:paraId="20311C30">
            <w:pPr>
              <w:jc w:val="center"/>
              <w:rPr>
                <w:rFonts w:cs="宋体"/>
                <w:szCs w:val="21"/>
                <w:highlight w:val="none"/>
              </w:rPr>
            </w:pPr>
          </w:p>
        </w:tc>
      </w:tr>
      <w:tr w14:paraId="4006E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63024946">
            <w:pPr>
              <w:jc w:val="center"/>
              <w:rPr>
                <w:rFonts w:cs="宋体"/>
                <w:szCs w:val="21"/>
                <w:highlight w:val="none"/>
              </w:rPr>
            </w:pPr>
          </w:p>
        </w:tc>
        <w:tc>
          <w:tcPr>
            <w:tcW w:w="706" w:type="pct"/>
            <w:vAlign w:val="center"/>
          </w:tcPr>
          <w:p w14:paraId="2E169514">
            <w:pPr>
              <w:jc w:val="center"/>
              <w:rPr>
                <w:rFonts w:cs="宋体"/>
                <w:szCs w:val="21"/>
                <w:highlight w:val="none"/>
              </w:rPr>
            </w:pPr>
          </w:p>
        </w:tc>
        <w:tc>
          <w:tcPr>
            <w:tcW w:w="802" w:type="pct"/>
            <w:vAlign w:val="center"/>
          </w:tcPr>
          <w:p w14:paraId="3BBCB100">
            <w:pPr>
              <w:jc w:val="center"/>
              <w:rPr>
                <w:rFonts w:cs="宋体"/>
                <w:szCs w:val="21"/>
                <w:highlight w:val="none"/>
              </w:rPr>
            </w:pPr>
          </w:p>
        </w:tc>
        <w:tc>
          <w:tcPr>
            <w:tcW w:w="687" w:type="pct"/>
            <w:vAlign w:val="center"/>
          </w:tcPr>
          <w:p w14:paraId="0E9210FD">
            <w:pPr>
              <w:jc w:val="center"/>
              <w:rPr>
                <w:rFonts w:cs="宋体"/>
                <w:szCs w:val="21"/>
                <w:highlight w:val="none"/>
              </w:rPr>
            </w:pPr>
          </w:p>
        </w:tc>
        <w:tc>
          <w:tcPr>
            <w:tcW w:w="802" w:type="pct"/>
            <w:vAlign w:val="center"/>
          </w:tcPr>
          <w:p w14:paraId="485216EB">
            <w:pPr>
              <w:jc w:val="center"/>
              <w:rPr>
                <w:rFonts w:cs="宋体"/>
                <w:szCs w:val="21"/>
                <w:highlight w:val="none"/>
              </w:rPr>
            </w:pPr>
          </w:p>
        </w:tc>
        <w:tc>
          <w:tcPr>
            <w:tcW w:w="922" w:type="pct"/>
            <w:vAlign w:val="center"/>
          </w:tcPr>
          <w:p w14:paraId="239F227D">
            <w:pPr>
              <w:jc w:val="center"/>
              <w:rPr>
                <w:rFonts w:cs="宋体"/>
                <w:szCs w:val="21"/>
                <w:highlight w:val="none"/>
              </w:rPr>
            </w:pPr>
          </w:p>
        </w:tc>
      </w:tr>
      <w:tr w14:paraId="090BE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vAlign w:val="center"/>
          </w:tcPr>
          <w:p w14:paraId="045F5F07">
            <w:pPr>
              <w:jc w:val="center"/>
              <w:rPr>
                <w:rFonts w:cs="宋体"/>
                <w:szCs w:val="21"/>
                <w:highlight w:val="none"/>
              </w:rPr>
            </w:pPr>
          </w:p>
        </w:tc>
        <w:tc>
          <w:tcPr>
            <w:tcW w:w="706" w:type="pct"/>
            <w:tcBorders>
              <w:bottom w:val="single" w:color="auto" w:sz="12" w:space="0"/>
            </w:tcBorders>
            <w:vAlign w:val="center"/>
          </w:tcPr>
          <w:p w14:paraId="62A242E0">
            <w:pPr>
              <w:jc w:val="center"/>
              <w:rPr>
                <w:rFonts w:cs="宋体"/>
                <w:szCs w:val="21"/>
                <w:highlight w:val="none"/>
              </w:rPr>
            </w:pPr>
          </w:p>
        </w:tc>
        <w:tc>
          <w:tcPr>
            <w:tcW w:w="802" w:type="pct"/>
            <w:tcBorders>
              <w:bottom w:val="single" w:color="auto" w:sz="12" w:space="0"/>
            </w:tcBorders>
            <w:vAlign w:val="center"/>
          </w:tcPr>
          <w:p w14:paraId="6A991790">
            <w:pPr>
              <w:jc w:val="center"/>
              <w:rPr>
                <w:rFonts w:cs="宋体"/>
                <w:szCs w:val="21"/>
                <w:highlight w:val="none"/>
              </w:rPr>
            </w:pPr>
          </w:p>
        </w:tc>
        <w:tc>
          <w:tcPr>
            <w:tcW w:w="687" w:type="pct"/>
            <w:tcBorders>
              <w:bottom w:val="single" w:color="auto" w:sz="12" w:space="0"/>
            </w:tcBorders>
            <w:vAlign w:val="center"/>
          </w:tcPr>
          <w:p w14:paraId="128A76C5">
            <w:pPr>
              <w:jc w:val="center"/>
              <w:rPr>
                <w:rFonts w:cs="宋体"/>
                <w:szCs w:val="21"/>
                <w:highlight w:val="none"/>
              </w:rPr>
            </w:pPr>
          </w:p>
        </w:tc>
        <w:tc>
          <w:tcPr>
            <w:tcW w:w="802" w:type="pct"/>
            <w:tcBorders>
              <w:bottom w:val="single" w:color="auto" w:sz="12" w:space="0"/>
            </w:tcBorders>
            <w:vAlign w:val="center"/>
          </w:tcPr>
          <w:p w14:paraId="52AE0C6C">
            <w:pPr>
              <w:jc w:val="center"/>
              <w:rPr>
                <w:rFonts w:cs="宋体"/>
                <w:szCs w:val="21"/>
                <w:highlight w:val="none"/>
              </w:rPr>
            </w:pPr>
          </w:p>
        </w:tc>
        <w:tc>
          <w:tcPr>
            <w:tcW w:w="922" w:type="pct"/>
            <w:tcBorders>
              <w:bottom w:val="single" w:color="auto" w:sz="12" w:space="0"/>
            </w:tcBorders>
            <w:vAlign w:val="center"/>
          </w:tcPr>
          <w:p w14:paraId="6A8BF0E5">
            <w:pPr>
              <w:jc w:val="center"/>
              <w:rPr>
                <w:rFonts w:cs="宋体"/>
                <w:szCs w:val="21"/>
                <w:highlight w:val="none"/>
              </w:rPr>
            </w:pPr>
          </w:p>
        </w:tc>
      </w:tr>
    </w:tbl>
    <w:p w14:paraId="63576B7C">
      <w:pPr>
        <w:spacing w:before="312" w:beforeLines="100" w:after="312" w:afterLines="100"/>
        <w:outlineLvl w:val="2"/>
        <w:rPr>
          <w:rFonts w:ascii="Times New Roman" w:eastAsia="黑体"/>
          <w:szCs w:val="24"/>
          <w:highlight w:val="none"/>
        </w:rPr>
      </w:pPr>
      <w:r>
        <w:rPr>
          <w:rFonts w:hint="eastAsia" w:ascii="Times New Roman" w:eastAsia="黑体"/>
          <w:bCs/>
          <w:highlight w:val="none"/>
        </w:rPr>
        <w:br w:type="page"/>
      </w:r>
      <w:bookmarkStart w:id="628" w:name="_Toc128950240"/>
      <w:r>
        <w:rPr>
          <w:rFonts w:hint="eastAsia" w:ascii="Times New Roman" w:eastAsia="黑体"/>
          <w:szCs w:val="24"/>
          <w:highlight w:val="none"/>
        </w:rPr>
        <w:t>附</w:t>
      </w:r>
      <w:bookmarkStart w:id="629" w:name="_Toc296503227"/>
      <w:bookmarkStart w:id="630" w:name="_Toc296944566"/>
      <w:bookmarkStart w:id="631" w:name="_Toc267261698"/>
      <w:bookmarkStart w:id="632" w:name="_Toc296346728"/>
      <w:bookmarkStart w:id="633" w:name="_Toc296891055"/>
      <w:bookmarkStart w:id="634" w:name="_Toc296347226"/>
      <w:bookmarkStart w:id="635" w:name="_Toc296891267"/>
      <w:r>
        <w:rPr>
          <w:rFonts w:hint="eastAsia" w:ascii="Times New Roman" w:eastAsia="黑体"/>
          <w:szCs w:val="24"/>
          <w:highlight w:val="none"/>
        </w:rPr>
        <w:t>件</w:t>
      </w:r>
      <w:r>
        <w:rPr>
          <w:rFonts w:ascii="Times New Roman" w:eastAsia="黑体"/>
          <w:szCs w:val="24"/>
          <w:highlight w:val="none"/>
        </w:rPr>
        <w:t>5</w:t>
      </w:r>
      <w:r>
        <w:rPr>
          <w:rFonts w:hint="eastAsia" w:ascii="Times New Roman" w:eastAsia="黑体"/>
          <w:szCs w:val="24"/>
          <w:highlight w:val="none"/>
        </w:rPr>
        <w:t>：承包人用于本工程施工的机械设备表</w:t>
      </w:r>
      <w:bookmarkEnd w:id="628"/>
    </w:p>
    <w:bookmarkEnd w:id="629"/>
    <w:bookmarkEnd w:id="630"/>
    <w:bookmarkEnd w:id="631"/>
    <w:bookmarkEnd w:id="632"/>
    <w:bookmarkEnd w:id="633"/>
    <w:bookmarkEnd w:id="634"/>
    <w:bookmarkEnd w:id="635"/>
    <w:p w14:paraId="331461EC">
      <w:pPr>
        <w:spacing w:before="156" w:beforeLines="50" w:after="156" w:afterLines="50"/>
        <w:jc w:val="center"/>
        <w:rPr>
          <w:rFonts w:cs="宋体"/>
          <w:szCs w:val="21"/>
          <w:highlight w:val="none"/>
        </w:rPr>
      </w:pPr>
      <w:r>
        <w:rPr>
          <w:rFonts w:hint="eastAsia" w:cs="宋体"/>
          <w:szCs w:val="21"/>
          <w:highlight w:val="none"/>
        </w:rPr>
        <w:t>承包人用于本工程施工的机械设备表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6F251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6BC0C402">
            <w:pPr>
              <w:keepNext/>
              <w:jc w:val="center"/>
              <w:rPr>
                <w:rFonts w:cs="宋体"/>
                <w:szCs w:val="21"/>
                <w:highlight w:val="none"/>
              </w:rPr>
            </w:pPr>
            <w:r>
              <w:rPr>
                <w:rFonts w:hint="eastAsia" w:cs="宋体"/>
                <w:szCs w:val="21"/>
                <w:highlight w:val="none"/>
              </w:rPr>
              <w:t>序号</w:t>
            </w:r>
          </w:p>
        </w:tc>
        <w:tc>
          <w:tcPr>
            <w:tcW w:w="792" w:type="pct"/>
            <w:tcBorders>
              <w:top w:val="single" w:color="auto" w:sz="12" w:space="0"/>
              <w:bottom w:val="double" w:color="auto" w:sz="6" w:space="0"/>
            </w:tcBorders>
            <w:vAlign w:val="center"/>
          </w:tcPr>
          <w:p w14:paraId="6880A346">
            <w:pPr>
              <w:keepNext/>
              <w:jc w:val="center"/>
              <w:rPr>
                <w:rFonts w:cs="宋体"/>
                <w:szCs w:val="21"/>
                <w:highlight w:val="none"/>
              </w:rPr>
            </w:pPr>
            <w:r>
              <w:rPr>
                <w:rFonts w:hint="eastAsia" w:cs="宋体"/>
                <w:szCs w:val="21"/>
                <w:highlight w:val="none"/>
              </w:rPr>
              <w:t>机械或设备名称</w:t>
            </w:r>
          </w:p>
        </w:tc>
        <w:tc>
          <w:tcPr>
            <w:tcW w:w="474" w:type="pct"/>
            <w:tcBorders>
              <w:top w:val="single" w:color="auto" w:sz="12" w:space="0"/>
              <w:bottom w:val="double" w:color="auto" w:sz="6" w:space="0"/>
            </w:tcBorders>
            <w:vAlign w:val="center"/>
          </w:tcPr>
          <w:p w14:paraId="1ECF315E">
            <w:pPr>
              <w:keepNext/>
              <w:jc w:val="center"/>
              <w:rPr>
                <w:rFonts w:cs="宋体"/>
                <w:szCs w:val="21"/>
                <w:highlight w:val="none"/>
              </w:rPr>
            </w:pPr>
            <w:r>
              <w:rPr>
                <w:rFonts w:hint="eastAsia" w:cs="宋体"/>
                <w:szCs w:val="21"/>
                <w:highlight w:val="none"/>
              </w:rPr>
              <w:t>规格型号</w:t>
            </w:r>
          </w:p>
        </w:tc>
        <w:tc>
          <w:tcPr>
            <w:tcW w:w="396" w:type="pct"/>
            <w:tcBorders>
              <w:top w:val="single" w:color="auto" w:sz="12" w:space="0"/>
              <w:bottom w:val="double" w:color="auto" w:sz="6" w:space="0"/>
            </w:tcBorders>
            <w:vAlign w:val="center"/>
          </w:tcPr>
          <w:p w14:paraId="5CA1B90A">
            <w:pPr>
              <w:keepNext/>
              <w:jc w:val="center"/>
              <w:rPr>
                <w:rFonts w:cs="宋体"/>
                <w:szCs w:val="21"/>
                <w:highlight w:val="none"/>
              </w:rPr>
            </w:pPr>
            <w:r>
              <w:rPr>
                <w:rFonts w:hint="eastAsia" w:cs="宋体"/>
                <w:szCs w:val="21"/>
                <w:highlight w:val="none"/>
              </w:rPr>
              <w:t>数量</w:t>
            </w:r>
          </w:p>
        </w:tc>
        <w:tc>
          <w:tcPr>
            <w:tcW w:w="474" w:type="pct"/>
            <w:tcBorders>
              <w:top w:val="single" w:color="auto" w:sz="12" w:space="0"/>
              <w:bottom w:val="double" w:color="auto" w:sz="6" w:space="0"/>
            </w:tcBorders>
            <w:vAlign w:val="center"/>
          </w:tcPr>
          <w:p w14:paraId="0994B723">
            <w:pPr>
              <w:keepNext/>
              <w:jc w:val="center"/>
              <w:rPr>
                <w:rFonts w:cs="宋体"/>
                <w:szCs w:val="21"/>
                <w:highlight w:val="none"/>
              </w:rPr>
            </w:pPr>
            <w:r>
              <w:rPr>
                <w:rFonts w:hint="eastAsia" w:cs="宋体"/>
                <w:szCs w:val="21"/>
                <w:highlight w:val="none"/>
              </w:rPr>
              <w:t>产地</w:t>
            </w:r>
          </w:p>
        </w:tc>
        <w:tc>
          <w:tcPr>
            <w:tcW w:w="537" w:type="pct"/>
            <w:tcBorders>
              <w:top w:val="single" w:color="auto" w:sz="12" w:space="0"/>
              <w:bottom w:val="double" w:color="auto" w:sz="6" w:space="0"/>
            </w:tcBorders>
            <w:vAlign w:val="center"/>
          </w:tcPr>
          <w:p w14:paraId="7E7A5D79">
            <w:pPr>
              <w:keepNext/>
              <w:jc w:val="center"/>
              <w:rPr>
                <w:rFonts w:cs="宋体"/>
                <w:szCs w:val="21"/>
                <w:highlight w:val="none"/>
              </w:rPr>
            </w:pPr>
            <w:r>
              <w:rPr>
                <w:rFonts w:hint="eastAsia" w:cs="宋体"/>
                <w:szCs w:val="21"/>
                <w:highlight w:val="none"/>
              </w:rPr>
              <w:t>制造年份</w:t>
            </w:r>
          </w:p>
        </w:tc>
        <w:tc>
          <w:tcPr>
            <w:tcW w:w="827" w:type="pct"/>
            <w:tcBorders>
              <w:top w:val="single" w:color="auto" w:sz="12" w:space="0"/>
              <w:bottom w:val="double" w:color="auto" w:sz="6" w:space="0"/>
            </w:tcBorders>
            <w:vAlign w:val="center"/>
          </w:tcPr>
          <w:p w14:paraId="29F2D34A">
            <w:pPr>
              <w:keepNext/>
              <w:jc w:val="center"/>
              <w:rPr>
                <w:rFonts w:cs="宋体"/>
                <w:szCs w:val="21"/>
                <w:highlight w:val="none"/>
              </w:rPr>
            </w:pPr>
            <w:r>
              <w:rPr>
                <w:rFonts w:hint="eastAsia" w:cs="宋体"/>
                <w:szCs w:val="21"/>
                <w:highlight w:val="none"/>
              </w:rPr>
              <w:t>额定功率（kW)</w:t>
            </w:r>
          </w:p>
        </w:tc>
        <w:tc>
          <w:tcPr>
            <w:tcW w:w="569" w:type="pct"/>
            <w:tcBorders>
              <w:top w:val="single" w:color="auto" w:sz="12" w:space="0"/>
              <w:bottom w:val="double" w:color="auto" w:sz="6" w:space="0"/>
            </w:tcBorders>
            <w:vAlign w:val="center"/>
          </w:tcPr>
          <w:p w14:paraId="0B5F6C61">
            <w:pPr>
              <w:keepNext/>
              <w:jc w:val="center"/>
              <w:rPr>
                <w:rFonts w:cs="宋体"/>
                <w:szCs w:val="21"/>
                <w:highlight w:val="none"/>
              </w:rPr>
            </w:pPr>
            <w:r>
              <w:rPr>
                <w:rFonts w:hint="eastAsia" w:cs="宋体"/>
                <w:szCs w:val="21"/>
                <w:highlight w:val="none"/>
              </w:rPr>
              <w:t>生产能力</w:t>
            </w:r>
          </w:p>
        </w:tc>
        <w:tc>
          <w:tcPr>
            <w:tcW w:w="519" w:type="pct"/>
            <w:tcBorders>
              <w:top w:val="single" w:color="auto" w:sz="12" w:space="0"/>
              <w:bottom w:val="double" w:color="auto" w:sz="6" w:space="0"/>
            </w:tcBorders>
            <w:vAlign w:val="center"/>
          </w:tcPr>
          <w:p w14:paraId="657514BB">
            <w:pPr>
              <w:keepNext/>
              <w:jc w:val="center"/>
              <w:rPr>
                <w:rFonts w:cs="宋体"/>
                <w:szCs w:val="21"/>
                <w:highlight w:val="none"/>
              </w:rPr>
            </w:pPr>
            <w:r>
              <w:rPr>
                <w:rFonts w:hint="eastAsia" w:cs="宋体"/>
                <w:szCs w:val="21"/>
                <w:highlight w:val="none"/>
              </w:rPr>
              <w:t>备注</w:t>
            </w:r>
          </w:p>
        </w:tc>
      </w:tr>
      <w:tr w14:paraId="35DEF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71B4EA94">
            <w:pPr>
              <w:keepNext/>
              <w:jc w:val="center"/>
              <w:rPr>
                <w:rFonts w:cs="宋体"/>
                <w:szCs w:val="21"/>
                <w:highlight w:val="none"/>
              </w:rPr>
            </w:pPr>
          </w:p>
        </w:tc>
        <w:tc>
          <w:tcPr>
            <w:tcW w:w="792" w:type="pct"/>
            <w:tcBorders>
              <w:top w:val="double" w:color="auto" w:sz="6" w:space="0"/>
            </w:tcBorders>
            <w:vAlign w:val="center"/>
          </w:tcPr>
          <w:p w14:paraId="690F6F92">
            <w:pPr>
              <w:keepNext/>
              <w:jc w:val="center"/>
              <w:rPr>
                <w:rFonts w:cs="宋体"/>
                <w:szCs w:val="21"/>
                <w:highlight w:val="none"/>
              </w:rPr>
            </w:pPr>
          </w:p>
        </w:tc>
        <w:tc>
          <w:tcPr>
            <w:tcW w:w="474" w:type="pct"/>
            <w:tcBorders>
              <w:top w:val="double" w:color="auto" w:sz="6" w:space="0"/>
            </w:tcBorders>
            <w:vAlign w:val="center"/>
          </w:tcPr>
          <w:p w14:paraId="76F61322">
            <w:pPr>
              <w:keepNext/>
              <w:jc w:val="center"/>
              <w:rPr>
                <w:rFonts w:cs="宋体"/>
                <w:szCs w:val="21"/>
                <w:highlight w:val="none"/>
              </w:rPr>
            </w:pPr>
          </w:p>
        </w:tc>
        <w:tc>
          <w:tcPr>
            <w:tcW w:w="396" w:type="pct"/>
            <w:tcBorders>
              <w:top w:val="double" w:color="auto" w:sz="6" w:space="0"/>
            </w:tcBorders>
            <w:vAlign w:val="center"/>
          </w:tcPr>
          <w:p w14:paraId="63D16BBC">
            <w:pPr>
              <w:keepNext/>
              <w:jc w:val="center"/>
              <w:rPr>
                <w:rFonts w:cs="宋体"/>
                <w:szCs w:val="21"/>
                <w:highlight w:val="none"/>
              </w:rPr>
            </w:pPr>
          </w:p>
        </w:tc>
        <w:tc>
          <w:tcPr>
            <w:tcW w:w="474" w:type="pct"/>
            <w:tcBorders>
              <w:top w:val="double" w:color="auto" w:sz="6" w:space="0"/>
            </w:tcBorders>
            <w:vAlign w:val="center"/>
          </w:tcPr>
          <w:p w14:paraId="77820DF9">
            <w:pPr>
              <w:keepNext/>
              <w:jc w:val="center"/>
              <w:rPr>
                <w:rFonts w:cs="宋体"/>
                <w:szCs w:val="21"/>
                <w:highlight w:val="none"/>
              </w:rPr>
            </w:pPr>
          </w:p>
        </w:tc>
        <w:tc>
          <w:tcPr>
            <w:tcW w:w="537" w:type="pct"/>
            <w:tcBorders>
              <w:top w:val="double" w:color="auto" w:sz="6" w:space="0"/>
            </w:tcBorders>
            <w:vAlign w:val="center"/>
          </w:tcPr>
          <w:p w14:paraId="17701378">
            <w:pPr>
              <w:keepNext/>
              <w:jc w:val="center"/>
              <w:rPr>
                <w:rFonts w:cs="宋体"/>
                <w:szCs w:val="21"/>
                <w:highlight w:val="none"/>
              </w:rPr>
            </w:pPr>
          </w:p>
        </w:tc>
        <w:tc>
          <w:tcPr>
            <w:tcW w:w="827" w:type="pct"/>
            <w:tcBorders>
              <w:top w:val="double" w:color="auto" w:sz="6" w:space="0"/>
            </w:tcBorders>
            <w:vAlign w:val="center"/>
          </w:tcPr>
          <w:p w14:paraId="4583595B">
            <w:pPr>
              <w:keepNext/>
              <w:jc w:val="center"/>
              <w:rPr>
                <w:rFonts w:cs="宋体"/>
                <w:szCs w:val="21"/>
                <w:highlight w:val="none"/>
              </w:rPr>
            </w:pPr>
          </w:p>
        </w:tc>
        <w:tc>
          <w:tcPr>
            <w:tcW w:w="569" w:type="pct"/>
            <w:tcBorders>
              <w:top w:val="double" w:color="auto" w:sz="6" w:space="0"/>
            </w:tcBorders>
            <w:vAlign w:val="center"/>
          </w:tcPr>
          <w:p w14:paraId="200E6D4E">
            <w:pPr>
              <w:keepNext/>
              <w:jc w:val="center"/>
              <w:rPr>
                <w:rFonts w:cs="宋体"/>
                <w:szCs w:val="21"/>
                <w:highlight w:val="none"/>
              </w:rPr>
            </w:pPr>
          </w:p>
        </w:tc>
        <w:tc>
          <w:tcPr>
            <w:tcW w:w="519" w:type="pct"/>
            <w:tcBorders>
              <w:top w:val="double" w:color="auto" w:sz="6" w:space="0"/>
            </w:tcBorders>
            <w:vAlign w:val="center"/>
          </w:tcPr>
          <w:p w14:paraId="25DEA3E7">
            <w:pPr>
              <w:keepNext/>
              <w:jc w:val="center"/>
              <w:rPr>
                <w:rFonts w:cs="宋体"/>
                <w:szCs w:val="21"/>
                <w:highlight w:val="none"/>
              </w:rPr>
            </w:pPr>
          </w:p>
        </w:tc>
      </w:tr>
      <w:tr w14:paraId="1F4D4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75086C79">
            <w:pPr>
              <w:keepNext/>
              <w:jc w:val="center"/>
              <w:rPr>
                <w:rFonts w:cs="宋体"/>
                <w:szCs w:val="21"/>
                <w:highlight w:val="none"/>
              </w:rPr>
            </w:pPr>
          </w:p>
        </w:tc>
        <w:tc>
          <w:tcPr>
            <w:tcW w:w="792" w:type="pct"/>
            <w:tcBorders>
              <w:top w:val="nil"/>
            </w:tcBorders>
            <w:vAlign w:val="center"/>
          </w:tcPr>
          <w:p w14:paraId="118C5C94">
            <w:pPr>
              <w:keepNext/>
              <w:jc w:val="center"/>
              <w:rPr>
                <w:rFonts w:cs="宋体"/>
                <w:szCs w:val="21"/>
                <w:highlight w:val="none"/>
              </w:rPr>
            </w:pPr>
          </w:p>
        </w:tc>
        <w:tc>
          <w:tcPr>
            <w:tcW w:w="474" w:type="pct"/>
            <w:tcBorders>
              <w:top w:val="nil"/>
            </w:tcBorders>
            <w:vAlign w:val="center"/>
          </w:tcPr>
          <w:p w14:paraId="004CF697">
            <w:pPr>
              <w:keepNext/>
              <w:jc w:val="center"/>
              <w:rPr>
                <w:rFonts w:cs="宋体"/>
                <w:szCs w:val="21"/>
                <w:highlight w:val="none"/>
              </w:rPr>
            </w:pPr>
          </w:p>
        </w:tc>
        <w:tc>
          <w:tcPr>
            <w:tcW w:w="396" w:type="pct"/>
            <w:tcBorders>
              <w:top w:val="nil"/>
            </w:tcBorders>
            <w:vAlign w:val="center"/>
          </w:tcPr>
          <w:p w14:paraId="50BECDC8">
            <w:pPr>
              <w:keepNext/>
              <w:jc w:val="center"/>
              <w:rPr>
                <w:rFonts w:cs="宋体"/>
                <w:szCs w:val="21"/>
                <w:highlight w:val="none"/>
              </w:rPr>
            </w:pPr>
          </w:p>
        </w:tc>
        <w:tc>
          <w:tcPr>
            <w:tcW w:w="474" w:type="pct"/>
            <w:tcBorders>
              <w:top w:val="nil"/>
            </w:tcBorders>
            <w:vAlign w:val="center"/>
          </w:tcPr>
          <w:p w14:paraId="61AB2A04">
            <w:pPr>
              <w:keepNext/>
              <w:jc w:val="center"/>
              <w:rPr>
                <w:rFonts w:cs="宋体"/>
                <w:szCs w:val="21"/>
                <w:highlight w:val="none"/>
              </w:rPr>
            </w:pPr>
          </w:p>
        </w:tc>
        <w:tc>
          <w:tcPr>
            <w:tcW w:w="537" w:type="pct"/>
            <w:tcBorders>
              <w:top w:val="nil"/>
            </w:tcBorders>
            <w:vAlign w:val="center"/>
          </w:tcPr>
          <w:p w14:paraId="7F63B99A">
            <w:pPr>
              <w:keepNext/>
              <w:jc w:val="center"/>
              <w:rPr>
                <w:rFonts w:cs="宋体"/>
                <w:szCs w:val="21"/>
                <w:highlight w:val="none"/>
              </w:rPr>
            </w:pPr>
          </w:p>
        </w:tc>
        <w:tc>
          <w:tcPr>
            <w:tcW w:w="827" w:type="pct"/>
            <w:tcBorders>
              <w:top w:val="nil"/>
            </w:tcBorders>
            <w:vAlign w:val="center"/>
          </w:tcPr>
          <w:p w14:paraId="0F0FDB4B">
            <w:pPr>
              <w:keepNext/>
              <w:jc w:val="center"/>
              <w:rPr>
                <w:rFonts w:cs="宋体"/>
                <w:szCs w:val="21"/>
                <w:highlight w:val="none"/>
              </w:rPr>
            </w:pPr>
          </w:p>
        </w:tc>
        <w:tc>
          <w:tcPr>
            <w:tcW w:w="569" w:type="pct"/>
            <w:tcBorders>
              <w:top w:val="nil"/>
            </w:tcBorders>
            <w:vAlign w:val="center"/>
          </w:tcPr>
          <w:p w14:paraId="3BEEBB7B">
            <w:pPr>
              <w:keepNext/>
              <w:jc w:val="center"/>
              <w:rPr>
                <w:rFonts w:cs="宋体"/>
                <w:szCs w:val="21"/>
                <w:highlight w:val="none"/>
              </w:rPr>
            </w:pPr>
          </w:p>
        </w:tc>
        <w:tc>
          <w:tcPr>
            <w:tcW w:w="519" w:type="pct"/>
            <w:tcBorders>
              <w:top w:val="nil"/>
            </w:tcBorders>
            <w:vAlign w:val="center"/>
          </w:tcPr>
          <w:p w14:paraId="630BD2CB">
            <w:pPr>
              <w:keepNext/>
              <w:jc w:val="center"/>
              <w:rPr>
                <w:rFonts w:cs="宋体"/>
                <w:szCs w:val="21"/>
                <w:highlight w:val="none"/>
              </w:rPr>
            </w:pPr>
          </w:p>
        </w:tc>
      </w:tr>
      <w:tr w14:paraId="02E0E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0F4631AF">
            <w:pPr>
              <w:jc w:val="center"/>
              <w:rPr>
                <w:rFonts w:cs="宋体"/>
                <w:szCs w:val="21"/>
                <w:highlight w:val="none"/>
              </w:rPr>
            </w:pPr>
          </w:p>
        </w:tc>
        <w:tc>
          <w:tcPr>
            <w:tcW w:w="792" w:type="pct"/>
            <w:vAlign w:val="center"/>
          </w:tcPr>
          <w:p w14:paraId="59F9F87B">
            <w:pPr>
              <w:jc w:val="center"/>
              <w:rPr>
                <w:rFonts w:cs="宋体"/>
                <w:szCs w:val="21"/>
                <w:highlight w:val="none"/>
              </w:rPr>
            </w:pPr>
          </w:p>
        </w:tc>
        <w:tc>
          <w:tcPr>
            <w:tcW w:w="474" w:type="pct"/>
            <w:vAlign w:val="center"/>
          </w:tcPr>
          <w:p w14:paraId="33366F64">
            <w:pPr>
              <w:jc w:val="center"/>
              <w:rPr>
                <w:rFonts w:cs="宋体"/>
                <w:szCs w:val="21"/>
                <w:highlight w:val="none"/>
              </w:rPr>
            </w:pPr>
          </w:p>
        </w:tc>
        <w:tc>
          <w:tcPr>
            <w:tcW w:w="396" w:type="pct"/>
            <w:vAlign w:val="center"/>
          </w:tcPr>
          <w:p w14:paraId="43B8499E">
            <w:pPr>
              <w:jc w:val="center"/>
              <w:rPr>
                <w:rFonts w:cs="宋体"/>
                <w:szCs w:val="21"/>
                <w:highlight w:val="none"/>
              </w:rPr>
            </w:pPr>
          </w:p>
        </w:tc>
        <w:tc>
          <w:tcPr>
            <w:tcW w:w="474" w:type="pct"/>
            <w:vAlign w:val="center"/>
          </w:tcPr>
          <w:p w14:paraId="7B37C45F">
            <w:pPr>
              <w:jc w:val="center"/>
              <w:rPr>
                <w:rFonts w:cs="宋体"/>
                <w:szCs w:val="21"/>
                <w:highlight w:val="none"/>
              </w:rPr>
            </w:pPr>
          </w:p>
        </w:tc>
        <w:tc>
          <w:tcPr>
            <w:tcW w:w="537" w:type="pct"/>
            <w:vAlign w:val="center"/>
          </w:tcPr>
          <w:p w14:paraId="4960CBAD">
            <w:pPr>
              <w:jc w:val="center"/>
              <w:rPr>
                <w:rFonts w:cs="宋体"/>
                <w:szCs w:val="21"/>
                <w:highlight w:val="none"/>
              </w:rPr>
            </w:pPr>
          </w:p>
        </w:tc>
        <w:tc>
          <w:tcPr>
            <w:tcW w:w="827" w:type="pct"/>
            <w:vAlign w:val="center"/>
          </w:tcPr>
          <w:p w14:paraId="6B9D90E8">
            <w:pPr>
              <w:jc w:val="center"/>
              <w:rPr>
                <w:rFonts w:cs="宋体"/>
                <w:szCs w:val="21"/>
                <w:highlight w:val="none"/>
              </w:rPr>
            </w:pPr>
          </w:p>
        </w:tc>
        <w:tc>
          <w:tcPr>
            <w:tcW w:w="569" w:type="pct"/>
            <w:vAlign w:val="center"/>
          </w:tcPr>
          <w:p w14:paraId="211FF4F7">
            <w:pPr>
              <w:jc w:val="center"/>
              <w:rPr>
                <w:rFonts w:cs="宋体"/>
                <w:szCs w:val="21"/>
                <w:highlight w:val="none"/>
              </w:rPr>
            </w:pPr>
          </w:p>
        </w:tc>
        <w:tc>
          <w:tcPr>
            <w:tcW w:w="519" w:type="pct"/>
            <w:vAlign w:val="center"/>
          </w:tcPr>
          <w:p w14:paraId="230236DE">
            <w:pPr>
              <w:jc w:val="center"/>
              <w:rPr>
                <w:rFonts w:cs="宋体"/>
                <w:szCs w:val="21"/>
                <w:highlight w:val="none"/>
              </w:rPr>
            </w:pPr>
          </w:p>
        </w:tc>
      </w:tr>
      <w:tr w14:paraId="3BB1B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2457DBFA">
            <w:pPr>
              <w:jc w:val="center"/>
              <w:rPr>
                <w:rFonts w:cs="宋体"/>
                <w:szCs w:val="21"/>
                <w:highlight w:val="none"/>
              </w:rPr>
            </w:pPr>
          </w:p>
        </w:tc>
        <w:tc>
          <w:tcPr>
            <w:tcW w:w="792" w:type="pct"/>
            <w:vAlign w:val="center"/>
          </w:tcPr>
          <w:p w14:paraId="4BAA68FB">
            <w:pPr>
              <w:jc w:val="center"/>
              <w:rPr>
                <w:rFonts w:cs="宋体"/>
                <w:szCs w:val="21"/>
                <w:highlight w:val="none"/>
              </w:rPr>
            </w:pPr>
          </w:p>
        </w:tc>
        <w:tc>
          <w:tcPr>
            <w:tcW w:w="474" w:type="pct"/>
            <w:vAlign w:val="center"/>
          </w:tcPr>
          <w:p w14:paraId="5DF1B2BC">
            <w:pPr>
              <w:jc w:val="center"/>
              <w:rPr>
                <w:rFonts w:cs="宋体"/>
                <w:szCs w:val="21"/>
                <w:highlight w:val="none"/>
              </w:rPr>
            </w:pPr>
          </w:p>
        </w:tc>
        <w:tc>
          <w:tcPr>
            <w:tcW w:w="396" w:type="pct"/>
            <w:vAlign w:val="center"/>
          </w:tcPr>
          <w:p w14:paraId="68D77163">
            <w:pPr>
              <w:jc w:val="center"/>
              <w:rPr>
                <w:rFonts w:cs="宋体"/>
                <w:szCs w:val="21"/>
                <w:highlight w:val="none"/>
              </w:rPr>
            </w:pPr>
          </w:p>
        </w:tc>
        <w:tc>
          <w:tcPr>
            <w:tcW w:w="474" w:type="pct"/>
            <w:vAlign w:val="center"/>
          </w:tcPr>
          <w:p w14:paraId="6ECBE351">
            <w:pPr>
              <w:jc w:val="center"/>
              <w:rPr>
                <w:rFonts w:cs="宋体"/>
                <w:szCs w:val="21"/>
                <w:highlight w:val="none"/>
              </w:rPr>
            </w:pPr>
          </w:p>
        </w:tc>
        <w:tc>
          <w:tcPr>
            <w:tcW w:w="537" w:type="pct"/>
            <w:vAlign w:val="center"/>
          </w:tcPr>
          <w:p w14:paraId="20E46699">
            <w:pPr>
              <w:jc w:val="center"/>
              <w:rPr>
                <w:rFonts w:cs="宋体"/>
                <w:szCs w:val="21"/>
                <w:highlight w:val="none"/>
              </w:rPr>
            </w:pPr>
          </w:p>
        </w:tc>
        <w:tc>
          <w:tcPr>
            <w:tcW w:w="827" w:type="pct"/>
            <w:vAlign w:val="center"/>
          </w:tcPr>
          <w:p w14:paraId="28366847">
            <w:pPr>
              <w:jc w:val="center"/>
              <w:rPr>
                <w:rFonts w:cs="宋体"/>
                <w:szCs w:val="21"/>
                <w:highlight w:val="none"/>
              </w:rPr>
            </w:pPr>
          </w:p>
        </w:tc>
        <w:tc>
          <w:tcPr>
            <w:tcW w:w="569" w:type="pct"/>
            <w:vAlign w:val="center"/>
          </w:tcPr>
          <w:p w14:paraId="5DE753E3">
            <w:pPr>
              <w:jc w:val="center"/>
              <w:rPr>
                <w:rFonts w:cs="宋体"/>
                <w:szCs w:val="21"/>
                <w:highlight w:val="none"/>
              </w:rPr>
            </w:pPr>
          </w:p>
        </w:tc>
        <w:tc>
          <w:tcPr>
            <w:tcW w:w="519" w:type="pct"/>
            <w:vAlign w:val="center"/>
          </w:tcPr>
          <w:p w14:paraId="1EAADC63">
            <w:pPr>
              <w:jc w:val="center"/>
              <w:rPr>
                <w:rFonts w:cs="宋体"/>
                <w:szCs w:val="21"/>
                <w:highlight w:val="none"/>
              </w:rPr>
            </w:pPr>
          </w:p>
        </w:tc>
      </w:tr>
      <w:tr w14:paraId="7C39A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1F567461">
            <w:pPr>
              <w:jc w:val="center"/>
              <w:rPr>
                <w:rFonts w:cs="宋体"/>
                <w:szCs w:val="21"/>
                <w:highlight w:val="none"/>
              </w:rPr>
            </w:pPr>
          </w:p>
        </w:tc>
        <w:tc>
          <w:tcPr>
            <w:tcW w:w="792" w:type="pct"/>
            <w:tcBorders>
              <w:bottom w:val="single" w:color="auto" w:sz="12" w:space="0"/>
            </w:tcBorders>
            <w:vAlign w:val="center"/>
          </w:tcPr>
          <w:p w14:paraId="553BE8C6">
            <w:pPr>
              <w:jc w:val="center"/>
              <w:rPr>
                <w:rFonts w:cs="宋体"/>
                <w:szCs w:val="21"/>
                <w:highlight w:val="none"/>
              </w:rPr>
            </w:pPr>
          </w:p>
        </w:tc>
        <w:tc>
          <w:tcPr>
            <w:tcW w:w="474" w:type="pct"/>
            <w:tcBorders>
              <w:bottom w:val="single" w:color="auto" w:sz="12" w:space="0"/>
            </w:tcBorders>
            <w:vAlign w:val="center"/>
          </w:tcPr>
          <w:p w14:paraId="2FF52616">
            <w:pPr>
              <w:jc w:val="center"/>
              <w:rPr>
                <w:rFonts w:cs="宋体"/>
                <w:szCs w:val="21"/>
                <w:highlight w:val="none"/>
              </w:rPr>
            </w:pPr>
          </w:p>
        </w:tc>
        <w:tc>
          <w:tcPr>
            <w:tcW w:w="396" w:type="pct"/>
            <w:tcBorders>
              <w:bottom w:val="single" w:color="auto" w:sz="12" w:space="0"/>
            </w:tcBorders>
            <w:vAlign w:val="center"/>
          </w:tcPr>
          <w:p w14:paraId="46C955CD">
            <w:pPr>
              <w:jc w:val="center"/>
              <w:rPr>
                <w:rFonts w:cs="宋体"/>
                <w:szCs w:val="21"/>
                <w:highlight w:val="none"/>
              </w:rPr>
            </w:pPr>
          </w:p>
        </w:tc>
        <w:tc>
          <w:tcPr>
            <w:tcW w:w="474" w:type="pct"/>
            <w:tcBorders>
              <w:bottom w:val="single" w:color="auto" w:sz="12" w:space="0"/>
            </w:tcBorders>
            <w:vAlign w:val="center"/>
          </w:tcPr>
          <w:p w14:paraId="38B50EE4">
            <w:pPr>
              <w:jc w:val="center"/>
              <w:rPr>
                <w:rFonts w:cs="宋体"/>
                <w:szCs w:val="21"/>
                <w:highlight w:val="none"/>
              </w:rPr>
            </w:pPr>
          </w:p>
        </w:tc>
        <w:tc>
          <w:tcPr>
            <w:tcW w:w="537" w:type="pct"/>
            <w:tcBorders>
              <w:bottom w:val="single" w:color="auto" w:sz="12" w:space="0"/>
            </w:tcBorders>
            <w:vAlign w:val="center"/>
          </w:tcPr>
          <w:p w14:paraId="112DFBF5">
            <w:pPr>
              <w:jc w:val="center"/>
              <w:rPr>
                <w:rFonts w:cs="宋体"/>
                <w:szCs w:val="21"/>
                <w:highlight w:val="none"/>
              </w:rPr>
            </w:pPr>
          </w:p>
        </w:tc>
        <w:tc>
          <w:tcPr>
            <w:tcW w:w="827" w:type="pct"/>
            <w:tcBorders>
              <w:bottom w:val="single" w:color="auto" w:sz="12" w:space="0"/>
            </w:tcBorders>
            <w:vAlign w:val="center"/>
          </w:tcPr>
          <w:p w14:paraId="3CBF3575">
            <w:pPr>
              <w:jc w:val="center"/>
              <w:rPr>
                <w:rFonts w:cs="宋体"/>
                <w:szCs w:val="21"/>
                <w:highlight w:val="none"/>
              </w:rPr>
            </w:pPr>
          </w:p>
        </w:tc>
        <w:tc>
          <w:tcPr>
            <w:tcW w:w="569" w:type="pct"/>
            <w:tcBorders>
              <w:bottom w:val="single" w:color="auto" w:sz="12" w:space="0"/>
            </w:tcBorders>
            <w:vAlign w:val="center"/>
          </w:tcPr>
          <w:p w14:paraId="54A6B0D3">
            <w:pPr>
              <w:jc w:val="center"/>
              <w:rPr>
                <w:rFonts w:cs="宋体"/>
                <w:szCs w:val="21"/>
                <w:highlight w:val="none"/>
              </w:rPr>
            </w:pPr>
          </w:p>
        </w:tc>
        <w:tc>
          <w:tcPr>
            <w:tcW w:w="519" w:type="pct"/>
            <w:tcBorders>
              <w:bottom w:val="single" w:color="auto" w:sz="12" w:space="0"/>
            </w:tcBorders>
            <w:vAlign w:val="center"/>
          </w:tcPr>
          <w:p w14:paraId="68946F0E">
            <w:pPr>
              <w:jc w:val="center"/>
              <w:rPr>
                <w:rFonts w:cs="宋体"/>
                <w:szCs w:val="21"/>
                <w:highlight w:val="none"/>
              </w:rPr>
            </w:pPr>
          </w:p>
        </w:tc>
      </w:tr>
    </w:tbl>
    <w:p w14:paraId="2FF96780">
      <w:pPr>
        <w:spacing w:before="312" w:beforeLines="100" w:after="312" w:afterLines="100"/>
        <w:outlineLvl w:val="2"/>
        <w:rPr>
          <w:rFonts w:ascii="Times New Roman" w:eastAsia="黑体"/>
          <w:szCs w:val="24"/>
          <w:highlight w:val="none"/>
        </w:rPr>
      </w:pPr>
      <w:r>
        <w:rPr>
          <w:rFonts w:hint="eastAsia" w:cs="宋体"/>
          <w:bCs/>
          <w:highlight w:val="none"/>
        </w:rPr>
        <w:br w:type="page"/>
      </w:r>
      <w:bookmarkStart w:id="636" w:name="_Toc128950241"/>
      <w:r>
        <w:rPr>
          <w:rFonts w:hint="eastAsia" w:ascii="Times New Roman" w:eastAsia="黑体"/>
          <w:szCs w:val="24"/>
          <w:highlight w:val="none"/>
        </w:rPr>
        <w:t>附</w:t>
      </w:r>
      <w:bookmarkStart w:id="637" w:name="_Toc267261699"/>
      <w:bookmarkStart w:id="638" w:name="_Toc296346729"/>
      <w:bookmarkStart w:id="639" w:name="_Toc296503228"/>
      <w:bookmarkStart w:id="640" w:name="_Toc296347227"/>
      <w:bookmarkStart w:id="641" w:name="_Toc296891056"/>
      <w:bookmarkStart w:id="642" w:name="_Toc296944567"/>
      <w:bookmarkStart w:id="643" w:name="_Toc296891268"/>
      <w:r>
        <w:rPr>
          <w:rFonts w:hint="eastAsia" w:ascii="Times New Roman" w:eastAsia="黑体"/>
          <w:szCs w:val="24"/>
          <w:highlight w:val="none"/>
        </w:rPr>
        <w:t>件</w:t>
      </w:r>
      <w:bookmarkEnd w:id="637"/>
      <w:bookmarkEnd w:id="638"/>
      <w:bookmarkEnd w:id="639"/>
      <w:bookmarkEnd w:id="640"/>
      <w:bookmarkEnd w:id="641"/>
      <w:bookmarkEnd w:id="642"/>
      <w:bookmarkEnd w:id="643"/>
      <w:r>
        <w:rPr>
          <w:rFonts w:ascii="Times New Roman" w:eastAsia="黑体"/>
          <w:szCs w:val="24"/>
          <w:highlight w:val="none"/>
        </w:rPr>
        <w:t>6</w:t>
      </w:r>
      <w:r>
        <w:rPr>
          <w:rFonts w:hint="eastAsia" w:ascii="Times New Roman" w:eastAsia="黑体"/>
          <w:szCs w:val="24"/>
          <w:highlight w:val="none"/>
        </w:rPr>
        <w:t>：承包人主要施工管理人员表</w:t>
      </w:r>
      <w:bookmarkEnd w:id="636"/>
    </w:p>
    <w:p w14:paraId="38954E85">
      <w:pPr>
        <w:spacing w:line="360" w:lineRule="auto"/>
        <w:jc w:val="center"/>
        <w:rPr>
          <w:rFonts w:cs="宋体"/>
          <w:highlight w:val="none"/>
        </w:rPr>
      </w:pPr>
      <w:r>
        <w:rPr>
          <w:rFonts w:hint="eastAsia" w:cs="宋体"/>
          <w:highlight w:val="none"/>
        </w:rPr>
        <w:t>承包人主要施工管理人员表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14E62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tcBorders>
              <w:top w:val="single" w:color="auto" w:sz="12" w:space="0"/>
              <w:bottom w:val="double" w:color="auto" w:sz="6" w:space="0"/>
            </w:tcBorders>
            <w:vAlign w:val="center"/>
          </w:tcPr>
          <w:p w14:paraId="3AD29CFF">
            <w:pPr>
              <w:keepNext/>
              <w:spacing w:line="360" w:lineRule="auto"/>
              <w:jc w:val="center"/>
              <w:rPr>
                <w:rFonts w:cs="宋体"/>
                <w:szCs w:val="21"/>
                <w:highlight w:val="none"/>
              </w:rPr>
            </w:pPr>
            <w:r>
              <w:rPr>
                <w:rFonts w:hint="eastAsia" w:cs="宋体"/>
                <w:szCs w:val="21"/>
                <w:highlight w:val="none"/>
              </w:rPr>
              <w:t>名称</w:t>
            </w:r>
          </w:p>
        </w:tc>
        <w:tc>
          <w:tcPr>
            <w:tcW w:w="627" w:type="pct"/>
            <w:tcBorders>
              <w:top w:val="single" w:color="auto" w:sz="12" w:space="0"/>
              <w:bottom w:val="double" w:color="auto" w:sz="6" w:space="0"/>
            </w:tcBorders>
            <w:vAlign w:val="center"/>
          </w:tcPr>
          <w:p w14:paraId="78C16BBE">
            <w:pPr>
              <w:keepNext/>
              <w:spacing w:line="360" w:lineRule="auto"/>
              <w:jc w:val="center"/>
              <w:rPr>
                <w:rFonts w:cs="宋体"/>
                <w:szCs w:val="21"/>
                <w:highlight w:val="none"/>
              </w:rPr>
            </w:pPr>
            <w:r>
              <w:rPr>
                <w:rFonts w:hint="eastAsia" w:cs="宋体"/>
                <w:szCs w:val="21"/>
                <w:highlight w:val="none"/>
              </w:rPr>
              <w:t>姓名</w:t>
            </w:r>
          </w:p>
        </w:tc>
        <w:tc>
          <w:tcPr>
            <w:tcW w:w="502" w:type="pct"/>
            <w:tcBorders>
              <w:top w:val="single" w:color="auto" w:sz="12" w:space="0"/>
              <w:bottom w:val="double" w:color="auto" w:sz="6" w:space="0"/>
            </w:tcBorders>
            <w:vAlign w:val="center"/>
          </w:tcPr>
          <w:p w14:paraId="30B569E4">
            <w:pPr>
              <w:keepNext/>
              <w:spacing w:line="360" w:lineRule="auto"/>
              <w:jc w:val="center"/>
              <w:rPr>
                <w:rFonts w:cs="宋体"/>
                <w:szCs w:val="21"/>
                <w:highlight w:val="none"/>
              </w:rPr>
            </w:pPr>
            <w:r>
              <w:rPr>
                <w:rFonts w:hint="eastAsia" w:cs="宋体"/>
                <w:szCs w:val="21"/>
                <w:highlight w:val="none"/>
              </w:rPr>
              <w:t>职务</w:t>
            </w:r>
          </w:p>
        </w:tc>
        <w:tc>
          <w:tcPr>
            <w:tcW w:w="502" w:type="pct"/>
            <w:tcBorders>
              <w:top w:val="single" w:color="auto" w:sz="12" w:space="0"/>
              <w:bottom w:val="double" w:color="auto" w:sz="6" w:space="0"/>
            </w:tcBorders>
            <w:vAlign w:val="center"/>
          </w:tcPr>
          <w:p w14:paraId="5CD3EF03">
            <w:pPr>
              <w:keepNext/>
              <w:spacing w:line="360" w:lineRule="auto"/>
              <w:jc w:val="center"/>
              <w:rPr>
                <w:rFonts w:cs="宋体"/>
                <w:szCs w:val="21"/>
                <w:highlight w:val="none"/>
              </w:rPr>
            </w:pPr>
            <w:r>
              <w:rPr>
                <w:rFonts w:hint="eastAsia" w:cs="宋体"/>
                <w:szCs w:val="21"/>
                <w:highlight w:val="none"/>
              </w:rPr>
              <w:t>职称</w:t>
            </w:r>
          </w:p>
        </w:tc>
        <w:tc>
          <w:tcPr>
            <w:tcW w:w="1281" w:type="pct"/>
            <w:tcBorders>
              <w:top w:val="single" w:color="auto" w:sz="12" w:space="0"/>
              <w:bottom w:val="double" w:color="auto" w:sz="6" w:space="0"/>
            </w:tcBorders>
            <w:vAlign w:val="center"/>
          </w:tcPr>
          <w:p w14:paraId="5D2F98A3">
            <w:pPr>
              <w:keepNext/>
              <w:spacing w:line="360" w:lineRule="auto"/>
              <w:jc w:val="center"/>
              <w:rPr>
                <w:rFonts w:cs="宋体"/>
                <w:szCs w:val="21"/>
                <w:highlight w:val="none"/>
              </w:rPr>
            </w:pPr>
            <w:r>
              <w:rPr>
                <w:rFonts w:hint="eastAsia" w:cs="宋体"/>
                <w:szCs w:val="21"/>
                <w:highlight w:val="none"/>
              </w:rPr>
              <w:t>主要资历、经验及承担过的项目</w:t>
            </w:r>
          </w:p>
        </w:tc>
        <w:tc>
          <w:tcPr>
            <w:tcW w:w="1151" w:type="pct"/>
            <w:tcBorders>
              <w:top w:val="single" w:color="auto" w:sz="12" w:space="0"/>
              <w:bottom w:val="double" w:color="auto" w:sz="6" w:space="0"/>
            </w:tcBorders>
            <w:vAlign w:val="center"/>
          </w:tcPr>
          <w:p w14:paraId="4610B044">
            <w:pPr>
              <w:keepNext/>
              <w:spacing w:line="360" w:lineRule="auto"/>
              <w:jc w:val="center"/>
              <w:rPr>
                <w:rFonts w:cs="宋体"/>
                <w:szCs w:val="21"/>
                <w:highlight w:val="none"/>
              </w:rPr>
            </w:pPr>
            <w:r>
              <w:rPr>
                <w:rFonts w:hint="eastAsia" w:cs="宋体"/>
                <w:szCs w:val="21"/>
                <w:highlight w:val="none"/>
              </w:rPr>
              <w:t>身份证号码</w:t>
            </w:r>
          </w:p>
        </w:tc>
      </w:tr>
      <w:tr w14:paraId="4CACA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49E1423A">
            <w:pPr>
              <w:keepNext/>
              <w:spacing w:line="360" w:lineRule="auto"/>
              <w:jc w:val="center"/>
              <w:rPr>
                <w:rFonts w:cs="宋体"/>
                <w:szCs w:val="21"/>
                <w:highlight w:val="none"/>
              </w:rPr>
            </w:pPr>
            <w:r>
              <w:rPr>
                <w:rFonts w:hint="eastAsia" w:cs="宋体"/>
                <w:szCs w:val="21"/>
                <w:highlight w:val="none"/>
              </w:rPr>
              <w:t>一、总部人员</w:t>
            </w:r>
          </w:p>
        </w:tc>
        <w:tc>
          <w:tcPr>
            <w:tcW w:w="1151" w:type="pct"/>
            <w:tcBorders>
              <w:top w:val="double" w:color="auto" w:sz="6" w:space="0"/>
            </w:tcBorders>
            <w:vAlign w:val="center"/>
          </w:tcPr>
          <w:p w14:paraId="0C5B9EA3">
            <w:pPr>
              <w:keepNext/>
              <w:spacing w:line="360" w:lineRule="auto"/>
              <w:jc w:val="center"/>
              <w:rPr>
                <w:rFonts w:cs="宋体"/>
                <w:szCs w:val="21"/>
                <w:highlight w:val="none"/>
              </w:rPr>
            </w:pPr>
          </w:p>
        </w:tc>
      </w:tr>
      <w:tr w14:paraId="0A17D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2E5B0EB8">
            <w:pPr>
              <w:spacing w:line="360" w:lineRule="auto"/>
              <w:jc w:val="center"/>
              <w:rPr>
                <w:rFonts w:cs="宋体"/>
                <w:szCs w:val="21"/>
                <w:highlight w:val="none"/>
              </w:rPr>
            </w:pPr>
            <w:r>
              <w:rPr>
                <w:rFonts w:hint="eastAsia" w:cs="宋体"/>
                <w:szCs w:val="21"/>
                <w:highlight w:val="none"/>
              </w:rPr>
              <w:t>项目主管</w:t>
            </w:r>
          </w:p>
        </w:tc>
        <w:tc>
          <w:tcPr>
            <w:tcW w:w="627" w:type="pct"/>
            <w:tcBorders>
              <w:top w:val="nil"/>
            </w:tcBorders>
            <w:vAlign w:val="center"/>
          </w:tcPr>
          <w:p w14:paraId="6432E256">
            <w:pPr>
              <w:keepNext/>
              <w:spacing w:line="360" w:lineRule="auto"/>
              <w:jc w:val="center"/>
              <w:rPr>
                <w:rFonts w:cs="宋体"/>
                <w:szCs w:val="21"/>
                <w:highlight w:val="none"/>
              </w:rPr>
            </w:pPr>
          </w:p>
        </w:tc>
        <w:tc>
          <w:tcPr>
            <w:tcW w:w="502" w:type="pct"/>
            <w:tcBorders>
              <w:top w:val="nil"/>
            </w:tcBorders>
            <w:vAlign w:val="center"/>
          </w:tcPr>
          <w:p w14:paraId="773F9C17">
            <w:pPr>
              <w:keepNext/>
              <w:spacing w:line="360" w:lineRule="auto"/>
              <w:jc w:val="center"/>
              <w:rPr>
                <w:rFonts w:cs="宋体"/>
                <w:szCs w:val="21"/>
                <w:highlight w:val="none"/>
              </w:rPr>
            </w:pPr>
          </w:p>
        </w:tc>
        <w:tc>
          <w:tcPr>
            <w:tcW w:w="502" w:type="pct"/>
            <w:tcBorders>
              <w:top w:val="nil"/>
            </w:tcBorders>
            <w:vAlign w:val="center"/>
          </w:tcPr>
          <w:p w14:paraId="093FA3F4">
            <w:pPr>
              <w:keepNext/>
              <w:spacing w:line="360" w:lineRule="auto"/>
              <w:jc w:val="center"/>
              <w:rPr>
                <w:rFonts w:cs="宋体"/>
                <w:szCs w:val="21"/>
                <w:highlight w:val="none"/>
              </w:rPr>
            </w:pPr>
          </w:p>
        </w:tc>
        <w:tc>
          <w:tcPr>
            <w:tcW w:w="1281" w:type="pct"/>
            <w:tcBorders>
              <w:top w:val="nil"/>
            </w:tcBorders>
            <w:vAlign w:val="center"/>
          </w:tcPr>
          <w:p w14:paraId="000D6F45">
            <w:pPr>
              <w:keepNext/>
              <w:spacing w:line="360" w:lineRule="auto"/>
              <w:jc w:val="center"/>
              <w:rPr>
                <w:rFonts w:cs="宋体"/>
                <w:szCs w:val="21"/>
                <w:highlight w:val="none"/>
              </w:rPr>
            </w:pPr>
          </w:p>
        </w:tc>
        <w:tc>
          <w:tcPr>
            <w:tcW w:w="1151" w:type="pct"/>
            <w:tcBorders>
              <w:top w:val="nil"/>
            </w:tcBorders>
            <w:vAlign w:val="center"/>
          </w:tcPr>
          <w:p w14:paraId="212CE901">
            <w:pPr>
              <w:keepNext/>
              <w:spacing w:line="360" w:lineRule="auto"/>
              <w:jc w:val="center"/>
              <w:rPr>
                <w:rFonts w:cs="宋体"/>
                <w:szCs w:val="21"/>
                <w:highlight w:val="none"/>
              </w:rPr>
            </w:pPr>
          </w:p>
        </w:tc>
      </w:tr>
      <w:tr w14:paraId="03CE8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A635E61">
            <w:pPr>
              <w:spacing w:line="360" w:lineRule="auto"/>
              <w:jc w:val="center"/>
              <w:rPr>
                <w:rFonts w:cs="宋体"/>
                <w:szCs w:val="21"/>
                <w:highlight w:val="none"/>
              </w:rPr>
            </w:pPr>
            <w:r>
              <w:rPr>
                <w:rFonts w:hint="eastAsia" w:cs="宋体"/>
                <w:szCs w:val="21"/>
                <w:highlight w:val="none"/>
              </w:rPr>
              <w:t>其他人员</w:t>
            </w:r>
          </w:p>
        </w:tc>
        <w:tc>
          <w:tcPr>
            <w:tcW w:w="627" w:type="pct"/>
            <w:vAlign w:val="center"/>
          </w:tcPr>
          <w:p w14:paraId="2C530B09">
            <w:pPr>
              <w:keepNext/>
              <w:spacing w:line="360" w:lineRule="auto"/>
              <w:jc w:val="center"/>
              <w:rPr>
                <w:rFonts w:cs="宋体"/>
                <w:szCs w:val="21"/>
                <w:highlight w:val="none"/>
              </w:rPr>
            </w:pPr>
          </w:p>
        </w:tc>
        <w:tc>
          <w:tcPr>
            <w:tcW w:w="502" w:type="pct"/>
            <w:vAlign w:val="center"/>
          </w:tcPr>
          <w:p w14:paraId="5A93B63E">
            <w:pPr>
              <w:keepNext/>
              <w:spacing w:line="360" w:lineRule="auto"/>
              <w:jc w:val="center"/>
              <w:rPr>
                <w:rFonts w:cs="宋体"/>
                <w:szCs w:val="21"/>
                <w:highlight w:val="none"/>
              </w:rPr>
            </w:pPr>
          </w:p>
        </w:tc>
        <w:tc>
          <w:tcPr>
            <w:tcW w:w="502" w:type="pct"/>
            <w:vAlign w:val="center"/>
          </w:tcPr>
          <w:p w14:paraId="4AE9B9C0">
            <w:pPr>
              <w:keepNext/>
              <w:spacing w:line="360" w:lineRule="auto"/>
              <w:jc w:val="center"/>
              <w:rPr>
                <w:rFonts w:cs="宋体"/>
                <w:szCs w:val="21"/>
                <w:highlight w:val="none"/>
              </w:rPr>
            </w:pPr>
          </w:p>
        </w:tc>
        <w:tc>
          <w:tcPr>
            <w:tcW w:w="1281" w:type="pct"/>
            <w:vAlign w:val="center"/>
          </w:tcPr>
          <w:p w14:paraId="654A119F">
            <w:pPr>
              <w:keepNext/>
              <w:spacing w:line="360" w:lineRule="auto"/>
              <w:jc w:val="center"/>
              <w:rPr>
                <w:rFonts w:cs="宋体"/>
                <w:szCs w:val="21"/>
                <w:highlight w:val="none"/>
              </w:rPr>
            </w:pPr>
          </w:p>
        </w:tc>
        <w:tc>
          <w:tcPr>
            <w:tcW w:w="1151" w:type="pct"/>
            <w:vAlign w:val="center"/>
          </w:tcPr>
          <w:p w14:paraId="3BE152D6">
            <w:pPr>
              <w:keepNext/>
              <w:spacing w:line="360" w:lineRule="auto"/>
              <w:jc w:val="center"/>
              <w:rPr>
                <w:rFonts w:cs="宋体"/>
                <w:szCs w:val="21"/>
                <w:highlight w:val="none"/>
              </w:rPr>
            </w:pPr>
          </w:p>
        </w:tc>
      </w:tr>
      <w:tr w14:paraId="5BA75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Merge w:val="continue"/>
            <w:vAlign w:val="center"/>
          </w:tcPr>
          <w:p w14:paraId="6AC3EC9E">
            <w:pPr>
              <w:spacing w:line="360" w:lineRule="auto"/>
              <w:jc w:val="center"/>
              <w:rPr>
                <w:rFonts w:cs="宋体"/>
                <w:szCs w:val="21"/>
                <w:highlight w:val="none"/>
              </w:rPr>
            </w:pPr>
          </w:p>
        </w:tc>
        <w:tc>
          <w:tcPr>
            <w:tcW w:w="627" w:type="pct"/>
            <w:vAlign w:val="center"/>
          </w:tcPr>
          <w:p w14:paraId="659D3C54">
            <w:pPr>
              <w:keepNext/>
              <w:spacing w:line="360" w:lineRule="auto"/>
              <w:jc w:val="center"/>
              <w:rPr>
                <w:rFonts w:cs="宋体"/>
                <w:szCs w:val="21"/>
                <w:highlight w:val="none"/>
              </w:rPr>
            </w:pPr>
          </w:p>
        </w:tc>
        <w:tc>
          <w:tcPr>
            <w:tcW w:w="502" w:type="pct"/>
            <w:vAlign w:val="center"/>
          </w:tcPr>
          <w:p w14:paraId="771DDE90">
            <w:pPr>
              <w:keepNext/>
              <w:spacing w:line="360" w:lineRule="auto"/>
              <w:jc w:val="center"/>
              <w:rPr>
                <w:rFonts w:cs="宋体"/>
                <w:szCs w:val="21"/>
                <w:highlight w:val="none"/>
              </w:rPr>
            </w:pPr>
          </w:p>
        </w:tc>
        <w:tc>
          <w:tcPr>
            <w:tcW w:w="502" w:type="pct"/>
            <w:vAlign w:val="center"/>
          </w:tcPr>
          <w:p w14:paraId="3123E684">
            <w:pPr>
              <w:keepNext/>
              <w:spacing w:line="360" w:lineRule="auto"/>
              <w:jc w:val="center"/>
              <w:rPr>
                <w:rFonts w:cs="宋体"/>
                <w:szCs w:val="21"/>
                <w:highlight w:val="none"/>
              </w:rPr>
            </w:pPr>
          </w:p>
        </w:tc>
        <w:tc>
          <w:tcPr>
            <w:tcW w:w="1281" w:type="pct"/>
            <w:vAlign w:val="center"/>
          </w:tcPr>
          <w:p w14:paraId="31E375AA">
            <w:pPr>
              <w:keepNext/>
              <w:spacing w:line="360" w:lineRule="auto"/>
              <w:jc w:val="center"/>
              <w:rPr>
                <w:rFonts w:cs="宋体"/>
                <w:szCs w:val="21"/>
                <w:highlight w:val="none"/>
              </w:rPr>
            </w:pPr>
          </w:p>
        </w:tc>
        <w:tc>
          <w:tcPr>
            <w:tcW w:w="1151" w:type="pct"/>
            <w:vAlign w:val="center"/>
          </w:tcPr>
          <w:p w14:paraId="29ED03F2">
            <w:pPr>
              <w:keepNext/>
              <w:spacing w:line="360" w:lineRule="auto"/>
              <w:jc w:val="center"/>
              <w:rPr>
                <w:rFonts w:cs="宋体"/>
                <w:szCs w:val="21"/>
                <w:highlight w:val="none"/>
              </w:rPr>
            </w:pPr>
          </w:p>
        </w:tc>
      </w:tr>
      <w:tr w14:paraId="6CE85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605FB734">
            <w:pPr>
              <w:spacing w:line="360" w:lineRule="auto"/>
              <w:jc w:val="center"/>
              <w:rPr>
                <w:rFonts w:cs="宋体"/>
                <w:szCs w:val="21"/>
                <w:highlight w:val="none"/>
              </w:rPr>
            </w:pPr>
          </w:p>
        </w:tc>
        <w:tc>
          <w:tcPr>
            <w:tcW w:w="627" w:type="pct"/>
            <w:vAlign w:val="center"/>
          </w:tcPr>
          <w:p w14:paraId="311439B9">
            <w:pPr>
              <w:keepNext/>
              <w:spacing w:line="360" w:lineRule="auto"/>
              <w:jc w:val="center"/>
              <w:rPr>
                <w:rFonts w:cs="宋体"/>
                <w:szCs w:val="21"/>
                <w:highlight w:val="none"/>
              </w:rPr>
            </w:pPr>
          </w:p>
        </w:tc>
        <w:tc>
          <w:tcPr>
            <w:tcW w:w="502" w:type="pct"/>
            <w:vAlign w:val="center"/>
          </w:tcPr>
          <w:p w14:paraId="4EB6F344">
            <w:pPr>
              <w:keepNext/>
              <w:spacing w:line="360" w:lineRule="auto"/>
              <w:jc w:val="center"/>
              <w:rPr>
                <w:rFonts w:cs="宋体"/>
                <w:szCs w:val="21"/>
                <w:highlight w:val="none"/>
              </w:rPr>
            </w:pPr>
          </w:p>
        </w:tc>
        <w:tc>
          <w:tcPr>
            <w:tcW w:w="502" w:type="pct"/>
            <w:vAlign w:val="center"/>
          </w:tcPr>
          <w:p w14:paraId="32C85275">
            <w:pPr>
              <w:keepNext/>
              <w:spacing w:line="360" w:lineRule="auto"/>
              <w:jc w:val="center"/>
              <w:rPr>
                <w:rFonts w:cs="宋体"/>
                <w:szCs w:val="21"/>
                <w:highlight w:val="none"/>
              </w:rPr>
            </w:pPr>
          </w:p>
        </w:tc>
        <w:tc>
          <w:tcPr>
            <w:tcW w:w="1281" w:type="pct"/>
            <w:vAlign w:val="center"/>
          </w:tcPr>
          <w:p w14:paraId="097938B6">
            <w:pPr>
              <w:keepNext/>
              <w:spacing w:line="360" w:lineRule="auto"/>
              <w:jc w:val="center"/>
              <w:rPr>
                <w:rFonts w:cs="宋体"/>
                <w:szCs w:val="21"/>
                <w:highlight w:val="none"/>
              </w:rPr>
            </w:pPr>
          </w:p>
        </w:tc>
        <w:tc>
          <w:tcPr>
            <w:tcW w:w="1151" w:type="pct"/>
            <w:vAlign w:val="center"/>
          </w:tcPr>
          <w:p w14:paraId="54223C30">
            <w:pPr>
              <w:keepNext/>
              <w:spacing w:line="360" w:lineRule="auto"/>
              <w:jc w:val="center"/>
              <w:rPr>
                <w:rFonts w:cs="宋体"/>
                <w:szCs w:val="21"/>
                <w:highlight w:val="none"/>
              </w:rPr>
            </w:pPr>
          </w:p>
        </w:tc>
      </w:tr>
      <w:tr w14:paraId="39263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28E16D33">
            <w:pPr>
              <w:keepNext/>
              <w:spacing w:line="360" w:lineRule="auto"/>
              <w:jc w:val="center"/>
              <w:rPr>
                <w:rFonts w:cs="宋体"/>
                <w:szCs w:val="21"/>
                <w:highlight w:val="none"/>
              </w:rPr>
            </w:pPr>
            <w:r>
              <w:rPr>
                <w:rFonts w:hint="eastAsia" w:cs="宋体"/>
                <w:szCs w:val="21"/>
                <w:highlight w:val="none"/>
              </w:rPr>
              <w:t>二、现场人员</w:t>
            </w:r>
          </w:p>
        </w:tc>
        <w:tc>
          <w:tcPr>
            <w:tcW w:w="1151" w:type="pct"/>
            <w:vAlign w:val="center"/>
          </w:tcPr>
          <w:p w14:paraId="0AC3CF0A">
            <w:pPr>
              <w:keepNext/>
              <w:spacing w:line="360" w:lineRule="auto"/>
              <w:jc w:val="center"/>
              <w:rPr>
                <w:rFonts w:cs="宋体"/>
                <w:szCs w:val="21"/>
                <w:highlight w:val="none"/>
              </w:rPr>
            </w:pPr>
          </w:p>
        </w:tc>
      </w:tr>
      <w:tr w14:paraId="098E6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1E95CBBB">
            <w:pPr>
              <w:spacing w:line="360" w:lineRule="auto"/>
              <w:jc w:val="center"/>
              <w:rPr>
                <w:rFonts w:cs="宋体"/>
                <w:szCs w:val="21"/>
                <w:highlight w:val="none"/>
              </w:rPr>
            </w:pPr>
            <w:r>
              <w:rPr>
                <w:rFonts w:hint="eastAsia" w:cs="宋体"/>
                <w:szCs w:val="21"/>
                <w:highlight w:val="none"/>
              </w:rPr>
              <w:t>项目经理</w:t>
            </w:r>
          </w:p>
        </w:tc>
        <w:tc>
          <w:tcPr>
            <w:tcW w:w="627" w:type="pct"/>
            <w:vAlign w:val="center"/>
          </w:tcPr>
          <w:p w14:paraId="6D3FC7AE">
            <w:pPr>
              <w:keepNext/>
              <w:spacing w:line="360" w:lineRule="auto"/>
              <w:jc w:val="center"/>
              <w:rPr>
                <w:rFonts w:cs="宋体"/>
                <w:szCs w:val="21"/>
                <w:highlight w:val="none"/>
              </w:rPr>
            </w:pPr>
          </w:p>
        </w:tc>
        <w:tc>
          <w:tcPr>
            <w:tcW w:w="502" w:type="pct"/>
            <w:vAlign w:val="center"/>
          </w:tcPr>
          <w:p w14:paraId="179D5341">
            <w:pPr>
              <w:keepNext/>
              <w:spacing w:line="360" w:lineRule="auto"/>
              <w:jc w:val="center"/>
              <w:rPr>
                <w:rFonts w:cs="宋体"/>
                <w:szCs w:val="21"/>
                <w:highlight w:val="none"/>
              </w:rPr>
            </w:pPr>
          </w:p>
        </w:tc>
        <w:tc>
          <w:tcPr>
            <w:tcW w:w="502" w:type="pct"/>
            <w:vAlign w:val="center"/>
          </w:tcPr>
          <w:p w14:paraId="07FEFD89">
            <w:pPr>
              <w:keepNext/>
              <w:spacing w:line="360" w:lineRule="auto"/>
              <w:jc w:val="center"/>
              <w:rPr>
                <w:rFonts w:cs="宋体"/>
                <w:szCs w:val="21"/>
                <w:highlight w:val="none"/>
              </w:rPr>
            </w:pPr>
          </w:p>
        </w:tc>
        <w:tc>
          <w:tcPr>
            <w:tcW w:w="1281" w:type="pct"/>
            <w:vAlign w:val="center"/>
          </w:tcPr>
          <w:p w14:paraId="0AFC2C69">
            <w:pPr>
              <w:keepNext/>
              <w:spacing w:line="360" w:lineRule="auto"/>
              <w:jc w:val="center"/>
              <w:rPr>
                <w:rFonts w:cs="宋体"/>
                <w:szCs w:val="21"/>
                <w:highlight w:val="none"/>
              </w:rPr>
            </w:pPr>
          </w:p>
        </w:tc>
        <w:tc>
          <w:tcPr>
            <w:tcW w:w="1151" w:type="pct"/>
            <w:vAlign w:val="center"/>
          </w:tcPr>
          <w:p w14:paraId="70E1EAFF">
            <w:pPr>
              <w:keepNext/>
              <w:spacing w:line="360" w:lineRule="auto"/>
              <w:jc w:val="center"/>
              <w:rPr>
                <w:rFonts w:cs="宋体"/>
                <w:szCs w:val="21"/>
                <w:highlight w:val="none"/>
              </w:rPr>
            </w:pPr>
          </w:p>
        </w:tc>
      </w:tr>
      <w:tr w14:paraId="71869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Align w:val="center"/>
          </w:tcPr>
          <w:p w14:paraId="0FDF5FD8">
            <w:pPr>
              <w:spacing w:line="360" w:lineRule="auto"/>
              <w:jc w:val="center"/>
              <w:rPr>
                <w:rFonts w:cs="宋体"/>
                <w:szCs w:val="21"/>
                <w:highlight w:val="none"/>
              </w:rPr>
            </w:pPr>
            <w:r>
              <w:rPr>
                <w:rFonts w:hint="eastAsia" w:cs="宋体"/>
                <w:szCs w:val="21"/>
                <w:highlight w:val="none"/>
              </w:rPr>
              <w:t>项目副经理</w:t>
            </w:r>
          </w:p>
        </w:tc>
        <w:tc>
          <w:tcPr>
            <w:tcW w:w="627" w:type="pct"/>
            <w:vAlign w:val="center"/>
          </w:tcPr>
          <w:p w14:paraId="23E855D3">
            <w:pPr>
              <w:keepNext/>
              <w:spacing w:line="360" w:lineRule="auto"/>
              <w:jc w:val="center"/>
              <w:rPr>
                <w:rFonts w:cs="宋体"/>
                <w:szCs w:val="21"/>
                <w:highlight w:val="none"/>
              </w:rPr>
            </w:pPr>
          </w:p>
        </w:tc>
        <w:tc>
          <w:tcPr>
            <w:tcW w:w="502" w:type="pct"/>
            <w:vAlign w:val="center"/>
          </w:tcPr>
          <w:p w14:paraId="1584BEDB">
            <w:pPr>
              <w:keepNext/>
              <w:spacing w:line="360" w:lineRule="auto"/>
              <w:jc w:val="center"/>
              <w:rPr>
                <w:rFonts w:cs="宋体"/>
                <w:szCs w:val="21"/>
                <w:highlight w:val="none"/>
              </w:rPr>
            </w:pPr>
          </w:p>
        </w:tc>
        <w:tc>
          <w:tcPr>
            <w:tcW w:w="502" w:type="pct"/>
            <w:vAlign w:val="center"/>
          </w:tcPr>
          <w:p w14:paraId="33BE214E">
            <w:pPr>
              <w:keepNext/>
              <w:spacing w:line="360" w:lineRule="auto"/>
              <w:jc w:val="center"/>
              <w:rPr>
                <w:rFonts w:cs="宋体"/>
                <w:szCs w:val="21"/>
                <w:highlight w:val="none"/>
              </w:rPr>
            </w:pPr>
          </w:p>
        </w:tc>
        <w:tc>
          <w:tcPr>
            <w:tcW w:w="1281" w:type="pct"/>
            <w:vAlign w:val="center"/>
          </w:tcPr>
          <w:p w14:paraId="55AF7B56">
            <w:pPr>
              <w:keepNext/>
              <w:spacing w:line="360" w:lineRule="auto"/>
              <w:jc w:val="center"/>
              <w:rPr>
                <w:rFonts w:cs="宋体"/>
                <w:szCs w:val="21"/>
                <w:highlight w:val="none"/>
              </w:rPr>
            </w:pPr>
          </w:p>
        </w:tc>
        <w:tc>
          <w:tcPr>
            <w:tcW w:w="1151" w:type="pct"/>
            <w:vAlign w:val="center"/>
          </w:tcPr>
          <w:p w14:paraId="4BF0C1F1">
            <w:pPr>
              <w:keepNext/>
              <w:spacing w:line="360" w:lineRule="auto"/>
              <w:jc w:val="center"/>
              <w:rPr>
                <w:rFonts w:cs="宋体"/>
                <w:szCs w:val="21"/>
                <w:highlight w:val="none"/>
              </w:rPr>
            </w:pPr>
          </w:p>
        </w:tc>
      </w:tr>
      <w:tr w14:paraId="030F9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FE3C827">
            <w:pPr>
              <w:spacing w:line="360" w:lineRule="auto"/>
              <w:jc w:val="center"/>
              <w:rPr>
                <w:rFonts w:cs="宋体"/>
                <w:szCs w:val="21"/>
                <w:highlight w:val="none"/>
              </w:rPr>
            </w:pPr>
            <w:r>
              <w:rPr>
                <w:rFonts w:hint="eastAsia" w:cs="宋体"/>
                <w:szCs w:val="21"/>
                <w:highlight w:val="none"/>
              </w:rPr>
              <w:t>项目技术负责人</w:t>
            </w:r>
          </w:p>
        </w:tc>
        <w:tc>
          <w:tcPr>
            <w:tcW w:w="627" w:type="pct"/>
            <w:vAlign w:val="center"/>
          </w:tcPr>
          <w:p w14:paraId="7AB556D9">
            <w:pPr>
              <w:keepNext/>
              <w:spacing w:line="360" w:lineRule="auto"/>
              <w:jc w:val="center"/>
              <w:rPr>
                <w:rFonts w:cs="宋体"/>
                <w:szCs w:val="21"/>
                <w:highlight w:val="none"/>
              </w:rPr>
            </w:pPr>
          </w:p>
        </w:tc>
        <w:tc>
          <w:tcPr>
            <w:tcW w:w="502" w:type="pct"/>
            <w:vAlign w:val="center"/>
          </w:tcPr>
          <w:p w14:paraId="1E4EA0FD">
            <w:pPr>
              <w:keepNext/>
              <w:spacing w:line="360" w:lineRule="auto"/>
              <w:jc w:val="center"/>
              <w:rPr>
                <w:rFonts w:cs="宋体"/>
                <w:szCs w:val="21"/>
                <w:highlight w:val="none"/>
              </w:rPr>
            </w:pPr>
          </w:p>
        </w:tc>
        <w:tc>
          <w:tcPr>
            <w:tcW w:w="502" w:type="pct"/>
            <w:vAlign w:val="center"/>
          </w:tcPr>
          <w:p w14:paraId="118E3773">
            <w:pPr>
              <w:keepNext/>
              <w:spacing w:line="360" w:lineRule="auto"/>
              <w:jc w:val="center"/>
              <w:rPr>
                <w:rFonts w:cs="宋体"/>
                <w:szCs w:val="21"/>
                <w:highlight w:val="none"/>
              </w:rPr>
            </w:pPr>
          </w:p>
        </w:tc>
        <w:tc>
          <w:tcPr>
            <w:tcW w:w="1281" w:type="pct"/>
            <w:vAlign w:val="center"/>
          </w:tcPr>
          <w:p w14:paraId="3231085B">
            <w:pPr>
              <w:keepNext/>
              <w:spacing w:line="360" w:lineRule="auto"/>
              <w:jc w:val="center"/>
              <w:rPr>
                <w:rFonts w:cs="宋体"/>
                <w:szCs w:val="21"/>
                <w:highlight w:val="none"/>
              </w:rPr>
            </w:pPr>
          </w:p>
        </w:tc>
        <w:tc>
          <w:tcPr>
            <w:tcW w:w="1151" w:type="pct"/>
            <w:vAlign w:val="center"/>
          </w:tcPr>
          <w:p w14:paraId="62863D78">
            <w:pPr>
              <w:keepNext/>
              <w:spacing w:line="360" w:lineRule="auto"/>
              <w:jc w:val="center"/>
              <w:rPr>
                <w:rFonts w:cs="宋体"/>
                <w:szCs w:val="21"/>
                <w:highlight w:val="none"/>
              </w:rPr>
            </w:pPr>
          </w:p>
        </w:tc>
      </w:tr>
      <w:tr w14:paraId="74FC3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Align w:val="center"/>
          </w:tcPr>
          <w:p w14:paraId="484238C6">
            <w:pPr>
              <w:spacing w:line="360" w:lineRule="auto"/>
              <w:jc w:val="center"/>
              <w:rPr>
                <w:rFonts w:cs="宋体"/>
                <w:szCs w:val="21"/>
                <w:highlight w:val="none"/>
              </w:rPr>
            </w:pPr>
            <w:r>
              <w:rPr>
                <w:rFonts w:hint="eastAsia" w:cs="宋体"/>
                <w:szCs w:val="21"/>
                <w:highlight w:val="none"/>
              </w:rPr>
              <w:t>施工员</w:t>
            </w:r>
          </w:p>
        </w:tc>
        <w:tc>
          <w:tcPr>
            <w:tcW w:w="627" w:type="pct"/>
            <w:vAlign w:val="center"/>
          </w:tcPr>
          <w:p w14:paraId="6674865C">
            <w:pPr>
              <w:keepNext/>
              <w:spacing w:line="360" w:lineRule="auto"/>
              <w:jc w:val="center"/>
              <w:rPr>
                <w:rFonts w:cs="宋体"/>
                <w:szCs w:val="21"/>
                <w:highlight w:val="none"/>
              </w:rPr>
            </w:pPr>
          </w:p>
        </w:tc>
        <w:tc>
          <w:tcPr>
            <w:tcW w:w="502" w:type="pct"/>
            <w:vAlign w:val="center"/>
          </w:tcPr>
          <w:p w14:paraId="237AB409">
            <w:pPr>
              <w:keepNext/>
              <w:spacing w:line="360" w:lineRule="auto"/>
              <w:jc w:val="center"/>
              <w:rPr>
                <w:rFonts w:cs="宋体"/>
                <w:szCs w:val="21"/>
                <w:highlight w:val="none"/>
              </w:rPr>
            </w:pPr>
          </w:p>
        </w:tc>
        <w:tc>
          <w:tcPr>
            <w:tcW w:w="502" w:type="pct"/>
            <w:vAlign w:val="center"/>
          </w:tcPr>
          <w:p w14:paraId="174F24D4">
            <w:pPr>
              <w:keepNext/>
              <w:spacing w:line="360" w:lineRule="auto"/>
              <w:jc w:val="center"/>
              <w:rPr>
                <w:rFonts w:cs="宋体"/>
                <w:szCs w:val="21"/>
                <w:highlight w:val="none"/>
              </w:rPr>
            </w:pPr>
          </w:p>
        </w:tc>
        <w:tc>
          <w:tcPr>
            <w:tcW w:w="1281" w:type="pct"/>
            <w:vAlign w:val="center"/>
          </w:tcPr>
          <w:p w14:paraId="057D00F4">
            <w:pPr>
              <w:keepNext/>
              <w:spacing w:line="360" w:lineRule="auto"/>
              <w:jc w:val="center"/>
              <w:rPr>
                <w:rFonts w:cs="宋体"/>
                <w:szCs w:val="21"/>
                <w:highlight w:val="none"/>
              </w:rPr>
            </w:pPr>
          </w:p>
        </w:tc>
        <w:tc>
          <w:tcPr>
            <w:tcW w:w="1151" w:type="pct"/>
            <w:vAlign w:val="center"/>
          </w:tcPr>
          <w:p w14:paraId="4A3DD805">
            <w:pPr>
              <w:keepNext/>
              <w:spacing w:line="360" w:lineRule="auto"/>
              <w:jc w:val="center"/>
              <w:rPr>
                <w:rFonts w:cs="宋体"/>
                <w:szCs w:val="21"/>
                <w:highlight w:val="none"/>
              </w:rPr>
            </w:pPr>
          </w:p>
        </w:tc>
      </w:tr>
      <w:tr w14:paraId="2ED42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9D190E1">
            <w:pPr>
              <w:spacing w:line="360" w:lineRule="auto"/>
              <w:jc w:val="center"/>
              <w:rPr>
                <w:rFonts w:cs="宋体"/>
                <w:szCs w:val="21"/>
                <w:highlight w:val="none"/>
              </w:rPr>
            </w:pPr>
            <w:r>
              <w:rPr>
                <w:rFonts w:hint="eastAsia" w:cs="宋体"/>
                <w:szCs w:val="21"/>
                <w:highlight w:val="none"/>
              </w:rPr>
              <w:t>质检员（质量员）</w:t>
            </w:r>
          </w:p>
        </w:tc>
        <w:tc>
          <w:tcPr>
            <w:tcW w:w="627" w:type="pct"/>
            <w:vAlign w:val="center"/>
          </w:tcPr>
          <w:p w14:paraId="1ED40785">
            <w:pPr>
              <w:keepNext/>
              <w:spacing w:line="360" w:lineRule="auto"/>
              <w:jc w:val="center"/>
              <w:rPr>
                <w:rFonts w:cs="宋体"/>
                <w:szCs w:val="21"/>
                <w:highlight w:val="none"/>
              </w:rPr>
            </w:pPr>
          </w:p>
        </w:tc>
        <w:tc>
          <w:tcPr>
            <w:tcW w:w="502" w:type="pct"/>
            <w:vAlign w:val="center"/>
          </w:tcPr>
          <w:p w14:paraId="42FF3765">
            <w:pPr>
              <w:keepNext/>
              <w:spacing w:line="360" w:lineRule="auto"/>
              <w:jc w:val="center"/>
              <w:rPr>
                <w:rFonts w:cs="宋体"/>
                <w:szCs w:val="21"/>
                <w:highlight w:val="none"/>
              </w:rPr>
            </w:pPr>
          </w:p>
        </w:tc>
        <w:tc>
          <w:tcPr>
            <w:tcW w:w="502" w:type="pct"/>
            <w:vAlign w:val="center"/>
          </w:tcPr>
          <w:p w14:paraId="2B46A6CC">
            <w:pPr>
              <w:keepNext/>
              <w:spacing w:line="360" w:lineRule="auto"/>
              <w:jc w:val="center"/>
              <w:rPr>
                <w:rFonts w:cs="宋体"/>
                <w:szCs w:val="21"/>
                <w:highlight w:val="none"/>
              </w:rPr>
            </w:pPr>
          </w:p>
        </w:tc>
        <w:tc>
          <w:tcPr>
            <w:tcW w:w="1281" w:type="pct"/>
            <w:vAlign w:val="center"/>
          </w:tcPr>
          <w:p w14:paraId="5D618116">
            <w:pPr>
              <w:keepNext/>
              <w:spacing w:line="360" w:lineRule="auto"/>
              <w:jc w:val="center"/>
              <w:rPr>
                <w:rFonts w:cs="宋体"/>
                <w:szCs w:val="21"/>
                <w:highlight w:val="none"/>
              </w:rPr>
            </w:pPr>
          </w:p>
        </w:tc>
        <w:tc>
          <w:tcPr>
            <w:tcW w:w="1151" w:type="pct"/>
            <w:vAlign w:val="center"/>
          </w:tcPr>
          <w:p w14:paraId="6E97CE27">
            <w:pPr>
              <w:keepNext/>
              <w:spacing w:line="360" w:lineRule="auto"/>
              <w:jc w:val="center"/>
              <w:rPr>
                <w:rFonts w:cs="宋体"/>
                <w:szCs w:val="21"/>
                <w:highlight w:val="none"/>
              </w:rPr>
            </w:pPr>
          </w:p>
        </w:tc>
      </w:tr>
      <w:tr w14:paraId="41793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8AFEB80">
            <w:pPr>
              <w:spacing w:line="360" w:lineRule="auto"/>
              <w:jc w:val="center"/>
              <w:rPr>
                <w:rFonts w:cs="宋体"/>
                <w:szCs w:val="21"/>
                <w:highlight w:val="none"/>
              </w:rPr>
            </w:pPr>
            <w:r>
              <w:rPr>
                <w:rFonts w:hint="eastAsia" w:cs="宋体"/>
                <w:szCs w:val="21"/>
                <w:highlight w:val="none"/>
              </w:rPr>
              <w:t>安全员</w:t>
            </w:r>
          </w:p>
        </w:tc>
        <w:tc>
          <w:tcPr>
            <w:tcW w:w="627" w:type="pct"/>
            <w:vAlign w:val="center"/>
          </w:tcPr>
          <w:p w14:paraId="62B08EC5">
            <w:pPr>
              <w:keepNext/>
              <w:spacing w:line="360" w:lineRule="auto"/>
              <w:jc w:val="center"/>
              <w:rPr>
                <w:rFonts w:cs="宋体"/>
                <w:szCs w:val="21"/>
                <w:highlight w:val="none"/>
              </w:rPr>
            </w:pPr>
          </w:p>
        </w:tc>
        <w:tc>
          <w:tcPr>
            <w:tcW w:w="502" w:type="pct"/>
            <w:vAlign w:val="center"/>
          </w:tcPr>
          <w:p w14:paraId="169CD9C8">
            <w:pPr>
              <w:keepNext/>
              <w:spacing w:line="360" w:lineRule="auto"/>
              <w:jc w:val="center"/>
              <w:rPr>
                <w:rFonts w:cs="宋体"/>
                <w:szCs w:val="21"/>
                <w:highlight w:val="none"/>
              </w:rPr>
            </w:pPr>
          </w:p>
        </w:tc>
        <w:tc>
          <w:tcPr>
            <w:tcW w:w="502" w:type="pct"/>
            <w:vAlign w:val="center"/>
          </w:tcPr>
          <w:p w14:paraId="683984DD">
            <w:pPr>
              <w:keepNext/>
              <w:spacing w:line="360" w:lineRule="auto"/>
              <w:jc w:val="center"/>
              <w:rPr>
                <w:rFonts w:cs="宋体"/>
                <w:szCs w:val="21"/>
                <w:highlight w:val="none"/>
              </w:rPr>
            </w:pPr>
          </w:p>
        </w:tc>
        <w:tc>
          <w:tcPr>
            <w:tcW w:w="1281" w:type="pct"/>
            <w:vAlign w:val="center"/>
          </w:tcPr>
          <w:p w14:paraId="03ABF036">
            <w:pPr>
              <w:keepNext/>
              <w:spacing w:line="360" w:lineRule="auto"/>
              <w:jc w:val="center"/>
              <w:rPr>
                <w:rFonts w:cs="宋体"/>
                <w:szCs w:val="21"/>
                <w:highlight w:val="none"/>
              </w:rPr>
            </w:pPr>
          </w:p>
        </w:tc>
        <w:tc>
          <w:tcPr>
            <w:tcW w:w="1151" w:type="pct"/>
            <w:vAlign w:val="center"/>
          </w:tcPr>
          <w:p w14:paraId="6759A795">
            <w:pPr>
              <w:keepNext/>
              <w:spacing w:line="360" w:lineRule="auto"/>
              <w:jc w:val="center"/>
              <w:rPr>
                <w:rFonts w:cs="宋体"/>
                <w:szCs w:val="21"/>
                <w:highlight w:val="none"/>
              </w:rPr>
            </w:pPr>
          </w:p>
        </w:tc>
      </w:tr>
      <w:tr w14:paraId="5FB67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Align w:val="center"/>
          </w:tcPr>
          <w:p w14:paraId="7225B782">
            <w:pPr>
              <w:spacing w:line="360" w:lineRule="auto"/>
              <w:jc w:val="center"/>
              <w:rPr>
                <w:rFonts w:cs="宋体"/>
                <w:szCs w:val="21"/>
                <w:highlight w:val="none"/>
              </w:rPr>
            </w:pPr>
            <w:r>
              <w:rPr>
                <w:rFonts w:hint="eastAsia" w:cs="宋体"/>
                <w:szCs w:val="21"/>
                <w:highlight w:val="none"/>
              </w:rPr>
              <w:t>资料员</w:t>
            </w:r>
          </w:p>
        </w:tc>
        <w:tc>
          <w:tcPr>
            <w:tcW w:w="627" w:type="pct"/>
            <w:vAlign w:val="center"/>
          </w:tcPr>
          <w:p w14:paraId="51360FC9">
            <w:pPr>
              <w:keepNext/>
              <w:spacing w:line="360" w:lineRule="auto"/>
              <w:jc w:val="center"/>
              <w:rPr>
                <w:rFonts w:cs="宋体"/>
                <w:szCs w:val="21"/>
                <w:highlight w:val="none"/>
              </w:rPr>
            </w:pPr>
          </w:p>
        </w:tc>
        <w:tc>
          <w:tcPr>
            <w:tcW w:w="502" w:type="pct"/>
            <w:vAlign w:val="center"/>
          </w:tcPr>
          <w:p w14:paraId="08542B0C">
            <w:pPr>
              <w:keepNext/>
              <w:spacing w:line="360" w:lineRule="auto"/>
              <w:jc w:val="center"/>
              <w:rPr>
                <w:rFonts w:cs="宋体"/>
                <w:szCs w:val="21"/>
                <w:highlight w:val="none"/>
              </w:rPr>
            </w:pPr>
          </w:p>
        </w:tc>
        <w:tc>
          <w:tcPr>
            <w:tcW w:w="502" w:type="pct"/>
            <w:vAlign w:val="center"/>
          </w:tcPr>
          <w:p w14:paraId="6F3AD619">
            <w:pPr>
              <w:keepNext/>
              <w:spacing w:line="360" w:lineRule="auto"/>
              <w:jc w:val="center"/>
              <w:rPr>
                <w:rFonts w:cs="宋体"/>
                <w:szCs w:val="21"/>
                <w:highlight w:val="none"/>
              </w:rPr>
            </w:pPr>
          </w:p>
        </w:tc>
        <w:tc>
          <w:tcPr>
            <w:tcW w:w="1281" w:type="pct"/>
            <w:vAlign w:val="center"/>
          </w:tcPr>
          <w:p w14:paraId="6AE02A63">
            <w:pPr>
              <w:keepNext/>
              <w:spacing w:line="360" w:lineRule="auto"/>
              <w:jc w:val="center"/>
              <w:rPr>
                <w:rFonts w:cs="宋体"/>
                <w:szCs w:val="21"/>
                <w:highlight w:val="none"/>
              </w:rPr>
            </w:pPr>
          </w:p>
        </w:tc>
        <w:tc>
          <w:tcPr>
            <w:tcW w:w="1151" w:type="pct"/>
            <w:vAlign w:val="center"/>
          </w:tcPr>
          <w:p w14:paraId="19A1B505">
            <w:pPr>
              <w:keepNext/>
              <w:spacing w:line="360" w:lineRule="auto"/>
              <w:jc w:val="center"/>
              <w:rPr>
                <w:rFonts w:cs="宋体"/>
                <w:szCs w:val="21"/>
                <w:highlight w:val="none"/>
              </w:rPr>
            </w:pPr>
          </w:p>
        </w:tc>
      </w:tr>
      <w:tr w14:paraId="42A96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Merge w:val="restart"/>
            <w:vAlign w:val="center"/>
          </w:tcPr>
          <w:p w14:paraId="0212957B">
            <w:pPr>
              <w:spacing w:line="360" w:lineRule="auto"/>
              <w:jc w:val="center"/>
              <w:rPr>
                <w:rFonts w:cs="宋体"/>
                <w:szCs w:val="21"/>
                <w:highlight w:val="none"/>
              </w:rPr>
            </w:pPr>
            <w:r>
              <w:rPr>
                <w:rFonts w:hint="eastAsia" w:cs="宋体"/>
                <w:szCs w:val="21"/>
                <w:highlight w:val="none"/>
              </w:rPr>
              <w:t>其他人员</w:t>
            </w:r>
          </w:p>
        </w:tc>
        <w:tc>
          <w:tcPr>
            <w:tcW w:w="627" w:type="pct"/>
            <w:vAlign w:val="center"/>
          </w:tcPr>
          <w:p w14:paraId="0F61F20B">
            <w:pPr>
              <w:keepNext/>
              <w:spacing w:line="360" w:lineRule="auto"/>
              <w:jc w:val="center"/>
              <w:rPr>
                <w:rFonts w:cs="宋体"/>
                <w:szCs w:val="21"/>
                <w:highlight w:val="none"/>
              </w:rPr>
            </w:pPr>
          </w:p>
        </w:tc>
        <w:tc>
          <w:tcPr>
            <w:tcW w:w="502" w:type="pct"/>
            <w:vAlign w:val="center"/>
          </w:tcPr>
          <w:p w14:paraId="1DD65F6E">
            <w:pPr>
              <w:keepNext/>
              <w:spacing w:line="360" w:lineRule="auto"/>
              <w:jc w:val="center"/>
              <w:rPr>
                <w:rFonts w:cs="宋体"/>
                <w:szCs w:val="21"/>
                <w:highlight w:val="none"/>
              </w:rPr>
            </w:pPr>
          </w:p>
        </w:tc>
        <w:tc>
          <w:tcPr>
            <w:tcW w:w="502" w:type="pct"/>
            <w:vAlign w:val="center"/>
          </w:tcPr>
          <w:p w14:paraId="6828F747">
            <w:pPr>
              <w:keepNext/>
              <w:spacing w:line="360" w:lineRule="auto"/>
              <w:jc w:val="center"/>
              <w:rPr>
                <w:rFonts w:cs="宋体"/>
                <w:szCs w:val="21"/>
                <w:highlight w:val="none"/>
              </w:rPr>
            </w:pPr>
          </w:p>
        </w:tc>
        <w:tc>
          <w:tcPr>
            <w:tcW w:w="1281" w:type="pct"/>
            <w:vAlign w:val="center"/>
          </w:tcPr>
          <w:p w14:paraId="24558764">
            <w:pPr>
              <w:keepNext/>
              <w:spacing w:line="360" w:lineRule="auto"/>
              <w:jc w:val="center"/>
              <w:rPr>
                <w:rFonts w:cs="宋体"/>
                <w:szCs w:val="21"/>
                <w:highlight w:val="none"/>
              </w:rPr>
            </w:pPr>
          </w:p>
        </w:tc>
        <w:tc>
          <w:tcPr>
            <w:tcW w:w="1151" w:type="pct"/>
            <w:vAlign w:val="center"/>
          </w:tcPr>
          <w:p w14:paraId="4A3ED23A">
            <w:pPr>
              <w:keepNext/>
              <w:spacing w:line="360" w:lineRule="auto"/>
              <w:jc w:val="center"/>
              <w:rPr>
                <w:rFonts w:cs="宋体"/>
                <w:szCs w:val="21"/>
                <w:highlight w:val="none"/>
              </w:rPr>
            </w:pPr>
          </w:p>
        </w:tc>
      </w:tr>
      <w:tr w14:paraId="2038C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961B31E">
            <w:pPr>
              <w:keepNext/>
              <w:spacing w:line="360" w:lineRule="auto"/>
              <w:jc w:val="center"/>
              <w:rPr>
                <w:rFonts w:cs="宋体"/>
                <w:szCs w:val="21"/>
                <w:highlight w:val="none"/>
              </w:rPr>
            </w:pPr>
          </w:p>
        </w:tc>
        <w:tc>
          <w:tcPr>
            <w:tcW w:w="627" w:type="pct"/>
            <w:tcBorders>
              <w:bottom w:val="nil"/>
            </w:tcBorders>
            <w:vAlign w:val="center"/>
          </w:tcPr>
          <w:p w14:paraId="59064F95">
            <w:pPr>
              <w:keepNext/>
              <w:spacing w:line="360" w:lineRule="auto"/>
              <w:jc w:val="center"/>
              <w:rPr>
                <w:rFonts w:cs="宋体"/>
                <w:szCs w:val="21"/>
                <w:highlight w:val="none"/>
              </w:rPr>
            </w:pPr>
          </w:p>
        </w:tc>
        <w:tc>
          <w:tcPr>
            <w:tcW w:w="502" w:type="pct"/>
            <w:tcBorders>
              <w:bottom w:val="nil"/>
            </w:tcBorders>
            <w:vAlign w:val="center"/>
          </w:tcPr>
          <w:p w14:paraId="7CEE6C8E">
            <w:pPr>
              <w:keepNext/>
              <w:spacing w:line="360" w:lineRule="auto"/>
              <w:jc w:val="center"/>
              <w:rPr>
                <w:rFonts w:cs="宋体"/>
                <w:szCs w:val="21"/>
                <w:highlight w:val="none"/>
              </w:rPr>
            </w:pPr>
          </w:p>
        </w:tc>
        <w:tc>
          <w:tcPr>
            <w:tcW w:w="502" w:type="pct"/>
            <w:tcBorders>
              <w:bottom w:val="nil"/>
            </w:tcBorders>
            <w:vAlign w:val="center"/>
          </w:tcPr>
          <w:p w14:paraId="67919A4D">
            <w:pPr>
              <w:keepNext/>
              <w:spacing w:line="360" w:lineRule="auto"/>
              <w:jc w:val="center"/>
              <w:rPr>
                <w:rFonts w:cs="宋体"/>
                <w:szCs w:val="21"/>
                <w:highlight w:val="none"/>
              </w:rPr>
            </w:pPr>
          </w:p>
        </w:tc>
        <w:tc>
          <w:tcPr>
            <w:tcW w:w="1281" w:type="pct"/>
            <w:tcBorders>
              <w:bottom w:val="nil"/>
            </w:tcBorders>
            <w:vAlign w:val="center"/>
          </w:tcPr>
          <w:p w14:paraId="68B20E1F">
            <w:pPr>
              <w:keepNext/>
              <w:spacing w:line="360" w:lineRule="auto"/>
              <w:jc w:val="center"/>
              <w:rPr>
                <w:rFonts w:cs="宋体"/>
                <w:szCs w:val="21"/>
                <w:highlight w:val="none"/>
              </w:rPr>
            </w:pPr>
          </w:p>
        </w:tc>
        <w:tc>
          <w:tcPr>
            <w:tcW w:w="1151" w:type="pct"/>
            <w:tcBorders>
              <w:bottom w:val="nil"/>
            </w:tcBorders>
            <w:vAlign w:val="center"/>
          </w:tcPr>
          <w:p w14:paraId="5AE409B9">
            <w:pPr>
              <w:keepNext/>
              <w:spacing w:line="360" w:lineRule="auto"/>
              <w:jc w:val="center"/>
              <w:rPr>
                <w:rFonts w:cs="宋体"/>
                <w:szCs w:val="21"/>
                <w:highlight w:val="none"/>
              </w:rPr>
            </w:pPr>
          </w:p>
        </w:tc>
      </w:tr>
      <w:tr w14:paraId="68E72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1CE9C12">
            <w:pPr>
              <w:keepNext/>
              <w:spacing w:line="360" w:lineRule="auto"/>
              <w:jc w:val="center"/>
              <w:rPr>
                <w:rFonts w:cs="宋体"/>
                <w:szCs w:val="21"/>
                <w:highlight w:val="none"/>
              </w:rPr>
            </w:pPr>
          </w:p>
        </w:tc>
        <w:tc>
          <w:tcPr>
            <w:tcW w:w="627" w:type="pct"/>
            <w:vAlign w:val="center"/>
          </w:tcPr>
          <w:p w14:paraId="283B8F52">
            <w:pPr>
              <w:keepNext/>
              <w:spacing w:line="360" w:lineRule="auto"/>
              <w:jc w:val="center"/>
              <w:rPr>
                <w:rFonts w:cs="宋体"/>
                <w:szCs w:val="21"/>
                <w:highlight w:val="none"/>
              </w:rPr>
            </w:pPr>
          </w:p>
        </w:tc>
        <w:tc>
          <w:tcPr>
            <w:tcW w:w="502" w:type="pct"/>
            <w:vAlign w:val="center"/>
          </w:tcPr>
          <w:p w14:paraId="605512D4">
            <w:pPr>
              <w:keepNext/>
              <w:spacing w:line="360" w:lineRule="auto"/>
              <w:jc w:val="center"/>
              <w:rPr>
                <w:rFonts w:cs="宋体"/>
                <w:szCs w:val="21"/>
                <w:highlight w:val="none"/>
              </w:rPr>
            </w:pPr>
          </w:p>
        </w:tc>
        <w:tc>
          <w:tcPr>
            <w:tcW w:w="502" w:type="pct"/>
            <w:vAlign w:val="center"/>
          </w:tcPr>
          <w:p w14:paraId="2DC17A7D">
            <w:pPr>
              <w:keepNext/>
              <w:spacing w:line="360" w:lineRule="auto"/>
              <w:jc w:val="center"/>
              <w:rPr>
                <w:rFonts w:cs="宋体"/>
                <w:szCs w:val="21"/>
                <w:highlight w:val="none"/>
              </w:rPr>
            </w:pPr>
          </w:p>
        </w:tc>
        <w:tc>
          <w:tcPr>
            <w:tcW w:w="1281" w:type="pct"/>
            <w:vAlign w:val="center"/>
          </w:tcPr>
          <w:p w14:paraId="56FBD582">
            <w:pPr>
              <w:keepNext/>
              <w:spacing w:line="360" w:lineRule="auto"/>
              <w:jc w:val="center"/>
              <w:rPr>
                <w:rFonts w:cs="宋体"/>
                <w:szCs w:val="21"/>
                <w:highlight w:val="none"/>
              </w:rPr>
            </w:pPr>
          </w:p>
        </w:tc>
        <w:tc>
          <w:tcPr>
            <w:tcW w:w="1151" w:type="pct"/>
            <w:vAlign w:val="center"/>
          </w:tcPr>
          <w:p w14:paraId="03F3B0A5">
            <w:pPr>
              <w:keepNext/>
              <w:spacing w:line="360" w:lineRule="auto"/>
              <w:jc w:val="center"/>
              <w:rPr>
                <w:rFonts w:cs="宋体"/>
                <w:szCs w:val="21"/>
                <w:highlight w:val="none"/>
              </w:rPr>
            </w:pPr>
          </w:p>
        </w:tc>
      </w:tr>
      <w:tr w14:paraId="6DE7E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4A1627AF">
            <w:pPr>
              <w:keepNext/>
              <w:spacing w:line="360" w:lineRule="auto"/>
              <w:jc w:val="center"/>
              <w:rPr>
                <w:rFonts w:cs="宋体"/>
                <w:szCs w:val="21"/>
                <w:highlight w:val="none"/>
              </w:rPr>
            </w:pPr>
          </w:p>
        </w:tc>
        <w:tc>
          <w:tcPr>
            <w:tcW w:w="627" w:type="pct"/>
            <w:vAlign w:val="center"/>
          </w:tcPr>
          <w:p w14:paraId="43FF73B6">
            <w:pPr>
              <w:keepNext/>
              <w:spacing w:line="360" w:lineRule="auto"/>
              <w:jc w:val="center"/>
              <w:rPr>
                <w:rFonts w:cs="宋体"/>
                <w:szCs w:val="21"/>
                <w:highlight w:val="none"/>
              </w:rPr>
            </w:pPr>
          </w:p>
        </w:tc>
        <w:tc>
          <w:tcPr>
            <w:tcW w:w="502" w:type="pct"/>
            <w:vAlign w:val="center"/>
          </w:tcPr>
          <w:p w14:paraId="18662BD9">
            <w:pPr>
              <w:keepNext/>
              <w:spacing w:line="360" w:lineRule="auto"/>
              <w:jc w:val="center"/>
              <w:rPr>
                <w:rFonts w:cs="宋体"/>
                <w:szCs w:val="21"/>
                <w:highlight w:val="none"/>
              </w:rPr>
            </w:pPr>
          </w:p>
        </w:tc>
        <w:tc>
          <w:tcPr>
            <w:tcW w:w="502" w:type="pct"/>
            <w:vAlign w:val="center"/>
          </w:tcPr>
          <w:p w14:paraId="50E74B31">
            <w:pPr>
              <w:keepNext/>
              <w:spacing w:line="360" w:lineRule="auto"/>
              <w:jc w:val="center"/>
              <w:rPr>
                <w:rFonts w:cs="宋体"/>
                <w:szCs w:val="21"/>
                <w:highlight w:val="none"/>
              </w:rPr>
            </w:pPr>
          </w:p>
        </w:tc>
        <w:tc>
          <w:tcPr>
            <w:tcW w:w="1281" w:type="pct"/>
            <w:vAlign w:val="center"/>
          </w:tcPr>
          <w:p w14:paraId="58C260A2">
            <w:pPr>
              <w:keepNext/>
              <w:spacing w:line="360" w:lineRule="auto"/>
              <w:jc w:val="center"/>
              <w:rPr>
                <w:rFonts w:cs="宋体"/>
                <w:szCs w:val="21"/>
                <w:highlight w:val="none"/>
              </w:rPr>
            </w:pPr>
          </w:p>
        </w:tc>
        <w:tc>
          <w:tcPr>
            <w:tcW w:w="1151" w:type="pct"/>
            <w:vAlign w:val="center"/>
          </w:tcPr>
          <w:p w14:paraId="686EE837">
            <w:pPr>
              <w:keepNext/>
              <w:spacing w:line="360" w:lineRule="auto"/>
              <w:jc w:val="center"/>
              <w:rPr>
                <w:rFonts w:cs="宋体"/>
                <w:szCs w:val="21"/>
                <w:highlight w:val="none"/>
              </w:rPr>
            </w:pPr>
          </w:p>
        </w:tc>
      </w:tr>
      <w:tr w14:paraId="6D9C0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F58EF57">
            <w:pPr>
              <w:keepNext/>
              <w:spacing w:line="360" w:lineRule="auto"/>
              <w:jc w:val="center"/>
              <w:rPr>
                <w:rFonts w:cs="宋体"/>
                <w:szCs w:val="21"/>
                <w:highlight w:val="none"/>
              </w:rPr>
            </w:pPr>
          </w:p>
        </w:tc>
        <w:tc>
          <w:tcPr>
            <w:tcW w:w="627" w:type="pct"/>
            <w:vAlign w:val="center"/>
          </w:tcPr>
          <w:p w14:paraId="2EC060F8">
            <w:pPr>
              <w:keepNext/>
              <w:spacing w:line="360" w:lineRule="auto"/>
              <w:jc w:val="center"/>
              <w:rPr>
                <w:rFonts w:cs="宋体"/>
                <w:szCs w:val="21"/>
                <w:highlight w:val="none"/>
              </w:rPr>
            </w:pPr>
          </w:p>
        </w:tc>
        <w:tc>
          <w:tcPr>
            <w:tcW w:w="502" w:type="pct"/>
            <w:vAlign w:val="center"/>
          </w:tcPr>
          <w:p w14:paraId="2EC12905">
            <w:pPr>
              <w:keepNext/>
              <w:spacing w:line="360" w:lineRule="auto"/>
              <w:jc w:val="center"/>
              <w:rPr>
                <w:rFonts w:cs="宋体"/>
                <w:szCs w:val="21"/>
                <w:highlight w:val="none"/>
              </w:rPr>
            </w:pPr>
          </w:p>
        </w:tc>
        <w:tc>
          <w:tcPr>
            <w:tcW w:w="502" w:type="pct"/>
            <w:vAlign w:val="center"/>
          </w:tcPr>
          <w:p w14:paraId="15C69F52">
            <w:pPr>
              <w:keepNext/>
              <w:spacing w:line="360" w:lineRule="auto"/>
              <w:jc w:val="center"/>
              <w:rPr>
                <w:rFonts w:cs="宋体"/>
                <w:szCs w:val="21"/>
                <w:highlight w:val="none"/>
              </w:rPr>
            </w:pPr>
          </w:p>
        </w:tc>
        <w:tc>
          <w:tcPr>
            <w:tcW w:w="1281" w:type="pct"/>
            <w:vAlign w:val="center"/>
          </w:tcPr>
          <w:p w14:paraId="49EED0F6">
            <w:pPr>
              <w:keepNext/>
              <w:spacing w:line="360" w:lineRule="auto"/>
              <w:jc w:val="center"/>
              <w:rPr>
                <w:rFonts w:cs="宋体"/>
                <w:szCs w:val="21"/>
                <w:highlight w:val="none"/>
              </w:rPr>
            </w:pPr>
          </w:p>
        </w:tc>
        <w:tc>
          <w:tcPr>
            <w:tcW w:w="1151" w:type="pct"/>
            <w:vAlign w:val="center"/>
          </w:tcPr>
          <w:p w14:paraId="5F775572">
            <w:pPr>
              <w:keepNext/>
              <w:spacing w:line="360" w:lineRule="auto"/>
              <w:jc w:val="center"/>
              <w:rPr>
                <w:rFonts w:cs="宋体"/>
                <w:szCs w:val="21"/>
                <w:highlight w:val="none"/>
              </w:rPr>
            </w:pPr>
          </w:p>
        </w:tc>
      </w:tr>
      <w:tr w14:paraId="5E760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Merge w:val="continue"/>
            <w:tcBorders>
              <w:bottom w:val="single" w:color="auto" w:sz="12" w:space="0"/>
            </w:tcBorders>
            <w:vAlign w:val="center"/>
          </w:tcPr>
          <w:p w14:paraId="3F8731D9">
            <w:pPr>
              <w:keepNext/>
              <w:spacing w:line="360" w:lineRule="auto"/>
              <w:jc w:val="center"/>
              <w:rPr>
                <w:rFonts w:cs="宋体"/>
                <w:szCs w:val="21"/>
                <w:highlight w:val="none"/>
              </w:rPr>
            </w:pPr>
          </w:p>
        </w:tc>
        <w:tc>
          <w:tcPr>
            <w:tcW w:w="627" w:type="pct"/>
            <w:tcBorders>
              <w:bottom w:val="single" w:color="auto" w:sz="12" w:space="0"/>
            </w:tcBorders>
            <w:vAlign w:val="center"/>
          </w:tcPr>
          <w:p w14:paraId="75390D6D">
            <w:pPr>
              <w:keepNext/>
              <w:spacing w:line="360" w:lineRule="auto"/>
              <w:jc w:val="center"/>
              <w:rPr>
                <w:rFonts w:cs="宋体"/>
                <w:szCs w:val="21"/>
                <w:highlight w:val="none"/>
              </w:rPr>
            </w:pPr>
          </w:p>
        </w:tc>
        <w:tc>
          <w:tcPr>
            <w:tcW w:w="502" w:type="pct"/>
            <w:tcBorders>
              <w:bottom w:val="single" w:color="auto" w:sz="12" w:space="0"/>
            </w:tcBorders>
            <w:vAlign w:val="center"/>
          </w:tcPr>
          <w:p w14:paraId="56EE49C3">
            <w:pPr>
              <w:keepNext/>
              <w:spacing w:line="360" w:lineRule="auto"/>
              <w:jc w:val="center"/>
              <w:rPr>
                <w:rFonts w:cs="宋体"/>
                <w:szCs w:val="21"/>
                <w:highlight w:val="none"/>
              </w:rPr>
            </w:pPr>
          </w:p>
        </w:tc>
        <w:tc>
          <w:tcPr>
            <w:tcW w:w="502" w:type="pct"/>
            <w:tcBorders>
              <w:bottom w:val="single" w:color="auto" w:sz="12" w:space="0"/>
            </w:tcBorders>
            <w:vAlign w:val="center"/>
          </w:tcPr>
          <w:p w14:paraId="7ABFF0F7">
            <w:pPr>
              <w:keepNext/>
              <w:spacing w:line="360" w:lineRule="auto"/>
              <w:jc w:val="center"/>
              <w:rPr>
                <w:rFonts w:cs="宋体"/>
                <w:szCs w:val="21"/>
                <w:highlight w:val="none"/>
              </w:rPr>
            </w:pPr>
          </w:p>
        </w:tc>
        <w:tc>
          <w:tcPr>
            <w:tcW w:w="1281" w:type="pct"/>
            <w:tcBorders>
              <w:bottom w:val="single" w:color="auto" w:sz="12" w:space="0"/>
            </w:tcBorders>
            <w:vAlign w:val="center"/>
          </w:tcPr>
          <w:p w14:paraId="62D5E8EE">
            <w:pPr>
              <w:keepNext/>
              <w:spacing w:line="360" w:lineRule="auto"/>
              <w:jc w:val="center"/>
              <w:rPr>
                <w:rFonts w:cs="宋体"/>
                <w:szCs w:val="21"/>
                <w:highlight w:val="none"/>
              </w:rPr>
            </w:pPr>
          </w:p>
        </w:tc>
        <w:tc>
          <w:tcPr>
            <w:tcW w:w="1151" w:type="pct"/>
            <w:tcBorders>
              <w:bottom w:val="single" w:color="auto" w:sz="12" w:space="0"/>
            </w:tcBorders>
            <w:vAlign w:val="center"/>
          </w:tcPr>
          <w:p w14:paraId="0746434C">
            <w:pPr>
              <w:keepNext/>
              <w:spacing w:line="360" w:lineRule="auto"/>
              <w:jc w:val="center"/>
              <w:rPr>
                <w:rFonts w:cs="宋体"/>
                <w:szCs w:val="21"/>
                <w:highlight w:val="none"/>
              </w:rPr>
            </w:pPr>
          </w:p>
        </w:tc>
      </w:tr>
    </w:tbl>
    <w:p w14:paraId="44607F5D">
      <w:pPr>
        <w:spacing w:before="312" w:beforeLines="100" w:after="312" w:afterLines="100"/>
        <w:outlineLvl w:val="2"/>
        <w:rPr>
          <w:rFonts w:ascii="Times New Roman" w:eastAsia="黑体"/>
          <w:szCs w:val="24"/>
          <w:highlight w:val="none"/>
        </w:rPr>
      </w:pPr>
      <w:r>
        <w:rPr>
          <w:rFonts w:hint="eastAsia" w:cs="宋体"/>
          <w:bCs/>
          <w:highlight w:val="none"/>
        </w:rPr>
        <w:br w:type="page"/>
      </w:r>
      <w:bookmarkStart w:id="644" w:name="_Toc128950242"/>
      <w:r>
        <w:rPr>
          <w:rFonts w:hint="eastAsia" w:ascii="Times New Roman" w:eastAsia="黑体"/>
          <w:szCs w:val="24"/>
          <w:highlight w:val="none"/>
        </w:rPr>
        <w:t>附</w:t>
      </w:r>
      <w:bookmarkStart w:id="645" w:name="_Toc296944568"/>
      <w:bookmarkStart w:id="646" w:name="_Toc296346730"/>
      <w:bookmarkStart w:id="647" w:name="_Toc296503229"/>
      <w:bookmarkStart w:id="648" w:name="_Toc296347228"/>
      <w:bookmarkStart w:id="649" w:name="_Toc296891269"/>
      <w:bookmarkStart w:id="650" w:name="_Toc296891057"/>
      <w:r>
        <w:rPr>
          <w:rFonts w:hint="eastAsia" w:ascii="Times New Roman" w:eastAsia="黑体"/>
          <w:szCs w:val="24"/>
          <w:highlight w:val="none"/>
        </w:rPr>
        <w:t>件</w:t>
      </w:r>
      <w:r>
        <w:rPr>
          <w:rFonts w:ascii="Times New Roman" w:eastAsia="黑体"/>
          <w:szCs w:val="24"/>
          <w:highlight w:val="none"/>
        </w:rPr>
        <w:t>7</w:t>
      </w:r>
      <w:r>
        <w:rPr>
          <w:rFonts w:hint="eastAsia" w:ascii="Times New Roman" w:eastAsia="黑体"/>
          <w:szCs w:val="24"/>
          <w:highlight w:val="none"/>
        </w:rPr>
        <w:t>：分包人主要施工管理人员表</w:t>
      </w:r>
      <w:bookmarkEnd w:id="644"/>
    </w:p>
    <w:bookmarkEnd w:id="645"/>
    <w:bookmarkEnd w:id="646"/>
    <w:bookmarkEnd w:id="647"/>
    <w:bookmarkEnd w:id="648"/>
    <w:bookmarkEnd w:id="649"/>
    <w:bookmarkEnd w:id="650"/>
    <w:p w14:paraId="3FC19D26">
      <w:pPr>
        <w:spacing w:before="156" w:beforeLines="50" w:after="156" w:afterLines="50" w:line="360" w:lineRule="auto"/>
        <w:jc w:val="center"/>
        <w:rPr>
          <w:rFonts w:cs="宋体"/>
          <w:b/>
          <w:szCs w:val="21"/>
          <w:highlight w:val="none"/>
        </w:rPr>
      </w:pPr>
      <w:r>
        <w:rPr>
          <w:rFonts w:hint="eastAsia" w:cs="宋体"/>
          <w:b/>
          <w:szCs w:val="21"/>
          <w:highlight w:val="none"/>
        </w:rPr>
        <w:t>分包人主要施工管理人员表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409BE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single" w:color="auto" w:sz="12" w:space="0"/>
              <w:bottom w:val="double" w:color="auto" w:sz="6" w:space="0"/>
            </w:tcBorders>
            <w:vAlign w:val="center"/>
          </w:tcPr>
          <w:p w14:paraId="1BBC9A14">
            <w:pPr>
              <w:keepNext/>
              <w:spacing w:line="360" w:lineRule="auto"/>
              <w:jc w:val="center"/>
              <w:rPr>
                <w:rFonts w:cs="宋体"/>
                <w:szCs w:val="21"/>
                <w:highlight w:val="none"/>
              </w:rPr>
            </w:pPr>
            <w:r>
              <w:rPr>
                <w:rFonts w:hint="eastAsia" w:cs="宋体"/>
                <w:szCs w:val="21"/>
                <w:highlight w:val="none"/>
              </w:rPr>
              <w:t>名称</w:t>
            </w:r>
          </w:p>
        </w:tc>
        <w:tc>
          <w:tcPr>
            <w:tcW w:w="641" w:type="pct"/>
            <w:tcBorders>
              <w:top w:val="single" w:color="auto" w:sz="12" w:space="0"/>
              <w:bottom w:val="double" w:color="auto" w:sz="6" w:space="0"/>
            </w:tcBorders>
            <w:vAlign w:val="center"/>
          </w:tcPr>
          <w:p w14:paraId="64EE2A50">
            <w:pPr>
              <w:keepNext/>
              <w:spacing w:line="360" w:lineRule="auto"/>
              <w:jc w:val="center"/>
              <w:rPr>
                <w:rFonts w:cs="宋体"/>
                <w:szCs w:val="21"/>
                <w:highlight w:val="none"/>
              </w:rPr>
            </w:pPr>
            <w:r>
              <w:rPr>
                <w:rFonts w:hint="eastAsia" w:cs="宋体"/>
                <w:szCs w:val="21"/>
                <w:highlight w:val="none"/>
              </w:rPr>
              <w:t>姓名</w:t>
            </w:r>
          </w:p>
        </w:tc>
        <w:tc>
          <w:tcPr>
            <w:tcW w:w="513" w:type="pct"/>
            <w:tcBorders>
              <w:top w:val="single" w:color="auto" w:sz="12" w:space="0"/>
              <w:bottom w:val="double" w:color="auto" w:sz="6" w:space="0"/>
            </w:tcBorders>
            <w:vAlign w:val="center"/>
          </w:tcPr>
          <w:p w14:paraId="23787264">
            <w:pPr>
              <w:keepNext/>
              <w:spacing w:line="360" w:lineRule="auto"/>
              <w:jc w:val="center"/>
              <w:rPr>
                <w:rFonts w:cs="宋体"/>
                <w:szCs w:val="21"/>
                <w:highlight w:val="none"/>
              </w:rPr>
            </w:pPr>
            <w:r>
              <w:rPr>
                <w:rFonts w:hint="eastAsia" w:cs="宋体"/>
                <w:szCs w:val="21"/>
                <w:highlight w:val="none"/>
              </w:rPr>
              <w:t>职务</w:t>
            </w:r>
          </w:p>
        </w:tc>
        <w:tc>
          <w:tcPr>
            <w:tcW w:w="373" w:type="pct"/>
            <w:tcBorders>
              <w:top w:val="single" w:color="auto" w:sz="12" w:space="0"/>
              <w:bottom w:val="double" w:color="auto" w:sz="6" w:space="0"/>
            </w:tcBorders>
            <w:vAlign w:val="center"/>
          </w:tcPr>
          <w:p w14:paraId="2FE3BE51">
            <w:pPr>
              <w:keepNext/>
              <w:spacing w:line="360" w:lineRule="auto"/>
              <w:jc w:val="center"/>
              <w:rPr>
                <w:rFonts w:cs="宋体"/>
                <w:szCs w:val="21"/>
                <w:highlight w:val="none"/>
              </w:rPr>
            </w:pPr>
            <w:r>
              <w:rPr>
                <w:rFonts w:hint="eastAsia" w:cs="宋体"/>
                <w:szCs w:val="21"/>
                <w:highlight w:val="none"/>
              </w:rPr>
              <w:t>职称</w:t>
            </w:r>
          </w:p>
        </w:tc>
        <w:tc>
          <w:tcPr>
            <w:tcW w:w="1889" w:type="pct"/>
            <w:tcBorders>
              <w:top w:val="single" w:color="auto" w:sz="12" w:space="0"/>
              <w:bottom w:val="double" w:color="auto" w:sz="6" w:space="0"/>
            </w:tcBorders>
            <w:vAlign w:val="center"/>
          </w:tcPr>
          <w:p w14:paraId="0FE2E136">
            <w:pPr>
              <w:keepNext/>
              <w:spacing w:line="360" w:lineRule="auto"/>
              <w:jc w:val="center"/>
              <w:rPr>
                <w:rFonts w:cs="宋体"/>
                <w:szCs w:val="21"/>
                <w:highlight w:val="none"/>
              </w:rPr>
            </w:pPr>
            <w:r>
              <w:rPr>
                <w:rFonts w:hint="eastAsia" w:cs="宋体"/>
                <w:szCs w:val="21"/>
                <w:highlight w:val="none"/>
              </w:rPr>
              <w:t>主要资历、经验及承担过的项目</w:t>
            </w:r>
          </w:p>
        </w:tc>
        <w:tc>
          <w:tcPr>
            <w:tcW w:w="739" w:type="pct"/>
            <w:tcBorders>
              <w:top w:val="single" w:color="auto" w:sz="12" w:space="0"/>
              <w:bottom w:val="double" w:color="auto" w:sz="6" w:space="0"/>
            </w:tcBorders>
            <w:vAlign w:val="center"/>
          </w:tcPr>
          <w:p w14:paraId="6884314A">
            <w:pPr>
              <w:keepNext/>
              <w:spacing w:line="360" w:lineRule="auto"/>
              <w:jc w:val="center"/>
              <w:rPr>
                <w:rFonts w:cs="宋体"/>
                <w:szCs w:val="21"/>
                <w:highlight w:val="none"/>
              </w:rPr>
            </w:pPr>
            <w:r>
              <w:rPr>
                <w:rFonts w:hint="eastAsia" w:cs="宋体"/>
                <w:szCs w:val="21"/>
                <w:highlight w:val="none"/>
              </w:rPr>
              <w:t>身份证号码</w:t>
            </w:r>
          </w:p>
        </w:tc>
      </w:tr>
      <w:tr w14:paraId="6A1EC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261" w:type="pct"/>
            <w:gridSpan w:val="5"/>
            <w:tcBorders>
              <w:top w:val="double" w:color="auto" w:sz="6" w:space="0"/>
            </w:tcBorders>
            <w:vAlign w:val="center"/>
          </w:tcPr>
          <w:p w14:paraId="53F425FA">
            <w:pPr>
              <w:keepNext/>
              <w:spacing w:line="360" w:lineRule="auto"/>
              <w:jc w:val="center"/>
              <w:rPr>
                <w:rFonts w:cs="宋体"/>
                <w:szCs w:val="21"/>
                <w:highlight w:val="none"/>
              </w:rPr>
            </w:pPr>
            <w:r>
              <w:rPr>
                <w:rFonts w:hint="eastAsia" w:cs="宋体"/>
                <w:szCs w:val="21"/>
                <w:highlight w:val="none"/>
              </w:rPr>
              <w:t>一、总部人员</w:t>
            </w:r>
          </w:p>
        </w:tc>
        <w:tc>
          <w:tcPr>
            <w:tcW w:w="739" w:type="pct"/>
            <w:tcBorders>
              <w:top w:val="double" w:color="auto" w:sz="6" w:space="0"/>
            </w:tcBorders>
            <w:vAlign w:val="center"/>
          </w:tcPr>
          <w:p w14:paraId="578C7B9A">
            <w:pPr>
              <w:keepNext/>
              <w:spacing w:line="360" w:lineRule="auto"/>
              <w:jc w:val="center"/>
              <w:rPr>
                <w:rFonts w:cs="宋体"/>
                <w:szCs w:val="21"/>
                <w:highlight w:val="none"/>
              </w:rPr>
            </w:pPr>
          </w:p>
        </w:tc>
      </w:tr>
      <w:tr w14:paraId="68900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vAlign w:val="center"/>
          </w:tcPr>
          <w:p w14:paraId="5B720B3E">
            <w:pPr>
              <w:keepNext/>
              <w:spacing w:line="360" w:lineRule="auto"/>
              <w:jc w:val="center"/>
              <w:rPr>
                <w:rFonts w:cs="宋体"/>
                <w:szCs w:val="21"/>
                <w:highlight w:val="none"/>
              </w:rPr>
            </w:pPr>
            <w:r>
              <w:rPr>
                <w:rFonts w:hint="eastAsia" w:cs="宋体"/>
                <w:szCs w:val="21"/>
                <w:highlight w:val="none"/>
              </w:rPr>
              <w:t>项目主管</w:t>
            </w:r>
          </w:p>
        </w:tc>
        <w:tc>
          <w:tcPr>
            <w:tcW w:w="641" w:type="pct"/>
            <w:tcBorders>
              <w:top w:val="nil"/>
            </w:tcBorders>
            <w:vAlign w:val="center"/>
          </w:tcPr>
          <w:p w14:paraId="5AC36174">
            <w:pPr>
              <w:keepNext/>
              <w:spacing w:line="360" w:lineRule="auto"/>
              <w:jc w:val="center"/>
              <w:rPr>
                <w:rFonts w:cs="宋体"/>
                <w:szCs w:val="21"/>
                <w:highlight w:val="none"/>
              </w:rPr>
            </w:pPr>
          </w:p>
        </w:tc>
        <w:tc>
          <w:tcPr>
            <w:tcW w:w="513" w:type="pct"/>
            <w:tcBorders>
              <w:top w:val="nil"/>
            </w:tcBorders>
            <w:vAlign w:val="center"/>
          </w:tcPr>
          <w:p w14:paraId="2BA976C7">
            <w:pPr>
              <w:keepNext/>
              <w:spacing w:line="360" w:lineRule="auto"/>
              <w:jc w:val="center"/>
              <w:rPr>
                <w:rFonts w:cs="宋体"/>
                <w:szCs w:val="21"/>
                <w:highlight w:val="none"/>
              </w:rPr>
            </w:pPr>
          </w:p>
        </w:tc>
        <w:tc>
          <w:tcPr>
            <w:tcW w:w="373" w:type="pct"/>
            <w:tcBorders>
              <w:top w:val="nil"/>
            </w:tcBorders>
            <w:vAlign w:val="center"/>
          </w:tcPr>
          <w:p w14:paraId="0D3E7161">
            <w:pPr>
              <w:keepNext/>
              <w:spacing w:line="360" w:lineRule="auto"/>
              <w:jc w:val="center"/>
              <w:rPr>
                <w:rFonts w:cs="宋体"/>
                <w:szCs w:val="21"/>
                <w:highlight w:val="none"/>
              </w:rPr>
            </w:pPr>
          </w:p>
        </w:tc>
        <w:tc>
          <w:tcPr>
            <w:tcW w:w="1889" w:type="pct"/>
            <w:tcBorders>
              <w:top w:val="nil"/>
            </w:tcBorders>
            <w:vAlign w:val="center"/>
          </w:tcPr>
          <w:p w14:paraId="25A4D719">
            <w:pPr>
              <w:keepNext/>
              <w:spacing w:line="360" w:lineRule="auto"/>
              <w:jc w:val="center"/>
              <w:rPr>
                <w:rFonts w:cs="宋体"/>
                <w:szCs w:val="21"/>
                <w:highlight w:val="none"/>
              </w:rPr>
            </w:pPr>
          </w:p>
        </w:tc>
        <w:tc>
          <w:tcPr>
            <w:tcW w:w="739" w:type="pct"/>
            <w:tcBorders>
              <w:top w:val="nil"/>
            </w:tcBorders>
            <w:vAlign w:val="center"/>
          </w:tcPr>
          <w:p w14:paraId="715BBF5B">
            <w:pPr>
              <w:keepNext/>
              <w:spacing w:line="360" w:lineRule="auto"/>
              <w:jc w:val="center"/>
              <w:rPr>
                <w:rFonts w:cs="宋体"/>
                <w:szCs w:val="21"/>
                <w:highlight w:val="none"/>
              </w:rPr>
            </w:pPr>
          </w:p>
        </w:tc>
      </w:tr>
      <w:tr w14:paraId="6C237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05BF161D">
            <w:pPr>
              <w:keepNext/>
              <w:spacing w:line="360" w:lineRule="auto"/>
              <w:jc w:val="center"/>
              <w:rPr>
                <w:rFonts w:cs="宋体"/>
                <w:szCs w:val="21"/>
                <w:highlight w:val="none"/>
              </w:rPr>
            </w:pPr>
            <w:r>
              <w:rPr>
                <w:rFonts w:hint="eastAsia" w:cs="宋体"/>
                <w:szCs w:val="21"/>
                <w:highlight w:val="none"/>
              </w:rPr>
              <w:t>其他人员</w:t>
            </w:r>
          </w:p>
        </w:tc>
        <w:tc>
          <w:tcPr>
            <w:tcW w:w="641" w:type="pct"/>
            <w:vAlign w:val="center"/>
          </w:tcPr>
          <w:p w14:paraId="7DFEA419">
            <w:pPr>
              <w:keepNext/>
              <w:spacing w:line="360" w:lineRule="auto"/>
              <w:jc w:val="center"/>
              <w:rPr>
                <w:rFonts w:cs="宋体"/>
                <w:szCs w:val="21"/>
                <w:highlight w:val="none"/>
              </w:rPr>
            </w:pPr>
          </w:p>
        </w:tc>
        <w:tc>
          <w:tcPr>
            <w:tcW w:w="513" w:type="pct"/>
            <w:vAlign w:val="center"/>
          </w:tcPr>
          <w:p w14:paraId="550FC75E">
            <w:pPr>
              <w:keepNext/>
              <w:spacing w:line="360" w:lineRule="auto"/>
              <w:jc w:val="center"/>
              <w:rPr>
                <w:rFonts w:cs="宋体"/>
                <w:szCs w:val="21"/>
                <w:highlight w:val="none"/>
              </w:rPr>
            </w:pPr>
          </w:p>
        </w:tc>
        <w:tc>
          <w:tcPr>
            <w:tcW w:w="373" w:type="pct"/>
            <w:vAlign w:val="center"/>
          </w:tcPr>
          <w:p w14:paraId="7690C751">
            <w:pPr>
              <w:keepNext/>
              <w:spacing w:line="360" w:lineRule="auto"/>
              <w:jc w:val="center"/>
              <w:rPr>
                <w:rFonts w:cs="宋体"/>
                <w:szCs w:val="21"/>
                <w:highlight w:val="none"/>
              </w:rPr>
            </w:pPr>
          </w:p>
        </w:tc>
        <w:tc>
          <w:tcPr>
            <w:tcW w:w="1889" w:type="pct"/>
            <w:vAlign w:val="center"/>
          </w:tcPr>
          <w:p w14:paraId="05E00D16">
            <w:pPr>
              <w:keepNext/>
              <w:spacing w:line="360" w:lineRule="auto"/>
              <w:jc w:val="center"/>
              <w:rPr>
                <w:rFonts w:cs="宋体"/>
                <w:szCs w:val="21"/>
                <w:highlight w:val="none"/>
              </w:rPr>
            </w:pPr>
          </w:p>
        </w:tc>
        <w:tc>
          <w:tcPr>
            <w:tcW w:w="739" w:type="pct"/>
            <w:vAlign w:val="center"/>
          </w:tcPr>
          <w:p w14:paraId="7488ACC0">
            <w:pPr>
              <w:keepNext/>
              <w:spacing w:line="360" w:lineRule="auto"/>
              <w:jc w:val="center"/>
              <w:rPr>
                <w:rFonts w:cs="宋体"/>
                <w:szCs w:val="21"/>
                <w:highlight w:val="none"/>
              </w:rPr>
            </w:pPr>
          </w:p>
        </w:tc>
      </w:tr>
      <w:tr w14:paraId="2E15F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12A47516">
            <w:pPr>
              <w:keepNext/>
              <w:spacing w:line="360" w:lineRule="auto"/>
              <w:jc w:val="center"/>
              <w:rPr>
                <w:rFonts w:cs="宋体"/>
                <w:szCs w:val="21"/>
                <w:highlight w:val="none"/>
              </w:rPr>
            </w:pPr>
          </w:p>
        </w:tc>
        <w:tc>
          <w:tcPr>
            <w:tcW w:w="641" w:type="pct"/>
            <w:vAlign w:val="center"/>
          </w:tcPr>
          <w:p w14:paraId="3EF910B4">
            <w:pPr>
              <w:keepNext/>
              <w:spacing w:line="360" w:lineRule="auto"/>
              <w:jc w:val="center"/>
              <w:rPr>
                <w:rFonts w:cs="宋体"/>
                <w:szCs w:val="21"/>
                <w:highlight w:val="none"/>
              </w:rPr>
            </w:pPr>
          </w:p>
        </w:tc>
        <w:tc>
          <w:tcPr>
            <w:tcW w:w="513" w:type="pct"/>
            <w:vAlign w:val="center"/>
          </w:tcPr>
          <w:p w14:paraId="448BD521">
            <w:pPr>
              <w:keepNext/>
              <w:spacing w:line="360" w:lineRule="auto"/>
              <w:jc w:val="center"/>
              <w:rPr>
                <w:rFonts w:cs="宋体"/>
                <w:szCs w:val="21"/>
                <w:highlight w:val="none"/>
              </w:rPr>
            </w:pPr>
          </w:p>
        </w:tc>
        <w:tc>
          <w:tcPr>
            <w:tcW w:w="373" w:type="pct"/>
            <w:vAlign w:val="center"/>
          </w:tcPr>
          <w:p w14:paraId="039A51EF">
            <w:pPr>
              <w:keepNext/>
              <w:spacing w:line="360" w:lineRule="auto"/>
              <w:jc w:val="center"/>
              <w:rPr>
                <w:rFonts w:cs="宋体"/>
                <w:szCs w:val="21"/>
                <w:highlight w:val="none"/>
              </w:rPr>
            </w:pPr>
          </w:p>
        </w:tc>
        <w:tc>
          <w:tcPr>
            <w:tcW w:w="1889" w:type="pct"/>
            <w:vAlign w:val="center"/>
          </w:tcPr>
          <w:p w14:paraId="664E5D38">
            <w:pPr>
              <w:keepNext/>
              <w:spacing w:line="360" w:lineRule="auto"/>
              <w:jc w:val="center"/>
              <w:rPr>
                <w:rFonts w:cs="宋体"/>
                <w:szCs w:val="21"/>
                <w:highlight w:val="none"/>
              </w:rPr>
            </w:pPr>
          </w:p>
        </w:tc>
        <w:tc>
          <w:tcPr>
            <w:tcW w:w="739" w:type="pct"/>
            <w:vAlign w:val="center"/>
          </w:tcPr>
          <w:p w14:paraId="3625DB19">
            <w:pPr>
              <w:keepNext/>
              <w:spacing w:line="360" w:lineRule="auto"/>
              <w:jc w:val="center"/>
              <w:rPr>
                <w:rFonts w:cs="宋体"/>
                <w:szCs w:val="21"/>
                <w:highlight w:val="none"/>
              </w:rPr>
            </w:pPr>
          </w:p>
        </w:tc>
      </w:tr>
      <w:tr w14:paraId="02361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596A376A">
            <w:pPr>
              <w:keepNext/>
              <w:spacing w:line="360" w:lineRule="auto"/>
              <w:jc w:val="center"/>
              <w:rPr>
                <w:rFonts w:cs="宋体"/>
                <w:szCs w:val="21"/>
                <w:highlight w:val="none"/>
              </w:rPr>
            </w:pPr>
          </w:p>
        </w:tc>
        <w:tc>
          <w:tcPr>
            <w:tcW w:w="641" w:type="pct"/>
            <w:vAlign w:val="center"/>
          </w:tcPr>
          <w:p w14:paraId="5FD63ADC">
            <w:pPr>
              <w:keepNext/>
              <w:spacing w:line="360" w:lineRule="auto"/>
              <w:jc w:val="center"/>
              <w:rPr>
                <w:rFonts w:cs="宋体"/>
                <w:szCs w:val="21"/>
                <w:highlight w:val="none"/>
              </w:rPr>
            </w:pPr>
          </w:p>
        </w:tc>
        <w:tc>
          <w:tcPr>
            <w:tcW w:w="513" w:type="pct"/>
            <w:vAlign w:val="center"/>
          </w:tcPr>
          <w:p w14:paraId="237EA243">
            <w:pPr>
              <w:keepNext/>
              <w:spacing w:line="360" w:lineRule="auto"/>
              <w:jc w:val="center"/>
              <w:rPr>
                <w:rFonts w:cs="宋体"/>
                <w:szCs w:val="21"/>
                <w:highlight w:val="none"/>
              </w:rPr>
            </w:pPr>
          </w:p>
        </w:tc>
        <w:tc>
          <w:tcPr>
            <w:tcW w:w="373" w:type="pct"/>
            <w:vAlign w:val="center"/>
          </w:tcPr>
          <w:p w14:paraId="61F55662">
            <w:pPr>
              <w:keepNext/>
              <w:spacing w:line="360" w:lineRule="auto"/>
              <w:jc w:val="center"/>
              <w:rPr>
                <w:rFonts w:cs="宋体"/>
                <w:szCs w:val="21"/>
                <w:highlight w:val="none"/>
              </w:rPr>
            </w:pPr>
          </w:p>
        </w:tc>
        <w:tc>
          <w:tcPr>
            <w:tcW w:w="1889" w:type="pct"/>
            <w:vAlign w:val="center"/>
          </w:tcPr>
          <w:p w14:paraId="5E81F322">
            <w:pPr>
              <w:keepNext/>
              <w:spacing w:line="360" w:lineRule="auto"/>
              <w:jc w:val="center"/>
              <w:rPr>
                <w:rFonts w:cs="宋体"/>
                <w:szCs w:val="21"/>
                <w:highlight w:val="none"/>
              </w:rPr>
            </w:pPr>
          </w:p>
        </w:tc>
        <w:tc>
          <w:tcPr>
            <w:tcW w:w="739" w:type="pct"/>
            <w:vAlign w:val="center"/>
          </w:tcPr>
          <w:p w14:paraId="30009636">
            <w:pPr>
              <w:keepNext/>
              <w:spacing w:line="360" w:lineRule="auto"/>
              <w:jc w:val="center"/>
              <w:rPr>
                <w:rFonts w:cs="宋体"/>
                <w:szCs w:val="21"/>
                <w:highlight w:val="none"/>
              </w:rPr>
            </w:pPr>
          </w:p>
        </w:tc>
      </w:tr>
      <w:tr w14:paraId="32F59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5EF8960F">
            <w:pPr>
              <w:keepNext/>
              <w:spacing w:line="360" w:lineRule="auto"/>
              <w:jc w:val="center"/>
              <w:rPr>
                <w:rFonts w:cs="宋体"/>
                <w:szCs w:val="21"/>
                <w:highlight w:val="none"/>
              </w:rPr>
            </w:pPr>
            <w:r>
              <w:rPr>
                <w:rFonts w:hint="eastAsia" w:cs="宋体"/>
                <w:szCs w:val="21"/>
                <w:highlight w:val="none"/>
              </w:rPr>
              <w:t>二、现场人员</w:t>
            </w:r>
          </w:p>
        </w:tc>
        <w:tc>
          <w:tcPr>
            <w:tcW w:w="739" w:type="pct"/>
            <w:vAlign w:val="center"/>
          </w:tcPr>
          <w:p w14:paraId="4F8CE007">
            <w:pPr>
              <w:keepNext/>
              <w:spacing w:line="360" w:lineRule="auto"/>
              <w:jc w:val="center"/>
              <w:rPr>
                <w:rFonts w:cs="宋体"/>
                <w:szCs w:val="21"/>
                <w:highlight w:val="none"/>
              </w:rPr>
            </w:pPr>
          </w:p>
        </w:tc>
      </w:tr>
      <w:tr w14:paraId="2F629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003551BE">
            <w:pPr>
              <w:spacing w:line="360" w:lineRule="auto"/>
              <w:jc w:val="center"/>
              <w:rPr>
                <w:rFonts w:cs="宋体"/>
                <w:szCs w:val="22"/>
                <w:highlight w:val="none"/>
              </w:rPr>
            </w:pPr>
            <w:r>
              <w:rPr>
                <w:rFonts w:hint="eastAsia" w:cs="宋体"/>
                <w:szCs w:val="22"/>
                <w:highlight w:val="none"/>
              </w:rPr>
              <w:t>项目经理</w:t>
            </w:r>
          </w:p>
        </w:tc>
        <w:tc>
          <w:tcPr>
            <w:tcW w:w="641" w:type="pct"/>
            <w:vAlign w:val="center"/>
          </w:tcPr>
          <w:p w14:paraId="240EBE87">
            <w:pPr>
              <w:keepNext/>
              <w:spacing w:line="360" w:lineRule="auto"/>
              <w:jc w:val="center"/>
              <w:rPr>
                <w:rFonts w:cs="宋体"/>
                <w:szCs w:val="21"/>
                <w:highlight w:val="none"/>
              </w:rPr>
            </w:pPr>
          </w:p>
        </w:tc>
        <w:tc>
          <w:tcPr>
            <w:tcW w:w="513" w:type="pct"/>
            <w:vAlign w:val="center"/>
          </w:tcPr>
          <w:p w14:paraId="6A4DFB66">
            <w:pPr>
              <w:keepNext/>
              <w:spacing w:line="360" w:lineRule="auto"/>
              <w:jc w:val="center"/>
              <w:rPr>
                <w:rFonts w:cs="宋体"/>
                <w:szCs w:val="21"/>
                <w:highlight w:val="none"/>
              </w:rPr>
            </w:pPr>
          </w:p>
        </w:tc>
        <w:tc>
          <w:tcPr>
            <w:tcW w:w="373" w:type="pct"/>
            <w:vAlign w:val="center"/>
          </w:tcPr>
          <w:p w14:paraId="5402DB50">
            <w:pPr>
              <w:keepNext/>
              <w:spacing w:line="360" w:lineRule="auto"/>
              <w:jc w:val="center"/>
              <w:rPr>
                <w:rFonts w:cs="宋体"/>
                <w:szCs w:val="21"/>
                <w:highlight w:val="none"/>
              </w:rPr>
            </w:pPr>
          </w:p>
        </w:tc>
        <w:tc>
          <w:tcPr>
            <w:tcW w:w="1889" w:type="pct"/>
            <w:vAlign w:val="center"/>
          </w:tcPr>
          <w:p w14:paraId="7E6979CF">
            <w:pPr>
              <w:keepNext/>
              <w:spacing w:line="360" w:lineRule="auto"/>
              <w:jc w:val="center"/>
              <w:rPr>
                <w:rFonts w:cs="宋体"/>
                <w:szCs w:val="21"/>
                <w:highlight w:val="none"/>
              </w:rPr>
            </w:pPr>
          </w:p>
        </w:tc>
        <w:tc>
          <w:tcPr>
            <w:tcW w:w="739" w:type="pct"/>
            <w:vAlign w:val="center"/>
          </w:tcPr>
          <w:p w14:paraId="2A0C6CD9">
            <w:pPr>
              <w:keepNext/>
              <w:spacing w:line="360" w:lineRule="auto"/>
              <w:jc w:val="center"/>
              <w:rPr>
                <w:rFonts w:cs="宋体"/>
                <w:szCs w:val="21"/>
                <w:highlight w:val="none"/>
              </w:rPr>
            </w:pPr>
          </w:p>
        </w:tc>
      </w:tr>
      <w:tr w14:paraId="42991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6B61D39E">
            <w:pPr>
              <w:spacing w:line="360" w:lineRule="auto"/>
              <w:jc w:val="center"/>
              <w:rPr>
                <w:rFonts w:cs="宋体"/>
                <w:szCs w:val="22"/>
                <w:highlight w:val="none"/>
              </w:rPr>
            </w:pPr>
            <w:r>
              <w:rPr>
                <w:rFonts w:hint="eastAsia" w:cs="宋体"/>
                <w:szCs w:val="22"/>
                <w:highlight w:val="none"/>
              </w:rPr>
              <w:t>项目副经理</w:t>
            </w:r>
          </w:p>
        </w:tc>
        <w:tc>
          <w:tcPr>
            <w:tcW w:w="641" w:type="pct"/>
            <w:vAlign w:val="center"/>
          </w:tcPr>
          <w:p w14:paraId="192766B2">
            <w:pPr>
              <w:keepNext/>
              <w:spacing w:line="360" w:lineRule="auto"/>
              <w:jc w:val="center"/>
              <w:rPr>
                <w:rFonts w:cs="宋体"/>
                <w:szCs w:val="21"/>
                <w:highlight w:val="none"/>
              </w:rPr>
            </w:pPr>
          </w:p>
        </w:tc>
        <w:tc>
          <w:tcPr>
            <w:tcW w:w="513" w:type="pct"/>
            <w:vAlign w:val="center"/>
          </w:tcPr>
          <w:p w14:paraId="6BAB6CB0">
            <w:pPr>
              <w:keepNext/>
              <w:spacing w:line="360" w:lineRule="auto"/>
              <w:jc w:val="center"/>
              <w:rPr>
                <w:rFonts w:cs="宋体"/>
                <w:szCs w:val="21"/>
                <w:highlight w:val="none"/>
              </w:rPr>
            </w:pPr>
          </w:p>
        </w:tc>
        <w:tc>
          <w:tcPr>
            <w:tcW w:w="373" w:type="pct"/>
            <w:vAlign w:val="center"/>
          </w:tcPr>
          <w:p w14:paraId="678F4A68">
            <w:pPr>
              <w:keepNext/>
              <w:spacing w:line="360" w:lineRule="auto"/>
              <w:jc w:val="center"/>
              <w:rPr>
                <w:rFonts w:cs="宋体"/>
                <w:szCs w:val="21"/>
                <w:highlight w:val="none"/>
              </w:rPr>
            </w:pPr>
          </w:p>
        </w:tc>
        <w:tc>
          <w:tcPr>
            <w:tcW w:w="1889" w:type="pct"/>
            <w:vAlign w:val="center"/>
          </w:tcPr>
          <w:p w14:paraId="7DFD076A">
            <w:pPr>
              <w:keepNext/>
              <w:spacing w:line="360" w:lineRule="auto"/>
              <w:jc w:val="center"/>
              <w:rPr>
                <w:rFonts w:cs="宋体"/>
                <w:szCs w:val="21"/>
                <w:highlight w:val="none"/>
              </w:rPr>
            </w:pPr>
          </w:p>
        </w:tc>
        <w:tc>
          <w:tcPr>
            <w:tcW w:w="739" w:type="pct"/>
            <w:vAlign w:val="center"/>
          </w:tcPr>
          <w:p w14:paraId="0357CCC9">
            <w:pPr>
              <w:keepNext/>
              <w:spacing w:line="360" w:lineRule="auto"/>
              <w:jc w:val="center"/>
              <w:rPr>
                <w:rFonts w:cs="宋体"/>
                <w:szCs w:val="21"/>
                <w:highlight w:val="none"/>
              </w:rPr>
            </w:pPr>
          </w:p>
        </w:tc>
      </w:tr>
      <w:tr w14:paraId="77F4F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23A47ECB">
            <w:pPr>
              <w:spacing w:line="360" w:lineRule="auto"/>
              <w:jc w:val="center"/>
              <w:rPr>
                <w:rFonts w:cs="宋体"/>
                <w:szCs w:val="22"/>
                <w:highlight w:val="none"/>
              </w:rPr>
            </w:pPr>
            <w:r>
              <w:rPr>
                <w:rFonts w:hint="eastAsia" w:cs="宋体"/>
                <w:szCs w:val="22"/>
                <w:highlight w:val="none"/>
              </w:rPr>
              <w:t>项目技术负责人</w:t>
            </w:r>
          </w:p>
        </w:tc>
        <w:tc>
          <w:tcPr>
            <w:tcW w:w="641" w:type="pct"/>
            <w:vAlign w:val="center"/>
          </w:tcPr>
          <w:p w14:paraId="43E1279E">
            <w:pPr>
              <w:keepNext/>
              <w:spacing w:line="360" w:lineRule="auto"/>
              <w:jc w:val="center"/>
              <w:rPr>
                <w:rFonts w:cs="宋体"/>
                <w:szCs w:val="21"/>
                <w:highlight w:val="none"/>
              </w:rPr>
            </w:pPr>
          </w:p>
        </w:tc>
        <w:tc>
          <w:tcPr>
            <w:tcW w:w="513" w:type="pct"/>
            <w:vAlign w:val="center"/>
          </w:tcPr>
          <w:p w14:paraId="2788B73B">
            <w:pPr>
              <w:keepNext/>
              <w:spacing w:line="360" w:lineRule="auto"/>
              <w:jc w:val="center"/>
              <w:rPr>
                <w:rFonts w:cs="宋体"/>
                <w:szCs w:val="21"/>
                <w:highlight w:val="none"/>
              </w:rPr>
            </w:pPr>
          </w:p>
        </w:tc>
        <w:tc>
          <w:tcPr>
            <w:tcW w:w="373" w:type="pct"/>
            <w:vAlign w:val="center"/>
          </w:tcPr>
          <w:p w14:paraId="074FF889">
            <w:pPr>
              <w:keepNext/>
              <w:spacing w:line="360" w:lineRule="auto"/>
              <w:jc w:val="center"/>
              <w:rPr>
                <w:rFonts w:cs="宋体"/>
                <w:szCs w:val="21"/>
                <w:highlight w:val="none"/>
              </w:rPr>
            </w:pPr>
          </w:p>
        </w:tc>
        <w:tc>
          <w:tcPr>
            <w:tcW w:w="1889" w:type="pct"/>
            <w:vAlign w:val="center"/>
          </w:tcPr>
          <w:p w14:paraId="007DD138">
            <w:pPr>
              <w:keepNext/>
              <w:spacing w:line="360" w:lineRule="auto"/>
              <w:jc w:val="center"/>
              <w:rPr>
                <w:rFonts w:cs="宋体"/>
                <w:szCs w:val="21"/>
                <w:highlight w:val="none"/>
              </w:rPr>
            </w:pPr>
          </w:p>
        </w:tc>
        <w:tc>
          <w:tcPr>
            <w:tcW w:w="739" w:type="pct"/>
            <w:vAlign w:val="center"/>
          </w:tcPr>
          <w:p w14:paraId="728EB06A">
            <w:pPr>
              <w:keepNext/>
              <w:spacing w:line="360" w:lineRule="auto"/>
              <w:jc w:val="center"/>
              <w:rPr>
                <w:rFonts w:cs="宋体"/>
                <w:szCs w:val="21"/>
                <w:highlight w:val="none"/>
              </w:rPr>
            </w:pPr>
          </w:p>
        </w:tc>
      </w:tr>
      <w:tr w14:paraId="145C7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571C129C">
            <w:pPr>
              <w:spacing w:line="360" w:lineRule="auto"/>
              <w:jc w:val="center"/>
              <w:rPr>
                <w:rFonts w:cs="宋体"/>
                <w:szCs w:val="22"/>
                <w:highlight w:val="none"/>
              </w:rPr>
            </w:pPr>
            <w:r>
              <w:rPr>
                <w:rFonts w:hint="eastAsia" w:cs="宋体"/>
                <w:szCs w:val="22"/>
                <w:highlight w:val="none"/>
              </w:rPr>
              <w:t>施工员</w:t>
            </w:r>
          </w:p>
        </w:tc>
        <w:tc>
          <w:tcPr>
            <w:tcW w:w="641" w:type="pct"/>
            <w:vAlign w:val="center"/>
          </w:tcPr>
          <w:p w14:paraId="635F23E9">
            <w:pPr>
              <w:keepNext/>
              <w:spacing w:line="360" w:lineRule="auto"/>
              <w:jc w:val="center"/>
              <w:rPr>
                <w:rFonts w:cs="宋体"/>
                <w:szCs w:val="21"/>
                <w:highlight w:val="none"/>
              </w:rPr>
            </w:pPr>
          </w:p>
        </w:tc>
        <w:tc>
          <w:tcPr>
            <w:tcW w:w="513" w:type="pct"/>
            <w:vAlign w:val="center"/>
          </w:tcPr>
          <w:p w14:paraId="45662973">
            <w:pPr>
              <w:keepNext/>
              <w:spacing w:line="360" w:lineRule="auto"/>
              <w:jc w:val="center"/>
              <w:rPr>
                <w:rFonts w:cs="宋体"/>
                <w:szCs w:val="21"/>
                <w:highlight w:val="none"/>
              </w:rPr>
            </w:pPr>
          </w:p>
        </w:tc>
        <w:tc>
          <w:tcPr>
            <w:tcW w:w="373" w:type="pct"/>
            <w:vAlign w:val="center"/>
          </w:tcPr>
          <w:p w14:paraId="4A549D0C">
            <w:pPr>
              <w:keepNext/>
              <w:spacing w:line="360" w:lineRule="auto"/>
              <w:jc w:val="center"/>
              <w:rPr>
                <w:rFonts w:cs="宋体"/>
                <w:szCs w:val="21"/>
                <w:highlight w:val="none"/>
              </w:rPr>
            </w:pPr>
          </w:p>
        </w:tc>
        <w:tc>
          <w:tcPr>
            <w:tcW w:w="1889" w:type="pct"/>
            <w:vAlign w:val="center"/>
          </w:tcPr>
          <w:p w14:paraId="10BFFA87">
            <w:pPr>
              <w:keepNext/>
              <w:spacing w:line="360" w:lineRule="auto"/>
              <w:jc w:val="center"/>
              <w:rPr>
                <w:rFonts w:cs="宋体"/>
                <w:szCs w:val="21"/>
                <w:highlight w:val="none"/>
              </w:rPr>
            </w:pPr>
          </w:p>
        </w:tc>
        <w:tc>
          <w:tcPr>
            <w:tcW w:w="739" w:type="pct"/>
            <w:vAlign w:val="center"/>
          </w:tcPr>
          <w:p w14:paraId="1563EE29">
            <w:pPr>
              <w:keepNext/>
              <w:spacing w:line="360" w:lineRule="auto"/>
              <w:jc w:val="center"/>
              <w:rPr>
                <w:rFonts w:cs="宋体"/>
                <w:szCs w:val="21"/>
                <w:highlight w:val="none"/>
              </w:rPr>
            </w:pPr>
          </w:p>
        </w:tc>
      </w:tr>
      <w:tr w14:paraId="78F9B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6C6B1742">
            <w:pPr>
              <w:spacing w:line="360" w:lineRule="auto"/>
              <w:jc w:val="center"/>
              <w:rPr>
                <w:rFonts w:cs="宋体"/>
                <w:szCs w:val="22"/>
                <w:highlight w:val="none"/>
              </w:rPr>
            </w:pPr>
            <w:r>
              <w:rPr>
                <w:rFonts w:hint="eastAsia" w:cs="宋体"/>
                <w:szCs w:val="22"/>
                <w:highlight w:val="none"/>
              </w:rPr>
              <w:t>质检员（质量员）</w:t>
            </w:r>
          </w:p>
        </w:tc>
        <w:tc>
          <w:tcPr>
            <w:tcW w:w="641" w:type="pct"/>
            <w:vAlign w:val="center"/>
          </w:tcPr>
          <w:p w14:paraId="71D8C011">
            <w:pPr>
              <w:keepNext/>
              <w:spacing w:line="360" w:lineRule="auto"/>
              <w:jc w:val="center"/>
              <w:rPr>
                <w:rFonts w:cs="宋体"/>
                <w:szCs w:val="21"/>
                <w:highlight w:val="none"/>
              </w:rPr>
            </w:pPr>
          </w:p>
        </w:tc>
        <w:tc>
          <w:tcPr>
            <w:tcW w:w="513" w:type="pct"/>
            <w:vAlign w:val="center"/>
          </w:tcPr>
          <w:p w14:paraId="1F9AA8C8">
            <w:pPr>
              <w:keepNext/>
              <w:spacing w:line="360" w:lineRule="auto"/>
              <w:jc w:val="center"/>
              <w:rPr>
                <w:rFonts w:cs="宋体"/>
                <w:szCs w:val="21"/>
                <w:highlight w:val="none"/>
              </w:rPr>
            </w:pPr>
          </w:p>
        </w:tc>
        <w:tc>
          <w:tcPr>
            <w:tcW w:w="373" w:type="pct"/>
            <w:vAlign w:val="center"/>
          </w:tcPr>
          <w:p w14:paraId="30F91945">
            <w:pPr>
              <w:keepNext/>
              <w:spacing w:line="360" w:lineRule="auto"/>
              <w:jc w:val="center"/>
              <w:rPr>
                <w:rFonts w:cs="宋体"/>
                <w:szCs w:val="21"/>
                <w:highlight w:val="none"/>
              </w:rPr>
            </w:pPr>
          </w:p>
        </w:tc>
        <w:tc>
          <w:tcPr>
            <w:tcW w:w="1889" w:type="pct"/>
            <w:vAlign w:val="center"/>
          </w:tcPr>
          <w:p w14:paraId="3FD8E0C1">
            <w:pPr>
              <w:keepNext/>
              <w:spacing w:line="360" w:lineRule="auto"/>
              <w:jc w:val="center"/>
              <w:rPr>
                <w:rFonts w:cs="宋体"/>
                <w:szCs w:val="21"/>
                <w:highlight w:val="none"/>
              </w:rPr>
            </w:pPr>
          </w:p>
        </w:tc>
        <w:tc>
          <w:tcPr>
            <w:tcW w:w="739" w:type="pct"/>
            <w:vAlign w:val="center"/>
          </w:tcPr>
          <w:p w14:paraId="35BBB02A">
            <w:pPr>
              <w:keepNext/>
              <w:spacing w:line="360" w:lineRule="auto"/>
              <w:jc w:val="center"/>
              <w:rPr>
                <w:rFonts w:cs="宋体"/>
                <w:szCs w:val="21"/>
                <w:highlight w:val="none"/>
              </w:rPr>
            </w:pPr>
          </w:p>
        </w:tc>
      </w:tr>
      <w:tr w14:paraId="2387E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5ADF0C1D">
            <w:pPr>
              <w:spacing w:line="360" w:lineRule="auto"/>
              <w:jc w:val="center"/>
              <w:rPr>
                <w:rFonts w:cs="宋体"/>
                <w:szCs w:val="22"/>
                <w:highlight w:val="none"/>
              </w:rPr>
            </w:pPr>
            <w:r>
              <w:rPr>
                <w:rFonts w:hint="eastAsia" w:cs="宋体"/>
                <w:szCs w:val="22"/>
                <w:highlight w:val="none"/>
              </w:rPr>
              <w:t>安全员</w:t>
            </w:r>
          </w:p>
        </w:tc>
        <w:tc>
          <w:tcPr>
            <w:tcW w:w="641" w:type="pct"/>
            <w:vAlign w:val="center"/>
          </w:tcPr>
          <w:p w14:paraId="0EE5513B">
            <w:pPr>
              <w:keepNext/>
              <w:spacing w:line="360" w:lineRule="auto"/>
              <w:jc w:val="center"/>
              <w:rPr>
                <w:rFonts w:cs="宋体"/>
                <w:szCs w:val="21"/>
                <w:highlight w:val="none"/>
              </w:rPr>
            </w:pPr>
          </w:p>
        </w:tc>
        <w:tc>
          <w:tcPr>
            <w:tcW w:w="513" w:type="pct"/>
            <w:vAlign w:val="center"/>
          </w:tcPr>
          <w:p w14:paraId="4D368F7D">
            <w:pPr>
              <w:keepNext/>
              <w:spacing w:line="360" w:lineRule="auto"/>
              <w:jc w:val="center"/>
              <w:rPr>
                <w:rFonts w:cs="宋体"/>
                <w:szCs w:val="21"/>
                <w:highlight w:val="none"/>
              </w:rPr>
            </w:pPr>
          </w:p>
        </w:tc>
        <w:tc>
          <w:tcPr>
            <w:tcW w:w="373" w:type="pct"/>
            <w:vAlign w:val="center"/>
          </w:tcPr>
          <w:p w14:paraId="7B6B1DAF">
            <w:pPr>
              <w:keepNext/>
              <w:spacing w:line="360" w:lineRule="auto"/>
              <w:jc w:val="center"/>
              <w:rPr>
                <w:rFonts w:cs="宋体"/>
                <w:szCs w:val="21"/>
                <w:highlight w:val="none"/>
              </w:rPr>
            </w:pPr>
          </w:p>
        </w:tc>
        <w:tc>
          <w:tcPr>
            <w:tcW w:w="1889" w:type="pct"/>
            <w:vAlign w:val="center"/>
          </w:tcPr>
          <w:p w14:paraId="51F06428">
            <w:pPr>
              <w:keepNext/>
              <w:spacing w:line="360" w:lineRule="auto"/>
              <w:jc w:val="center"/>
              <w:rPr>
                <w:rFonts w:cs="宋体"/>
                <w:szCs w:val="21"/>
                <w:highlight w:val="none"/>
              </w:rPr>
            </w:pPr>
          </w:p>
        </w:tc>
        <w:tc>
          <w:tcPr>
            <w:tcW w:w="739" w:type="pct"/>
            <w:vAlign w:val="center"/>
          </w:tcPr>
          <w:p w14:paraId="657A44DE">
            <w:pPr>
              <w:keepNext/>
              <w:spacing w:line="360" w:lineRule="auto"/>
              <w:jc w:val="center"/>
              <w:rPr>
                <w:rFonts w:cs="宋体"/>
                <w:szCs w:val="21"/>
                <w:highlight w:val="none"/>
              </w:rPr>
            </w:pPr>
          </w:p>
        </w:tc>
      </w:tr>
      <w:tr w14:paraId="490D5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5" w:type="pct"/>
            <w:vAlign w:val="center"/>
          </w:tcPr>
          <w:p w14:paraId="48B320D1">
            <w:pPr>
              <w:spacing w:line="360" w:lineRule="auto"/>
              <w:jc w:val="center"/>
              <w:rPr>
                <w:rFonts w:cs="宋体"/>
                <w:szCs w:val="22"/>
                <w:highlight w:val="none"/>
              </w:rPr>
            </w:pPr>
            <w:r>
              <w:rPr>
                <w:rFonts w:hint="eastAsia" w:cs="宋体"/>
                <w:szCs w:val="22"/>
                <w:highlight w:val="none"/>
              </w:rPr>
              <w:t>资料员</w:t>
            </w:r>
          </w:p>
        </w:tc>
        <w:tc>
          <w:tcPr>
            <w:tcW w:w="641" w:type="pct"/>
            <w:vAlign w:val="center"/>
          </w:tcPr>
          <w:p w14:paraId="791F6C9C">
            <w:pPr>
              <w:keepNext/>
              <w:spacing w:line="360" w:lineRule="auto"/>
              <w:jc w:val="center"/>
              <w:rPr>
                <w:rFonts w:cs="宋体"/>
                <w:szCs w:val="21"/>
                <w:highlight w:val="none"/>
              </w:rPr>
            </w:pPr>
          </w:p>
        </w:tc>
        <w:tc>
          <w:tcPr>
            <w:tcW w:w="513" w:type="pct"/>
            <w:vAlign w:val="center"/>
          </w:tcPr>
          <w:p w14:paraId="4EBD3999">
            <w:pPr>
              <w:keepNext/>
              <w:spacing w:line="360" w:lineRule="auto"/>
              <w:jc w:val="center"/>
              <w:rPr>
                <w:rFonts w:cs="宋体"/>
                <w:szCs w:val="21"/>
                <w:highlight w:val="none"/>
              </w:rPr>
            </w:pPr>
          </w:p>
        </w:tc>
        <w:tc>
          <w:tcPr>
            <w:tcW w:w="373" w:type="pct"/>
            <w:vAlign w:val="center"/>
          </w:tcPr>
          <w:p w14:paraId="2C29820B">
            <w:pPr>
              <w:keepNext/>
              <w:spacing w:line="360" w:lineRule="auto"/>
              <w:jc w:val="center"/>
              <w:rPr>
                <w:rFonts w:cs="宋体"/>
                <w:szCs w:val="21"/>
                <w:highlight w:val="none"/>
              </w:rPr>
            </w:pPr>
          </w:p>
        </w:tc>
        <w:tc>
          <w:tcPr>
            <w:tcW w:w="1889" w:type="pct"/>
            <w:vAlign w:val="center"/>
          </w:tcPr>
          <w:p w14:paraId="14BE5686">
            <w:pPr>
              <w:keepNext/>
              <w:spacing w:line="360" w:lineRule="auto"/>
              <w:jc w:val="center"/>
              <w:rPr>
                <w:rFonts w:cs="宋体"/>
                <w:szCs w:val="21"/>
                <w:highlight w:val="none"/>
              </w:rPr>
            </w:pPr>
          </w:p>
        </w:tc>
        <w:tc>
          <w:tcPr>
            <w:tcW w:w="739" w:type="pct"/>
            <w:vAlign w:val="center"/>
          </w:tcPr>
          <w:p w14:paraId="71BD76F1">
            <w:pPr>
              <w:keepNext/>
              <w:spacing w:line="360" w:lineRule="auto"/>
              <w:jc w:val="center"/>
              <w:rPr>
                <w:rFonts w:cs="宋体"/>
                <w:szCs w:val="21"/>
                <w:highlight w:val="none"/>
              </w:rPr>
            </w:pPr>
          </w:p>
        </w:tc>
      </w:tr>
      <w:tr w14:paraId="15CF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139FB7A4">
            <w:pPr>
              <w:keepNext/>
              <w:spacing w:line="360" w:lineRule="auto"/>
              <w:jc w:val="center"/>
              <w:rPr>
                <w:rFonts w:cs="宋体"/>
                <w:szCs w:val="21"/>
                <w:highlight w:val="none"/>
              </w:rPr>
            </w:pPr>
            <w:r>
              <w:rPr>
                <w:rFonts w:hint="eastAsia" w:cs="宋体"/>
                <w:szCs w:val="21"/>
                <w:highlight w:val="none"/>
              </w:rPr>
              <w:t>其他人员</w:t>
            </w:r>
          </w:p>
        </w:tc>
        <w:tc>
          <w:tcPr>
            <w:tcW w:w="641" w:type="pct"/>
            <w:vAlign w:val="center"/>
          </w:tcPr>
          <w:p w14:paraId="5A6A9692">
            <w:pPr>
              <w:keepNext/>
              <w:spacing w:line="360" w:lineRule="auto"/>
              <w:jc w:val="center"/>
              <w:rPr>
                <w:rFonts w:cs="宋体"/>
                <w:szCs w:val="21"/>
                <w:highlight w:val="none"/>
              </w:rPr>
            </w:pPr>
          </w:p>
        </w:tc>
        <w:tc>
          <w:tcPr>
            <w:tcW w:w="513" w:type="pct"/>
            <w:vAlign w:val="center"/>
          </w:tcPr>
          <w:p w14:paraId="1B5CFF5D">
            <w:pPr>
              <w:keepNext/>
              <w:spacing w:line="360" w:lineRule="auto"/>
              <w:jc w:val="center"/>
              <w:rPr>
                <w:rFonts w:cs="宋体"/>
                <w:szCs w:val="21"/>
                <w:highlight w:val="none"/>
              </w:rPr>
            </w:pPr>
          </w:p>
        </w:tc>
        <w:tc>
          <w:tcPr>
            <w:tcW w:w="373" w:type="pct"/>
            <w:vAlign w:val="center"/>
          </w:tcPr>
          <w:p w14:paraId="39C2740A">
            <w:pPr>
              <w:keepNext/>
              <w:spacing w:line="360" w:lineRule="auto"/>
              <w:jc w:val="center"/>
              <w:rPr>
                <w:rFonts w:cs="宋体"/>
                <w:szCs w:val="21"/>
                <w:highlight w:val="none"/>
              </w:rPr>
            </w:pPr>
          </w:p>
        </w:tc>
        <w:tc>
          <w:tcPr>
            <w:tcW w:w="1889" w:type="pct"/>
            <w:vAlign w:val="center"/>
          </w:tcPr>
          <w:p w14:paraId="29CAD962">
            <w:pPr>
              <w:keepNext/>
              <w:spacing w:line="360" w:lineRule="auto"/>
              <w:jc w:val="center"/>
              <w:rPr>
                <w:rFonts w:cs="宋体"/>
                <w:szCs w:val="21"/>
                <w:highlight w:val="none"/>
              </w:rPr>
            </w:pPr>
          </w:p>
        </w:tc>
        <w:tc>
          <w:tcPr>
            <w:tcW w:w="739" w:type="pct"/>
            <w:vAlign w:val="center"/>
          </w:tcPr>
          <w:p w14:paraId="0E724F99">
            <w:pPr>
              <w:keepNext/>
              <w:spacing w:line="360" w:lineRule="auto"/>
              <w:jc w:val="center"/>
              <w:rPr>
                <w:rFonts w:cs="宋体"/>
                <w:szCs w:val="21"/>
                <w:highlight w:val="none"/>
              </w:rPr>
            </w:pPr>
          </w:p>
        </w:tc>
      </w:tr>
      <w:tr w14:paraId="0A075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AA6EF69">
            <w:pPr>
              <w:keepNext/>
              <w:spacing w:line="360" w:lineRule="auto"/>
              <w:jc w:val="center"/>
              <w:rPr>
                <w:rFonts w:cs="宋体"/>
                <w:szCs w:val="21"/>
                <w:highlight w:val="none"/>
              </w:rPr>
            </w:pPr>
          </w:p>
        </w:tc>
        <w:tc>
          <w:tcPr>
            <w:tcW w:w="641" w:type="pct"/>
            <w:tcBorders>
              <w:bottom w:val="nil"/>
            </w:tcBorders>
            <w:vAlign w:val="center"/>
          </w:tcPr>
          <w:p w14:paraId="6CBACD1E">
            <w:pPr>
              <w:keepNext/>
              <w:spacing w:line="360" w:lineRule="auto"/>
              <w:jc w:val="center"/>
              <w:rPr>
                <w:rFonts w:cs="宋体"/>
                <w:szCs w:val="21"/>
                <w:highlight w:val="none"/>
              </w:rPr>
            </w:pPr>
          </w:p>
        </w:tc>
        <w:tc>
          <w:tcPr>
            <w:tcW w:w="513" w:type="pct"/>
            <w:tcBorders>
              <w:bottom w:val="nil"/>
            </w:tcBorders>
            <w:vAlign w:val="center"/>
          </w:tcPr>
          <w:p w14:paraId="679DFE05">
            <w:pPr>
              <w:keepNext/>
              <w:spacing w:line="360" w:lineRule="auto"/>
              <w:jc w:val="center"/>
              <w:rPr>
                <w:rFonts w:cs="宋体"/>
                <w:szCs w:val="21"/>
                <w:highlight w:val="none"/>
              </w:rPr>
            </w:pPr>
          </w:p>
        </w:tc>
        <w:tc>
          <w:tcPr>
            <w:tcW w:w="373" w:type="pct"/>
            <w:tcBorders>
              <w:bottom w:val="nil"/>
            </w:tcBorders>
            <w:vAlign w:val="center"/>
          </w:tcPr>
          <w:p w14:paraId="65BD0192">
            <w:pPr>
              <w:keepNext/>
              <w:spacing w:line="360" w:lineRule="auto"/>
              <w:jc w:val="center"/>
              <w:rPr>
                <w:rFonts w:cs="宋体"/>
                <w:szCs w:val="21"/>
                <w:highlight w:val="none"/>
              </w:rPr>
            </w:pPr>
          </w:p>
        </w:tc>
        <w:tc>
          <w:tcPr>
            <w:tcW w:w="1889" w:type="pct"/>
            <w:tcBorders>
              <w:bottom w:val="nil"/>
            </w:tcBorders>
            <w:vAlign w:val="center"/>
          </w:tcPr>
          <w:p w14:paraId="56EA0822">
            <w:pPr>
              <w:keepNext/>
              <w:spacing w:line="360" w:lineRule="auto"/>
              <w:jc w:val="center"/>
              <w:rPr>
                <w:rFonts w:cs="宋体"/>
                <w:szCs w:val="21"/>
                <w:highlight w:val="none"/>
              </w:rPr>
            </w:pPr>
          </w:p>
        </w:tc>
        <w:tc>
          <w:tcPr>
            <w:tcW w:w="739" w:type="pct"/>
            <w:tcBorders>
              <w:bottom w:val="nil"/>
            </w:tcBorders>
            <w:vAlign w:val="center"/>
          </w:tcPr>
          <w:p w14:paraId="741D6EAA">
            <w:pPr>
              <w:keepNext/>
              <w:spacing w:line="360" w:lineRule="auto"/>
              <w:jc w:val="center"/>
              <w:rPr>
                <w:rFonts w:cs="宋体"/>
                <w:szCs w:val="21"/>
                <w:highlight w:val="none"/>
              </w:rPr>
            </w:pPr>
          </w:p>
        </w:tc>
      </w:tr>
      <w:tr w14:paraId="0CFFC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378A9566">
            <w:pPr>
              <w:keepNext/>
              <w:spacing w:line="360" w:lineRule="auto"/>
              <w:jc w:val="center"/>
              <w:rPr>
                <w:rFonts w:cs="宋体"/>
                <w:szCs w:val="21"/>
                <w:highlight w:val="none"/>
              </w:rPr>
            </w:pPr>
          </w:p>
        </w:tc>
        <w:tc>
          <w:tcPr>
            <w:tcW w:w="641" w:type="pct"/>
            <w:vAlign w:val="center"/>
          </w:tcPr>
          <w:p w14:paraId="4B0A0B40">
            <w:pPr>
              <w:keepNext/>
              <w:spacing w:line="360" w:lineRule="auto"/>
              <w:jc w:val="center"/>
              <w:rPr>
                <w:rFonts w:cs="宋体"/>
                <w:szCs w:val="21"/>
                <w:highlight w:val="none"/>
              </w:rPr>
            </w:pPr>
          </w:p>
        </w:tc>
        <w:tc>
          <w:tcPr>
            <w:tcW w:w="513" w:type="pct"/>
            <w:vAlign w:val="center"/>
          </w:tcPr>
          <w:p w14:paraId="434E79CF">
            <w:pPr>
              <w:keepNext/>
              <w:spacing w:line="360" w:lineRule="auto"/>
              <w:jc w:val="center"/>
              <w:rPr>
                <w:rFonts w:cs="宋体"/>
                <w:szCs w:val="21"/>
                <w:highlight w:val="none"/>
              </w:rPr>
            </w:pPr>
          </w:p>
        </w:tc>
        <w:tc>
          <w:tcPr>
            <w:tcW w:w="373" w:type="pct"/>
            <w:vAlign w:val="center"/>
          </w:tcPr>
          <w:p w14:paraId="0C99B52C">
            <w:pPr>
              <w:keepNext/>
              <w:spacing w:line="360" w:lineRule="auto"/>
              <w:jc w:val="center"/>
              <w:rPr>
                <w:rFonts w:cs="宋体"/>
                <w:szCs w:val="21"/>
                <w:highlight w:val="none"/>
              </w:rPr>
            </w:pPr>
          </w:p>
        </w:tc>
        <w:tc>
          <w:tcPr>
            <w:tcW w:w="1889" w:type="pct"/>
            <w:vAlign w:val="center"/>
          </w:tcPr>
          <w:p w14:paraId="750EB9F1">
            <w:pPr>
              <w:keepNext/>
              <w:spacing w:line="360" w:lineRule="auto"/>
              <w:jc w:val="center"/>
              <w:rPr>
                <w:rFonts w:cs="宋体"/>
                <w:szCs w:val="21"/>
                <w:highlight w:val="none"/>
              </w:rPr>
            </w:pPr>
          </w:p>
        </w:tc>
        <w:tc>
          <w:tcPr>
            <w:tcW w:w="739" w:type="pct"/>
            <w:vAlign w:val="center"/>
          </w:tcPr>
          <w:p w14:paraId="7D39F5A8">
            <w:pPr>
              <w:keepNext/>
              <w:spacing w:line="360" w:lineRule="auto"/>
              <w:jc w:val="center"/>
              <w:rPr>
                <w:rFonts w:cs="宋体"/>
                <w:szCs w:val="21"/>
                <w:highlight w:val="none"/>
              </w:rPr>
            </w:pPr>
          </w:p>
        </w:tc>
      </w:tr>
      <w:tr w14:paraId="0CD7D7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FECE7DB">
            <w:pPr>
              <w:keepNext/>
              <w:spacing w:line="360" w:lineRule="auto"/>
              <w:jc w:val="center"/>
              <w:rPr>
                <w:rFonts w:cs="宋体"/>
                <w:szCs w:val="21"/>
                <w:highlight w:val="none"/>
              </w:rPr>
            </w:pPr>
          </w:p>
        </w:tc>
        <w:tc>
          <w:tcPr>
            <w:tcW w:w="641" w:type="pct"/>
            <w:vAlign w:val="center"/>
          </w:tcPr>
          <w:p w14:paraId="7BCBFC4E">
            <w:pPr>
              <w:keepNext/>
              <w:spacing w:line="360" w:lineRule="auto"/>
              <w:jc w:val="center"/>
              <w:rPr>
                <w:rFonts w:cs="宋体"/>
                <w:szCs w:val="21"/>
                <w:highlight w:val="none"/>
              </w:rPr>
            </w:pPr>
          </w:p>
        </w:tc>
        <w:tc>
          <w:tcPr>
            <w:tcW w:w="513" w:type="pct"/>
            <w:vAlign w:val="center"/>
          </w:tcPr>
          <w:p w14:paraId="21546FBE">
            <w:pPr>
              <w:keepNext/>
              <w:spacing w:line="360" w:lineRule="auto"/>
              <w:jc w:val="center"/>
              <w:rPr>
                <w:rFonts w:cs="宋体"/>
                <w:szCs w:val="21"/>
                <w:highlight w:val="none"/>
              </w:rPr>
            </w:pPr>
          </w:p>
        </w:tc>
        <w:tc>
          <w:tcPr>
            <w:tcW w:w="373" w:type="pct"/>
            <w:vAlign w:val="center"/>
          </w:tcPr>
          <w:p w14:paraId="2F0D4BA0">
            <w:pPr>
              <w:keepNext/>
              <w:spacing w:line="360" w:lineRule="auto"/>
              <w:jc w:val="center"/>
              <w:rPr>
                <w:rFonts w:cs="宋体"/>
                <w:szCs w:val="21"/>
                <w:highlight w:val="none"/>
              </w:rPr>
            </w:pPr>
          </w:p>
        </w:tc>
        <w:tc>
          <w:tcPr>
            <w:tcW w:w="1889" w:type="pct"/>
            <w:vAlign w:val="center"/>
          </w:tcPr>
          <w:p w14:paraId="62B77C82">
            <w:pPr>
              <w:keepNext/>
              <w:spacing w:line="360" w:lineRule="auto"/>
              <w:jc w:val="center"/>
              <w:rPr>
                <w:rFonts w:cs="宋体"/>
                <w:szCs w:val="21"/>
                <w:highlight w:val="none"/>
              </w:rPr>
            </w:pPr>
          </w:p>
        </w:tc>
        <w:tc>
          <w:tcPr>
            <w:tcW w:w="739" w:type="pct"/>
            <w:vAlign w:val="center"/>
          </w:tcPr>
          <w:p w14:paraId="3A502424">
            <w:pPr>
              <w:keepNext/>
              <w:spacing w:line="360" w:lineRule="auto"/>
              <w:jc w:val="center"/>
              <w:rPr>
                <w:rFonts w:cs="宋体"/>
                <w:szCs w:val="21"/>
                <w:highlight w:val="none"/>
              </w:rPr>
            </w:pPr>
          </w:p>
        </w:tc>
      </w:tr>
      <w:tr w14:paraId="6B5AD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576FD61B">
            <w:pPr>
              <w:keepNext/>
              <w:spacing w:line="360" w:lineRule="auto"/>
              <w:jc w:val="center"/>
              <w:rPr>
                <w:rFonts w:cs="宋体"/>
                <w:szCs w:val="21"/>
                <w:highlight w:val="none"/>
              </w:rPr>
            </w:pPr>
          </w:p>
        </w:tc>
        <w:tc>
          <w:tcPr>
            <w:tcW w:w="641" w:type="pct"/>
            <w:vAlign w:val="center"/>
          </w:tcPr>
          <w:p w14:paraId="05C76784">
            <w:pPr>
              <w:keepNext/>
              <w:spacing w:line="360" w:lineRule="auto"/>
              <w:jc w:val="center"/>
              <w:rPr>
                <w:rFonts w:cs="宋体"/>
                <w:szCs w:val="21"/>
                <w:highlight w:val="none"/>
              </w:rPr>
            </w:pPr>
          </w:p>
        </w:tc>
        <w:tc>
          <w:tcPr>
            <w:tcW w:w="513" w:type="pct"/>
            <w:vAlign w:val="center"/>
          </w:tcPr>
          <w:p w14:paraId="27AC52B9">
            <w:pPr>
              <w:keepNext/>
              <w:spacing w:line="360" w:lineRule="auto"/>
              <w:jc w:val="center"/>
              <w:rPr>
                <w:rFonts w:cs="宋体"/>
                <w:szCs w:val="21"/>
                <w:highlight w:val="none"/>
              </w:rPr>
            </w:pPr>
          </w:p>
        </w:tc>
        <w:tc>
          <w:tcPr>
            <w:tcW w:w="373" w:type="pct"/>
            <w:vAlign w:val="center"/>
          </w:tcPr>
          <w:p w14:paraId="724FFE13">
            <w:pPr>
              <w:keepNext/>
              <w:spacing w:line="360" w:lineRule="auto"/>
              <w:jc w:val="center"/>
              <w:rPr>
                <w:rFonts w:cs="宋体"/>
                <w:szCs w:val="21"/>
                <w:highlight w:val="none"/>
              </w:rPr>
            </w:pPr>
          </w:p>
        </w:tc>
        <w:tc>
          <w:tcPr>
            <w:tcW w:w="1889" w:type="pct"/>
            <w:vAlign w:val="center"/>
          </w:tcPr>
          <w:p w14:paraId="244673CA">
            <w:pPr>
              <w:keepNext/>
              <w:spacing w:line="360" w:lineRule="auto"/>
              <w:jc w:val="center"/>
              <w:rPr>
                <w:rFonts w:cs="宋体"/>
                <w:szCs w:val="21"/>
                <w:highlight w:val="none"/>
              </w:rPr>
            </w:pPr>
          </w:p>
        </w:tc>
        <w:tc>
          <w:tcPr>
            <w:tcW w:w="739" w:type="pct"/>
            <w:vAlign w:val="center"/>
          </w:tcPr>
          <w:p w14:paraId="2F679814">
            <w:pPr>
              <w:keepNext/>
              <w:spacing w:line="360" w:lineRule="auto"/>
              <w:jc w:val="center"/>
              <w:rPr>
                <w:rFonts w:cs="宋体"/>
                <w:szCs w:val="21"/>
                <w:highlight w:val="none"/>
              </w:rPr>
            </w:pPr>
          </w:p>
        </w:tc>
      </w:tr>
      <w:tr w14:paraId="40629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vAlign w:val="center"/>
          </w:tcPr>
          <w:p w14:paraId="1D5E85DF">
            <w:pPr>
              <w:keepNext/>
              <w:spacing w:line="360" w:lineRule="auto"/>
              <w:jc w:val="center"/>
              <w:rPr>
                <w:rFonts w:cs="宋体"/>
                <w:szCs w:val="21"/>
                <w:highlight w:val="none"/>
              </w:rPr>
            </w:pPr>
          </w:p>
        </w:tc>
        <w:tc>
          <w:tcPr>
            <w:tcW w:w="641" w:type="pct"/>
            <w:tcBorders>
              <w:bottom w:val="single" w:color="auto" w:sz="12" w:space="0"/>
            </w:tcBorders>
            <w:vAlign w:val="center"/>
          </w:tcPr>
          <w:p w14:paraId="489DDD2D">
            <w:pPr>
              <w:keepNext/>
              <w:spacing w:line="360" w:lineRule="auto"/>
              <w:jc w:val="center"/>
              <w:rPr>
                <w:rFonts w:cs="宋体"/>
                <w:szCs w:val="21"/>
                <w:highlight w:val="none"/>
              </w:rPr>
            </w:pPr>
          </w:p>
        </w:tc>
        <w:tc>
          <w:tcPr>
            <w:tcW w:w="513" w:type="pct"/>
            <w:tcBorders>
              <w:bottom w:val="single" w:color="auto" w:sz="12" w:space="0"/>
            </w:tcBorders>
            <w:vAlign w:val="center"/>
          </w:tcPr>
          <w:p w14:paraId="03070873">
            <w:pPr>
              <w:keepNext/>
              <w:spacing w:line="360" w:lineRule="auto"/>
              <w:jc w:val="center"/>
              <w:rPr>
                <w:rFonts w:cs="宋体"/>
                <w:szCs w:val="21"/>
                <w:highlight w:val="none"/>
              </w:rPr>
            </w:pPr>
          </w:p>
        </w:tc>
        <w:tc>
          <w:tcPr>
            <w:tcW w:w="373" w:type="pct"/>
            <w:tcBorders>
              <w:bottom w:val="single" w:color="auto" w:sz="12" w:space="0"/>
            </w:tcBorders>
            <w:vAlign w:val="center"/>
          </w:tcPr>
          <w:p w14:paraId="048E0E34">
            <w:pPr>
              <w:keepNext/>
              <w:spacing w:line="360" w:lineRule="auto"/>
              <w:jc w:val="center"/>
              <w:rPr>
                <w:rFonts w:cs="宋体"/>
                <w:szCs w:val="21"/>
                <w:highlight w:val="none"/>
              </w:rPr>
            </w:pPr>
          </w:p>
        </w:tc>
        <w:tc>
          <w:tcPr>
            <w:tcW w:w="1889" w:type="pct"/>
            <w:tcBorders>
              <w:bottom w:val="single" w:color="auto" w:sz="12" w:space="0"/>
            </w:tcBorders>
            <w:vAlign w:val="center"/>
          </w:tcPr>
          <w:p w14:paraId="096A5572">
            <w:pPr>
              <w:keepNext/>
              <w:spacing w:line="360" w:lineRule="auto"/>
              <w:jc w:val="center"/>
              <w:rPr>
                <w:rFonts w:cs="宋体"/>
                <w:szCs w:val="21"/>
                <w:highlight w:val="none"/>
              </w:rPr>
            </w:pPr>
          </w:p>
        </w:tc>
        <w:tc>
          <w:tcPr>
            <w:tcW w:w="739" w:type="pct"/>
            <w:tcBorders>
              <w:bottom w:val="single" w:color="auto" w:sz="12" w:space="0"/>
            </w:tcBorders>
            <w:vAlign w:val="center"/>
          </w:tcPr>
          <w:p w14:paraId="042D2E20">
            <w:pPr>
              <w:keepNext/>
              <w:spacing w:line="360" w:lineRule="auto"/>
              <w:jc w:val="center"/>
              <w:rPr>
                <w:rFonts w:cs="宋体"/>
                <w:szCs w:val="21"/>
                <w:highlight w:val="none"/>
              </w:rPr>
            </w:pPr>
          </w:p>
        </w:tc>
      </w:tr>
    </w:tbl>
    <w:p w14:paraId="259CAEF8">
      <w:pPr>
        <w:spacing w:before="312" w:beforeLines="100" w:after="312" w:afterLines="100"/>
        <w:outlineLvl w:val="2"/>
        <w:rPr>
          <w:rFonts w:ascii="Times New Roman" w:eastAsia="黑体"/>
          <w:szCs w:val="24"/>
          <w:highlight w:val="none"/>
        </w:rPr>
      </w:pPr>
      <w:r>
        <w:rPr>
          <w:rFonts w:hint="eastAsia" w:cs="宋体"/>
          <w:bCs/>
          <w:highlight w:val="none"/>
        </w:rPr>
        <w:br w:type="page"/>
      </w:r>
      <w:bookmarkStart w:id="651" w:name="_Toc128950243"/>
      <w:r>
        <w:rPr>
          <w:rFonts w:hint="eastAsia" w:ascii="Times New Roman" w:eastAsia="黑体"/>
          <w:szCs w:val="24"/>
          <w:highlight w:val="none"/>
        </w:rPr>
        <w:t>附</w:t>
      </w:r>
      <w:bookmarkStart w:id="652" w:name="_Toc296347230"/>
      <w:bookmarkStart w:id="653" w:name="_Toc296891059"/>
      <w:bookmarkStart w:id="654" w:name="_Toc296346732"/>
      <w:bookmarkStart w:id="655" w:name="_Toc296503231"/>
      <w:bookmarkStart w:id="656" w:name="_Toc296891271"/>
      <w:bookmarkStart w:id="657" w:name="_Toc296944570"/>
      <w:r>
        <w:rPr>
          <w:rFonts w:hint="eastAsia" w:ascii="Times New Roman" w:eastAsia="黑体"/>
          <w:szCs w:val="24"/>
          <w:highlight w:val="none"/>
        </w:rPr>
        <w:t>件</w:t>
      </w:r>
      <w:r>
        <w:rPr>
          <w:rFonts w:ascii="Times New Roman" w:eastAsia="黑体"/>
          <w:szCs w:val="24"/>
          <w:highlight w:val="none"/>
        </w:rPr>
        <w:t>8</w:t>
      </w:r>
      <w:r>
        <w:rPr>
          <w:rFonts w:hint="eastAsia" w:ascii="Times New Roman" w:eastAsia="黑体"/>
          <w:szCs w:val="24"/>
          <w:highlight w:val="none"/>
        </w:rPr>
        <w:t>：廉政协议</w:t>
      </w:r>
      <w:bookmarkEnd w:id="651"/>
    </w:p>
    <w:bookmarkEnd w:id="652"/>
    <w:bookmarkEnd w:id="653"/>
    <w:bookmarkEnd w:id="654"/>
    <w:bookmarkEnd w:id="655"/>
    <w:bookmarkEnd w:id="656"/>
    <w:bookmarkEnd w:id="657"/>
    <w:p w14:paraId="71A11E53">
      <w:pPr>
        <w:widowControl/>
        <w:spacing w:line="360" w:lineRule="auto"/>
        <w:ind w:firstLine="643"/>
        <w:jc w:val="center"/>
        <w:rPr>
          <w:rFonts w:cs="宋体"/>
          <w:b/>
          <w:bCs/>
          <w:sz w:val="32"/>
          <w:szCs w:val="32"/>
          <w:highlight w:val="none"/>
        </w:rPr>
      </w:pPr>
      <w:r>
        <w:rPr>
          <w:rFonts w:hint="eastAsia" w:cs="宋体"/>
          <w:b/>
          <w:bCs/>
          <w:sz w:val="32"/>
          <w:szCs w:val="32"/>
          <w:highlight w:val="none"/>
        </w:rPr>
        <w:t>廉政协议</w:t>
      </w:r>
    </w:p>
    <w:p w14:paraId="70C3C6EB">
      <w:pPr>
        <w:widowControl/>
        <w:spacing w:line="360" w:lineRule="auto"/>
        <w:ind w:firstLine="420" w:firstLineChars="200"/>
        <w:jc w:val="left"/>
        <w:rPr>
          <w:rFonts w:cs="宋体"/>
          <w:sz w:val="21"/>
          <w:szCs w:val="21"/>
          <w:highlight w:val="none"/>
        </w:rPr>
      </w:pPr>
      <w:r>
        <w:rPr>
          <w:rFonts w:hint="eastAsia" w:cs="宋体"/>
          <w:sz w:val="21"/>
          <w:szCs w:val="21"/>
          <w:highlight w:val="none"/>
        </w:rPr>
        <w:t>为促进双方诚信经营、廉洁从业，防范商业贿赂，保护国家、集体和当事人的合法权益，根据国家有关法律法规和安徽省廉政建设的规定，</w:t>
      </w:r>
      <w:r>
        <w:rPr>
          <w:rFonts w:hint="eastAsia" w:cs="宋体"/>
          <w:sz w:val="21"/>
          <w:szCs w:val="21"/>
          <w:highlight w:val="none"/>
          <w:u w:val="single"/>
        </w:rPr>
        <w:t xml:space="preserve">     </w:t>
      </w:r>
      <w:r>
        <w:rPr>
          <w:rFonts w:hint="eastAsia" w:cs="宋体"/>
          <w:sz w:val="21"/>
          <w:szCs w:val="21"/>
          <w:highlight w:val="none"/>
        </w:rPr>
        <w:t>（以下称甲方）与</w:t>
      </w:r>
      <w:r>
        <w:rPr>
          <w:rFonts w:hint="eastAsia" w:cs="宋体"/>
          <w:sz w:val="21"/>
          <w:szCs w:val="21"/>
          <w:highlight w:val="none"/>
          <w:u w:val="single"/>
        </w:rPr>
        <w:t xml:space="preserve">             （</w:t>
      </w:r>
      <w:r>
        <w:rPr>
          <w:rFonts w:hint="eastAsia" w:cs="宋体"/>
          <w:sz w:val="21"/>
          <w:szCs w:val="21"/>
          <w:highlight w:val="none"/>
        </w:rPr>
        <w:t>以下称乙方），特此订立本协议共同遵照执行。</w:t>
      </w:r>
    </w:p>
    <w:p w14:paraId="7B301D94">
      <w:pPr>
        <w:widowControl/>
        <w:spacing w:line="360" w:lineRule="auto"/>
        <w:ind w:firstLine="420" w:firstLineChars="200"/>
        <w:jc w:val="left"/>
        <w:rPr>
          <w:rFonts w:cs="宋体"/>
          <w:sz w:val="21"/>
          <w:szCs w:val="21"/>
          <w:highlight w:val="none"/>
        </w:rPr>
      </w:pPr>
      <w:r>
        <w:rPr>
          <w:rFonts w:hint="eastAsia" w:cs="宋体"/>
          <w:sz w:val="21"/>
          <w:szCs w:val="21"/>
          <w:highlight w:val="none"/>
        </w:rPr>
        <w:t>第一条 甲乙双方的权利和义务</w:t>
      </w:r>
    </w:p>
    <w:p w14:paraId="01FC3D64">
      <w:pPr>
        <w:widowControl/>
        <w:spacing w:line="360" w:lineRule="auto"/>
        <w:ind w:firstLine="420" w:firstLineChars="200"/>
        <w:jc w:val="left"/>
        <w:rPr>
          <w:rFonts w:cs="宋体"/>
          <w:sz w:val="21"/>
          <w:szCs w:val="21"/>
          <w:highlight w:val="none"/>
        </w:rPr>
      </w:pPr>
      <w:r>
        <w:rPr>
          <w:rFonts w:hint="eastAsia" w:cs="宋体"/>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298ACF4D">
      <w:pPr>
        <w:widowControl/>
        <w:spacing w:line="360" w:lineRule="auto"/>
        <w:ind w:firstLine="420" w:firstLineChars="200"/>
        <w:jc w:val="left"/>
        <w:rPr>
          <w:rFonts w:cs="宋体"/>
          <w:sz w:val="21"/>
          <w:szCs w:val="21"/>
          <w:highlight w:val="none"/>
        </w:rPr>
      </w:pPr>
      <w:r>
        <w:rPr>
          <w:rFonts w:hint="eastAsia" w:cs="宋体"/>
          <w:sz w:val="21"/>
          <w:szCs w:val="21"/>
          <w:highlight w:val="none"/>
        </w:rPr>
        <w:t>（二）严格执行</w:t>
      </w:r>
      <w:r>
        <w:rPr>
          <w:rFonts w:hint="eastAsia" w:cs="宋体"/>
          <w:sz w:val="21"/>
          <w:szCs w:val="21"/>
          <w:highlight w:val="none"/>
          <w:u w:val="single"/>
        </w:rPr>
        <w:t xml:space="preserve">                                </w:t>
      </w:r>
      <w:r>
        <w:rPr>
          <w:rFonts w:hint="eastAsia" w:cs="宋体"/>
          <w:sz w:val="21"/>
          <w:szCs w:val="21"/>
          <w:highlight w:val="none"/>
        </w:rPr>
        <w:t>的合同要求，自觉履行合同约定的相关义务。</w:t>
      </w:r>
    </w:p>
    <w:p w14:paraId="127FB514">
      <w:pPr>
        <w:widowControl/>
        <w:spacing w:line="360" w:lineRule="auto"/>
        <w:ind w:firstLine="420" w:firstLineChars="200"/>
        <w:jc w:val="left"/>
        <w:rPr>
          <w:rFonts w:cs="宋体"/>
          <w:sz w:val="21"/>
          <w:szCs w:val="21"/>
          <w:highlight w:val="none"/>
        </w:rPr>
      </w:pPr>
      <w:r>
        <w:rPr>
          <w:rFonts w:hint="eastAsia" w:cs="宋体"/>
          <w:sz w:val="21"/>
          <w:szCs w:val="21"/>
          <w:highlight w:val="none"/>
        </w:rPr>
        <w:t>（三）在业务活动中坚持公开、公正、诚信、透明的原则，不得损害国家、集体利益。</w:t>
      </w:r>
    </w:p>
    <w:p w14:paraId="358F316B">
      <w:pPr>
        <w:widowControl/>
        <w:spacing w:line="360" w:lineRule="auto"/>
        <w:ind w:firstLine="420" w:firstLineChars="200"/>
        <w:jc w:val="left"/>
        <w:rPr>
          <w:rFonts w:cs="宋体"/>
          <w:sz w:val="21"/>
          <w:szCs w:val="21"/>
          <w:highlight w:val="none"/>
        </w:rPr>
      </w:pPr>
      <w:r>
        <w:rPr>
          <w:rFonts w:hint="eastAsia" w:cs="宋体"/>
          <w:sz w:val="21"/>
          <w:szCs w:val="21"/>
          <w:highlight w:val="none"/>
        </w:rPr>
        <w:t>（四）建立健全廉政制度，开展廉政教育，公布举报电话，监督并认真查处违法违纪行为。</w:t>
      </w:r>
    </w:p>
    <w:p w14:paraId="068EB8AB">
      <w:pPr>
        <w:widowControl/>
        <w:spacing w:line="360" w:lineRule="auto"/>
        <w:ind w:firstLine="420" w:firstLineChars="200"/>
        <w:jc w:val="left"/>
        <w:rPr>
          <w:rFonts w:cs="宋体"/>
          <w:sz w:val="21"/>
          <w:szCs w:val="21"/>
          <w:highlight w:val="none"/>
        </w:rPr>
      </w:pPr>
      <w:r>
        <w:rPr>
          <w:rFonts w:hint="eastAsia" w:cs="宋体"/>
          <w:sz w:val="21"/>
          <w:szCs w:val="21"/>
          <w:highlight w:val="none"/>
        </w:rPr>
        <w:t>（五）发现对方在业务活动中有违反廉政规定的行为，应及时提醒对方纠正。情节严重的，应向其上级有关部门举报、建议给予处理，并有权要求告知处理结果。</w:t>
      </w:r>
    </w:p>
    <w:p w14:paraId="3E187205">
      <w:pPr>
        <w:widowControl/>
        <w:spacing w:line="360" w:lineRule="auto"/>
        <w:ind w:firstLine="420" w:firstLineChars="200"/>
        <w:jc w:val="left"/>
        <w:rPr>
          <w:rFonts w:cs="宋体"/>
          <w:sz w:val="21"/>
          <w:szCs w:val="21"/>
          <w:highlight w:val="none"/>
        </w:rPr>
      </w:pPr>
      <w:r>
        <w:rPr>
          <w:rFonts w:hint="eastAsia" w:cs="宋体"/>
          <w:sz w:val="21"/>
          <w:szCs w:val="21"/>
          <w:highlight w:val="none"/>
        </w:rPr>
        <w:t>第二条 甲方的义务</w:t>
      </w:r>
    </w:p>
    <w:p w14:paraId="061FFE8F">
      <w:pPr>
        <w:widowControl/>
        <w:spacing w:line="360" w:lineRule="auto"/>
        <w:ind w:firstLine="525" w:firstLineChars="250"/>
        <w:jc w:val="left"/>
        <w:rPr>
          <w:rFonts w:cs="宋体"/>
          <w:sz w:val="21"/>
          <w:szCs w:val="21"/>
          <w:highlight w:val="none"/>
        </w:rPr>
      </w:pPr>
      <w:r>
        <w:rPr>
          <w:rFonts w:hint="eastAsia" w:cs="宋体"/>
          <w:sz w:val="21"/>
          <w:szCs w:val="21"/>
          <w:highlight w:val="none"/>
        </w:rPr>
        <w:t>（一）甲方及其工作人员不得索要或接受乙方的礼金、有价证券和贵重物品，不得在乙方报销任何应由甲方单位或个人支付的费用等。</w:t>
      </w:r>
    </w:p>
    <w:p w14:paraId="7391EC64">
      <w:pPr>
        <w:widowControl/>
        <w:spacing w:line="360" w:lineRule="auto"/>
        <w:ind w:firstLine="420" w:firstLineChars="200"/>
        <w:jc w:val="left"/>
        <w:rPr>
          <w:rFonts w:cs="宋体"/>
          <w:sz w:val="21"/>
          <w:szCs w:val="21"/>
          <w:highlight w:val="none"/>
        </w:rPr>
      </w:pPr>
      <w:r>
        <w:rPr>
          <w:rFonts w:hint="eastAsia" w:cs="宋体"/>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20D951B8">
      <w:pPr>
        <w:widowControl/>
        <w:spacing w:line="360" w:lineRule="auto"/>
        <w:ind w:firstLine="420" w:firstLineChars="200"/>
        <w:jc w:val="left"/>
        <w:rPr>
          <w:rFonts w:cs="宋体"/>
          <w:sz w:val="21"/>
          <w:szCs w:val="21"/>
          <w:highlight w:val="none"/>
        </w:rPr>
      </w:pPr>
      <w:r>
        <w:rPr>
          <w:rFonts w:hint="eastAsia" w:cs="宋体"/>
          <w:sz w:val="21"/>
          <w:szCs w:val="21"/>
          <w:highlight w:val="none"/>
        </w:rPr>
        <w:t>（三） 甲方及其工作人员不得要求或者接受乙方为其住房装修、婚丧嫁娶活动、配偶子女工作安排以及出国出境、旅游等提供方便等。</w:t>
      </w:r>
    </w:p>
    <w:p w14:paraId="593E0E7D">
      <w:pPr>
        <w:widowControl/>
        <w:spacing w:line="360" w:lineRule="auto"/>
        <w:ind w:firstLine="420" w:firstLineChars="200"/>
        <w:jc w:val="left"/>
        <w:rPr>
          <w:rFonts w:cs="宋体"/>
          <w:sz w:val="21"/>
          <w:szCs w:val="21"/>
          <w:highlight w:val="none"/>
        </w:rPr>
      </w:pPr>
      <w:r>
        <w:rPr>
          <w:rFonts w:hint="eastAsia" w:cs="宋体"/>
          <w:sz w:val="21"/>
          <w:szCs w:val="21"/>
          <w:highlight w:val="none"/>
        </w:rPr>
        <w:t>（四） 甲方工作人员不得在乙方有股权关联的企业兼职，不得向乙方介绍家属或者亲友从事与甲方业务有关的经济活动。</w:t>
      </w:r>
    </w:p>
    <w:p w14:paraId="42CEBEC6">
      <w:pPr>
        <w:widowControl/>
        <w:spacing w:line="360" w:lineRule="auto"/>
        <w:ind w:firstLine="420" w:firstLineChars="200"/>
        <w:jc w:val="left"/>
        <w:rPr>
          <w:rFonts w:cs="宋体"/>
          <w:sz w:val="21"/>
          <w:szCs w:val="21"/>
          <w:highlight w:val="none"/>
        </w:rPr>
      </w:pPr>
      <w:r>
        <w:rPr>
          <w:rFonts w:hint="eastAsia" w:cs="宋体"/>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59D8CE79">
      <w:pPr>
        <w:widowControl/>
        <w:spacing w:line="360" w:lineRule="auto"/>
        <w:ind w:firstLine="420" w:firstLineChars="200"/>
        <w:jc w:val="left"/>
        <w:rPr>
          <w:rFonts w:cs="宋体"/>
          <w:sz w:val="21"/>
          <w:szCs w:val="21"/>
          <w:highlight w:val="none"/>
        </w:rPr>
      </w:pPr>
      <w:r>
        <w:rPr>
          <w:rFonts w:hint="eastAsia" w:cs="宋体"/>
          <w:sz w:val="21"/>
          <w:szCs w:val="21"/>
          <w:highlight w:val="none"/>
        </w:rPr>
        <w:t>（六）甲方工作人员不得利用职务之便收受乙方以回扣、手续费、加班费、咨询费、劳务费、协调费、辛苦费等各种名义给予或赠送的钱物。</w:t>
      </w:r>
    </w:p>
    <w:p w14:paraId="1731D31C">
      <w:pPr>
        <w:widowControl/>
        <w:spacing w:line="360" w:lineRule="auto"/>
        <w:ind w:firstLine="420" w:firstLineChars="200"/>
        <w:jc w:val="left"/>
        <w:rPr>
          <w:rFonts w:cs="宋体"/>
          <w:sz w:val="21"/>
          <w:szCs w:val="21"/>
          <w:highlight w:val="none"/>
        </w:rPr>
      </w:pPr>
      <w:r>
        <w:rPr>
          <w:rFonts w:hint="eastAsia" w:cs="宋体"/>
          <w:sz w:val="21"/>
          <w:szCs w:val="21"/>
          <w:highlight w:val="none"/>
        </w:rPr>
        <w:t>（七）甲方工作人员不得接受乙方给予或赠送的干股或红利。</w:t>
      </w:r>
    </w:p>
    <w:p w14:paraId="69AFF9E9">
      <w:pPr>
        <w:widowControl/>
        <w:spacing w:line="360" w:lineRule="auto"/>
        <w:ind w:firstLine="420" w:firstLineChars="200"/>
        <w:jc w:val="left"/>
        <w:rPr>
          <w:rFonts w:cs="宋体"/>
          <w:sz w:val="21"/>
          <w:szCs w:val="21"/>
          <w:highlight w:val="none"/>
        </w:rPr>
      </w:pPr>
      <w:r>
        <w:rPr>
          <w:rFonts w:hint="eastAsia" w:cs="宋体"/>
          <w:sz w:val="21"/>
          <w:szCs w:val="21"/>
          <w:highlight w:val="none"/>
        </w:rPr>
        <w:t>（八）甲方任何人不得以个人的名义向乙方推荐设备、部件等供货商以及其他合作单位。</w:t>
      </w:r>
    </w:p>
    <w:p w14:paraId="0DFF313A">
      <w:pPr>
        <w:widowControl/>
        <w:spacing w:line="360" w:lineRule="auto"/>
        <w:ind w:firstLine="420" w:firstLineChars="200"/>
        <w:jc w:val="left"/>
        <w:rPr>
          <w:rFonts w:cs="宋体"/>
          <w:sz w:val="21"/>
          <w:szCs w:val="21"/>
          <w:highlight w:val="none"/>
        </w:rPr>
      </w:pPr>
      <w:r>
        <w:rPr>
          <w:rFonts w:hint="eastAsia" w:cs="宋体"/>
          <w:sz w:val="21"/>
          <w:szCs w:val="21"/>
          <w:highlight w:val="none"/>
        </w:rPr>
        <w:t>第三条 乙方的义务</w:t>
      </w:r>
    </w:p>
    <w:p w14:paraId="02951F6E">
      <w:pPr>
        <w:widowControl/>
        <w:spacing w:line="360" w:lineRule="auto"/>
        <w:ind w:firstLine="525" w:firstLineChars="250"/>
        <w:jc w:val="left"/>
        <w:rPr>
          <w:rFonts w:cs="宋体"/>
          <w:sz w:val="21"/>
          <w:szCs w:val="21"/>
          <w:highlight w:val="none"/>
        </w:rPr>
      </w:pPr>
      <w:r>
        <w:rPr>
          <w:rFonts w:hint="eastAsia" w:cs="宋体"/>
          <w:sz w:val="21"/>
          <w:szCs w:val="21"/>
          <w:highlight w:val="none"/>
        </w:rPr>
        <w:t>（一）乙方不得以任何理由向甲方及其工作人员行贿或馈赠礼金、有价证券、贵重礼品。</w:t>
      </w:r>
    </w:p>
    <w:p w14:paraId="53F23ECA">
      <w:pPr>
        <w:widowControl/>
        <w:spacing w:line="360" w:lineRule="auto"/>
        <w:ind w:firstLine="420" w:firstLineChars="200"/>
        <w:jc w:val="left"/>
        <w:rPr>
          <w:rFonts w:cs="宋体"/>
          <w:sz w:val="21"/>
          <w:szCs w:val="21"/>
          <w:highlight w:val="none"/>
        </w:rPr>
      </w:pPr>
      <w:r>
        <w:rPr>
          <w:rFonts w:hint="eastAsia" w:cs="宋体"/>
          <w:sz w:val="21"/>
          <w:szCs w:val="21"/>
          <w:highlight w:val="none"/>
        </w:rPr>
        <w:t>（二）乙方不得以任何名义为甲方及其工作人员报销应由甲方单位或个人支付的任何费用。</w:t>
      </w:r>
    </w:p>
    <w:p w14:paraId="0A2E39B1">
      <w:pPr>
        <w:widowControl/>
        <w:spacing w:line="360" w:lineRule="auto"/>
        <w:ind w:firstLine="420" w:firstLineChars="200"/>
        <w:jc w:val="left"/>
        <w:rPr>
          <w:rFonts w:cs="宋体"/>
          <w:sz w:val="21"/>
          <w:szCs w:val="21"/>
          <w:highlight w:val="none"/>
        </w:rPr>
      </w:pPr>
      <w:r>
        <w:rPr>
          <w:rFonts w:hint="eastAsia" w:cs="宋体"/>
          <w:sz w:val="21"/>
          <w:szCs w:val="21"/>
          <w:highlight w:val="none"/>
        </w:rPr>
        <w:t>（三）乙方不得以任何理由安排甲方工作人员参加可能影响相关业务公开、公正、公平性的宴请及娱乐活动。</w:t>
      </w:r>
    </w:p>
    <w:p w14:paraId="51B1849F">
      <w:pPr>
        <w:widowControl/>
        <w:spacing w:line="360" w:lineRule="auto"/>
        <w:ind w:firstLine="420" w:firstLineChars="200"/>
        <w:jc w:val="left"/>
        <w:rPr>
          <w:rFonts w:cs="宋体"/>
          <w:sz w:val="21"/>
          <w:szCs w:val="21"/>
          <w:highlight w:val="none"/>
        </w:rPr>
      </w:pPr>
      <w:r>
        <w:rPr>
          <w:rFonts w:hint="eastAsia" w:cs="宋体"/>
          <w:sz w:val="21"/>
          <w:szCs w:val="21"/>
          <w:highlight w:val="none"/>
        </w:rPr>
        <w:t>（四）乙方不得为甲方单位和个人购置或提供通讯工具和高档办公用品等物品，也不得为甲方提供与工作无关的房屋、汽车等。</w:t>
      </w:r>
    </w:p>
    <w:p w14:paraId="38F34121">
      <w:pPr>
        <w:widowControl/>
        <w:spacing w:line="360" w:lineRule="auto"/>
        <w:ind w:firstLine="420" w:firstLineChars="200"/>
        <w:jc w:val="left"/>
        <w:rPr>
          <w:rFonts w:cs="宋体"/>
          <w:sz w:val="21"/>
          <w:szCs w:val="21"/>
          <w:highlight w:val="none"/>
        </w:rPr>
      </w:pPr>
      <w:r>
        <w:rPr>
          <w:rFonts w:hint="eastAsia" w:cs="宋体"/>
          <w:sz w:val="21"/>
          <w:szCs w:val="21"/>
          <w:highlight w:val="none"/>
        </w:rPr>
        <w:t>（五）乙方不得与甲方工作人员就合同中的质量、数量、价格、工程量、验收等条款进行私下商谈或者达成默契。</w:t>
      </w:r>
    </w:p>
    <w:p w14:paraId="46DCD1CB">
      <w:pPr>
        <w:widowControl/>
        <w:spacing w:line="360" w:lineRule="auto"/>
        <w:ind w:firstLine="420" w:firstLineChars="200"/>
        <w:jc w:val="left"/>
        <w:rPr>
          <w:rFonts w:cs="宋体"/>
          <w:sz w:val="21"/>
          <w:szCs w:val="21"/>
          <w:highlight w:val="none"/>
        </w:rPr>
      </w:pPr>
      <w:r>
        <w:rPr>
          <w:rFonts w:hint="eastAsia" w:cs="宋体"/>
          <w:sz w:val="21"/>
          <w:szCs w:val="21"/>
          <w:highlight w:val="none"/>
        </w:rPr>
        <w:t>（六）乙方不得以回扣、手续费、加班费、咨询费、劳务费、协调费、辛苦费等各种名义向甲方工作人员给予或赠送钱物。</w:t>
      </w:r>
    </w:p>
    <w:p w14:paraId="50497A2C">
      <w:pPr>
        <w:widowControl/>
        <w:spacing w:line="360" w:lineRule="auto"/>
        <w:ind w:firstLine="420" w:firstLineChars="200"/>
        <w:jc w:val="left"/>
        <w:rPr>
          <w:rFonts w:cs="宋体"/>
          <w:sz w:val="21"/>
          <w:szCs w:val="21"/>
          <w:highlight w:val="none"/>
        </w:rPr>
      </w:pPr>
      <w:r>
        <w:rPr>
          <w:rFonts w:hint="eastAsia" w:cs="宋体"/>
          <w:sz w:val="21"/>
          <w:szCs w:val="21"/>
          <w:highlight w:val="none"/>
        </w:rPr>
        <w:t>（七）乙方不得向甲方工作人员提供干股或红利。</w:t>
      </w:r>
    </w:p>
    <w:p w14:paraId="6471C842">
      <w:pPr>
        <w:widowControl/>
        <w:spacing w:line="360" w:lineRule="auto"/>
        <w:ind w:firstLine="420" w:firstLineChars="200"/>
        <w:jc w:val="left"/>
        <w:rPr>
          <w:rFonts w:cs="宋体"/>
          <w:sz w:val="21"/>
          <w:szCs w:val="21"/>
          <w:highlight w:val="none"/>
        </w:rPr>
      </w:pPr>
      <w:r>
        <w:rPr>
          <w:rFonts w:hint="eastAsia" w:cs="宋体"/>
          <w:sz w:val="21"/>
          <w:szCs w:val="21"/>
          <w:highlight w:val="none"/>
        </w:rPr>
        <w:t>（八）乙方须按</w:t>
      </w:r>
      <w:r>
        <w:rPr>
          <w:rFonts w:hint="eastAsia" w:cs="宋体"/>
          <w:sz w:val="21"/>
          <w:szCs w:val="21"/>
          <w:highlight w:val="none"/>
          <w:u w:val="single"/>
        </w:rPr>
        <w:t xml:space="preserve">         </w:t>
      </w:r>
      <w:r>
        <w:rPr>
          <w:rFonts w:hint="eastAsia" w:cs="宋体"/>
          <w:sz w:val="21"/>
          <w:szCs w:val="21"/>
          <w:highlight w:val="none"/>
        </w:rPr>
        <w:t>专项纪检监察工作组（如有）要求开展相关工作。</w:t>
      </w:r>
    </w:p>
    <w:p w14:paraId="64E14CFA">
      <w:pPr>
        <w:widowControl/>
        <w:spacing w:line="360" w:lineRule="auto"/>
        <w:ind w:firstLine="420" w:firstLineChars="200"/>
        <w:jc w:val="left"/>
        <w:rPr>
          <w:rFonts w:cs="宋体"/>
          <w:sz w:val="21"/>
          <w:szCs w:val="21"/>
          <w:highlight w:val="none"/>
        </w:rPr>
      </w:pPr>
      <w:r>
        <w:rPr>
          <w:rFonts w:hint="eastAsia" w:cs="宋体"/>
          <w:sz w:val="21"/>
          <w:szCs w:val="21"/>
          <w:highlight w:val="none"/>
        </w:rPr>
        <w:t>第四条 违约责任</w:t>
      </w:r>
    </w:p>
    <w:p w14:paraId="5DE32A18">
      <w:pPr>
        <w:widowControl/>
        <w:spacing w:line="360" w:lineRule="auto"/>
        <w:ind w:firstLine="420" w:firstLineChars="200"/>
        <w:jc w:val="left"/>
        <w:rPr>
          <w:rFonts w:cs="宋体"/>
          <w:sz w:val="21"/>
          <w:szCs w:val="21"/>
          <w:highlight w:val="none"/>
        </w:rPr>
      </w:pPr>
      <w:r>
        <w:rPr>
          <w:rFonts w:hint="eastAsia" w:cs="宋体"/>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007DD96">
      <w:pPr>
        <w:widowControl/>
        <w:spacing w:line="360" w:lineRule="auto"/>
        <w:ind w:firstLine="420" w:firstLineChars="200"/>
        <w:jc w:val="left"/>
        <w:rPr>
          <w:rFonts w:cs="宋体"/>
          <w:sz w:val="21"/>
          <w:szCs w:val="21"/>
          <w:highlight w:val="none"/>
        </w:rPr>
      </w:pPr>
      <w:r>
        <w:rPr>
          <w:rFonts w:hint="eastAsia" w:cs="宋体"/>
          <w:sz w:val="21"/>
          <w:szCs w:val="21"/>
          <w:highlight w:val="none"/>
        </w:rPr>
        <w:t>甲方投诉联系部门：</w:t>
      </w:r>
      <w:r>
        <w:rPr>
          <w:rFonts w:hint="eastAsia" w:cs="宋体"/>
          <w:sz w:val="21"/>
          <w:szCs w:val="21"/>
          <w:highlight w:val="none"/>
          <w:u w:val="single"/>
        </w:rPr>
        <w:t xml:space="preserve">           </w:t>
      </w:r>
      <w:r>
        <w:rPr>
          <w:rFonts w:hint="eastAsia" w:cs="宋体"/>
          <w:sz w:val="21"/>
          <w:szCs w:val="21"/>
          <w:highlight w:val="none"/>
        </w:rPr>
        <w:t>，联系电话：</w:t>
      </w:r>
      <w:r>
        <w:rPr>
          <w:rFonts w:hint="eastAsia" w:cs="宋体"/>
          <w:sz w:val="21"/>
          <w:szCs w:val="21"/>
          <w:highlight w:val="none"/>
          <w:u w:val="single"/>
        </w:rPr>
        <w:t xml:space="preserve">           </w:t>
      </w:r>
      <w:r>
        <w:rPr>
          <w:rFonts w:hint="eastAsia" w:cs="宋体"/>
          <w:sz w:val="21"/>
          <w:szCs w:val="21"/>
          <w:highlight w:val="none"/>
        </w:rPr>
        <w:t>。</w:t>
      </w:r>
    </w:p>
    <w:p w14:paraId="58B16B17">
      <w:pPr>
        <w:widowControl/>
        <w:spacing w:line="360" w:lineRule="auto"/>
        <w:ind w:firstLine="420" w:firstLineChars="200"/>
        <w:jc w:val="left"/>
        <w:rPr>
          <w:rFonts w:cs="宋体"/>
          <w:sz w:val="21"/>
          <w:szCs w:val="21"/>
          <w:highlight w:val="none"/>
        </w:rPr>
      </w:pPr>
      <w:r>
        <w:rPr>
          <w:rFonts w:hint="eastAsia" w:cs="宋体"/>
          <w:sz w:val="21"/>
          <w:szCs w:val="21"/>
          <w:highlight w:val="none"/>
        </w:rPr>
        <w:t>（二）乙方及其工作人员违反本协议第一、三条规定。根据具体情节和造成的后果，甲方有权对乙方采取以下一种或多种处理办法：</w:t>
      </w:r>
    </w:p>
    <w:p w14:paraId="020E16E6">
      <w:pPr>
        <w:widowControl/>
        <w:spacing w:line="360" w:lineRule="auto"/>
        <w:ind w:firstLine="420" w:firstLineChars="200"/>
        <w:jc w:val="left"/>
        <w:rPr>
          <w:rFonts w:cs="宋体"/>
          <w:sz w:val="21"/>
          <w:szCs w:val="21"/>
          <w:highlight w:val="none"/>
        </w:rPr>
      </w:pPr>
      <w:r>
        <w:rPr>
          <w:rFonts w:hint="eastAsia" w:cs="宋体"/>
          <w:sz w:val="21"/>
          <w:szCs w:val="21"/>
          <w:highlight w:val="none"/>
        </w:rPr>
        <w:t xml:space="preserve">1. 全额收取乙方合同履约保证金不予退还； </w:t>
      </w:r>
    </w:p>
    <w:p w14:paraId="74C308F2">
      <w:pPr>
        <w:widowControl/>
        <w:spacing w:line="360" w:lineRule="auto"/>
        <w:ind w:firstLine="420" w:firstLineChars="200"/>
        <w:jc w:val="left"/>
        <w:rPr>
          <w:rFonts w:cs="宋体"/>
          <w:sz w:val="21"/>
          <w:szCs w:val="21"/>
          <w:highlight w:val="none"/>
        </w:rPr>
      </w:pPr>
      <w:r>
        <w:rPr>
          <w:rFonts w:hint="eastAsia" w:cs="宋体"/>
          <w:sz w:val="21"/>
          <w:szCs w:val="21"/>
          <w:highlight w:val="none"/>
        </w:rPr>
        <w:t>2. 追究乙方其他违约责任；</w:t>
      </w:r>
    </w:p>
    <w:p w14:paraId="19EC1904">
      <w:pPr>
        <w:widowControl/>
        <w:spacing w:line="360" w:lineRule="auto"/>
        <w:ind w:firstLine="420" w:firstLineChars="200"/>
        <w:jc w:val="left"/>
        <w:rPr>
          <w:rFonts w:cs="宋体"/>
          <w:sz w:val="21"/>
          <w:szCs w:val="21"/>
          <w:highlight w:val="none"/>
        </w:rPr>
      </w:pPr>
      <w:r>
        <w:rPr>
          <w:rFonts w:hint="eastAsia" w:cs="宋体"/>
          <w:sz w:val="21"/>
          <w:szCs w:val="21"/>
          <w:highlight w:val="none"/>
        </w:rPr>
        <w:t>3. 终止或解除双方已签订的包括本合同在内的所有合同；</w:t>
      </w:r>
    </w:p>
    <w:p w14:paraId="0E341221">
      <w:pPr>
        <w:widowControl/>
        <w:spacing w:line="360" w:lineRule="auto"/>
        <w:ind w:firstLine="420" w:firstLineChars="200"/>
        <w:jc w:val="left"/>
        <w:rPr>
          <w:rFonts w:cs="宋体"/>
          <w:sz w:val="21"/>
          <w:szCs w:val="21"/>
          <w:highlight w:val="none"/>
        </w:rPr>
      </w:pPr>
      <w:r>
        <w:rPr>
          <w:rFonts w:hint="eastAsia" w:cs="宋体"/>
          <w:sz w:val="21"/>
          <w:szCs w:val="21"/>
          <w:highlight w:val="none"/>
        </w:rPr>
        <w:t>4. 乙方一定期限内（6个月至3年，具体由甲方根据情况而定）不得参与甲方作为发包人（业主）的工程项目投标。</w:t>
      </w:r>
    </w:p>
    <w:p w14:paraId="0839A92B">
      <w:pPr>
        <w:widowControl/>
        <w:spacing w:line="360" w:lineRule="auto"/>
        <w:ind w:firstLine="420" w:firstLineChars="200"/>
        <w:jc w:val="left"/>
        <w:rPr>
          <w:rFonts w:cs="宋体"/>
          <w:sz w:val="21"/>
          <w:szCs w:val="21"/>
          <w:highlight w:val="none"/>
        </w:rPr>
      </w:pPr>
      <w:r>
        <w:rPr>
          <w:rFonts w:hint="eastAsia" w:cs="宋体"/>
          <w:sz w:val="21"/>
          <w:szCs w:val="21"/>
          <w:highlight w:val="none"/>
        </w:rPr>
        <w:t>甲方作出的处理意见，乙方应无条件接受并承担给甲方造成的损失，全额返还通过不正当手段从甲方获取的非法所得，并承担相应的法律责任。</w:t>
      </w:r>
    </w:p>
    <w:p w14:paraId="4CE7F7FE">
      <w:pPr>
        <w:widowControl/>
        <w:spacing w:line="360" w:lineRule="auto"/>
        <w:ind w:firstLine="420" w:firstLineChars="200"/>
        <w:jc w:val="left"/>
        <w:rPr>
          <w:rFonts w:cs="宋体"/>
          <w:sz w:val="21"/>
          <w:szCs w:val="21"/>
          <w:highlight w:val="none"/>
        </w:rPr>
      </w:pPr>
      <w:r>
        <w:rPr>
          <w:rFonts w:hint="eastAsia" w:cs="宋体"/>
          <w:sz w:val="21"/>
          <w:szCs w:val="21"/>
          <w:highlight w:val="none"/>
        </w:rPr>
        <w:t>第五条 双方约定</w:t>
      </w:r>
    </w:p>
    <w:p w14:paraId="4C64592A">
      <w:pPr>
        <w:widowControl/>
        <w:spacing w:line="360" w:lineRule="auto"/>
        <w:ind w:firstLine="420" w:firstLineChars="200"/>
        <w:jc w:val="left"/>
        <w:rPr>
          <w:rFonts w:cs="宋体"/>
          <w:sz w:val="21"/>
          <w:szCs w:val="21"/>
          <w:highlight w:val="none"/>
        </w:rPr>
      </w:pPr>
      <w:r>
        <w:rPr>
          <w:rFonts w:hint="eastAsia" w:cs="宋体"/>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454E690E">
      <w:pPr>
        <w:widowControl/>
        <w:spacing w:line="360" w:lineRule="auto"/>
        <w:ind w:firstLine="420" w:firstLineChars="200"/>
        <w:jc w:val="left"/>
        <w:rPr>
          <w:rFonts w:cs="宋体"/>
          <w:sz w:val="21"/>
          <w:szCs w:val="21"/>
          <w:highlight w:val="none"/>
        </w:rPr>
      </w:pPr>
      <w:r>
        <w:rPr>
          <w:rFonts w:hint="eastAsia" w:cs="宋体"/>
          <w:sz w:val="21"/>
          <w:szCs w:val="21"/>
          <w:highlight w:val="none"/>
        </w:rPr>
        <w:t xml:space="preserve">第六条  本协议有效期为甲乙双方签署之日起至合同终止。  </w:t>
      </w:r>
    </w:p>
    <w:p w14:paraId="3DAAF5D9">
      <w:pPr>
        <w:widowControl/>
        <w:spacing w:line="360" w:lineRule="auto"/>
        <w:ind w:firstLine="420" w:firstLineChars="200"/>
        <w:jc w:val="left"/>
        <w:rPr>
          <w:rFonts w:cs="宋体"/>
          <w:sz w:val="21"/>
          <w:szCs w:val="21"/>
          <w:highlight w:val="none"/>
        </w:rPr>
      </w:pPr>
      <w:r>
        <w:rPr>
          <w:rFonts w:hint="eastAsia" w:cs="宋体"/>
          <w:sz w:val="21"/>
          <w:szCs w:val="21"/>
          <w:highlight w:val="none"/>
        </w:rPr>
        <w:t>第七条  本协议作为合同的附件，与本合同具有同等法律效力。</w:t>
      </w:r>
    </w:p>
    <w:p w14:paraId="42BD335D">
      <w:pPr>
        <w:widowControl/>
        <w:spacing w:line="360" w:lineRule="auto"/>
        <w:ind w:firstLine="420" w:firstLineChars="200"/>
        <w:jc w:val="left"/>
        <w:rPr>
          <w:rFonts w:cs="宋体"/>
          <w:sz w:val="21"/>
          <w:szCs w:val="21"/>
          <w:highlight w:val="none"/>
        </w:rPr>
      </w:pPr>
      <w:r>
        <w:rPr>
          <w:rFonts w:hint="eastAsia" w:cs="宋体"/>
          <w:sz w:val="21"/>
          <w:szCs w:val="21"/>
          <w:highlight w:val="none"/>
        </w:rPr>
        <w:t xml:space="preserve"> </w:t>
      </w:r>
    </w:p>
    <w:p w14:paraId="64AF3210">
      <w:pPr>
        <w:widowControl/>
        <w:spacing w:line="360" w:lineRule="auto"/>
        <w:ind w:firstLine="420" w:firstLineChars="200"/>
        <w:jc w:val="left"/>
        <w:rPr>
          <w:rFonts w:cs="宋体"/>
          <w:sz w:val="21"/>
          <w:szCs w:val="21"/>
          <w:highlight w:val="none"/>
        </w:rPr>
      </w:pPr>
      <w:r>
        <w:rPr>
          <w:rFonts w:hint="eastAsia" w:cs="宋体"/>
          <w:sz w:val="21"/>
          <w:szCs w:val="21"/>
          <w:highlight w:val="none"/>
        </w:rPr>
        <w:t xml:space="preserve">甲方（盖章）： </w:t>
      </w:r>
      <w:r>
        <w:rPr>
          <w:rFonts w:hint="eastAsia" w:cs="宋体"/>
          <w:sz w:val="21"/>
          <w:szCs w:val="21"/>
          <w:highlight w:val="none"/>
          <w:u w:val="single"/>
        </w:rPr>
        <w:t xml:space="preserve">                  </w:t>
      </w:r>
      <w:r>
        <w:rPr>
          <w:rFonts w:hint="eastAsia" w:cs="宋体"/>
          <w:sz w:val="21"/>
          <w:szCs w:val="21"/>
          <w:highlight w:val="none"/>
        </w:rPr>
        <w:t xml:space="preserve">     乙方（盖章）：</w:t>
      </w:r>
      <w:r>
        <w:rPr>
          <w:rFonts w:hint="eastAsia" w:cs="宋体"/>
          <w:sz w:val="21"/>
          <w:szCs w:val="21"/>
          <w:highlight w:val="none"/>
          <w:u w:val="single"/>
        </w:rPr>
        <w:t xml:space="preserve">             </w:t>
      </w:r>
    </w:p>
    <w:p w14:paraId="5C8F3D84">
      <w:pPr>
        <w:widowControl/>
        <w:spacing w:line="360" w:lineRule="auto"/>
        <w:ind w:firstLine="420" w:firstLineChars="200"/>
        <w:jc w:val="left"/>
        <w:rPr>
          <w:rFonts w:cs="宋体"/>
          <w:sz w:val="21"/>
          <w:szCs w:val="21"/>
          <w:highlight w:val="none"/>
        </w:rPr>
      </w:pPr>
      <w:r>
        <w:rPr>
          <w:rFonts w:hint="eastAsia" w:cs="宋体"/>
          <w:sz w:val="21"/>
          <w:szCs w:val="21"/>
          <w:highlight w:val="none"/>
        </w:rPr>
        <w:t>法定代表人或                          法定代表人或</w:t>
      </w:r>
    </w:p>
    <w:p w14:paraId="41C4C186">
      <w:pPr>
        <w:widowControl/>
        <w:spacing w:line="360" w:lineRule="auto"/>
        <w:ind w:firstLine="420" w:firstLineChars="200"/>
        <w:jc w:val="left"/>
        <w:rPr>
          <w:rFonts w:cs="宋体"/>
          <w:sz w:val="21"/>
          <w:szCs w:val="21"/>
          <w:highlight w:val="none"/>
        </w:rPr>
      </w:pPr>
      <w:r>
        <w:rPr>
          <w:rFonts w:hint="eastAsia" w:cs="宋体"/>
          <w:sz w:val="21"/>
          <w:szCs w:val="21"/>
          <w:highlight w:val="none"/>
        </w:rPr>
        <w:t>授权代表：</w:t>
      </w:r>
      <w:r>
        <w:rPr>
          <w:rFonts w:hint="eastAsia" w:cs="宋体"/>
          <w:sz w:val="21"/>
          <w:szCs w:val="21"/>
          <w:highlight w:val="none"/>
          <w:u w:val="single"/>
        </w:rPr>
        <w:t xml:space="preserve">              </w:t>
      </w:r>
      <w:r>
        <w:rPr>
          <w:rFonts w:hint="eastAsia" w:cs="宋体"/>
          <w:sz w:val="21"/>
          <w:szCs w:val="21"/>
          <w:highlight w:val="none"/>
        </w:rPr>
        <w:t>(职务)         授权代表：</w:t>
      </w:r>
      <w:r>
        <w:rPr>
          <w:rFonts w:hint="eastAsia" w:cs="宋体"/>
          <w:sz w:val="21"/>
          <w:szCs w:val="21"/>
          <w:highlight w:val="none"/>
          <w:u w:val="single"/>
        </w:rPr>
        <w:t xml:space="preserve">             </w:t>
      </w:r>
      <w:r>
        <w:rPr>
          <w:rFonts w:hint="eastAsia" w:cs="宋体"/>
          <w:sz w:val="21"/>
          <w:szCs w:val="21"/>
          <w:highlight w:val="none"/>
        </w:rPr>
        <w:t>(职务)</w:t>
      </w:r>
    </w:p>
    <w:p w14:paraId="13ED848D">
      <w:pPr>
        <w:widowControl/>
        <w:spacing w:line="360" w:lineRule="auto"/>
        <w:ind w:firstLine="420" w:firstLineChars="200"/>
        <w:jc w:val="left"/>
        <w:rPr>
          <w:rFonts w:cs="宋体"/>
          <w:sz w:val="21"/>
          <w:szCs w:val="21"/>
          <w:highlight w:val="none"/>
        </w:rPr>
      </w:pPr>
      <w:r>
        <w:rPr>
          <w:rFonts w:hint="eastAsia" w:cs="宋体"/>
          <w:sz w:val="21"/>
          <w:szCs w:val="21"/>
          <w:highlight w:val="none"/>
        </w:rPr>
        <w:t>姓名：</w:t>
      </w:r>
      <w:r>
        <w:rPr>
          <w:rFonts w:hint="eastAsia" w:cs="宋体"/>
          <w:sz w:val="21"/>
          <w:szCs w:val="21"/>
          <w:highlight w:val="none"/>
          <w:u w:val="single"/>
        </w:rPr>
        <w:t xml:space="preserve">             </w:t>
      </w:r>
      <w:r>
        <w:rPr>
          <w:rFonts w:hint="eastAsia" w:cs="宋体"/>
          <w:sz w:val="21"/>
          <w:szCs w:val="21"/>
          <w:highlight w:val="none"/>
        </w:rPr>
        <w:t xml:space="preserve">                   姓名：</w:t>
      </w:r>
      <w:r>
        <w:rPr>
          <w:rFonts w:hint="eastAsia" w:cs="宋体"/>
          <w:sz w:val="21"/>
          <w:szCs w:val="21"/>
          <w:highlight w:val="none"/>
          <w:u w:val="single"/>
        </w:rPr>
        <w:t xml:space="preserve">             </w:t>
      </w:r>
    </w:p>
    <w:p w14:paraId="13B6F7D8">
      <w:pPr>
        <w:widowControl/>
        <w:spacing w:line="360" w:lineRule="auto"/>
        <w:ind w:firstLine="420" w:firstLineChars="200"/>
        <w:jc w:val="left"/>
        <w:rPr>
          <w:rFonts w:cs="宋体"/>
          <w:sz w:val="21"/>
          <w:szCs w:val="21"/>
          <w:highlight w:val="none"/>
        </w:rPr>
      </w:pPr>
      <w:r>
        <w:rPr>
          <w:rFonts w:hint="eastAsia" w:cs="宋体"/>
          <w:sz w:val="21"/>
          <w:szCs w:val="21"/>
          <w:highlight w:val="none"/>
        </w:rPr>
        <w:t>签字：</w:t>
      </w:r>
      <w:r>
        <w:rPr>
          <w:rFonts w:hint="eastAsia" w:cs="宋体"/>
          <w:sz w:val="21"/>
          <w:szCs w:val="21"/>
          <w:highlight w:val="none"/>
          <w:u w:val="single"/>
        </w:rPr>
        <w:t xml:space="preserve">             </w:t>
      </w:r>
      <w:r>
        <w:rPr>
          <w:rFonts w:hint="eastAsia" w:cs="宋体"/>
          <w:sz w:val="21"/>
          <w:szCs w:val="21"/>
          <w:highlight w:val="none"/>
        </w:rPr>
        <w:t xml:space="preserve">                   签字：</w:t>
      </w:r>
      <w:r>
        <w:rPr>
          <w:rFonts w:hint="eastAsia" w:cs="宋体"/>
          <w:sz w:val="21"/>
          <w:szCs w:val="21"/>
          <w:highlight w:val="none"/>
          <w:u w:val="single"/>
        </w:rPr>
        <w:t xml:space="preserve">             </w:t>
      </w:r>
    </w:p>
    <w:p w14:paraId="64FB3F63">
      <w:pPr>
        <w:widowControl/>
        <w:spacing w:line="360" w:lineRule="auto"/>
        <w:ind w:firstLine="420" w:firstLineChars="200"/>
        <w:jc w:val="left"/>
        <w:rPr>
          <w:rFonts w:cs="宋体"/>
          <w:sz w:val="21"/>
          <w:szCs w:val="21"/>
          <w:highlight w:val="none"/>
        </w:rPr>
      </w:pPr>
    </w:p>
    <w:p w14:paraId="5E497488">
      <w:pPr>
        <w:widowControl/>
        <w:spacing w:line="360" w:lineRule="auto"/>
        <w:ind w:firstLine="420" w:firstLineChars="200"/>
        <w:jc w:val="left"/>
        <w:rPr>
          <w:rFonts w:cs="宋体"/>
          <w:sz w:val="21"/>
          <w:szCs w:val="21"/>
          <w:highlight w:val="none"/>
        </w:rPr>
      </w:pPr>
      <w:r>
        <w:rPr>
          <w:rFonts w:hint="eastAsia" w:cs="宋体"/>
          <w:sz w:val="21"/>
          <w:szCs w:val="21"/>
          <w:highlight w:val="none"/>
        </w:rPr>
        <w:t>廉政监督联系人                        廉政监督联系人</w:t>
      </w:r>
    </w:p>
    <w:p w14:paraId="120DE9D5">
      <w:pPr>
        <w:widowControl/>
        <w:spacing w:line="360" w:lineRule="auto"/>
        <w:ind w:firstLine="420" w:firstLineChars="200"/>
        <w:jc w:val="left"/>
        <w:rPr>
          <w:rFonts w:cs="宋体"/>
          <w:sz w:val="21"/>
          <w:szCs w:val="21"/>
          <w:highlight w:val="none"/>
        </w:rPr>
      </w:pPr>
      <w:r>
        <w:rPr>
          <w:rFonts w:hint="eastAsia" w:cs="宋体"/>
          <w:sz w:val="21"/>
          <w:szCs w:val="21"/>
          <w:highlight w:val="none"/>
        </w:rPr>
        <w:t>姓名：</w:t>
      </w:r>
      <w:r>
        <w:rPr>
          <w:rFonts w:hint="eastAsia" w:cs="宋体"/>
          <w:sz w:val="21"/>
          <w:szCs w:val="21"/>
          <w:highlight w:val="none"/>
          <w:u w:val="single"/>
        </w:rPr>
        <w:t xml:space="preserve">                       </w:t>
      </w:r>
      <w:r>
        <w:rPr>
          <w:rFonts w:hint="eastAsia" w:cs="宋体"/>
          <w:sz w:val="21"/>
          <w:szCs w:val="21"/>
          <w:highlight w:val="none"/>
        </w:rPr>
        <w:t xml:space="preserve">         姓名：</w:t>
      </w:r>
      <w:r>
        <w:rPr>
          <w:rFonts w:hint="eastAsia" w:cs="宋体"/>
          <w:sz w:val="21"/>
          <w:szCs w:val="21"/>
          <w:highlight w:val="none"/>
          <w:u w:val="single"/>
        </w:rPr>
        <w:t xml:space="preserve">                     </w:t>
      </w:r>
    </w:p>
    <w:p w14:paraId="16ECA5E9">
      <w:pPr>
        <w:widowControl/>
        <w:spacing w:line="360" w:lineRule="auto"/>
        <w:ind w:firstLine="420" w:firstLineChars="200"/>
        <w:jc w:val="left"/>
        <w:rPr>
          <w:rFonts w:cs="宋体"/>
          <w:sz w:val="21"/>
          <w:szCs w:val="21"/>
          <w:highlight w:val="none"/>
        </w:rPr>
      </w:pPr>
      <w:r>
        <w:rPr>
          <w:rFonts w:hint="eastAsia" w:cs="宋体"/>
          <w:sz w:val="21"/>
          <w:szCs w:val="21"/>
          <w:highlight w:val="none"/>
        </w:rPr>
        <w:t>签字：</w:t>
      </w:r>
      <w:r>
        <w:rPr>
          <w:rFonts w:hint="eastAsia" w:cs="宋体"/>
          <w:sz w:val="21"/>
          <w:szCs w:val="21"/>
          <w:highlight w:val="none"/>
          <w:u w:val="single"/>
        </w:rPr>
        <w:t xml:space="preserve">                       </w:t>
      </w:r>
      <w:r>
        <w:rPr>
          <w:rFonts w:hint="eastAsia" w:cs="宋体"/>
          <w:sz w:val="21"/>
          <w:szCs w:val="21"/>
          <w:highlight w:val="none"/>
        </w:rPr>
        <w:t xml:space="preserve">         签字：</w:t>
      </w:r>
      <w:r>
        <w:rPr>
          <w:rFonts w:hint="eastAsia" w:cs="宋体"/>
          <w:sz w:val="21"/>
          <w:szCs w:val="21"/>
          <w:highlight w:val="none"/>
          <w:u w:val="single"/>
        </w:rPr>
        <w:t xml:space="preserve">                     </w:t>
      </w:r>
    </w:p>
    <w:p w14:paraId="259C494A">
      <w:pPr>
        <w:widowControl/>
        <w:spacing w:line="360" w:lineRule="auto"/>
        <w:ind w:firstLine="420" w:firstLineChars="200"/>
        <w:jc w:val="left"/>
        <w:rPr>
          <w:rFonts w:cs="宋体"/>
          <w:sz w:val="21"/>
          <w:szCs w:val="21"/>
          <w:highlight w:val="none"/>
        </w:rPr>
      </w:pPr>
      <w:r>
        <w:rPr>
          <w:rFonts w:hint="eastAsia" w:cs="宋体"/>
          <w:sz w:val="21"/>
          <w:szCs w:val="21"/>
          <w:highlight w:val="none"/>
        </w:rPr>
        <w:t>电话：</w:t>
      </w:r>
      <w:r>
        <w:rPr>
          <w:rFonts w:hint="eastAsia" w:cs="宋体"/>
          <w:sz w:val="21"/>
          <w:szCs w:val="21"/>
          <w:highlight w:val="none"/>
          <w:u w:val="single"/>
        </w:rPr>
        <w:t xml:space="preserve">                       </w:t>
      </w:r>
      <w:r>
        <w:rPr>
          <w:rFonts w:hint="eastAsia" w:cs="宋体"/>
          <w:sz w:val="21"/>
          <w:szCs w:val="21"/>
          <w:highlight w:val="none"/>
        </w:rPr>
        <w:t xml:space="preserve">         电话：</w:t>
      </w:r>
      <w:r>
        <w:rPr>
          <w:rFonts w:hint="eastAsia" w:cs="宋体"/>
          <w:sz w:val="21"/>
          <w:szCs w:val="21"/>
          <w:highlight w:val="none"/>
          <w:u w:val="single"/>
        </w:rPr>
        <w:t xml:space="preserve">                     </w:t>
      </w:r>
    </w:p>
    <w:p w14:paraId="59ACFE3D">
      <w:pPr>
        <w:widowControl/>
        <w:spacing w:line="360" w:lineRule="auto"/>
        <w:ind w:firstLine="420" w:firstLineChars="200"/>
        <w:jc w:val="left"/>
        <w:rPr>
          <w:rFonts w:cs="宋体"/>
          <w:sz w:val="21"/>
          <w:szCs w:val="21"/>
          <w:highlight w:val="none"/>
        </w:rPr>
      </w:pPr>
      <w:r>
        <w:rPr>
          <w:rFonts w:hint="eastAsia" w:cs="宋体"/>
          <w:sz w:val="21"/>
          <w:szCs w:val="21"/>
          <w:highlight w:val="none"/>
        </w:rPr>
        <w:t>地址：</w:t>
      </w:r>
      <w:r>
        <w:rPr>
          <w:rFonts w:hint="eastAsia" w:cs="宋体"/>
          <w:sz w:val="21"/>
          <w:szCs w:val="21"/>
          <w:highlight w:val="none"/>
          <w:u w:val="single"/>
        </w:rPr>
        <w:t xml:space="preserve">                       </w:t>
      </w:r>
      <w:r>
        <w:rPr>
          <w:rFonts w:hint="eastAsia" w:cs="宋体"/>
          <w:sz w:val="21"/>
          <w:szCs w:val="21"/>
          <w:highlight w:val="none"/>
        </w:rPr>
        <w:t xml:space="preserve">         地址：</w:t>
      </w:r>
      <w:r>
        <w:rPr>
          <w:rFonts w:hint="eastAsia" w:cs="宋体"/>
          <w:sz w:val="21"/>
          <w:szCs w:val="21"/>
          <w:highlight w:val="none"/>
          <w:u w:val="single"/>
        </w:rPr>
        <w:t xml:space="preserve">                     </w:t>
      </w:r>
    </w:p>
    <w:p w14:paraId="7430BE18">
      <w:pPr>
        <w:widowControl/>
        <w:spacing w:line="360" w:lineRule="auto"/>
        <w:ind w:firstLine="420" w:firstLineChars="200"/>
        <w:jc w:val="left"/>
        <w:rPr>
          <w:rFonts w:cs="宋体"/>
          <w:sz w:val="21"/>
          <w:szCs w:val="21"/>
          <w:highlight w:val="none"/>
        </w:rPr>
      </w:pPr>
      <w:r>
        <w:rPr>
          <w:rFonts w:hint="eastAsia" w:cs="宋体"/>
          <w:sz w:val="21"/>
          <w:szCs w:val="21"/>
          <w:highlight w:val="none"/>
        </w:rPr>
        <w:t>日期：</w:t>
      </w:r>
      <w:r>
        <w:rPr>
          <w:rFonts w:hint="eastAsia" w:cs="宋体"/>
          <w:sz w:val="21"/>
          <w:szCs w:val="21"/>
          <w:highlight w:val="none"/>
          <w:u w:val="single"/>
        </w:rPr>
        <w:t xml:space="preserve">                       </w:t>
      </w:r>
      <w:r>
        <w:rPr>
          <w:rFonts w:hint="eastAsia" w:cs="宋体"/>
          <w:sz w:val="21"/>
          <w:szCs w:val="21"/>
          <w:highlight w:val="none"/>
        </w:rPr>
        <w:t xml:space="preserve">         日期：</w:t>
      </w:r>
      <w:r>
        <w:rPr>
          <w:rFonts w:hint="eastAsia" w:cs="宋体"/>
          <w:sz w:val="21"/>
          <w:szCs w:val="21"/>
          <w:highlight w:val="none"/>
          <w:u w:val="single"/>
        </w:rPr>
        <w:t xml:space="preserve">                     </w:t>
      </w:r>
    </w:p>
    <w:p w14:paraId="0FBA1ECB">
      <w:pPr>
        <w:spacing w:before="312" w:beforeLines="100" w:after="312" w:afterLines="100"/>
        <w:outlineLvl w:val="2"/>
        <w:rPr>
          <w:rFonts w:ascii="Times New Roman" w:eastAsia="黑体"/>
          <w:szCs w:val="24"/>
          <w:highlight w:val="none"/>
        </w:rPr>
      </w:pPr>
      <w:r>
        <w:rPr>
          <w:rFonts w:hint="eastAsia" w:ascii="Times New Roman" w:eastAsia="黑体"/>
          <w:bCs/>
          <w:szCs w:val="21"/>
          <w:highlight w:val="none"/>
        </w:rPr>
        <w:br w:type="page"/>
      </w:r>
      <w:bookmarkStart w:id="658" w:name="_Toc128950244"/>
      <w:r>
        <w:rPr>
          <w:rFonts w:hint="eastAsia" w:ascii="Times New Roman" w:eastAsia="黑体"/>
          <w:szCs w:val="24"/>
          <w:highlight w:val="none"/>
        </w:rPr>
        <w:t>附件9：履约保证金</w:t>
      </w:r>
      <w:bookmarkEnd w:id="658"/>
    </w:p>
    <w:p w14:paraId="0BB462AD">
      <w:pPr>
        <w:spacing w:line="360" w:lineRule="auto"/>
        <w:jc w:val="center"/>
        <w:rPr>
          <w:rFonts w:cs="宋体"/>
          <w:b/>
          <w:bCs/>
          <w:sz w:val="32"/>
          <w:szCs w:val="32"/>
          <w:highlight w:val="none"/>
        </w:rPr>
      </w:pPr>
      <w:r>
        <w:rPr>
          <w:rFonts w:hint="eastAsia" w:cs="宋体"/>
          <w:b/>
          <w:bCs/>
          <w:sz w:val="32"/>
          <w:szCs w:val="32"/>
          <w:highlight w:val="none"/>
        </w:rPr>
        <w:t>履约保函示范文本</w:t>
      </w:r>
    </w:p>
    <w:p w14:paraId="17F98BBC">
      <w:pPr>
        <w:wordWrap w:val="0"/>
        <w:spacing w:line="360" w:lineRule="auto"/>
        <w:jc w:val="right"/>
        <w:rPr>
          <w:rFonts w:ascii="Times New Roman"/>
          <w:szCs w:val="21"/>
          <w:highlight w:val="none"/>
        </w:rPr>
      </w:pPr>
      <w:r>
        <w:rPr>
          <w:rFonts w:hint="eastAsia" w:ascii="Times New Roman"/>
          <w:szCs w:val="21"/>
          <w:highlight w:val="none"/>
        </w:rPr>
        <w:t>编号：</w:t>
      </w:r>
      <w:r>
        <w:rPr>
          <w:rFonts w:hint="eastAsia" w:ascii="Times New Roman"/>
          <w:szCs w:val="21"/>
          <w:highlight w:val="none"/>
          <w:u w:val="single"/>
        </w:rPr>
        <w:t xml:space="preserve"> </w:t>
      </w:r>
      <w:r>
        <w:rPr>
          <w:rFonts w:ascii="Times New Roman"/>
          <w:szCs w:val="21"/>
          <w:highlight w:val="none"/>
          <w:u w:val="single"/>
        </w:rPr>
        <w:t xml:space="preserve">          </w:t>
      </w:r>
    </w:p>
    <w:p w14:paraId="3BAB8B57">
      <w:pPr>
        <w:spacing w:line="360" w:lineRule="auto"/>
        <w:rPr>
          <w:rFonts w:ascii="Times New Roman"/>
          <w:szCs w:val="21"/>
          <w:highlight w:val="none"/>
        </w:rPr>
      </w:pPr>
    </w:p>
    <w:p w14:paraId="0B0C042D">
      <w:pPr>
        <w:spacing w:line="360" w:lineRule="auto"/>
        <w:rPr>
          <w:rFonts w:cs="宋体"/>
          <w:sz w:val="21"/>
          <w:szCs w:val="21"/>
          <w:highlight w:val="none"/>
        </w:rPr>
      </w:pPr>
      <w:r>
        <w:rPr>
          <w:rFonts w:hint="eastAsia" w:cs="宋体"/>
          <w:sz w:val="21"/>
          <w:szCs w:val="21"/>
          <w:highlight w:val="none"/>
          <w:u w:val="single"/>
        </w:rPr>
        <w:t xml:space="preserve">              </w:t>
      </w:r>
      <w:r>
        <w:rPr>
          <w:rFonts w:hint="eastAsia" w:cs="宋体"/>
          <w:sz w:val="21"/>
          <w:szCs w:val="21"/>
          <w:highlight w:val="none"/>
        </w:rPr>
        <w:t xml:space="preserve">（受益人名称）： </w:t>
      </w:r>
    </w:p>
    <w:p w14:paraId="64E8464B">
      <w:pPr>
        <w:spacing w:line="360" w:lineRule="auto"/>
        <w:ind w:firstLine="420" w:firstLineChars="200"/>
        <w:rPr>
          <w:rFonts w:cs="宋体"/>
          <w:sz w:val="21"/>
          <w:szCs w:val="21"/>
          <w:highlight w:val="none"/>
        </w:rPr>
      </w:pPr>
      <w:r>
        <w:rPr>
          <w:rFonts w:hint="eastAsia" w:cs="宋体"/>
          <w:sz w:val="21"/>
          <w:szCs w:val="21"/>
          <w:highlight w:val="none"/>
        </w:rPr>
        <w:t>鉴于</w:t>
      </w:r>
      <w:r>
        <w:rPr>
          <w:rFonts w:hint="eastAsia" w:cs="宋体"/>
          <w:sz w:val="21"/>
          <w:szCs w:val="21"/>
          <w:highlight w:val="none"/>
          <w:u w:val="single"/>
        </w:rPr>
        <w:t xml:space="preserve">        </w:t>
      </w:r>
      <w:r>
        <w:rPr>
          <w:rFonts w:hint="eastAsia" w:cs="宋体"/>
          <w:sz w:val="21"/>
          <w:szCs w:val="21"/>
          <w:highlight w:val="none"/>
        </w:rPr>
        <w:t>（以下简称“受益人”）与</w:t>
      </w:r>
      <w:r>
        <w:rPr>
          <w:rFonts w:hint="eastAsia" w:cs="宋体"/>
          <w:sz w:val="21"/>
          <w:szCs w:val="21"/>
          <w:highlight w:val="none"/>
          <w:u w:val="single"/>
        </w:rPr>
        <w:t xml:space="preserve">         </w:t>
      </w:r>
      <w:r>
        <w:rPr>
          <w:rFonts w:hint="eastAsia" w:cs="宋体"/>
          <w:sz w:val="21"/>
          <w:szCs w:val="21"/>
          <w:highlight w:val="none"/>
        </w:rPr>
        <w:t>（以下简称“申请人”）于</w:t>
      </w:r>
      <w:r>
        <w:rPr>
          <w:rFonts w:hint="eastAsia" w:cs="宋体"/>
          <w:sz w:val="21"/>
          <w:szCs w:val="21"/>
          <w:highlight w:val="none"/>
          <w:u w:val="single"/>
        </w:rPr>
        <w:t xml:space="preserve">   </w:t>
      </w:r>
      <w:r>
        <w:rPr>
          <w:rFonts w:hint="eastAsia" w:cs="宋体"/>
          <w:sz w:val="21"/>
          <w:szCs w:val="21"/>
          <w:highlight w:val="none"/>
        </w:rPr>
        <w:t>年</w:t>
      </w:r>
      <w:r>
        <w:rPr>
          <w:rFonts w:hint="eastAsia" w:cs="宋体"/>
          <w:sz w:val="21"/>
          <w:szCs w:val="21"/>
          <w:highlight w:val="none"/>
          <w:u w:val="single"/>
        </w:rPr>
        <w:t xml:space="preserve">   </w:t>
      </w:r>
      <w:r>
        <w:rPr>
          <w:rFonts w:hint="eastAsia" w:cs="宋体"/>
          <w:sz w:val="21"/>
          <w:szCs w:val="21"/>
          <w:highlight w:val="none"/>
        </w:rPr>
        <w:t>月</w:t>
      </w:r>
      <w:r>
        <w:rPr>
          <w:rFonts w:hint="eastAsia" w:cs="宋体"/>
          <w:sz w:val="21"/>
          <w:szCs w:val="21"/>
          <w:highlight w:val="none"/>
          <w:u w:val="single"/>
        </w:rPr>
        <w:t xml:space="preserve">   </w:t>
      </w:r>
      <w:r>
        <w:rPr>
          <w:rFonts w:hint="eastAsia" w:cs="宋体"/>
          <w:sz w:val="21"/>
          <w:szCs w:val="21"/>
          <w:highlight w:val="none"/>
        </w:rPr>
        <w:t>日就</w:t>
      </w:r>
      <w:r>
        <w:rPr>
          <w:rFonts w:hint="eastAsia" w:cs="宋体"/>
          <w:snapToGrid w:val="0"/>
          <w:sz w:val="21"/>
          <w:szCs w:val="21"/>
          <w:highlight w:val="none"/>
          <w:u w:val="single"/>
        </w:rPr>
        <w:t xml:space="preserve">        </w:t>
      </w:r>
      <w:r>
        <w:rPr>
          <w:rFonts w:hint="eastAsia" w:cs="宋体"/>
          <w:snapToGrid w:val="0"/>
          <w:sz w:val="21"/>
          <w:szCs w:val="21"/>
          <w:highlight w:val="none"/>
        </w:rPr>
        <w:t>（项目编号）的</w:t>
      </w:r>
      <w:r>
        <w:rPr>
          <w:rFonts w:hint="eastAsia" w:cs="宋体"/>
          <w:snapToGrid w:val="0"/>
          <w:sz w:val="21"/>
          <w:szCs w:val="21"/>
          <w:highlight w:val="none"/>
          <w:u w:val="single"/>
        </w:rPr>
        <w:t xml:space="preserve">         </w:t>
      </w:r>
      <w:r>
        <w:rPr>
          <w:rFonts w:hint="eastAsia" w:cs="宋体"/>
          <w:snapToGrid w:val="0"/>
          <w:sz w:val="21"/>
          <w:szCs w:val="21"/>
          <w:highlight w:val="none"/>
        </w:rPr>
        <w:t>（项目名称）</w:t>
      </w:r>
      <w:r>
        <w:rPr>
          <w:rFonts w:hint="eastAsia" w:cs="宋体"/>
          <w:sz w:val="21"/>
          <w:szCs w:val="21"/>
          <w:highlight w:val="none"/>
        </w:rPr>
        <w:t>有关事项协商一致共同签订</w:t>
      </w:r>
      <w:r>
        <w:rPr>
          <w:rFonts w:hint="eastAsia" w:cs="宋体"/>
          <w:sz w:val="21"/>
          <w:szCs w:val="21"/>
          <w:highlight w:val="none"/>
          <w:u w:val="single"/>
        </w:rPr>
        <w:t>《        》</w:t>
      </w:r>
      <w:r>
        <w:rPr>
          <w:rFonts w:hint="eastAsia" w:cs="宋体"/>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7B5FD61D">
      <w:pPr>
        <w:spacing w:line="360" w:lineRule="auto"/>
        <w:ind w:firstLine="420" w:firstLineChars="200"/>
        <w:rPr>
          <w:rFonts w:cs="宋体"/>
          <w:sz w:val="21"/>
          <w:szCs w:val="21"/>
          <w:highlight w:val="none"/>
        </w:rPr>
      </w:pPr>
      <w:r>
        <w:rPr>
          <w:rFonts w:hint="eastAsia" w:cs="宋体"/>
          <w:sz w:val="21"/>
          <w:szCs w:val="21"/>
          <w:highlight w:val="none"/>
        </w:rPr>
        <w:t>一、本保函担保范围：承包人未按照基础合同的约定履行义务，应当向受益人承担的违约责任和赔偿因此造成的损失、利息、律师费、诉讼费用等实现债权的费用。</w:t>
      </w:r>
    </w:p>
    <w:p w14:paraId="03D463DC">
      <w:pPr>
        <w:spacing w:line="360" w:lineRule="auto"/>
        <w:ind w:firstLine="420" w:firstLineChars="200"/>
        <w:rPr>
          <w:rFonts w:cs="宋体"/>
          <w:sz w:val="21"/>
          <w:szCs w:val="21"/>
          <w:highlight w:val="none"/>
        </w:rPr>
      </w:pPr>
      <w:r>
        <w:rPr>
          <w:rFonts w:hint="eastAsia" w:cs="宋体"/>
          <w:sz w:val="21"/>
          <w:szCs w:val="21"/>
          <w:highlight w:val="none"/>
        </w:rPr>
        <w:t>二、本保函担保金额最高不超过人民币（大写）</w:t>
      </w:r>
      <w:r>
        <w:rPr>
          <w:rFonts w:hint="eastAsia" w:cs="宋体"/>
          <w:sz w:val="21"/>
          <w:szCs w:val="21"/>
          <w:highlight w:val="none"/>
          <w:u w:val="single"/>
        </w:rPr>
        <w:t xml:space="preserve">          </w:t>
      </w:r>
      <w:r>
        <w:rPr>
          <w:rFonts w:hint="eastAsia" w:cs="宋体"/>
          <w:sz w:val="21"/>
          <w:szCs w:val="21"/>
          <w:highlight w:val="none"/>
        </w:rPr>
        <w:t>元（¥</w:t>
      </w:r>
      <w:r>
        <w:rPr>
          <w:rFonts w:hint="eastAsia" w:cs="宋体"/>
          <w:sz w:val="21"/>
          <w:szCs w:val="21"/>
          <w:highlight w:val="none"/>
          <w:u w:val="single"/>
        </w:rPr>
        <w:t xml:space="preserve">       </w:t>
      </w:r>
      <w:r>
        <w:rPr>
          <w:rFonts w:hint="eastAsia" w:cs="宋体"/>
          <w:sz w:val="21"/>
          <w:szCs w:val="21"/>
          <w:highlight w:val="none"/>
        </w:rPr>
        <w:t xml:space="preserve">）。 </w:t>
      </w:r>
    </w:p>
    <w:p w14:paraId="2BD2512B">
      <w:pPr>
        <w:spacing w:line="360" w:lineRule="auto"/>
        <w:ind w:firstLine="420" w:firstLineChars="200"/>
        <w:rPr>
          <w:rFonts w:cs="宋体"/>
          <w:sz w:val="21"/>
          <w:szCs w:val="21"/>
          <w:highlight w:val="none"/>
        </w:rPr>
      </w:pPr>
      <w:r>
        <w:rPr>
          <w:rFonts w:hint="eastAsia" w:cs="宋体"/>
          <w:sz w:val="21"/>
          <w:szCs w:val="21"/>
          <w:highlight w:val="none"/>
        </w:rPr>
        <w:t xml:space="preserve">三、本保函有效期自开立之日起至基础合同约定的缺陷责任期满之日止。 </w:t>
      </w:r>
    </w:p>
    <w:p w14:paraId="0AC007B1">
      <w:pPr>
        <w:spacing w:line="360" w:lineRule="auto"/>
        <w:ind w:firstLine="480"/>
        <w:rPr>
          <w:rFonts w:cs="宋体"/>
          <w:sz w:val="21"/>
          <w:szCs w:val="21"/>
          <w:highlight w:val="none"/>
        </w:rPr>
      </w:pPr>
      <w:bookmarkStart w:id="659" w:name="_Hlk40302764"/>
      <w:r>
        <w:rPr>
          <w:rFonts w:hint="eastAsia" w:cs="宋体"/>
          <w:sz w:val="21"/>
          <w:szCs w:val="21"/>
          <w:highlight w:val="none"/>
        </w:rPr>
        <w:t>四、开立人承诺，在收到受益人发来的书面付款通知后的七日内无条件支付，前述书面付款通知即为付款要求之单据，且应满足以下要求：</w:t>
      </w:r>
    </w:p>
    <w:bookmarkEnd w:id="659"/>
    <w:p w14:paraId="1E7F72D9">
      <w:pPr>
        <w:spacing w:line="360" w:lineRule="auto"/>
        <w:ind w:firstLine="420" w:firstLineChars="200"/>
        <w:rPr>
          <w:rFonts w:cs="宋体"/>
          <w:sz w:val="21"/>
          <w:szCs w:val="21"/>
          <w:highlight w:val="none"/>
        </w:rPr>
      </w:pPr>
      <w:r>
        <w:rPr>
          <w:rFonts w:hint="eastAsia" w:cs="宋体"/>
          <w:sz w:val="21"/>
          <w:szCs w:val="21"/>
          <w:highlight w:val="none"/>
        </w:rPr>
        <w:t>（1）付款通知到达的日期在本保函的有效期内；</w:t>
      </w:r>
    </w:p>
    <w:p w14:paraId="20E8EC0C">
      <w:pPr>
        <w:spacing w:line="360" w:lineRule="auto"/>
        <w:ind w:firstLine="420" w:firstLineChars="200"/>
        <w:rPr>
          <w:rFonts w:cs="宋体"/>
          <w:sz w:val="21"/>
          <w:szCs w:val="21"/>
          <w:highlight w:val="none"/>
        </w:rPr>
      </w:pPr>
      <w:r>
        <w:rPr>
          <w:rFonts w:hint="eastAsia" w:cs="宋体"/>
          <w:sz w:val="21"/>
          <w:szCs w:val="21"/>
          <w:highlight w:val="none"/>
        </w:rPr>
        <w:t>（2）载明要求支付的金额；</w:t>
      </w:r>
    </w:p>
    <w:p w14:paraId="375F70C2">
      <w:pPr>
        <w:spacing w:line="360" w:lineRule="auto"/>
        <w:ind w:firstLine="420" w:firstLineChars="200"/>
        <w:rPr>
          <w:rFonts w:cs="宋体"/>
          <w:sz w:val="21"/>
          <w:szCs w:val="21"/>
          <w:highlight w:val="none"/>
        </w:rPr>
      </w:pPr>
      <w:r>
        <w:rPr>
          <w:rFonts w:hint="eastAsia" w:cs="宋体"/>
          <w:sz w:val="21"/>
          <w:szCs w:val="21"/>
          <w:highlight w:val="none"/>
        </w:rPr>
        <w:t>（3）载明申请人违反合同义务的条款和内容；</w:t>
      </w:r>
    </w:p>
    <w:p w14:paraId="78969A8D">
      <w:pPr>
        <w:spacing w:line="360" w:lineRule="auto"/>
        <w:ind w:firstLine="420" w:firstLineChars="200"/>
        <w:rPr>
          <w:rFonts w:cs="宋体"/>
          <w:sz w:val="21"/>
          <w:szCs w:val="21"/>
          <w:highlight w:val="none"/>
        </w:rPr>
      </w:pPr>
      <w:r>
        <w:rPr>
          <w:rFonts w:hint="eastAsia" w:cs="宋体"/>
          <w:sz w:val="21"/>
          <w:szCs w:val="21"/>
          <w:highlight w:val="none"/>
        </w:rPr>
        <w:t>（4）声明不存在合同文件约定或我国法律规定免除申请人或开立人支付责任的情形；</w:t>
      </w:r>
    </w:p>
    <w:p w14:paraId="24642DAF">
      <w:pPr>
        <w:spacing w:line="360" w:lineRule="auto"/>
        <w:ind w:firstLine="420" w:firstLineChars="200"/>
        <w:rPr>
          <w:rFonts w:cs="宋体"/>
          <w:sz w:val="21"/>
          <w:szCs w:val="21"/>
          <w:highlight w:val="none"/>
        </w:rPr>
      </w:pPr>
      <w:r>
        <w:rPr>
          <w:rFonts w:hint="eastAsia" w:cs="宋体"/>
          <w:sz w:val="21"/>
          <w:szCs w:val="21"/>
          <w:highlight w:val="none"/>
        </w:rPr>
        <w:t>（5）付款通知应在本保函有效期内到达的地址是：</w:t>
      </w:r>
      <w:r>
        <w:rPr>
          <w:rFonts w:hint="eastAsia" w:cs="宋体"/>
          <w:sz w:val="21"/>
          <w:szCs w:val="21"/>
          <w:highlight w:val="none"/>
          <w:u w:val="single"/>
        </w:rPr>
        <w:t xml:space="preserve">             </w:t>
      </w:r>
      <w:r>
        <w:rPr>
          <w:rFonts w:hint="eastAsia" w:cs="宋体"/>
          <w:sz w:val="21"/>
          <w:szCs w:val="21"/>
          <w:highlight w:val="none"/>
        </w:rPr>
        <w:t>。</w:t>
      </w:r>
    </w:p>
    <w:p w14:paraId="26E5D2FF">
      <w:pPr>
        <w:spacing w:line="360" w:lineRule="auto"/>
        <w:ind w:firstLine="420" w:firstLineChars="200"/>
        <w:rPr>
          <w:rFonts w:cs="宋体"/>
          <w:sz w:val="21"/>
          <w:szCs w:val="21"/>
          <w:highlight w:val="none"/>
        </w:rPr>
      </w:pPr>
      <w:bookmarkStart w:id="660" w:name="_Hlk40303486"/>
      <w:r>
        <w:rPr>
          <w:rFonts w:hint="eastAsia" w:cs="宋体"/>
          <w:sz w:val="21"/>
          <w:szCs w:val="21"/>
          <w:highlight w:val="none"/>
        </w:rPr>
        <w:t>受益人发出的书面付款通知应由其法定代表人（负责人）或授权代理人签字并加盖公章。</w:t>
      </w:r>
      <w:bookmarkEnd w:id="660"/>
    </w:p>
    <w:p w14:paraId="4997FD99">
      <w:pPr>
        <w:spacing w:line="360" w:lineRule="auto"/>
        <w:ind w:firstLine="420" w:firstLineChars="200"/>
        <w:rPr>
          <w:rFonts w:cs="宋体"/>
          <w:sz w:val="21"/>
          <w:szCs w:val="21"/>
          <w:highlight w:val="none"/>
        </w:rPr>
      </w:pPr>
      <w:r>
        <w:rPr>
          <w:rFonts w:hint="eastAsia" w:cs="宋体"/>
          <w:sz w:val="21"/>
          <w:szCs w:val="21"/>
          <w:highlight w:val="none"/>
        </w:rPr>
        <w:t xml:space="preserve">五、本保函项下的权利不得转让，不得设定担保。受益人未经我方书面同意转 让本保函或其项下任何权利，对我方不发生法律效力。 </w:t>
      </w:r>
    </w:p>
    <w:p w14:paraId="5538E540">
      <w:pPr>
        <w:spacing w:line="360" w:lineRule="auto"/>
        <w:ind w:firstLine="420" w:firstLineChars="200"/>
        <w:rPr>
          <w:rFonts w:cs="宋体"/>
          <w:sz w:val="21"/>
          <w:szCs w:val="21"/>
          <w:highlight w:val="none"/>
        </w:rPr>
      </w:pPr>
      <w:r>
        <w:rPr>
          <w:rFonts w:hint="eastAsia" w:cs="宋体"/>
          <w:sz w:val="21"/>
          <w:szCs w:val="21"/>
          <w:highlight w:val="none"/>
        </w:rPr>
        <w:t xml:space="preserve">六、与本保函有关的基础合同不成立、不生效、无效、被撤销、被解除，不影响本保函的独立有效。 </w:t>
      </w:r>
    </w:p>
    <w:p w14:paraId="116609C6">
      <w:pPr>
        <w:spacing w:line="360" w:lineRule="auto"/>
        <w:ind w:firstLine="420" w:firstLineChars="200"/>
        <w:rPr>
          <w:rFonts w:cs="宋体"/>
          <w:sz w:val="21"/>
          <w:szCs w:val="21"/>
          <w:highlight w:val="none"/>
        </w:rPr>
      </w:pPr>
      <w:bookmarkStart w:id="661" w:name="_Hlk40303383"/>
      <w:bookmarkStart w:id="662" w:name="_Hlk40354981"/>
      <w:r>
        <w:rPr>
          <w:rFonts w:hint="eastAsia" w:cs="宋体"/>
          <w:sz w:val="21"/>
          <w:szCs w:val="21"/>
          <w:highlight w:val="none"/>
        </w:rPr>
        <w:t xml:space="preserve">七、本保函项下的义务和责任均在保函有效期到期后自动消灭。 </w:t>
      </w:r>
    </w:p>
    <w:p w14:paraId="57887EC1">
      <w:pPr>
        <w:spacing w:line="360" w:lineRule="auto"/>
        <w:ind w:firstLine="420" w:firstLineChars="200"/>
        <w:rPr>
          <w:rFonts w:cs="宋体"/>
          <w:sz w:val="21"/>
          <w:szCs w:val="21"/>
          <w:highlight w:val="none"/>
        </w:rPr>
      </w:pPr>
      <w:r>
        <w:rPr>
          <w:rFonts w:hint="eastAsia" w:cs="宋体"/>
          <w:sz w:val="21"/>
          <w:szCs w:val="21"/>
          <w:highlight w:val="none"/>
        </w:rPr>
        <w:t>八、本保函适用的法律为中华人民共和国法律，因本保函产生的纠纷案件，</w:t>
      </w:r>
      <w:bookmarkEnd w:id="661"/>
      <w:r>
        <w:rPr>
          <w:rFonts w:hint="eastAsia" w:cs="宋体"/>
          <w:sz w:val="21"/>
          <w:szCs w:val="21"/>
          <w:highlight w:val="none"/>
        </w:rPr>
        <w:t xml:space="preserve">由受益人所在地人民法院管辖。 </w:t>
      </w:r>
    </w:p>
    <w:bookmarkEnd w:id="662"/>
    <w:p w14:paraId="56B6BD77">
      <w:pPr>
        <w:spacing w:line="360" w:lineRule="auto"/>
        <w:ind w:firstLine="420" w:firstLineChars="200"/>
        <w:rPr>
          <w:rFonts w:cs="宋体"/>
          <w:sz w:val="21"/>
          <w:szCs w:val="21"/>
          <w:highlight w:val="none"/>
        </w:rPr>
      </w:pPr>
      <w:r>
        <w:rPr>
          <w:rFonts w:hint="eastAsia" w:cs="宋体"/>
          <w:sz w:val="21"/>
          <w:szCs w:val="21"/>
          <w:highlight w:val="none"/>
        </w:rPr>
        <w:t xml:space="preserve">九、本保函自我方法定代表人或授权代表签字并加盖公章之日起生效。 </w:t>
      </w:r>
    </w:p>
    <w:p w14:paraId="6C1D1542">
      <w:pPr>
        <w:spacing w:line="360" w:lineRule="auto"/>
        <w:ind w:firstLine="420" w:firstLineChars="200"/>
        <w:rPr>
          <w:rFonts w:cs="宋体"/>
          <w:sz w:val="21"/>
          <w:szCs w:val="21"/>
          <w:highlight w:val="none"/>
        </w:rPr>
      </w:pPr>
    </w:p>
    <w:p w14:paraId="1BC69DBD">
      <w:pPr>
        <w:spacing w:line="360" w:lineRule="auto"/>
        <w:ind w:firstLine="420" w:firstLineChars="200"/>
        <w:rPr>
          <w:rFonts w:cs="宋体"/>
          <w:sz w:val="21"/>
          <w:szCs w:val="21"/>
          <w:highlight w:val="none"/>
        </w:rPr>
      </w:pPr>
    </w:p>
    <w:p w14:paraId="45C2DD80">
      <w:pPr>
        <w:spacing w:line="360" w:lineRule="auto"/>
        <w:ind w:firstLine="420" w:firstLineChars="200"/>
        <w:rPr>
          <w:rFonts w:cs="宋体"/>
          <w:sz w:val="21"/>
          <w:szCs w:val="21"/>
          <w:highlight w:val="none"/>
        </w:rPr>
      </w:pPr>
    </w:p>
    <w:p w14:paraId="05401363">
      <w:pPr>
        <w:spacing w:line="360" w:lineRule="auto"/>
        <w:ind w:firstLine="420" w:firstLineChars="200"/>
        <w:rPr>
          <w:rFonts w:cs="宋体"/>
          <w:sz w:val="21"/>
          <w:szCs w:val="21"/>
          <w:highlight w:val="none"/>
        </w:rPr>
      </w:pPr>
      <w:r>
        <w:rPr>
          <w:rFonts w:hint="eastAsia" w:cs="宋体"/>
          <w:sz w:val="21"/>
          <w:szCs w:val="21"/>
          <w:highlight w:val="none"/>
        </w:rPr>
        <w:t>开 立 人：</w:t>
      </w:r>
      <w:r>
        <w:rPr>
          <w:rFonts w:hint="eastAsia" w:cs="宋体"/>
          <w:sz w:val="21"/>
          <w:szCs w:val="21"/>
          <w:highlight w:val="none"/>
          <w:u w:val="single"/>
        </w:rPr>
        <w:t xml:space="preserve">                              </w:t>
      </w:r>
      <w:r>
        <w:rPr>
          <w:rFonts w:hint="eastAsia" w:cs="宋体"/>
          <w:sz w:val="21"/>
          <w:szCs w:val="21"/>
          <w:highlight w:val="none"/>
        </w:rPr>
        <w:t xml:space="preserve">（公章） </w:t>
      </w:r>
    </w:p>
    <w:p w14:paraId="2EB1C96F">
      <w:pPr>
        <w:spacing w:line="360" w:lineRule="auto"/>
        <w:ind w:firstLine="420" w:firstLineChars="200"/>
        <w:rPr>
          <w:rFonts w:cs="宋体"/>
          <w:sz w:val="21"/>
          <w:szCs w:val="21"/>
          <w:highlight w:val="none"/>
        </w:rPr>
      </w:pPr>
      <w:r>
        <w:rPr>
          <w:rFonts w:hint="eastAsia" w:cs="宋体"/>
          <w:sz w:val="21"/>
          <w:szCs w:val="21"/>
          <w:highlight w:val="none"/>
        </w:rPr>
        <w:t>法定代表人（或授权代表）：</w:t>
      </w:r>
      <w:r>
        <w:rPr>
          <w:rFonts w:hint="eastAsia" w:cs="宋体"/>
          <w:sz w:val="21"/>
          <w:szCs w:val="21"/>
          <w:highlight w:val="none"/>
          <w:u w:val="single"/>
        </w:rPr>
        <w:t xml:space="preserve">               </w:t>
      </w:r>
      <w:r>
        <w:rPr>
          <w:rFonts w:hint="eastAsia" w:cs="宋体"/>
          <w:sz w:val="21"/>
          <w:szCs w:val="21"/>
          <w:highlight w:val="none"/>
        </w:rPr>
        <w:t xml:space="preserve">（签字） </w:t>
      </w:r>
    </w:p>
    <w:p w14:paraId="54391442">
      <w:pPr>
        <w:spacing w:line="360" w:lineRule="auto"/>
        <w:ind w:firstLine="420" w:firstLineChars="200"/>
        <w:rPr>
          <w:rFonts w:cs="宋体"/>
          <w:sz w:val="21"/>
          <w:szCs w:val="21"/>
          <w:highlight w:val="none"/>
        </w:rPr>
      </w:pPr>
      <w:r>
        <w:rPr>
          <w:rFonts w:hint="eastAsia" w:cs="宋体"/>
          <w:sz w:val="21"/>
          <w:szCs w:val="21"/>
          <w:highlight w:val="none"/>
        </w:rPr>
        <w:t>地    址：</w:t>
      </w:r>
      <w:r>
        <w:rPr>
          <w:rFonts w:hint="eastAsia" w:cs="宋体"/>
          <w:sz w:val="21"/>
          <w:szCs w:val="21"/>
          <w:highlight w:val="none"/>
          <w:u w:val="single"/>
        </w:rPr>
        <w:t xml:space="preserve">                                       </w:t>
      </w:r>
    </w:p>
    <w:p w14:paraId="5E379100">
      <w:pPr>
        <w:spacing w:line="360" w:lineRule="auto"/>
        <w:ind w:firstLine="420" w:firstLineChars="200"/>
        <w:rPr>
          <w:rFonts w:cs="宋体"/>
          <w:sz w:val="21"/>
          <w:szCs w:val="21"/>
          <w:highlight w:val="none"/>
        </w:rPr>
      </w:pPr>
      <w:r>
        <w:rPr>
          <w:rFonts w:hint="eastAsia" w:cs="宋体"/>
          <w:sz w:val="21"/>
          <w:szCs w:val="21"/>
          <w:highlight w:val="none"/>
        </w:rPr>
        <w:t>邮政编码：</w:t>
      </w:r>
      <w:r>
        <w:rPr>
          <w:rFonts w:hint="eastAsia" w:cs="宋体"/>
          <w:sz w:val="21"/>
          <w:szCs w:val="21"/>
          <w:highlight w:val="none"/>
          <w:u w:val="single"/>
        </w:rPr>
        <w:t xml:space="preserve">                 </w:t>
      </w:r>
    </w:p>
    <w:p w14:paraId="1D213793">
      <w:pPr>
        <w:spacing w:line="360" w:lineRule="auto"/>
        <w:ind w:firstLine="420" w:firstLineChars="200"/>
        <w:rPr>
          <w:rFonts w:cs="宋体"/>
          <w:sz w:val="21"/>
          <w:szCs w:val="21"/>
          <w:highlight w:val="none"/>
        </w:rPr>
      </w:pPr>
      <w:r>
        <w:rPr>
          <w:rFonts w:hint="eastAsia" w:cs="宋体"/>
          <w:sz w:val="21"/>
          <w:szCs w:val="21"/>
          <w:highlight w:val="none"/>
        </w:rPr>
        <w:t>电    话：</w:t>
      </w:r>
      <w:r>
        <w:rPr>
          <w:rFonts w:hint="eastAsia" w:cs="宋体"/>
          <w:sz w:val="21"/>
          <w:szCs w:val="21"/>
          <w:highlight w:val="none"/>
          <w:u w:val="single"/>
        </w:rPr>
        <w:t xml:space="preserve">                 </w:t>
      </w:r>
    </w:p>
    <w:p w14:paraId="64AF3AB4">
      <w:pPr>
        <w:spacing w:line="360" w:lineRule="auto"/>
        <w:ind w:firstLine="420" w:firstLineChars="200"/>
        <w:rPr>
          <w:rFonts w:cs="宋体"/>
          <w:sz w:val="21"/>
          <w:szCs w:val="21"/>
          <w:highlight w:val="none"/>
          <w:u w:val="single"/>
        </w:rPr>
      </w:pPr>
      <w:r>
        <w:rPr>
          <w:rFonts w:hint="eastAsia" w:cs="宋体"/>
          <w:sz w:val="21"/>
          <w:szCs w:val="21"/>
          <w:highlight w:val="none"/>
        </w:rPr>
        <w:t>传    真：</w:t>
      </w:r>
      <w:r>
        <w:rPr>
          <w:rFonts w:hint="eastAsia" w:cs="宋体"/>
          <w:sz w:val="21"/>
          <w:szCs w:val="21"/>
          <w:highlight w:val="none"/>
          <w:u w:val="single"/>
        </w:rPr>
        <w:t xml:space="preserve">                 </w:t>
      </w:r>
    </w:p>
    <w:p w14:paraId="44BF2642">
      <w:pPr>
        <w:spacing w:line="360" w:lineRule="auto"/>
        <w:ind w:left="1303" w:leftChars="200" w:hanging="903" w:hangingChars="430"/>
        <w:rPr>
          <w:rFonts w:cs="宋体"/>
          <w:sz w:val="21"/>
          <w:szCs w:val="21"/>
          <w:highlight w:val="none"/>
        </w:rPr>
      </w:pPr>
      <w:r>
        <w:rPr>
          <w:rFonts w:hint="eastAsia" w:cs="宋体"/>
          <w:sz w:val="21"/>
          <w:szCs w:val="21"/>
          <w:highlight w:val="none"/>
        </w:rPr>
        <w:t>开立时间：</w:t>
      </w:r>
      <w:r>
        <w:rPr>
          <w:rFonts w:hint="eastAsia" w:cs="宋体"/>
          <w:sz w:val="21"/>
          <w:szCs w:val="21"/>
          <w:highlight w:val="none"/>
          <w:u w:val="single"/>
        </w:rPr>
        <w:t xml:space="preserve">      </w:t>
      </w:r>
      <w:r>
        <w:rPr>
          <w:rFonts w:hint="eastAsia" w:cs="宋体"/>
          <w:sz w:val="21"/>
          <w:szCs w:val="21"/>
          <w:highlight w:val="none"/>
        </w:rPr>
        <w:t>年</w:t>
      </w:r>
      <w:r>
        <w:rPr>
          <w:rFonts w:hint="eastAsia" w:cs="宋体"/>
          <w:sz w:val="21"/>
          <w:szCs w:val="21"/>
          <w:highlight w:val="none"/>
          <w:u w:val="single"/>
        </w:rPr>
        <w:t xml:space="preserve">      </w:t>
      </w:r>
      <w:r>
        <w:rPr>
          <w:rFonts w:hint="eastAsia" w:cs="宋体"/>
          <w:sz w:val="21"/>
          <w:szCs w:val="21"/>
          <w:highlight w:val="none"/>
        </w:rPr>
        <w:t>月</w:t>
      </w:r>
      <w:r>
        <w:rPr>
          <w:rFonts w:hint="eastAsia" w:cs="宋体"/>
          <w:sz w:val="21"/>
          <w:szCs w:val="21"/>
          <w:highlight w:val="none"/>
          <w:u w:val="single"/>
        </w:rPr>
        <w:t xml:space="preserve">    </w:t>
      </w:r>
      <w:r>
        <w:rPr>
          <w:rFonts w:hint="eastAsia" w:cs="宋体"/>
          <w:sz w:val="21"/>
          <w:szCs w:val="21"/>
          <w:highlight w:val="none"/>
        </w:rPr>
        <w:t>日</w:t>
      </w:r>
    </w:p>
    <w:p w14:paraId="1165E05A">
      <w:pPr>
        <w:spacing w:before="312" w:beforeLines="100" w:after="312" w:afterLines="100"/>
        <w:outlineLvl w:val="2"/>
        <w:rPr>
          <w:rFonts w:ascii="Times New Roman" w:eastAsia="黑体"/>
          <w:szCs w:val="24"/>
          <w:highlight w:val="none"/>
        </w:rPr>
      </w:pPr>
      <w:r>
        <w:rPr>
          <w:rFonts w:ascii="Times New Roman" w:eastAsia="黑体"/>
          <w:bCs/>
          <w:highlight w:val="none"/>
        </w:rPr>
        <w:br w:type="page"/>
      </w:r>
      <w:bookmarkStart w:id="663" w:name="_Toc128950245"/>
      <w:r>
        <w:rPr>
          <w:rFonts w:hint="eastAsia" w:ascii="Times New Roman" w:eastAsia="黑体"/>
          <w:szCs w:val="24"/>
          <w:highlight w:val="none"/>
        </w:rPr>
        <w:t>附</w:t>
      </w:r>
      <w:bookmarkStart w:id="664" w:name="_Toc296891272"/>
      <w:bookmarkStart w:id="665" w:name="_Toc296347231"/>
      <w:bookmarkStart w:id="666" w:name="_Toc296503232"/>
      <w:bookmarkStart w:id="667" w:name="_Toc296891060"/>
      <w:bookmarkStart w:id="668" w:name="_Toc296346733"/>
      <w:bookmarkStart w:id="669" w:name="_Toc267261702"/>
      <w:bookmarkStart w:id="670" w:name="_Toc296944571"/>
      <w:r>
        <w:rPr>
          <w:rFonts w:hint="eastAsia" w:ascii="Times New Roman" w:eastAsia="黑体"/>
          <w:szCs w:val="24"/>
          <w:highlight w:val="none"/>
        </w:rPr>
        <w:t>件10：预付款担保</w:t>
      </w:r>
      <w:bookmarkEnd w:id="663"/>
    </w:p>
    <w:bookmarkEnd w:id="664"/>
    <w:bookmarkEnd w:id="665"/>
    <w:bookmarkEnd w:id="666"/>
    <w:bookmarkEnd w:id="667"/>
    <w:bookmarkEnd w:id="668"/>
    <w:bookmarkEnd w:id="669"/>
    <w:bookmarkEnd w:id="670"/>
    <w:p w14:paraId="51988C6B">
      <w:pPr>
        <w:spacing w:line="360" w:lineRule="auto"/>
        <w:jc w:val="center"/>
        <w:rPr>
          <w:rFonts w:cs="宋体"/>
          <w:b/>
          <w:bCs/>
          <w:sz w:val="32"/>
          <w:szCs w:val="32"/>
          <w:highlight w:val="none"/>
        </w:rPr>
      </w:pPr>
      <w:r>
        <w:rPr>
          <w:rFonts w:hint="eastAsia" w:cs="宋体"/>
          <w:b/>
          <w:bCs/>
          <w:sz w:val="32"/>
          <w:szCs w:val="32"/>
          <w:highlight w:val="none"/>
        </w:rPr>
        <w:t>预付款保函示范文本</w:t>
      </w:r>
    </w:p>
    <w:p w14:paraId="528673CB">
      <w:pPr>
        <w:wordWrap w:val="0"/>
        <w:spacing w:line="360" w:lineRule="auto"/>
        <w:jc w:val="right"/>
        <w:rPr>
          <w:rFonts w:ascii="Times New Roman"/>
          <w:szCs w:val="21"/>
          <w:highlight w:val="none"/>
        </w:rPr>
      </w:pPr>
      <w:r>
        <w:rPr>
          <w:rFonts w:hint="eastAsia" w:ascii="Times New Roman"/>
          <w:szCs w:val="21"/>
          <w:highlight w:val="none"/>
        </w:rPr>
        <w:t>编号：</w:t>
      </w:r>
      <w:r>
        <w:rPr>
          <w:rFonts w:hint="eastAsia" w:ascii="Times New Roman"/>
          <w:szCs w:val="21"/>
          <w:highlight w:val="none"/>
          <w:u w:val="single"/>
        </w:rPr>
        <w:t xml:space="preserve"> </w:t>
      </w:r>
      <w:r>
        <w:rPr>
          <w:rFonts w:ascii="Times New Roman"/>
          <w:szCs w:val="21"/>
          <w:highlight w:val="none"/>
          <w:u w:val="single"/>
        </w:rPr>
        <w:t xml:space="preserve">          </w:t>
      </w:r>
    </w:p>
    <w:p w14:paraId="4E7E7800">
      <w:pPr>
        <w:spacing w:line="360" w:lineRule="auto"/>
        <w:rPr>
          <w:rFonts w:ascii="Times New Roman"/>
          <w:szCs w:val="21"/>
          <w:highlight w:val="none"/>
        </w:rPr>
      </w:pPr>
    </w:p>
    <w:p w14:paraId="537090D1">
      <w:pPr>
        <w:spacing w:line="360" w:lineRule="auto"/>
        <w:rPr>
          <w:rFonts w:cs="宋体"/>
          <w:sz w:val="21"/>
          <w:szCs w:val="21"/>
          <w:highlight w:val="none"/>
        </w:rPr>
      </w:pPr>
      <w:r>
        <w:rPr>
          <w:rFonts w:hint="eastAsia" w:cs="宋体"/>
          <w:sz w:val="21"/>
          <w:szCs w:val="21"/>
          <w:highlight w:val="none"/>
          <w:u w:val="single"/>
        </w:rPr>
        <w:t xml:space="preserve">              </w:t>
      </w:r>
      <w:r>
        <w:rPr>
          <w:rFonts w:hint="eastAsia" w:cs="宋体"/>
          <w:sz w:val="21"/>
          <w:szCs w:val="21"/>
          <w:highlight w:val="none"/>
        </w:rPr>
        <w:t xml:space="preserve">（受益人名称）： </w:t>
      </w:r>
    </w:p>
    <w:p w14:paraId="0750BCB7">
      <w:pPr>
        <w:spacing w:line="360" w:lineRule="auto"/>
        <w:ind w:firstLine="420" w:firstLineChars="200"/>
        <w:rPr>
          <w:rFonts w:cs="宋体"/>
          <w:sz w:val="21"/>
          <w:szCs w:val="21"/>
          <w:highlight w:val="none"/>
        </w:rPr>
      </w:pPr>
      <w:r>
        <w:rPr>
          <w:rFonts w:hint="eastAsia" w:cs="宋体"/>
          <w:sz w:val="21"/>
          <w:szCs w:val="21"/>
          <w:highlight w:val="none"/>
        </w:rPr>
        <w:t>鉴于</w:t>
      </w:r>
      <w:r>
        <w:rPr>
          <w:rFonts w:hint="eastAsia" w:cs="宋体"/>
          <w:sz w:val="21"/>
          <w:szCs w:val="21"/>
          <w:highlight w:val="none"/>
          <w:u w:val="single"/>
        </w:rPr>
        <w:t xml:space="preserve">     </w:t>
      </w:r>
      <w:r>
        <w:rPr>
          <w:rFonts w:hint="eastAsia" w:cs="宋体"/>
          <w:sz w:val="21"/>
          <w:szCs w:val="21"/>
          <w:highlight w:val="none"/>
        </w:rPr>
        <w:t>（以下简称“受益人”）与</w:t>
      </w:r>
      <w:r>
        <w:rPr>
          <w:rFonts w:hint="eastAsia" w:cs="宋体"/>
          <w:sz w:val="21"/>
          <w:szCs w:val="21"/>
          <w:highlight w:val="none"/>
          <w:u w:val="single"/>
        </w:rPr>
        <w:t xml:space="preserve">     </w:t>
      </w:r>
      <w:r>
        <w:rPr>
          <w:rFonts w:hint="eastAsia" w:cs="宋体"/>
          <w:sz w:val="21"/>
          <w:szCs w:val="21"/>
          <w:highlight w:val="none"/>
        </w:rPr>
        <w:t>（以下简称“申请人”）于</w:t>
      </w:r>
      <w:r>
        <w:rPr>
          <w:rFonts w:hint="eastAsia" w:cs="宋体"/>
          <w:sz w:val="21"/>
          <w:szCs w:val="21"/>
          <w:highlight w:val="none"/>
          <w:u w:val="single"/>
        </w:rPr>
        <w:t xml:space="preserve">    </w:t>
      </w:r>
      <w:r>
        <w:rPr>
          <w:rFonts w:hint="eastAsia" w:cs="宋体"/>
          <w:sz w:val="21"/>
          <w:szCs w:val="21"/>
          <w:highlight w:val="none"/>
        </w:rPr>
        <w:t>年</w:t>
      </w:r>
      <w:r>
        <w:rPr>
          <w:rFonts w:hint="eastAsia" w:cs="宋体"/>
          <w:sz w:val="21"/>
          <w:szCs w:val="21"/>
          <w:highlight w:val="none"/>
          <w:u w:val="single"/>
        </w:rPr>
        <w:t xml:space="preserve">   </w:t>
      </w:r>
      <w:r>
        <w:rPr>
          <w:rFonts w:hint="eastAsia" w:cs="宋体"/>
          <w:sz w:val="21"/>
          <w:szCs w:val="21"/>
          <w:highlight w:val="none"/>
        </w:rPr>
        <w:t>月</w:t>
      </w:r>
      <w:r>
        <w:rPr>
          <w:rFonts w:hint="eastAsia" w:cs="宋体"/>
          <w:sz w:val="21"/>
          <w:szCs w:val="21"/>
          <w:highlight w:val="none"/>
          <w:u w:val="single"/>
        </w:rPr>
        <w:t xml:space="preserve">   </w:t>
      </w:r>
      <w:r>
        <w:rPr>
          <w:rFonts w:hint="eastAsia" w:cs="宋体"/>
          <w:sz w:val="21"/>
          <w:szCs w:val="21"/>
          <w:highlight w:val="none"/>
        </w:rPr>
        <w:t>日就</w:t>
      </w:r>
      <w:r>
        <w:rPr>
          <w:rFonts w:hint="eastAsia" w:cs="宋体"/>
          <w:snapToGrid w:val="0"/>
          <w:sz w:val="21"/>
          <w:szCs w:val="21"/>
          <w:highlight w:val="none"/>
          <w:u w:val="single"/>
        </w:rPr>
        <w:t xml:space="preserve">        </w:t>
      </w:r>
      <w:r>
        <w:rPr>
          <w:rFonts w:hint="eastAsia" w:cs="宋体"/>
          <w:snapToGrid w:val="0"/>
          <w:sz w:val="21"/>
          <w:szCs w:val="21"/>
          <w:highlight w:val="none"/>
        </w:rPr>
        <w:t>（项目编号）的</w:t>
      </w:r>
      <w:r>
        <w:rPr>
          <w:rFonts w:hint="eastAsia" w:cs="宋体"/>
          <w:snapToGrid w:val="0"/>
          <w:sz w:val="21"/>
          <w:szCs w:val="21"/>
          <w:highlight w:val="none"/>
          <w:u w:val="single"/>
        </w:rPr>
        <w:t xml:space="preserve">     </w:t>
      </w:r>
      <w:r>
        <w:rPr>
          <w:rFonts w:hint="eastAsia" w:cs="宋体"/>
          <w:snapToGrid w:val="0"/>
          <w:sz w:val="21"/>
          <w:szCs w:val="21"/>
          <w:highlight w:val="none"/>
        </w:rPr>
        <w:t>（项目名称）</w:t>
      </w:r>
      <w:r>
        <w:rPr>
          <w:rFonts w:hint="eastAsia" w:cs="宋体"/>
          <w:sz w:val="21"/>
          <w:szCs w:val="21"/>
          <w:highlight w:val="none"/>
        </w:rPr>
        <w:t>有关事项协商一致共同签订</w:t>
      </w:r>
      <w:r>
        <w:rPr>
          <w:rFonts w:hint="eastAsia" w:cs="宋体"/>
          <w:sz w:val="21"/>
          <w:szCs w:val="21"/>
          <w:highlight w:val="none"/>
          <w:u w:val="single"/>
        </w:rPr>
        <w:t>《        》</w:t>
      </w:r>
      <w:r>
        <w:rPr>
          <w:rFonts w:hint="eastAsia" w:cs="宋体"/>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17583DF1">
      <w:pPr>
        <w:spacing w:line="360" w:lineRule="auto"/>
        <w:ind w:firstLine="420" w:firstLineChars="200"/>
        <w:rPr>
          <w:rFonts w:cs="宋体"/>
          <w:sz w:val="21"/>
          <w:szCs w:val="21"/>
          <w:highlight w:val="none"/>
        </w:rPr>
      </w:pPr>
      <w:r>
        <w:rPr>
          <w:rFonts w:hint="eastAsia" w:cs="宋体"/>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595197B0">
      <w:pPr>
        <w:spacing w:line="360" w:lineRule="auto"/>
        <w:ind w:firstLine="420" w:firstLineChars="200"/>
        <w:rPr>
          <w:rFonts w:cs="宋体"/>
          <w:sz w:val="21"/>
          <w:szCs w:val="21"/>
          <w:highlight w:val="none"/>
        </w:rPr>
      </w:pPr>
      <w:r>
        <w:rPr>
          <w:rFonts w:hint="eastAsia" w:cs="宋体"/>
          <w:sz w:val="21"/>
          <w:szCs w:val="21"/>
          <w:highlight w:val="none"/>
        </w:rPr>
        <w:t>二、本保函担保金额最高不超过人民币（大写）</w:t>
      </w:r>
      <w:r>
        <w:rPr>
          <w:rFonts w:hint="eastAsia" w:cs="宋体"/>
          <w:sz w:val="21"/>
          <w:szCs w:val="21"/>
          <w:highlight w:val="none"/>
          <w:u w:val="single"/>
        </w:rPr>
        <w:t xml:space="preserve">          </w:t>
      </w:r>
      <w:r>
        <w:rPr>
          <w:rFonts w:hint="eastAsia" w:cs="宋体"/>
          <w:sz w:val="21"/>
          <w:szCs w:val="21"/>
          <w:highlight w:val="none"/>
        </w:rPr>
        <w:t>元（¥</w:t>
      </w:r>
      <w:r>
        <w:rPr>
          <w:rFonts w:hint="eastAsia" w:cs="宋体"/>
          <w:sz w:val="21"/>
          <w:szCs w:val="21"/>
          <w:highlight w:val="none"/>
          <w:u w:val="single"/>
        </w:rPr>
        <w:t xml:space="preserve">       </w:t>
      </w:r>
      <w:r>
        <w:rPr>
          <w:rFonts w:hint="eastAsia" w:cs="宋体"/>
          <w:sz w:val="21"/>
          <w:szCs w:val="21"/>
          <w:highlight w:val="none"/>
        </w:rPr>
        <w:t xml:space="preserve">）。 </w:t>
      </w:r>
    </w:p>
    <w:p w14:paraId="39B431AA">
      <w:pPr>
        <w:spacing w:line="360" w:lineRule="auto"/>
        <w:ind w:firstLine="420" w:firstLineChars="200"/>
        <w:rPr>
          <w:rFonts w:cs="宋体"/>
          <w:sz w:val="21"/>
          <w:szCs w:val="21"/>
          <w:highlight w:val="none"/>
        </w:rPr>
      </w:pPr>
      <w:r>
        <w:rPr>
          <w:rFonts w:hint="eastAsia" w:cs="宋体"/>
          <w:sz w:val="21"/>
          <w:szCs w:val="21"/>
          <w:highlight w:val="none"/>
        </w:rPr>
        <w:t>三、本保函有效期自开立之日起至发包人全额扣回预付款之日止。</w:t>
      </w:r>
    </w:p>
    <w:p w14:paraId="35AC455F">
      <w:pPr>
        <w:spacing w:line="400" w:lineRule="exact"/>
        <w:ind w:firstLine="480"/>
        <w:rPr>
          <w:rFonts w:cs="宋体"/>
          <w:sz w:val="21"/>
          <w:szCs w:val="21"/>
          <w:highlight w:val="none"/>
        </w:rPr>
      </w:pPr>
      <w:r>
        <w:rPr>
          <w:rFonts w:hint="eastAsia" w:cs="宋体"/>
          <w:sz w:val="21"/>
          <w:szCs w:val="21"/>
          <w:highlight w:val="none"/>
        </w:rPr>
        <w:t>四、开立人承诺，在收到受益人发来的书面付款通知后的七日内无条件支付，前述书面付款通知即为付款要求之单据，且应满足以下要求：</w:t>
      </w:r>
    </w:p>
    <w:p w14:paraId="65E165A6">
      <w:pPr>
        <w:spacing w:line="360" w:lineRule="auto"/>
        <w:ind w:firstLine="420" w:firstLineChars="200"/>
        <w:rPr>
          <w:rFonts w:cs="宋体"/>
          <w:sz w:val="21"/>
          <w:szCs w:val="21"/>
          <w:highlight w:val="none"/>
        </w:rPr>
      </w:pPr>
      <w:r>
        <w:rPr>
          <w:rFonts w:hint="eastAsia" w:cs="宋体"/>
          <w:sz w:val="21"/>
          <w:szCs w:val="21"/>
          <w:highlight w:val="none"/>
        </w:rPr>
        <w:t>（1）付款通知到达的日期在本保函的有效期内；</w:t>
      </w:r>
    </w:p>
    <w:p w14:paraId="209E258F">
      <w:pPr>
        <w:spacing w:line="360" w:lineRule="auto"/>
        <w:ind w:firstLine="420" w:firstLineChars="200"/>
        <w:rPr>
          <w:rFonts w:cs="宋体"/>
          <w:sz w:val="21"/>
          <w:szCs w:val="21"/>
          <w:highlight w:val="none"/>
        </w:rPr>
      </w:pPr>
      <w:r>
        <w:rPr>
          <w:rFonts w:hint="eastAsia" w:cs="宋体"/>
          <w:sz w:val="21"/>
          <w:szCs w:val="21"/>
          <w:highlight w:val="none"/>
        </w:rPr>
        <w:t>（2）载明要求支付的金额；</w:t>
      </w:r>
    </w:p>
    <w:p w14:paraId="05E6493B">
      <w:pPr>
        <w:spacing w:line="360" w:lineRule="auto"/>
        <w:ind w:firstLine="420" w:firstLineChars="200"/>
        <w:rPr>
          <w:rFonts w:cs="宋体"/>
          <w:sz w:val="21"/>
          <w:szCs w:val="21"/>
          <w:highlight w:val="none"/>
        </w:rPr>
      </w:pPr>
      <w:r>
        <w:rPr>
          <w:rFonts w:hint="eastAsia" w:cs="宋体"/>
          <w:sz w:val="21"/>
          <w:szCs w:val="21"/>
          <w:highlight w:val="none"/>
        </w:rPr>
        <w:t>（3）载明申请人违反合同义务的条款和内容；</w:t>
      </w:r>
    </w:p>
    <w:p w14:paraId="24AB92F4">
      <w:pPr>
        <w:spacing w:line="360" w:lineRule="auto"/>
        <w:ind w:firstLine="420" w:firstLineChars="200"/>
        <w:rPr>
          <w:rFonts w:cs="宋体"/>
          <w:sz w:val="21"/>
          <w:szCs w:val="21"/>
          <w:highlight w:val="none"/>
        </w:rPr>
      </w:pPr>
      <w:r>
        <w:rPr>
          <w:rFonts w:hint="eastAsia" w:cs="宋体"/>
          <w:sz w:val="21"/>
          <w:szCs w:val="21"/>
          <w:highlight w:val="none"/>
        </w:rPr>
        <w:t>（4）声明不存在合同文件约定或我国法律规定免除申请人或开立人支付责任的情形；</w:t>
      </w:r>
    </w:p>
    <w:p w14:paraId="06A061C1">
      <w:pPr>
        <w:spacing w:line="360" w:lineRule="auto"/>
        <w:ind w:firstLine="420" w:firstLineChars="200"/>
        <w:rPr>
          <w:rFonts w:cs="宋体"/>
          <w:sz w:val="21"/>
          <w:szCs w:val="21"/>
          <w:highlight w:val="none"/>
        </w:rPr>
      </w:pPr>
      <w:r>
        <w:rPr>
          <w:rFonts w:hint="eastAsia" w:cs="宋体"/>
          <w:sz w:val="21"/>
          <w:szCs w:val="21"/>
          <w:highlight w:val="none"/>
        </w:rPr>
        <w:t>（5）付款通知应在本保函有效期内到达的地址是：</w:t>
      </w:r>
      <w:r>
        <w:rPr>
          <w:rFonts w:hint="eastAsia" w:cs="宋体"/>
          <w:sz w:val="21"/>
          <w:szCs w:val="21"/>
          <w:highlight w:val="none"/>
          <w:u w:val="single"/>
        </w:rPr>
        <w:t xml:space="preserve">             </w:t>
      </w:r>
      <w:r>
        <w:rPr>
          <w:rFonts w:hint="eastAsia" w:cs="宋体"/>
          <w:sz w:val="21"/>
          <w:szCs w:val="21"/>
          <w:highlight w:val="none"/>
        </w:rPr>
        <w:t>。</w:t>
      </w:r>
    </w:p>
    <w:p w14:paraId="31C92859">
      <w:pPr>
        <w:spacing w:line="400" w:lineRule="exact"/>
        <w:rPr>
          <w:rFonts w:cs="宋体"/>
          <w:sz w:val="21"/>
          <w:szCs w:val="21"/>
          <w:highlight w:val="none"/>
        </w:rPr>
      </w:pPr>
      <w:r>
        <w:rPr>
          <w:rFonts w:hint="eastAsia" w:cs="宋体"/>
          <w:sz w:val="21"/>
          <w:szCs w:val="21"/>
          <w:highlight w:val="none"/>
        </w:rPr>
        <w:t xml:space="preserve">    受益人发出的书面付款通知应由其法定代表人（负责人）或授权代理人签字并加盖公章。</w:t>
      </w:r>
    </w:p>
    <w:p w14:paraId="514BA29A">
      <w:pPr>
        <w:spacing w:line="400" w:lineRule="exact"/>
        <w:ind w:firstLine="420" w:firstLineChars="200"/>
        <w:rPr>
          <w:rFonts w:cs="宋体"/>
          <w:sz w:val="21"/>
          <w:szCs w:val="21"/>
          <w:highlight w:val="none"/>
        </w:rPr>
      </w:pPr>
      <w:r>
        <w:rPr>
          <w:rFonts w:hint="eastAsia" w:cs="宋体"/>
          <w:sz w:val="21"/>
          <w:szCs w:val="21"/>
          <w:highlight w:val="none"/>
        </w:rPr>
        <w:t xml:space="preserve">五、本保函项下的权利不得转让，不得设定担保。受益人未经开立人书面同意转让本保函或其项下任何权利，对开立人不发生法律效力。 </w:t>
      </w:r>
    </w:p>
    <w:p w14:paraId="49680462">
      <w:pPr>
        <w:spacing w:line="400" w:lineRule="exact"/>
        <w:ind w:firstLine="420" w:firstLineChars="200"/>
        <w:rPr>
          <w:rStyle w:val="61"/>
          <w:rFonts w:cs="宋体"/>
          <w:highlight w:val="none"/>
        </w:rPr>
      </w:pPr>
      <w:r>
        <w:rPr>
          <w:rFonts w:hint="eastAsia" w:cs="宋体"/>
          <w:sz w:val="21"/>
          <w:szCs w:val="21"/>
          <w:highlight w:val="none"/>
        </w:rPr>
        <w:t>六、本保函项下的基础交易不成立、不生效、无效、被撤销、被解除，不影响本保函的独立有效。</w:t>
      </w:r>
    </w:p>
    <w:p w14:paraId="053580F9">
      <w:pPr>
        <w:spacing w:line="400" w:lineRule="exact"/>
        <w:ind w:firstLine="420" w:firstLineChars="200"/>
        <w:rPr>
          <w:rFonts w:cs="宋体"/>
          <w:sz w:val="21"/>
          <w:szCs w:val="21"/>
          <w:highlight w:val="none"/>
        </w:rPr>
      </w:pPr>
      <w:r>
        <w:rPr>
          <w:rFonts w:hint="eastAsia" w:cs="宋体"/>
          <w:sz w:val="21"/>
          <w:szCs w:val="21"/>
          <w:highlight w:val="none"/>
        </w:rPr>
        <w:t xml:space="preserve">七、本保函项下的义务和责任均在保函有效期到期后自动消灭。 </w:t>
      </w:r>
    </w:p>
    <w:p w14:paraId="46FF0578">
      <w:pPr>
        <w:spacing w:line="400" w:lineRule="exact"/>
        <w:ind w:firstLine="420" w:firstLineChars="200"/>
        <w:rPr>
          <w:rFonts w:cs="宋体"/>
          <w:sz w:val="21"/>
          <w:szCs w:val="21"/>
          <w:highlight w:val="none"/>
        </w:rPr>
      </w:pPr>
      <w:r>
        <w:rPr>
          <w:rFonts w:hint="eastAsia" w:cs="宋体"/>
          <w:sz w:val="21"/>
          <w:szCs w:val="21"/>
          <w:highlight w:val="none"/>
        </w:rPr>
        <w:t xml:space="preserve">八、本保函适用的法律为中华人民共和国法律，因本保函产生的纠纷案件，由受益人所在地人民法院管辖。 </w:t>
      </w:r>
    </w:p>
    <w:p w14:paraId="69F7A195">
      <w:pPr>
        <w:spacing w:line="360" w:lineRule="auto"/>
        <w:ind w:firstLine="420" w:firstLineChars="200"/>
        <w:rPr>
          <w:rFonts w:cs="宋体"/>
          <w:sz w:val="21"/>
          <w:szCs w:val="21"/>
          <w:highlight w:val="none"/>
        </w:rPr>
      </w:pPr>
      <w:r>
        <w:rPr>
          <w:rFonts w:hint="eastAsia" w:cs="宋体"/>
          <w:sz w:val="21"/>
          <w:szCs w:val="21"/>
          <w:highlight w:val="none"/>
        </w:rPr>
        <w:t xml:space="preserve">九、本保函自我方法定代表人或授权代表签字并加盖公章之日起生效。 </w:t>
      </w:r>
    </w:p>
    <w:p w14:paraId="7DF5615A">
      <w:pPr>
        <w:spacing w:line="360" w:lineRule="auto"/>
        <w:ind w:firstLine="420" w:firstLineChars="200"/>
        <w:rPr>
          <w:rFonts w:cs="宋体"/>
          <w:sz w:val="21"/>
          <w:szCs w:val="21"/>
          <w:highlight w:val="none"/>
        </w:rPr>
      </w:pPr>
    </w:p>
    <w:p w14:paraId="75043E50">
      <w:pPr>
        <w:spacing w:line="360" w:lineRule="auto"/>
        <w:ind w:firstLine="420" w:firstLineChars="200"/>
        <w:rPr>
          <w:rFonts w:cs="宋体"/>
          <w:sz w:val="21"/>
          <w:szCs w:val="21"/>
          <w:highlight w:val="none"/>
        </w:rPr>
      </w:pPr>
    </w:p>
    <w:p w14:paraId="73F1F227">
      <w:pPr>
        <w:spacing w:line="360" w:lineRule="auto"/>
        <w:ind w:firstLine="420" w:firstLineChars="200"/>
        <w:rPr>
          <w:rFonts w:cs="宋体"/>
          <w:sz w:val="21"/>
          <w:szCs w:val="21"/>
          <w:highlight w:val="none"/>
        </w:rPr>
      </w:pPr>
    </w:p>
    <w:p w14:paraId="52E4133B">
      <w:pPr>
        <w:spacing w:line="360" w:lineRule="auto"/>
        <w:ind w:firstLine="420" w:firstLineChars="200"/>
        <w:rPr>
          <w:rFonts w:cs="宋体"/>
          <w:sz w:val="21"/>
          <w:szCs w:val="21"/>
          <w:highlight w:val="none"/>
        </w:rPr>
      </w:pPr>
      <w:r>
        <w:rPr>
          <w:rFonts w:hint="eastAsia" w:cs="宋体"/>
          <w:sz w:val="21"/>
          <w:szCs w:val="21"/>
          <w:highlight w:val="none"/>
        </w:rPr>
        <w:t>开 立 人：</w:t>
      </w:r>
      <w:r>
        <w:rPr>
          <w:rFonts w:hint="eastAsia" w:cs="宋体"/>
          <w:sz w:val="21"/>
          <w:szCs w:val="21"/>
          <w:highlight w:val="none"/>
          <w:u w:val="single"/>
        </w:rPr>
        <w:t xml:space="preserve">                              </w:t>
      </w:r>
      <w:r>
        <w:rPr>
          <w:rFonts w:hint="eastAsia" w:cs="宋体"/>
          <w:sz w:val="21"/>
          <w:szCs w:val="21"/>
          <w:highlight w:val="none"/>
        </w:rPr>
        <w:t xml:space="preserve">（公章） </w:t>
      </w:r>
    </w:p>
    <w:p w14:paraId="06E0AF90">
      <w:pPr>
        <w:spacing w:line="360" w:lineRule="auto"/>
        <w:ind w:firstLine="420" w:firstLineChars="200"/>
        <w:rPr>
          <w:rFonts w:cs="宋体"/>
          <w:sz w:val="21"/>
          <w:szCs w:val="21"/>
          <w:highlight w:val="none"/>
        </w:rPr>
      </w:pPr>
      <w:r>
        <w:rPr>
          <w:rFonts w:hint="eastAsia" w:cs="宋体"/>
          <w:sz w:val="21"/>
          <w:szCs w:val="21"/>
          <w:highlight w:val="none"/>
        </w:rPr>
        <w:t>法定代表人（或授权代表）：</w:t>
      </w:r>
      <w:r>
        <w:rPr>
          <w:rFonts w:hint="eastAsia" w:cs="宋体"/>
          <w:sz w:val="21"/>
          <w:szCs w:val="21"/>
          <w:highlight w:val="none"/>
          <w:u w:val="single"/>
        </w:rPr>
        <w:t xml:space="preserve">               </w:t>
      </w:r>
      <w:r>
        <w:rPr>
          <w:rFonts w:hint="eastAsia" w:cs="宋体"/>
          <w:sz w:val="21"/>
          <w:szCs w:val="21"/>
          <w:highlight w:val="none"/>
        </w:rPr>
        <w:t xml:space="preserve">（签字） </w:t>
      </w:r>
    </w:p>
    <w:p w14:paraId="07518C9D">
      <w:pPr>
        <w:spacing w:line="360" w:lineRule="auto"/>
        <w:ind w:firstLine="420" w:firstLineChars="200"/>
        <w:rPr>
          <w:rFonts w:cs="宋体"/>
          <w:sz w:val="21"/>
          <w:szCs w:val="21"/>
          <w:highlight w:val="none"/>
        </w:rPr>
      </w:pPr>
      <w:r>
        <w:rPr>
          <w:rFonts w:hint="eastAsia" w:cs="宋体"/>
          <w:sz w:val="21"/>
          <w:szCs w:val="21"/>
          <w:highlight w:val="none"/>
        </w:rPr>
        <w:t>地    址：</w:t>
      </w:r>
      <w:r>
        <w:rPr>
          <w:rFonts w:hint="eastAsia" w:cs="宋体"/>
          <w:sz w:val="21"/>
          <w:szCs w:val="21"/>
          <w:highlight w:val="none"/>
          <w:u w:val="single"/>
        </w:rPr>
        <w:t xml:space="preserve">                                       </w:t>
      </w:r>
    </w:p>
    <w:p w14:paraId="17773824">
      <w:pPr>
        <w:spacing w:line="360" w:lineRule="auto"/>
        <w:ind w:firstLine="420" w:firstLineChars="200"/>
        <w:rPr>
          <w:rFonts w:cs="宋体"/>
          <w:sz w:val="21"/>
          <w:szCs w:val="21"/>
          <w:highlight w:val="none"/>
        </w:rPr>
      </w:pPr>
      <w:r>
        <w:rPr>
          <w:rFonts w:hint="eastAsia" w:cs="宋体"/>
          <w:sz w:val="21"/>
          <w:szCs w:val="21"/>
          <w:highlight w:val="none"/>
        </w:rPr>
        <w:t>邮政编码：</w:t>
      </w:r>
      <w:r>
        <w:rPr>
          <w:rFonts w:hint="eastAsia" w:cs="宋体"/>
          <w:sz w:val="21"/>
          <w:szCs w:val="21"/>
          <w:highlight w:val="none"/>
          <w:u w:val="single"/>
        </w:rPr>
        <w:t xml:space="preserve">                 </w:t>
      </w:r>
    </w:p>
    <w:p w14:paraId="655D40A0">
      <w:pPr>
        <w:spacing w:line="360" w:lineRule="auto"/>
        <w:ind w:firstLine="420" w:firstLineChars="200"/>
        <w:rPr>
          <w:rFonts w:cs="宋体"/>
          <w:sz w:val="21"/>
          <w:szCs w:val="21"/>
          <w:highlight w:val="none"/>
        </w:rPr>
      </w:pPr>
      <w:r>
        <w:rPr>
          <w:rFonts w:hint="eastAsia" w:cs="宋体"/>
          <w:sz w:val="21"/>
          <w:szCs w:val="21"/>
          <w:highlight w:val="none"/>
        </w:rPr>
        <w:t>电    话：</w:t>
      </w:r>
      <w:r>
        <w:rPr>
          <w:rFonts w:hint="eastAsia" w:cs="宋体"/>
          <w:sz w:val="21"/>
          <w:szCs w:val="21"/>
          <w:highlight w:val="none"/>
          <w:u w:val="single"/>
        </w:rPr>
        <w:t xml:space="preserve">                 </w:t>
      </w:r>
    </w:p>
    <w:p w14:paraId="3F1B576C">
      <w:pPr>
        <w:spacing w:line="360" w:lineRule="auto"/>
        <w:ind w:firstLine="420" w:firstLineChars="200"/>
        <w:rPr>
          <w:rFonts w:cs="宋体"/>
          <w:sz w:val="21"/>
          <w:szCs w:val="21"/>
          <w:highlight w:val="none"/>
          <w:u w:val="single"/>
        </w:rPr>
      </w:pPr>
      <w:r>
        <w:rPr>
          <w:rFonts w:hint="eastAsia" w:cs="宋体"/>
          <w:sz w:val="21"/>
          <w:szCs w:val="21"/>
          <w:highlight w:val="none"/>
        </w:rPr>
        <w:t>传    真：</w:t>
      </w:r>
      <w:r>
        <w:rPr>
          <w:rFonts w:hint="eastAsia" w:cs="宋体"/>
          <w:sz w:val="21"/>
          <w:szCs w:val="21"/>
          <w:highlight w:val="none"/>
          <w:u w:val="single"/>
        </w:rPr>
        <w:t xml:space="preserve">                 </w:t>
      </w:r>
    </w:p>
    <w:p w14:paraId="48780318">
      <w:pPr>
        <w:spacing w:line="360" w:lineRule="auto"/>
        <w:ind w:left="1303" w:leftChars="200" w:hanging="903" w:hangingChars="430"/>
        <w:rPr>
          <w:rFonts w:cs="宋体"/>
          <w:sz w:val="21"/>
          <w:szCs w:val="21"/>
          <w:highlight w:val="none"/>
        </w:rPr>
      </w:pPr>
      <w:r>
        <w:rPr>
          <w:rFonts w:hint="eastAsia" w:cs="宋体"/>
          <w:sz w:val="21"/>
          <w:szCs w:val="21"/>
          <w:highlight w:val="none"/>
        </w:rPr>
        <w:t>开立时间：</w:t>
      </w:r>
      <w:r>
        <w:rPr>
          <w:rFonts w:hint="eastAsia" w:cs="宋体"/>
          <w:sz w:val="21"/>
          <w:szCs w:val="21"/>
          <w:highlight w:val="none"/>
          <w:u w:val="single"/>
        </w:rPr>
        <w:t xml:space="preserve">      </w:t>
      </w:r>
      <w:r>
        <w:rPr>
          <w:rFonts w:hint="eastAsia" w:cs="宋体"/>
          <w:sz w:val="21"/>
          <w:szCs w:val="21"/>
          <w:highlight w:val="none"/>
        </w:rPr>
        <w:t>年</w:t>
      </w:r>
      <w:r>
        <w:rPr>
          <w:rFonts w:hint="eastAsia" w:cs="宋体"/>
          <w:sz w:val="21"/>
          <w:szCs w:val="21"/>
          <w:highlight w:val="none"/>
          <w:u w:val="single"/>
        </w:rPr>
        <w:t xml:space="preserve">      </w:t>
      </w:r>
      <w:r>
        <w:rPr>
          <w:rFonts w:hint="eastAsia" w:cs="宋体"/>
          <w:sz w:val="21"/>
          <w:szCs w:val="21"/>
          <w:highlight w:val="none"/>
        </w:rPr>
        <w:t>月</w:t>
      </w:r>
      <w:r>
        <w:rPr>
          <w:rFonts w:hint="eastAsia" w:cs="宋体"/>
          <w:sz w:val="21"/>
          <w:szCs w:val="21"/>
          <w:highlight w:val="none"/>
          <w:u w:val="single"/>
        </w:rPr>
        <w:t xml:space="preserve">    </w:t>
      </w:r>
      <w:r>
        <w:rPr>
          <w:rFonts w:hint="eastAsia" w:cs="宋体"/>
          <w:sz w:val="21"/>
          <w:szCs w:val="21"/>
          <w:highlight w:val="none"/>
        </w:rPr>
        <w:t>日</w:t>
      </w:r>
    </w:p>
    <w:p w14:paraId="4E9A2992">
      <w:pPr>
        <w:spacing w:before="312" w:beforeLines="100" w:after="312" w:afterLines="100"/>
        <w:outlineLvl w:val="2"/>
        <w:rPr>
          <w:rFonts w:ascii="Times New Roman" w:eastAsia="黑体"/>
          <w:szCs w:val="24"/>
          <w:highlight w:val="none"/>
        </w:rPr>
      </w:pPr>
      <w:r>
        <w:rPr>
          <w:rFonts w:ascii="Times New Roman" w:eastAsia="黑体"/>
          <w:b/>
          <w:bCs/>
          <w:highlight w:val="none"/>
        </w:rPr>
        <w:br w:type="page"/>
      </w:r>
      <w:bookmarkStart w:id="671" w:name="_Toc128950246"/>
      <w:r>
        <w:rPr>
          <w:rFonts w:hint="eastAsia" w:ascii="Times New Roman" w:eastAsia="黑体"/>
          <w:szCs w:val="24"/>
          <w:highlight w:val="none"/>
        </w:rPr>
        <w:t>附</w:t>
      </w:r>
      <w:bookmarkStart w:id="672" w:name="_Toc296503233"/>
      <w:bookmarkStart w:id="673" w:name="_Toc296346734"/>
      <w:bookmarkStart w:id="674" w:name="_Toc296891061"/>
      <w:bookmarkStart w:id="675" w:name="_Toc296944572"/>
      <w:bookmarkStart w:id="676" w:name="_Toc296891273"/>
      <w:bookmarkStart w:id="677" w:name="_Toc296347232"/>
      <w:r>
        <w:rPr>
          <w:rFonts w:hint="eastAsia" w:ascii="Times New Roman" w:eastAsia="黑体"/>
          <w:szCs w:val="24"/>
          <w:highlight w:val="none"/>
        </w:rPr>
        <w:t>件</w:t>
      </w:r>
      <w:r>
        <w:rPr>
          <w:rFonts w:ascii="Times New Roman" w:eastAsia="黑体"/>
          <w:szCs w:val="24"/>
          <w:highlight w:val="none"/>
        </w:rPr>
        <w:t>1</w:t>
      </w:r>
      <w:r>
        <w:rPr>
          <w:rFonts w:hint="eastAsia" w:ascii="Times New Roman" w:eastAsia="黑体"/>
          <w:szCs w:val="24"/>
          <w:highlight w:val="none"/>
        </w:rPr>
        <w:t>1：支付担保</w:t>
      </w:r>
      <w:bookmarkEnd w:id="671"/>
      <w:bookmarkEnd w:id="672"/>
      <w:bookmarkEnd w:id="673"/>
      <w:bookmarkEnd w:id="674"/>
      <w:bookmarkEnd w:id="675"/>
      <w:bookmarkEnd w:id="676"/>
      <w:bookmarkEnd w:id="677"/>
    </w:p>
    <w:p w14:paraId="1F9CC36A">
      <w:pPr>
        <w:spacing w:line="360" w:lineRule="auto"/>
        <w:jc w:val="center"/>
        <w:rPr>
          <w:rFonts w:cs="宋体"/>
          <w:b/>
          <w:bCs/>
          <w:sz w:val="32"/>
          <w:szCs w:val="32"/>
          <w:highlight w:val="none"/>
        </w:rPr>
      </w:pPr>
      <w:r>
        <w:rPr>
          <w:rFonts w:hint="eastAsia" w:cs="宋体"/>
          <w:b/>
          <w:bCs/>
          <w:sz w:val="32"/>
          <w:szCs w:val="32"/>
          <w:highlight w:val="none"/>
        </w:rPr>
        <w:t>支付保函示范文本</w:t>
      </w:r>
    </w:p>
    <w:p w14:paraId="34C8E000">
      <w:pPr>
        <w:wordWrap w:val="0"/>
        <w:spacing w:line="360" w:lineRule="auto"/>
        <w:jc w:val="right"/>
        <w:rPr>
          <w:rFonts w:ascii="Times New Roman"/>
          <w:szCs w:val="21"/>
          <w:highlight w:val="none"/>
        </w:rPr>
      </w:pPr>
      <w:r>
        <w:rPr>
          <w:rFonts w:hint="eastAsia" w:ascii="Times New Roman"/>
          <w:szCs w:val="21"/>
          <w:highlight w:val="none"/>
        </w:rPr>
        <w:t>编号：</w:t>
      </w:r>
      <w:r>
        <w:rPr>
          <w:rFonts w:hint="eastAsia" w:ascii="Times New Roman"/>
          <w:szCs w:val="21"/>
          <w:highlight w:val="none"/>
          <w:u w:val="single"/>
        </w:rPr>
        <w:t xml:space="preserve"> </w:t>
      </w:r>
      <w:r>
        <w:rPr>
          <w:rFonts w:ascii="Times New Roman"/>
          <w:szCs w:val="21"/>
          <w:highlight w:val="none"/>
          <w:u w:val="single"/>
        </w:rPr>
        <w:t xml:space="preserve">          </w:t>
      </w:r>
    </w:p>
    <w:p w14:paraId="3A121FEE">
      <w:pPr>
        <w:spacing w:line="360" w:lineRule="auto"/>
        <w:rPr>
          <w:rFonts w:ascii="Times New Roman"/>
          <w:szCs w:val="21"/>
          <w:highlight w:val="none"/>
        </w:rPr>
      </w:pPr>
    </w:p>
    <w:p w14:paraId="44A345CD">
      <w:pPr>
        <w:spacing w:line="360" w:lineRule="auto"/>
        <w:rPr>
          <w:rFonts w:cs="宋体"/>
          <w:sz w:val="21"/>
          <w:szCs w:val="21"/>
          <w:highlight w:val="none"/>
        </w:rPr>
      </w:pPr>
      <w:bookmarkStart w:id="678" w:name="_Hlk40355074"/>
      <w:r>
        <w:rPr>
          <w:rFonts w:hint="eastAsia" w:cs="宋体"/>
          <w:sz w:val="21"/>
          <w:szCs w:val="21"/>
          <w:highlight w:val="none"/>
          <w:u w:val="single"/>
        </w:rPr>
        <w:t xml:space="preserve">              </w:t>
      </w:r>
      <w:r>
        <w:rPr>
          <w:rFonts w:hint="eastAsia" w:cs="宋体"/>
          <w:sz w:val="21"/>
          <w:szCs w:val="21"/>
          <w:highlight w:val="none"/>
        </w:rPr>
        <w:t xml:space="preserve">（受益人名称）： </w:t>
      </w:r>
    </w:p>
    <w:bookmarkEnd w:id="678"/>
    <w:p w14:paraId="014B8F3F">
      <w:pPr>
        <w:spacing w:line="360" w:lineRule="auto"/>
        <w:ind w:firstLine="420" w:firstLineChars="200"/>
        <w:rPr>
          <w:rFonts w:cs="宋体"/>
          <w:sz w:val="21"/>
          <w:szCs w:val="21"/>
          <w:highlight w:val="none"/>
        </w:rPr>
      </w:pPr>
      <w:r>
        <w:rPr>
          <w:rFonts w:hint="eastAsia" w:cs="宋体"/>
          <w:sz w:val="21"/>
          <w:szCs w:val="21"/>
          <w:highlight w:val="none"/>
        </w:rPr>
        <w:t>鉴于</w:t>
      </w:r>
      <w:r>
        <w:rPr>
          <w:rFonts w:hint="eastAsia" w:cs="宋体"/>
          <w:sz w:val="21"/>
          <w:szCs w:val="21"/>
          <w:highlight w:val="none"/>
          <w:u w:val="single"/>
        </w:rPr>
        <w:t xml:space="preserve">        </w:t>
      </w:r>
      <w:r>
        <w:rPr>
          <w:rFonts w:hint="eastAsia" w:cs="宋体"/>
          <w:sz w:val="21"/>
          <w:szCs w:val="21"/>
          <w:highlight w:val="none"/>
        </w:rPr>
        <w:t>（以下简称“受益人”）与</w:t>
      </w:r>
      <w:r>
        <w:rPr>
          <w:rFonts w:hint="eastAsia" w:cs="宋体"/>
          <w:sz w:val="21"/>
          <w:szCs w:val="21"/>
          <w:highlight w:val="none"/>
          <w:u w:val="single"/>
        </w:rPr>
        <w:t xml:space="preserve">         </w:t>
      </w:r>
      <w:r>
        <w:rPr>
          <w:rFonts w:hint="eastAsia" w:cs="宋体"/>
          <w:sz w:val="21"/>
          <w:szCs w:val="21"/>
          <w:highlight w:val="none"/>
        </w:rPr>
        <w:t>（以下简称“申请人”）于</w:t>
      </w:r>
      <w:r>
        <w:rPr>
          <w:rFonts w:hint="eastAsia" w:cs="宋体"/>
          <w:sz w:val="21"/>
          <w:szCs w:val="21"/>
          <w:highlight w:val="none"/>
          <w:u w:val="single"/>
        </w:rPr>
        <w:t xml:space="preserve">   </w:t>
      </w:r>
      <w:r>
        <w:rPr>
          <w:rFonts w:hint="eastAsia" w:cs="宋体"/>
          <w:sz w:val="21"/>
          <w:szCs w:val="21"/>
          <w:highlight w:val="none"/>
        </w:rPr>
        <w:t>年</w:t>
      </w:r>
      <w:r>
        <w:rPr>
          <w:rFonts w:hint="eastAsia" w:cs="宋体"/>
          <w:sz w:val="21"/>
          <w:szCs w:val="21"/>
          <w:highlight w:val="none"/>
          <w:u w:val="single"/>
        </w:rPr>
        <w:t xml:space="preserve">   </w:t>
      </w:r>
      <w:r>
        <w:rPr>
          <w:rFonts w:hint="eastAsia" w:cs="宋体"/>
          <w:sz w:val="21"/>
          <w:szCs w:val="21"/>
          <w:highlight w:val="none"/>
        </w:rPr>
        <w:t>月</w:t>
      </w:r>
      <w:r>
        <w:rPr>
          <w:rFonts w:hint="eastAsia" w:cs="宋体"/>
          <w:sz w:val="21"/>
          <w:szCs w:val="21"/>
          <w:highlight w:val="none"/>
          <w:u w:val="single"/>
        </w:rPr>
        <w:t xml:space="preserve">   </w:t>
      </w:r>
      <w:r>
        <w:rPr>
          <w:rFonts w:hint="eastAsia" w:cs="宋体"/>
          <w:sz w:val="21"/>
          <w:szCs w:val="21"/>
          <w:highlight w:val="none"/>
        </w:rPr>
        <w:t>日就</w:t>
      </w:r>
      <w:r>
        <w:rPr>
          <w:rFonts w:hint="eastAsia" w:cs="宋体"/>
          <w:snapToGrid w:val="0"/>
          <w:sz w:val="21"/>
          <w:szCs w:val="21"/>
          <w:highlight w:val="none"/>
          <w:u w:val="single"/>
        </w:rPr>
        <w:t xml:space="preserve">        </w:t>
      </w:r>
      <w:r>
        <w:rPr>
          <w:rFonts w:hint="eastAsia" w:cs="宋体"/>
          <w:snapToGrid w:val="0"/>
          <w:sz w:val="21"/>
          <w:szCs w:val="21"/>
          <w:highlight w:val="none"/>
        </w:rPr>
        <w:t>（项目编号）的</w:t>
      </w:r>
      <w:r>
        <w:rPr>
          <w:rFonts w:hint="eastAsia" w:cs="宋体"/>
          <w:snapToGrid w:val="0"/>
          <w:sz w:val="21"/>
          <w:szCs w:val="21"/>
          <w:highlight w:val="none"/>
          <w:u w:val="single"/>
        </w:rPr>
        <w:t xml:space="preserve">         </w:t>
      </w:r>
      <w:r>
        <w:rPr>
          <w:rFonts w:hint="eastAsia" w:cs="宋体"/>
          <w:snapToGrid w:val="0"/>
          <w:sz w:val="21"/>
          <w:szCs w:val="21"/>
          <w:highlight w:val="none"/>
        </w:rPr>
        <w:t>（项目名称）</w:t>
      </w:r>
      <w:r>
        <w:rPr>
          <w:rFonts w:hint="eastAsia" w:cs="宋体"/>
          <w:sz w:val="21"/>
          <w:szCs w:val="21"/>
          <w:highlight w:val="none"/>
        </w:rPr>
        <w:t>有关事项协商一致共同签订</w:t>
      </w:r>
      <w:r>
        <w:rPr>
          <w:rFonts w:hint="eastAsia" w:cs="宋体"/>
          <w:sz w:val="21"/>
          <w:szCs w:val="21"/>
          <w:highlight w:val="none"/>
          <w:u w:val="single"/>
        </w:rPr>
        <w:t>《        》</w:t>
      </w:r>
      <w:r>
        <w:rPr>
          <w:rFonts w:hint="eastAsia" w:cs="宋体"/>
          <w:sz w:val="21"/>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4F1F2E90">
      <w:pPr>
        <w:spacing w:line="360" w:lineRule="auto"/>
        <w:ind w:firstLine="420" w:firstLineChars="200"/>
        <w:rPr>
          <w:rFonts w:cs="宋体"/>
          <w:sz w:val="21"/>
          <w:szCs w:val="21"/>
          <w:highlight w:val="none"/>
        </w:rPr>
      </w:pPr>
      <w:r>
        <w:rPr>
          <w:rFonts w:hint="eastAsia" w:cs="宋体"/>
          <w:sz w:val="21"/>
          <w:szCs w:val="21"/>
          <w:highlight w:val="none"/>
        </w:rPr>
        <w:t>一、本保函担保范围：申请人未履行基础合同约定的工程款支付义务，应当向受益人承担的违约责任和赔偿因此造成的损失、利息、律师费、诉讼费用等实现债权的费用。</w:t>
      </w:r>
    </w:p>
    <w:p w14:paraId="581BEC3A">
      <w:pPr>
        <w:spacing w:line="360" w:lineRule="auto"/>
        <w:ind w:firstLine="420" w:firstLineChars="200"/>
        <w:rPr>
          <w:rFonts w:cs="宋体"/>
          <w:sz w:val="21"/>
          <w:szCs w:val="21"/>
          <w:highlight w:val="none"/>
        </w:rPr>
      </w:pPr>
      <w:r>
        <w:rPr>
          <w:rFonts w:hint="eastAsia" w:cs="宋体"/>
          <w:sz w:val="21"/>
          <w:szCs w:val="21"/>
          <w:highlight w:val="none"/>
        </w:rPr>
        <w:t>二、本保函担保金额最高不超过人民币（大写）</w:t>
      </w:r>
      <w:r>
        <w:rPr>
          <w:rFonts w:hint="eastAsia" w:cs="宋体"/>
          <w:sz w:val="21"/>
          <w:szCs w:val="21"/>
          <w:highlight w:val="none"/>
          <w:u w:val="single"/>
        </w:rPr>
        <w:t xml:space="preserve">          </w:t>
      </w:r>
      <w:r>
        <w:rPr>
          <w:rFonts w:hint="eastAsia" w:cs="宋体"/>
          <w:sz w:val="21"/>
          <w:szCs w:val="21"/>
          <w:highlight w:val="none"/>
        </w:rPr>
        <w:t>元（¥</w:t>
      </w:r>
      <w:r>
        <w:rPr>
          <w:rFonts w:hint="eastAsia" w:cs="宋体"/>
          <w:sz w:val="21"/>
          <w:szCs w:val="21"/>
          <w:highlight w:val="none"/>
          <w:u w:val="single"/>
        </w:rPr>
        <w:t xml:space="preserve">       </w:t>
      </w:r>
      <w:r>
        <w:rPr>
          <w:rFonts w:hint="eastAsia" w:cs="宋体"/>
          <w:sz w:val="21"/>
          <w:szCs w:val="21"/>
          <w:highlight w:val="none"/>
        </w:rPr>
        <w:t xml:space="preserve">）。 </w:t>
      </w:r>
    </w:p>
    <w:p w14:paraId="4873BF81">
      <w:pPr>
        <w:spacing w:line="360" w:lineRule="auto"/>
        <w:ind w:firstLine="420" w:firstLineChars="200"/>
        <w:rPr>
          <w:rFonts w:cs="宋体"/>
          <w:sz w:val="21"/>
          <w:szCs w:val="21"/>
          <w:highlight w:val="none"/>
        </w:rPr>
      </w:pPr>
      <w:r>
        <w:rPr>
          <w:rFonts w:hint="eastAsia" w:cs="宋体"/>
          <w:sz w:val="21"/>
          <w:szCs w:val="21"/>
          <w:highlight w:val="none"/>
        </w:rPr>
        <w:t>三、本保函有效期自开立之日起至基础合同约定的除工程质量保修金以外的全部工程结算款项支付之日后</w:t>
      </w:r>
      <w:r>
        <w:rPr>
          <w:rFonts w:hint="eastAsia" w:cs="宋体"/>
          <w:sz w:val="21"/>
          <w:szCs w:val="21"/>
          <w:highlight w:val="none"/>
          <w:u w:val="single"/>
        </w:rPr>
        <w:t xml:space="preserve">    </w:t>
      </w:r>
      <w:r>
        <w:rPr>
          <w:rFonts w:hint="eastAsia" w:cs="宋体"/>
          <w:sz w:val="21"/>
          <w:szCs w:val="21"/>
          <w:highlight w:val="none"/>
        </w:rPr>
        <w:t xml:space="preserve">日止。 </w:t>
      </w:r>
    </w:p>
    <w:p w14:paraId="094D1F5E">
      <w:pPr>
        <w:spacing w:line="400" w:lineRule="exact"/>
        <w:ind w:firstLine="480"/>
        <w:rPr>
          <w:rFonts w:cs="宋体"/>
          <w:sz w:val="21"/>
          <w:szCs w:val="21"/>
          <w:highlight w:val="none"/>
        </w:rPr>
      </w:pPr>
      <w:r>
        <w:rPr>
          <w:rFonts w:hint="eastAsia" w:cs="宋体"/>
          <w:sz w:val="21"/>
          <w:szCs w:val="21"/>
          <w:highlight w:val="none"/>
        </w:rPr>
        <w:t>四、开立人承诺，在收到受益人发来的书面付款通知后的七日内无条件支付，前述书面付款通知即为付款要求之单据，且应满足以下要求：</w:t>
      </w:r>
    </w:p>
    <w:p w14:paraId="3D77CC41">
      <w:pPr>
        <w:spacing w:line="360" w:lineRule="auto"/>
        <w:ind w:firstLine="420" w:firstLineChars="200"/>
        <w:rPr>
          <w:rFonts w:cs="宋体"/>
          <w:sz w:val="21"/>
          <w:szCs w:val="21"/>
          <w:highlight w:val="none"/>
        </w:rPr>
      </w:pPr>
      <w:r>
        <w:rPr>
          <w:rFonts w:hint="eastAsia" w:cs="宋体"/>
          <w:sz w:val="21"/>
          <w:szCs w:val="21"/>
          <w:highlight w:val="none"/>
        </w:rPr>
        <w:t>（1）付款通知到达的日期在本保函的有效期内；</w:t>
      </w:r>
    </w:p>
    <w:p w14:paraId="74A0013A">
      <w:pPr>
        <w:spacing w:line="360" w:lineRule="auto"/>
        <w:ind w:firstLine="420" w:firstLineChars="200"/>
        <w:rPr>
          <w:rFonts w:cs="宋体"/>
          <w:sz w:val="21"/>
          <w:szCs w:val="21"/>
          <w:highlight w:val="none"/>
        </w:rPr>
      </w:pPr>
      <w:r>
        <w:rPr>
          <w:rFonts w:hint="eastAsia" w:cs="宋体"/>
          <w:sz w:val="21"/>
          <w:szCs w:val="21"/>
          <w:highlight w:val="none"/>
        </w:rPr>
        <w:t>（2）载明要求支付的金额；</w:t>
      </w:r>
    </w:p>
    <w:p w14:paraId="3DC13A38">
      <w:pPr>
        <w:spacing w:line="360" w:lineRule="auto"/>
        <w:ind w:firstLine="420" w:firstLineChars="200"/>
        <w:rPr>
          <w:rFonts w:cs="宋体"/>
          <w:sz w:val="21"/>
          <w:szCs w:val="21"/>
          <w:highlight w:val="none"/>
        </w:rPr>
      </w:pPr>
      <w:r>
        <w:rPr>
          <w:rFonts w:hint="eastAsia" w:cs="宋体"/>
          <w:sz w:val="21"/>
          <w:szCs w:val="21"/>
          <w:highlight w:val="none"/>
        </w:rPr>
        <w:t>（3）载明申请人违反合同义务的条款和内容；</w:t>
      </w:r>
    </w:p>
    <w:p w14:paraId="0F8E06F0">
      <w:pPr>
        <w:spacing w:line="360" w:lineRule="auto"/>
        <w:ind w:firstLine="420" w:firstLineChars="200"/>
        <w:rPr>
          <w:rFonts w:cs="宋体"/>
          <w:sz w:val="21"/>
          <w:szCs w:val="21"/>
          <w:highlight w:val="none"/>
        </w:rPr>
      </w:pPr>
      <w:r>
        <w:rPr>
          <w:rFonts w:hint="eastAsia" w:cs="宋体"/>
          <w:sz w:val="21"/>
          <w:szCs w:val="21"/>
          <w:highlight w:val="none"/>
        </w:rPr>
        <w:t>（4）声明不存在合同文件约定或我国法律规定免除申请人或开立人支付责任的情形；</w:t>
      </w:r>
    </w:p>
    <w:p w14:paraId="19E0F386">
      <w:pPr>
        <w:spacing w:line="360" w:lineRule="auto"/>
        <w:ind w:firstLine="420" w:firstLineChars="200"/>
        <w:rPr>
          <w:rFonts w:cs="宋体"/>
          <w:sz w:val="21"/>
          <w:szCs w:val="21"/>
          <w:highlight w:val="none"/>
        </w:rPr>
      </w:pPr>
      <w:r>
        <w:rPr>
          <w:rFonts w:hint="eastAsia" w:cs="宋体"/>
          <w:sz w:val="21"/>
          <w:szCs w:val="21"/>
          <w:highlight w:val="none"/>
        </w:rPr>
        <w:t>（5）付款通知应在本保函有效期内到达的地址是：</w:t>
      </w:r>
      <w:r>
        <w:rPr>
          <w:rFonts w:hint="eastAsia" w:cs="宋体"/>
          <w:sz w:val="21"/>
          <w:szCs w:val="21"/>
          <w:highlight w:val="none"/>
          <w:u w:val="single"/>
        </w:rPr>
        <w:t xml:space="preserve">             </w:t>
      </w:r>
      <w:r>
        <w:rPr>
          <w:rFonts w:hint="eastAsia" w:cs="宋体"/>
          <w:sz w:val="21"/>
          <w:szCs w:val="21"/>
          <w:highlight w:val="none"/>
        </w:rPr>
        <w:t>。</w:t>
      </w:r>
    </w:p>
    <w:p w14:paraId="43B73009">
      <w:pPr>
        <w:spacing w:line="400" w:lineRule="exact"/>
        <w:rPr>
          <w:rFonts w:cs="宋体"/>
          <w:sz w:val="21"/>
          <w:szCs w:val="21"/>
          <w:highlight w:val="none"/>
        </w:rPr>
      </w:pPr>
      <w:r>
        <w:rPr>
          <w:rFonts w:hint="eastAsia" w:cs="宋体"/>
          <w:sz w:val="21"/>
          <w:szCs w:val="21"/>
          <w:highlight w:val="none"/>
        </w:rPr>
        <w:t xml:space="preserve">    受益人发出的书面付款通知应由其法定代表人（负责人）或授权代理人签字并加盖公章。</w:t>
      </w:r>
    </w:p>
    <w:p w14:paraId="463AE8CF">
      <w:pPr>
        <w:spacing w:line="400" w:lineRule="exact"/>
        <w:ind w:firstLine="420" w:firstLineChars="200"/>
        <w:rPr>
          <w:rFonts w:cs="宋体"/>
          <w:sz w:val="21"/>
          <w:szCs w:val="21"/>
          <w:highlight w:val="none"/>
        </w:rPr>
      </w:pPr>
      <w:r>
        <w:rPr>
          <w:rFonts w:hint="eastAsia" w:cs="宋体"/>
          <w:sz w:val="21"/>
          <w:szCs w:val="21"/>
          <w:highlight w:val="none"/>
        </w:rPr>
        <w:t xml:space="preserve">五、本保函项下的权利不得转让，不得设定担保。受益人未经开立人书面同意转让本保函或其项下任何权利，对开立人不发生法律效力。 </w:t>
      </w:r>
    </w:p>
    <w:p w14:paraId="2F4A8727">
      <w:pPr>
        <w:spacing w:line="400" w:lineRule="exact"/>
        <w:ind w:firstLine="420" w:firstLineChars="200"/>
        <w:rPr>
          <w:rStyle w:val="61"/>
          <w:rFonts w:cs="宋体"/>
          <w:highlight w:val="none"/>
        </w:rPr>
      </w:pPr>
      <w:r>
        <w:rPr>
          <w:rFonts w:hint="eastAsia" w:cs="宋体"/>
          <w:sz w:val="21"/>
          <w:szCs w:val="21"/>
          <w:highlight w:val="none"/>
        </w:rPr>
        <w:t>六、本保函项下的基础交易不成立、不生效、无效、被撤销、被解除，不影响本保函的独立有效。</w:t>
      </w:r>
    </w:p>
    <w:p w14:paraId="7B969C3C">
      <w:pPr>
        <w:spacing w:line="400" w:lineRule="exact"/>
        <w:ind w:firstLine="420" w:firstLineChars="200"/>
        <w:rPr>
          <w:rFonts w:cs="宋体"/>
          <w:sz w:val="21"/>
          <w:szCs w:val="21"/>
          <w:highlight w:val="none"/>
        </w:rPr>
      </w:pPr>
      <w:r>
        <w:rPr>
          <w:rFonts w:hint="eastAsia" w:cs="宋体"/>
          <w:sz w:val="21"/>
          <w:szCs w:val="21"/>
          <w:highlight w:val="none"/>
        </w:rPr>
        <w:t xml:space="preserve">七、本保函项下的义务和责任均在保函有效期到期后自动消灭。 </w:t>
      </w:r>
    </w:p>
    <w:p w14:paraId="6FC80E14">
      <w:pPr>
        <w:spacing w:line="400" w:lineRule="exact"/>
        <w:ind w:firstLine="420" w:firstLineChars="200"/>
        <w:rPr>
          <w:rFonts w:cs="宋体"/>
          <w:sz w:val="21"/>
          <w:szCs w:val="21"/>
          <w:highlight w:val="none"/>
        </w:rPr>
      </w:pPr>
      <w:r>
        <w:rPr>
          <w:rFonts w:hint="eastAsia" w:cs="宋体"/>
          <w:sz w:val="21"/>
          <w:szCs w:val="21"/>
          <w:highlight w:val="none"/>
        </w:rPr>
        <w:t xml:space="preserve">八、本保函适用的法律为中华人民共和国法律，因本保函产生的纠纷案件，由申请人所在地人民法院管辖。 </w:t>
      </w:r>
    </w:p>
    <w:p w14:paraId="2F36BE41">
      <w:pPr>
        <w:spacing w:line="360" w:lineRule="auto"/>
        <w:ind w:firstLine="420" w:firstLineChars="200"/>
        <w:rPr>
          <w:rFonts w:cs="宋体"/>
          <w:sz w:val="21"/>
          <w:szCs w:val="21"/>
          <w:highlight w:val="none"/>
        </w:rPr>
      </w:pPr>
      <w:r>
        <w:rPr>
          <w:rFonts w:hint="eastAsia" w:cs="宋体"/>
          <w:sz w:val="21"/>
          <w:szCs w:val="21"/>
          <w:highlight w:val="none"/>
        </w:rPr>
        <w:t xml:space="preserve">九、本保函自我方法定代表人或授权代表签字并加盖公章之日起生效。 </w:t>
      </w:r>
    </w:p>
    <w:p w14:paraId="069EFE07">
      <w:pPr>
        <w:spacing w:line="360" w:lineRule="auto"/>
        <w:ind w:firstLine="420" w:firstLineChars="200"/>
        <w:rPr>
          <w:rFonts w:cs="宋体"/>
          <w:sz w:val="21"/>
          <w:szCs w:val="21"/>
          <w:highlight w:val="none"/>
        </w:rPr>
      </w:pPr>
    </w:p>
    <w:p w14:paraId="2F40F0DA">
      <w:pPr>
        <w:spacing w:line="360" w:lineRule="auto"/>
        <w:ind w:firstLine="420" w:firstLineChars="200"/>
        <w:rPr>
          <w:rFonts w:cs="宋体"/>
          <w:sz w:val="21"/>
          <w:szCs w:val="21"/>
          <w:highlight w:val="none"/>
        </w:rPr>
      </w:pPr>
    </w:p>
    <w:p w14:paraId="3368CADF">
      <w:pPr>
        <w:spacing w:line="360" w:lineRule="auto"/>
        <w:ind w:firstLine="420" w:firstLineChars="200"/>
        <w:rPr>
          <w:rFonts w:cs="宋体"/>
          <w:sz w:val="21"/>
          <w:szCs w:val="21"/>
          <w:highlight w:val="none"/>
        </w:rPr>
      </w:pPr>
      <w:r>
        <w:rPr>
          <w:rFonts w:hint="eastAsia" w:cs="宋体"/>
          <w:sz w:val="21"/>
          <w:szCs w:val="21"/>
          <w:highlight w:val="none"/>
        </w:rPr>
        <w:t>开 立 人：</w:t>
      </w:r>
      <w:r>
        <w:rPr>
          <w:rFonts w:hint="eastAsia" w:cs="宋体"/>
          <w:sz w:val="21"/>
          <w:szCs w:val="21"/>
          <w:highlight w:val="none"/>
          <w:u w:val="single"/>
        </w:rPr>
        <w:t xml:space="preserve">                              </w:t>
      </w:r>
      <w:r>
        <w:rPr>
          <w:rFonts w:hint="eastAsia" w:cs="宋体"/>
          <w:sz w:val="21"/>
          <w:szCs w:val="21"/>
          <w:highlight w:val="none"/>
        </w:rPr>
        <w:t xml:space="preserve">（公章） </w:t>
      </w:r>
    </w:p>
    <w:p w14:paraId="7DDF533A">
      <w:pPr>
        <w:spacing w:line="360" w:lineRule="auto"/>
        <w:ind w:firstLine="420" w:firstLineChars="200"/>
        <w:rPr>
          <w:rFonts w:cs="宋体"/>
          <w:sz w:val="21"/>
          <w:szCs w:val="21"/>
          <w:highlight w:val="none"/>
        </w:rPr>
      </w:pPr>
      <w:r>
        <w:rPr>
          <w:rFonts w:hint="eastAsia" w:cs="宋体"/>
          <w:sz w:val="21"/>
          <w:szCs w:val="21"/>
          <w:highlight w:val="none"/>
        </w:rPr>
        <w:t>法定代表人（或授权代表）：</w:t>
      </w:r>
      <w:r>
        <w:rPr>
          <w:rFonts w:hint="eastAsia" w:cs="宋体"/>
          <w:sz w:val="21"/>
          <w:szCs w:val="21"/>
          <w:highlight w:val="none"/>
          <w:u w:val="single"/>
        </w:rPr>
        <w:t xml:space="preserve">               </w:t>
      </w:r>
      <w:r>
        <w:rPr>
          <w:rFonts w:hint="eastAsia" w:cs="宋体"/>
          <w:sz w:val="21"/>
          <w:szCs w:val="21"/>
          <w:highlight w:val="none"/>
        </w:rPr>
        <w:t xml:space="preserve">（签字） </w:t>
      </w:r>
    </w:p>
    <w:p w14:paraId="41179DA0">
      <w:pPr>
        <w:spacing w:line="360" w:lineRule="auto"/>
        <w:ind w:firstLine="420" w:firstLineChars="200"/>
        <w:rPr>
          <w:rFonts w:cs="宋体"/>
          <w:sz w:val="21"/>
          <w:szCs w:val="21"/>
          <w:highlight w:val="none"/>
        </w:rPr>
      </w:pPr>
      <w:r>
        <w:rPr>
          <w:rFonts w:hint="eastAsia" w:cs="宋体"/>
          <w:sz w:val="21"/>
          <w:szCs w:val="21"/>
          <w:highlight w:val="none"/>
        </w:rPr>
        <w:t>地    址：</w:t>
      </w:r>
      <w:r>
        <w:rPr>
          <w:rFonts w:hint="eastAsia" w:cs="宋体"/>
          <w:sz w:val="21"/>
          <w:szCs w:val="21"/>
          <w:highlight w:val="none"/>
          <w:u w:val="single"/>
        </w:rPr>
        <w:t xml:space="preserve">                                       </w:t>
      </w:r>
    </w:p>
    <w:p w14:paraId="51DF9420">
      <w:pPr>
        <w:spacing w:line="360" w:lineRule="auto"/>
        <w:ind w:firstLine="420" w:firstLineChars="200"/>
        <w:rPr>
          <w:rFonts w:cs="宋体"/>
          <w:sz w:val="21"/>
          <w:szCs w:val="21"/>
          <w:highlight w:val="none"/>
        </w:rPr>
      </w:pPr>
      <w:r>
        <w:rPr>
          <w:rFonts w:hint="eastAsia" w:cs="宋体"/>
          <w:sz w:val="21"/>
          <w:szCs w:val="21"/>
          <w:highlight w:val="none"/>
        </w:rPr>
        <w:t>邮政编码：</w:t>
      </w:r>
      <w:r>
        <w:rPr>
          <w:rFonts w:hint="eastAsia" w:cs="宋体"/>
          <w:sz w:val="21"/>
          <w:szCs w:val="21"/>
          <w:highlight w:val="none"/>
          <w:u w:val="single"/>
        </w:rPr>
        <w:t xml:space="preserve">                 </w:t>
      </w:r>
    </w:p>
    <w:p w14:paraId="67D16E17">
      <w:pPr>
        <w:spacing w:line="360" w:lineRule="auto"/>
        <w:ind w:firstLine="420" w:firstLineChars="200"/>
        <w:rPr>
          <w:rFonts w:cs="宋体"/>
          <w:sz w:val="21"/>
          <w:szCs w:val="21"/>
          <w:highlight w:val="none"/>
        </w:rPr>
      </w:pPr>
      <w:r>
        <w:rPr>
          <w:rFonts w:hint="eastAsia" w:cs="宋体"/>
          <w:sz w:val="21"/>
          <w:szCs w:val="21"/>
          <w:highlight w:val="none"/>
        </w:rPr>
        <w:t>电    话：</w:t>
      </w:r>
      <w:r>
        <w:rPr>
          <w:rFonts w:hint="eastAsia" w:cs="宋体"/>
          <w:sz w:val="21"/>
          <w:szCs w:val="21"/>
          <w:highlight w:val="none"/>
          <w:u w:val="single"/>
        </w:rPr>
        <w:t xml:space="preserve">                 </w:t>
      </w:r>
    </w:p>
    <w:p w14:paraId="0D8FFB09">
      <w:pPr>
        <w:spacing w:line="360" w:lineRule="auto"/>
        <w:ind w:firstLine="420" w:firstLineChars="200"/>
        <w:rPr>
          <w:rFonts w:cs="宋体"/>
          <w:sz w:val="21"/>
          <w:szCs w:val="21"/>
          <w:highlight w:val="none"/>
          <w:u w:val="single"/>
        </w:rPr>
      </w:pPr>
      <w:r>
        <w:rPr>
          <w:rFonts w:hint="eastAsia" w:cs="宋体"/>
          <w:sz w:val="21"/>
          <w:szCs w:val="21"/>
          <w:highlight w:val="none"/>
        </w:rPr>
        <w:t>传    真：</w:t>
      </w:r>
      <w:r>
        <w:rPr>
          <w:rFonts w:hint="eastAsia" w:cs="宋体"/>
          <w:sz w:val="21"/>
          <w:szCs w:val="21"/>
          <w:highlight w:val="none"/>
          <w:u w:val="single"/>
        </w:rPr>
        <w:t xml:space="preserve">                 </w:t>
      </w:r>
    </w:p>
    <w:p w14:paraId="2D28F449">
      <w:pPr>
        <w:spacing w:line="360" w:lineRule="auto"/>
        <w:ind w:left="1303" w:leftChars="200" w:hanging="903" w:hangingChars="430"/>
        <w:rPr>
          <w:rFonts w:cs="宋体"/>
          <w:sz w:val="21"/>
          <w:szCs w:val="21"/>
          <w:highlight w:val="none"/>
        </w:rPr>
      </w:pPr>
      <w:r>
        <w:rPr>
          <w:rFonts w:hint="eastAsia" w:cs="宋体"/>
          <w:sz w:val="21"/>
          <w:szCs w:val="21"/>
          <w:highlight w:val="none"/>
        </w:rPr>
        <w:t>开立时间：</w:t>
      </w:r>
      <w:r>
        <w:rPr>
          <w:rFonts w:hint="eastAsia" w:cs="宋体"/>
          <w:sz w:val="21"/>
          <w:szCs w:val="21"/>
          <w:highlight w:val="none"/>
          <w:u w:val="single"/>
        </w:rPr>
        <w:t xml:space="preserve">      </w:t>
      </w:r>
      <w:r>
        <w:rPr>
          <w:rFonts w:hint="eastAsia" w:cs="宋体"/>
          <w:sz w:val="21"/>
          <w:szCs w:val="21"/>
          <w:highlight w:val="none"/>
        </w:rPr>
        <w:t>年</w:t>
      </w:r>
      <w:r>
        <w:rPr>
          <w:rFonts w:hint="eastAsia" w:cs="宋体"/>
          <w:sz w:val="21"/>
          <w:szCs w:val="21"/>
          <w:highlight w:val="none"/>
          <w:u w:val="single"/>
        </w:rPr>
        <w:t xml:space="preserve">      </w:t>
      </w:r>
      <w:r>
        <w:rPr>
          <w:rFonts w:hint="eastAsia" w:cs="宋体"/>
          <w:sz w:val="21"/>
          <w:szCs w:val="21"/>
          <w:highlight w:val="none"/>
        </w:rPr>
        <w:t>月</w:t>
      </w:r>
      <w:r>
        <w:rPr>
          <w:rFonts w:hint="eastAsia" w:cs="宋体"/>
          <w:sz w:val="21"/>
          <w:szCs w:val="21"/>
          <w:highlight w:val="none"/>
          <w:u w:val="single"/>
        </w:rPr>
        <w:t xml:space="preserve">    </w:t>
      </w:r>
      <w:r>
        <w:rPr>
          <w:rFonts w:hint="eastAsia" w:cs="宋体"/>
          <w:sz w:val="21"/>
          <w:szCs w:val="21"/>
          <w:highlight w:val="none"/>
        </w:rPr>
        <w:t>日</w:t>
      </w:r>
    </w:p>
    <w:p w14:paraId="7E22C50F">
      <w:pPr>
        <w:spacing w:before="312" w:beforeLines="100" w:after="312" w:afterLines="100"/>
        <w:outlineLvl w:val="2"/>
        <w:rPr>
          <w:rFonts w:ascii="Times New Roman" w:eastAsia="黑体"/>
          <w:szCs w:val="24"/>
          <w:highlight w:val="none"/>
        </w:rPr>
      </w:pPr>
      <w:r>
        <w:rPr>
          <w:rFonts w:ascii="Times New Roman" w:eastAsia="黑体"/>
          <w:bCs/>
          <w:highlight w:val="none"/>
        </w:rPr>
        <w:br w:type="page"/>
      </w:r>
      <w:bookmarkStart w:id="679" w:name="_Toc128950247"/>
      <w:r>
        <w:rPr>
          <w:rFonts w:hint="eastAsia" w:ascii="Times New Roman" w:eastAsia="黑体"/>
          <w:szCs w:val="24"/>
          <w:highlight w:val="none"/>
        </w:rPr>
        <w:t>附件</w:t>
      </w:r>
      <w:r>
        <w:rPr>
          <w:rFonts w:ascii="Times New Roman" w:eastAsia="黑体"/>
          <w:szCs w:val="24"/>
          <w:highlight w:val="none"/>
        </w:rPr>
        <w:t>1</w:t>
      </w:r>
      <w:r>
        <w:rPr>
          <w:rFonts w:hint="eastAsia" w:ascii="Times New Roman" w:eastAsia="黑体"/>
          <w:szCs w:val="24"/>
          <w:highlight w:val="none"/>
        </w:rPr>
        <w:t>2：暂估价一览表</w:t>
      </w:r>
      <w:bookmarkEnd w:id="679"/>
    </w:p>
    <w:p w14:paraId="77FBD8E7">
      <w:pPr>
        <w:spacing w:before="156" w:beforeLines="50" w:after="156" w:afterLines="50" w:line="440" w:lineRule="exact"/>
        <w:jc w:val="center"/>
        <w:rPr>
          <w:rFonts w:cs="宋体"/>
          <w:szCs w:val="21"/>
          <w:highlight w:val="none"/>
        </w:rPr>
      </w:pPr>
      <w:r>
        <w:rPr>
          <w:rFonts w:hint="eastAsia" w:cs="宋体"/>
          <w:szCs w:val="21"/>
          <w:highlight w:val="none"/>
        </w:rPr>
        <w:t>12-1：材料暂估价表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37407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39420523">
            <w:pPr>
              <w:keepNext/>
              <w:spacing w:line="440" w:lineRule="exact"/>
              <w:jc w:val="center"/>
              <w:rPr>
                <w:rFonts w:cs="宋体"/>
                <w:szCs w:val="21"/>
                <w:highlight w:val="none"/>
              </w:rPr>
            </w:pPr>
            <w:r>
              <w:rPr>
                <w:rFonts w:hint="eastAsia" w:cs="宋体"/>
                <w:szCs w:val="21"/>
                <w:highlight w:val="none"/>
              </w:rPr>
              <w:t>序号</w:t>
            </w:r>
          </w:p>
        </w:tc>
        <w:tc>
          <w:tcPr>
            <w:tcW w:w="1094" w:type="pct"/>
            <w:tcBorders>
              <w:top w:val="single" w:color="auto" w:sz="12" w:space="0"/>
              <w:bottom w:val="double" w:color="auto" w:sz="6" w:space="0"/>
            </w:tcBorders>
            <w:vAlign w:val="center"/>
          </w:tcPr>
          <w:p w14:paraId="485E8575">
            <w:pPr>
              <w:keepNext/>
              <w:spacing w:line="440" w:lineRule="exact"/>
              <w:jc w:val="center"/>
              <w:rPr>
                <w:rFonts w:cs="宋体"/>
                <w:szCs w:val="21"/>
                <w:highlight w:val="none"/>
              </w:rPr>
            </w:pPr>
            <w:r>
              <w:rPr>
                <w:rFonts w:hint="eastAsia" w:cs="宋体"/>
                <w:szCs w:val="21"/>
                <w:highlight w:val="none"/>
              </w:rPr>
              <w:t>名称</w:t>
            </w:r>
          </w:p>
        </w:tc>
        <w:tc>
          <w:tcPr>
            <w:tcW w:w="468" w:type="pct"/>
            <w:tcBorders>
              <w:top w:val="single" w:color="auto" w:sz="12" w:space="0"/>
              <w:bottom w:val="double" w:color="auto" w:sz="6" w:space="0"/>
            </w:tcBorders>
            <w:vAlign w:val="center"/>
          </w:tcPr>
          <w:p w14:paraId="0673D37D">
            <w:pPr>
              <w:keepNext/>
              <w:spacing w:line="440" w:lineRule="exact"/>
              <w:jc w:val="center"/>
              <w:rPr>
                <w:rFonts w:cs="宋体"/>
                <w:szCs w:val="21"/>
                <w:highlight w:val="none"/>
              </w:rPr>
            </w:pPr>
            <w:r>
              <w:rPr>
                <w:rFonts w:hint="eastAsia" w:cs="宋体"/>
                <w:szCs w:val="21"/>
                <w:highlight w:val="none"/>
              </w:rPr>
              <w:t>单位</w:t>
            </w:r>
          </w:p>
        </w:tc>
        <w:tc>
          <w:tcPr>
            <w:tcW w:w="426" w:type="pct"/>
            <w:tcBorders>
              <w:top w:val="single" w:color="auto" w:sz="12" w:space="0"/>
              <w:bottom w:val="double" w:color="auto" w:sz="6" w:space="0"/>
            </w:tcBorders>
            <w:vAlign w:val="center"/>
          </w:tcPr>
          <w:p w14:paraId="0BFB15AC">
            <w:pPr>
              <w:keepNext/>
              <w:spacing w:line="440" w:lineRule="exact"/>
              <w:jc w:val="center"/>
              <w:rPr>
                <w:rFonts w:cs="宋体"/>
                <w:szCs w:val="21"/>
                <w:highlight w:val="none"/>
              </w:rPr>
            </w:pPr>
            <w:r>
              <w:rPr>
                <w:rFonts w:hint="eastAsia" w:cs="宋体"/>
                <w:szCs w:val="21"/>
                <w:highlight w:val="none"/>
              </w:rPr>
              <w:t>数量</w:t>
            </w:r>
          </w:p>
        </w:tc>
        <w:tc>
          <w:tcPr>
            <w:tcW w:w="745" w:type="pct"/>
            <w:tcBorders>
              <w:top w:val="single" w:color="auto" w:sz="12" w:space="0"/>
              <w:bottom w:val="double" w:color="auto" w:sz="6" w:space="0"/>
            </w:tcBorders>
            <w:vAlign w:val="center"/>
          </w:tcPr>
          <w:p w14:paraId="13A46DEE">
            <w:pPr>
              <w:keepNext/>
              <w:spacing w:line="440" w:lineRule="exact"/>
              <w:jc w:val="center"/>
              <w:rPr>
                <w:rFonts w:cs="宋体"/>
                <w:szCs w:val="21"/>
                <w:highlight w:val="none"/>
              </w:rPr>
            </w:pPr>
            <w:r>
              <w:rPr>
                <w:rFonts w:hint="eastAsia" w:cs="宋体"/>
                <w:szCs w:val="21"/>
                <w:highlight w:val="none"/>
              </w:rPr>
              <w:t>单价（元）</w:t>
            </w:r>
          </w:p>
        </w:tc>
        <w:tc>
          <w:tcPr>
            <w:tcW w:w="781" w:type="pct"/>
            <w:tcBorders>
              <w:top w:val="single" w:color="auto" w:sz="12" w:space="0"/>
              <w:bottom w:val="double" w:color="auto" w:sz="6" w:space="0"/>
            </w:tcBorders>
            <w:vAlign w:val="center"/>
          </w:tcPr>
          <w:p w14:paraId="228F3951">
            <w:pPr>
              <w:keepNext/>
              <w:spacing w:line="440" w:lineRule="exact"/>
              <w:jc w:val="center"/>
              <w:rPr>
                <w:rFonts w:cs="宋体"/>
                <w:szCs w:val="21"/>
                <w:highlight w:val="none"/>
              </w:rPr>
            </w:pPr>
            <w:r>
              <w:rPr>
                <w:rFonts w:hint="eastAsia" w:cs="宋体"/>
                <w:szCs w:val="21"/>
                <w:highlight w:val="none"/>
              </w:rPr>
              <w:t>合价（元）</w:t>
            </w:r>
          </w:p>
        </w:tc>
        <w:tc>
          <w:tcPr>
            <w:tcW w:w="938" w:type="pct"/>
            <w:tcBorders>
              <w:top w:val="single" w:color="auto" w:sz="12" w:space="0"/>
              <w:bottom w:val="double" w:color="auto" w:sz="6" w:space="0"/>
            </w:tcBorders>
            <w:vAlign w:val="center"/>
          </w:tcPr>
          <w:p w14:paraId="77D0216A">
            <w:pPr>
              <w:keepNext/>
              <w:spacing w:line="440" w:lineRule="exact"/>
              <w:jc w:val="center"/>
              <w:rPr>
                <w:rFonts w:cs="宋体"/>
                <w:szCs w:val="21"/>
                <w:highlight w:val="none"/>
              </w:rPr>
            </w:pPr>
            <w:r>
              <w:rPr>
                <w:rFonts w:hint="eastAsia" w:cs="宋体"/>
                <w:szCs w:val="21"/>
                <w:highlight w:val="none"/>
              </w:rPr>
              <w:t>备注</w:t>
            </w:r>
          </w:p>
        </w:tc>
      </w:tr>
      <w:tr w14:paraId="1D971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5B38743E">
            <w:pPr>
              <w:keepNext/>
              <w:spacing w:line="440" w:lineRule="exact"/>
              <w:jc w:val="center"/>
              <w:rPr>
                <w:rFonts w:cs="宋体"/>
                <w:szCs w:val="21"/>
                <w:highlight w:val="none"/>
              </w:rPr>
            </w:pPr>
          </w:p>
        </w:tc>
        <w:tc>
          <w:tcPr>
            <w:tcW w:w="1094" w:type="pct"/>
            <w:tcBorders>
              <w:top w:val="double" w:color="auto" w:sz="6" w:space="0"/>
            </w:tcBorders>
            <w:vAlign w:val="center"/>
          </w:tcPr>
          <w:p w14:paraId="3D21E314">
            <w:pPr>
              <w:keepNext/>
              <w:spacing w:line="440" w:lineRule="exact"/>
              <w:jc w:val="center"/>
              <w:rPr>
                <w:rFonts w:cs="宋体"/>
                <w:szCs w:val="21"/>
                <w:highlight w:val="none"/>
              </w:rPr>
            </w:pPr>
          </w:p>
        </w:tc>
        <w:tc>
          <w:tcPr>
            <w:tcW w:w="468" w:type="pct"/>
            <w:tcBorders>
              <w:top w:val="double" w:color="auto" w:sz="6" w:space="0"/>
            </w:tcBorders>
            <w:vAlign w:val="center"/>
          </w:tcPr>
          <w:p w14:paraId="29A48BE5">
            <w:pPr>
              <w:keepNext/>
              <w:spacing w:line="440" w:lineRule="exact"/>
              <w:jc w:val="center"/>
              <w:rPr>
                <w:rFonts w:cs="宋体"/>
                <w:szCs w:val="21"/>
                <w:highlight w:val="none"/>
              </w:rPr>
            </w:pPr>
          </w:p>
        </w:tc>
        <w:tc>
          <w:tcPr>
            <w:tcW w:w="426" w:type="pct"/>
            <w:tcBorders>
              <w:top w:val="double" w:color="auto" w:sz="6" w:space="0"/>
            </w:tcBorders>
            <w:vAlign w:val="center"/>
          </w:tcPr>
          <w:p w14:paraId="4F3C8292">
            <w:pPr>
              <w:keepNext/>
              <w:spacing w:line="440" w:lineRule="exact"/>
              <w:jc w:val="center"/>
              <w:rPr>
                <w:rFonts w:cs="宋体"/>
                <w:szCs w:val="21"/>
                <w:highlight w:val="none"/>
              </w:rPr>
            </w:pPr>
          </w:p>
        </w:tc>
        <w:tc>
          <w:tcPr>
            <w:tcW w:w="745" w:type="pct"/>
            <w:tcBorders>
              <w:top w:val="double" w:color="auto" w:sz="6" w:space="0"/>
            </w:tcBorders>
            <w:vAlign w:val="center"/>
          </w:tcPr>
          <w:p w14:paraId="73BEBF03">
            <w:pPr>
              <w:keepNext/>
              <w:spacing w:line="440" w:lineRule="exact"/>
              <w:jc w:val="center"/>
              <w:rPr>
                <w:rFonts w:cs="宋体"/>
                <w:szCs w:val="21"/>
                <w:highlight w:val="none"/>
              </w:rPr>
            </w:pPr>
          </w:p>
        </w:tc>
        <w:tc>
          <w:tcPr>
            <w:tcW w:w="781" w:type="pct"/>
            <w:tcBorders>
              <w:top w:val="double" w:color="auto" w:sz="6" w:space="0"/>
            </w:tcBorders>
            <w:vAlign w:val="center"/>
          </w:tcPr>
          <w:p w14:paraId="047C0453">
            <w:pPr>
              <w:keepNext/>
              <w:spacing w:line="440" w:lineRule="exact"/>
              <w:jc w:val="center"/>
              <w:rPr>
                <w:rFonts w:cs="宋体"/>
                <w:szCs w:val="21"/>
                <w:highlight w:val="none"/>
              </w:rPr>
            </w:pPr>
          </w:p>
        </w:tc>
        <w:tc>
          <w:tcPr>
            <w:tcW w:w="938" w:type="pct"/>
            <w:tcBorders>
              <w:top w:val="double" w:color="auto" w:sz="6" w:space="0"/>
            </w:tcBorders>
            <w:vAlign w:val="center"/>
          </w:tcPr>
          <w:p w14:paraId="6086B4E4">
            <w:pPr>
              <w:keepNext/>
              <w:spacing w:line="440" w:lineRule="exact"/>
              <w:jc w:val="center"/>
              <w:rPr>
                <w:rFonts w:cs="宋体"/>
                <w:szCs w:val="21"/>
                <w:highlight w:val="none"/>
              </w:rPr>
            </w:pPr>
          </w:p>
        </w:tc>
      </w:tr>
      <w:tr w14:paraId="6219D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29FAE403">
            <w:pPr>
              <w:keepNext/>
              <w:spacing w:line="440" w:lineRule="exact"/>
              <w:jc w:val="center"/>
              <w:rPr>
                <w:rFonts w:cs="宋体"/>
                <w:szCs w:val="21"/>
                <w:highlight w:val="none"/>
              </w:rPr>
            </w:pPr>
          </w:p>
        </w:tc>
        <w:tc>
          <w:tcPr>
            <w:tcW w:w="1094" w:type="pct"/>
            <w:tcBorders>
              <w:top w:val="nil"/>
            </w:tcBorders>
            <w:vAlign w:val="center"/>
          </w:tcPr>
          <w:p w14:paraId="2265126F">
            <w:pPr>
              <w:keepNext/>
              <w:spacing w:line="440" w:lineRule="exact"/>
              <w:jc w:val="center"/>
              <w:rPr>
                <w:rFonts w:cs="宋体"/>
                <w:szCs w:val="21"/>
                <w:highlight w:val="none"/>
              </w:rPr>
            </w:pPr>
          </w:p>
        </w:tc>
        <w:tc>
          <w:tcPr>
            <w:tcW w:w="468" w:type="pct"/>
            <w:tcBorders>
              <w:top w:val="nil"/>
            </w:tcBorders>
            <w:vAlign w:val="center"/>
          </w:tcPr>
          <w:p w14:paraId="17B68AED">
            <w:pPr>
              <w:keepNext/>
              <w:spacing w:line="440" w:lineRule="exact"/>
              <w:jc w:val="center"/>
              <w:rPr>
                <w:rFonts w:cs="宋体"/>
                <w:szCs w:val="21"/>
                <w:highlight w:val="none"/>
              </w:rPr>
            </w:pPr>
          </w:p>
        </w:tc>
        <w:tc>
          <w:tcPr>
            <w:tcW w:w="426" w:type="pct"/>
            <w:tcBorders>
              <w:top w:val="nil"/>
            </w:tcBorders>
            <w:vAlign w:val="center"/>
          </w:tcPr>
          <w:p w14:paraId="338593BD">
            <w:pPr>
              <w:keepNext/>
              <w:spacing w:line="440" w:lineRule="exact"/>
              <w:jc w:val="center"/>
              <w:rPr>
                <w:rFonts w:cs="宋体"/>
                <w:szCs w:val="21"/>
                <w:highlight w:val="none"/>
              </w:rPr>
            </w:pPr>
          </w:p>
        </w:tc>
        <w:tc>
          <w:tcPr>
            <w:tcW w:w="745" w:type="pct"/>
            <w:tcBorders>
              <w:top w:val="nil"/>
            </w:tcBorders>
            <w:vAlign w:val="center"/>
          </w:tcPr>
          <w:p w14:paraId="446E2C50">
            <w:pPr>
              <w:keepNext/>
              <w:spacing w:line="440" w:lineRule="exact"/>
              <w:jc w:val="center"/>
              <w:rPr>
                <w:rFonts w:cs="宋体"/>
                <w:szCs w:val="21"/>
                <w:highlight w:val="none"/>
              </w:rPr>
            </w:pPr>
          </w:p>
        </w:tc>
        <w:tc>
          <w:tcPr>
            <w:tcW w:w="781" w:type="pct"/>
            <w:tcBorders>
              <w:top w:val="nil"/>
            </w:tcBorders>
            <w:vAlign w:val="center"/>
          </w:tcPr>
          <w:p w14:paraId="5BA9AEFC">
            <w:pPr>
              <w:keepNext/>
              <w:spacing w:line="440" w:lineRule="exact"/>
              <w:jc w:val="center"/>
              <w:rPr>
                <w:rFonts w:cs="宋体"/>
                <w:szCs w:val="21"/>
                <w:highlight w:val="none"/>
              </w:rPr>
            </w:pPr>
          </w:p>
        </w:tc>
        <w:tc>
          <w:tcPr>
            <w:tcW w:w="938" w:type="pct"/>
            <w:tcBorders>
              <w:top w:val="nil"/>
            </w:tcBorders>
            <w:vAlign w:val="center"/>
          </w:tcPr>
          <w:p w14:paraId="595C0E68">
            <w:pPr>
              <w:keepNext/>
              <w:spacing w:line="440" w:lineRule="exact"/>
              <w:jc w:val="center"/>
              <w:rPr>
                <w:rFonts w:cs="宋体"/>
                <w:szCs w:val="21"/>
                <w:highlight w:val="none"/>
              </w:rPr>
            </w:pPr>
          </w:p>
        </w:tc>
      </w:tr>
      <w:tr w14:paraId="6DF48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1D034C55">
            <w:pPr>
              <w:keepNext/>
              <w:spacing w:line="440" w:lineRule="exact"/>
              <w:jc w:val="center"/>
              <w:rPr>
                <w:rFonts w:cs="宋体"/>
                <w:szCs w:val="21"/>
                <w:highlight w:val="none"/>
              </w:rPr>
            </w:pPr>
          </w:p>
        </w:tc>
        <w:tc>
          <w:tcPr>
            <w:tcW w:w="1094" w:type="pct"/>
            <w:vAlign w:val="center"/>
          </w:tcPr>
          <w:p w14:paraId="3B390F9A">
            <w:pPr>
              <w:keepNext/>
              <w:spacing w:line="440" w:lineRule="exact"/>
              <w:jc w:val="center"/>
              <w:rPr>
                <w:rFonts w:cs="宋体"/>
                <w:szCs w:val="21"/>
                <w:highlight w:val="none"/>
              </w:rPr>
            </w:pPr>
          </w:p>
        </w:tc>
        <w:tc>
          <w:tcPr>
            <w:tcW w:w="468" w:type="pct"/>
            <w:vAlign w:val="center"/>
          </w:tcPr>
          <w:p w14:paraId="537F86EC">
            <w:pPr>
              <w:keepNext/>
              <w:spacing w:line="440" w:lineRule="exact"/>
              <w:jc w:val="center"/>
              <w:rPr>
                <w:rFonts w:cs="宋体"/>
                <w:szCs w:val="21"/>
                <w:highlight w:val="none"/>
              </w:rPr>
            </w:pPr>
          </w:p>
        </w:tc>
        <w:tc>
          <w:tcPr>
            <w:tcW w:w="426" w:type="pct"/>
            <w:vAlign w:val="center"/>
          </w:tcPr>
          <w:p w14:paraId="5D23ACB4">
            <w:pPr>
              <w:keepNext/>
              <w:spacing w:line="440" w:lineRule="exact"/>
              <w:jc w:val="center"/>
              <w:rPr>
                <w:rFonts w:cs="宋体"/>
                <w:szCs w:val="21"/>
                <w:highlight w:val="none"/>
              </w:rPr>
            </w:pPr>
          </w:p>
        </w:tc>
        <w:tc>
          <w:tcPr>
            <w:tcW w:w="745" w:type="pct"/>
            <w:vAlign w:val="center"/>
          </w:tcPr>
          <w:p w14:paraId="1E1B91B5">
            <w:pPr>
              <w:keepNext/>
              <w:spacing w:line="440" w:lineRule="exact"/>
              <w:jc w:val="center"/>
              <w:rPr>
                <w:rFonts w:cs="宋体"/>
                <w:szCs w:val="21"/>
                <w:highlight w:val="none"/>
              </w:rPr>
            </w:pPr>
          </w:p>
        </w:tc>
        <w:tc>
          <w:tcPr>
            <w:tcW w:w="781" w:type="pct"/>
            <w:vAlign w:val="center"/>
          </w:tcPr>
          <w:p w14:paraId="409F182B">
            <w:pPr>
              <w:keepNext/>
              <w:spacing w:line="440" w:lineRule="exact"/>
              <w:jc w:val="center"/>
              <w:rPr>
                <w:rFonts w:cs="宋体"/>
                <w:szCs w:val="21"/>
                <w:highlight w:val="none"/>
              </w:rPr>
            </w:pPr>
          </w:p>
        </w:tc>
        <w:tc>
          <w:tcPr>
            <w:tcW w:w="938" w:type="pct"/>
            <w:vAlign w:val="center"/>
          </w:tcPr>
          <w:p w14:paraId="04B2091B">
            <w:pPr>
              <w:keepNext/>
              <w:spacing w:line="440" w:lineRule="exact"/>
              <w:jc w:val="center"/>
              <w:rPr>
                <w:rFonts w:cs="宋体"/>
                <w:szCs w:val="21"/>
                <w:highlight w:val="none"/>
              </w:rPr>
            </w:pPr>
          </w:p>
        </w:tc>
      </w:tr>
      <w:tr w14:paraId="5903E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447FB791">
            <w:pPr>
              <w:keepNext/>
              <w:spacing w:line="440" w:lineRule="exact"/>
              <w:jc w:val="center"/>
              <w:rPr>
                <w:rFonts w:cs="宋体"/>
                <w:szCs w:val="21"/>
                <w:highlight w:val="none"/>
              </w:rPr>
            </w:pPr>
          </w:p>
        </w:tc>
        <w:tc>
          <w:tcPr>
            <w:tcW w:w="1094" w:type="pct"/>
            <w:vAlign w:val="center"/>
          </w:tcPr>
          <w:p w14:paraId="3CD835AF">
            <w:pPr>
              <w:keepNext/>
              <w:spacing w:line="440" w:lineRule="exact"/>
              <w:jc w:val="center"/>
              <w:rPr>
                <w:rFonts w:cs="宋体"/>
                <w:szCs w:val="21"/>
                <w:highlight w:val="none"/>
              </w:rPr>
            </w:pPr>
          </w:p>
        </w:tc>
        <w:tc>
          <w:tcPr>
            <w:tcW w:w="468" w:type="pct"/>
            <w:vAlign w:val="center"/>
          </w:tcPr>
          <w:p w14:paraId="35CAC724">
            <w:pPr>
              <w:keepNext/>
              <w:spacing w:line="440" w:lineRule="exact"/>
              <w:jc w:val="center"/>
              <w:rPr>
                <w:rFonts w:cs="宋体"/>
                <w:szCs w:val="21"/>
                <w:highlight w:val="none"/>
              </w:rPr>
            </w:pPr>
          </w:p>
        </w:tc>
        <w:tc>
          <w:tcPr>
            <w:tcW w:w="426" w:type="pct"/>
            <w:vAlign w:val="center"/>
          </w:tcPr>
          <w:p w14:paraId="318BEDC1">
            <w:pPr>
              <w:keepNext/>
              <w:spacing w:line="440" w:lineRule="exact"/>
              <w:jc w:val="center"/>
              <w:rPr>
                <w:rFonts w:cs="宋体"/>
                <w:szCs w:val="21"/>
                <w:highlight w:val="none"/>
              </w:rPr>
            </w:pPr>
          </w:p>
        </w:tc>
        <w:tc>
          <w:tcPr>
            <w:tcW w:w="745" w:type="pct"/>
            <w:vAlign w:val="center"/>
          </w:tcPr>
          <w:p w14:paraId="2639B0E1">
            <w:pPr>
              <w:keepNext/>
              <w:spacing w:line="440" w:lineRule="exact"/>
              <w:jc w:val="center"/>
              <w:rPr>
                <w:rFonts w:cs="宋体"/>
                <w:szCs w:val="21"/>
                <w:highlight w:val="none"/>
              </w:rPr>
            </w:pPr>
          </w:p>
        </w:tc>
        <w:tc>
          <w:tcPr>
            <w:tcW w:w="781" w:type="pct"/>
            <w:vAlign w:val="center"/>
          </w:tcPr>
          <w:p w14:paraId="31F7475D">
            <w:pPr>
              <w:keepNext/>
              <w:spacing w:line="440" w:lineRule="exact"/>
              <w:jc w:val="center"/>
              <w:rPr>
                <w:rFonts w:cs="宋体"/>
                <w:szCs w:val="21"/>
                <w:highlight w:val="none"/>
              </w:rPr>
            </w:pPr>
          </w:p>
        </w:tc>
        <w:tc>
          <w:tcPr>
            <w:tcW w:w="938" w:type="pct"/>
            <w:vAlign w:val="center"/>
          </w:tcPr>
          <w:p w14:paraId="1E4F089C">
            <w:pPr>
              <w:keepNext/>
              <w:spacing w:line="440" w:lineRule="exact"/>
              <w:jc w:val="center"/>
              <w:rPr>
                <w:rFonts w:cs="宋体"/>
                <w:szCs w:val="21"/>
                <w:highlight w:val="none"/>
              </w:rPr>
            </w:pPr>
          </w:p>
        </w:tc>
      </w:tr>
      <w:tr w14:paraId="47406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5D7E5D05">
            <w:pPr>
              <w:keepNext/>
              <w:spacing w:line="440" w:lineRule="exact"/>
              <w:jc w:val="center"/>
              <w:rPr>
                <w:rFonts w:cs="宋体"/>
                <w:szCs w:val="21"/>
                <w:highlight w:val="none"/>
              </w:rPr>
            </w:pPr>
          </w:p>
        </w:tc>
        <w:tc>
          <w:tcPr>
            <w:tcW w:w="1094" w:type="pct"/>
            <w:tcBorders>
              <w:bottom w:val="single" w:color="auto" w:sz="12" w:space="0"/>
            </w:tcBorders>
            <w:vAlign w:val="center"/>
          </w:tcPr>
          <w:p w14:paraId="15B4AE0D">
            <w:pPr>
              <w:keepNext/>
              <w:spacing w:line="440" w:lineRule="exact"/>
              <w:jc w:val="center"/>
              <w:rPr>
                <w:rFonts w:cs="宋体"/>
                <w:szCs w:val="21"/>
                <w:highlight w:val="none"/>
              </w:rPr>
            </w:pPr>
          </w:p>
        </w:tc>
        <w:tc>
          <w:tcPr>
            <w:tcW w:w="468" w:type="pct"/>
            <w:tcBorders>
              <w:bottom w:val="single" w:color="auto" w:sz="12" w:space="0"/>
            </w:tcBorders>
            <w:vAlign w:val="center"/>
          </w:tcPr>
          <w:p w14:paraId="54B01266">
            <w:pPr>
              <w:keepNext/>
              <w:spacing w:line="440" w:lineRule="exact"/>
              <w:jc w:val="center"/>
              <w:rPr>
                <w:rFonts w:cs="宋体"/>
                <w:szCs w:val="21"/>
                <w:highlight w:val="none"/>
              </w:rPr>
            </w:pPr>
          </w:p>
        </w:tc>
        <w:tc>
          <w:tcPr>
            <w:tcW w:w="426" w:type="pct"/>
            <w:tcBorders>
              <w:bottom w:val="single" w:color="auto" w:sz="12" w:space="0"/>
            </w:tcBorders>
            <w:vAlign w:val="center"/>
          </w:tcPr>
          <w:p w14:paraId="3AF7479C">
            <w:pPr>
              <w:keepNext/>
              <w:spacing w:line="440" w:lineRule="exact"/>
              <w:jc w:val="center"/>
              <w:rPr>
                <w:rFonts w:cs="宋体"/>
                <w:szCs w:val="21"/>
                <w:highlight w:val="none"/>
              </w:rPr>
            </w:pPr>
          </w:p>
        </w:tc>
        <w:tc>
          <w:tcPr>
            <w:tcW w:w="745" w:type="pct"/>
            <w:tcBorders>
              <w:bottom w:val="single" w:color="auto" w:sz="12" w:space="0"/>
            </w:tcBorders>
            <w:vAlign w:val="center"/>
          </w:tcPr>
          <w:p w14:paraId="043ED1E5">
            <w:pPr>
              <w:keepNext/>
              <w:spacing w:line="440" w:lineRule="exact"/>
              <w:jc w:val="center"/>
              <w:rPr>
                <w:rFonts w:cs="宋体"/>
                <w:szCs w:val="21"/>
                <w:highlight w:val="none"/>
              </w:rPr>
            </w:pPr>
          </w:p>
        </w:tc>
        <w:tc>
          <w:tcPr>
            <w:tcW w:w="781" w:type="pct"/>
            <w:tcBorders>
              <w:bottom w:val="single" w:color="auto" w:sz="12" w:space="0"/>
            </w:tcBorders>
            <w:vAlign w:val="center"/>
          </w:tcPr>
          <w:p w14:paraId="2B8875FB">
            <w:pPr>
              <w:keepNext/>
              <w:spacing w:line="440" w:lineRule="exact"/>
              <w:jc w:val="center"/>
              <w:rPr>
                <w:rFonts w:cs="宋体"/>
                <w:szCs w:val="21"/>
                <w:highlight w:val="none"/>
              </w:rPr>
            </w:pPr>
          </w:p>
        </w:tc>
        <w:tc>
          <w:tcPr>
            <w:tcW w:w="938" w:type="pct"/>
            <w:tcBorders>
              <w:bottom w:val="single" w:color="auto" w:sz="12" w:space="0"/>
            </w:tcBorders>
            <w:vAlign w:val="center"/>
          </w:tcPr>
          <w:p w14:paraId="053198AE">
            <w:pPr>
              <w:keepNext/>
              <w:spacing w:line="440" w:lineRule="exact"/>
              <w:jc w:val="center"/>
              <w:rPr>
                <w:rFonts w:cs="宋体"/>
                <w:szCs w:val="21"/>
                <w:highlight w:val="none"/>
              </w:rPr>
            </w:pPr>
          </w:p>
        </w:tc>
      </w:tr>
    </w:tbl>
    <w:p w14:paraId="2F0562AA">
      <w:pPr>
        <w:spacing w:before="156" w:beforeLines="50" w:after="156" w:afterLines="50" w:line="440" w:lineRule="exact"/>
        <w:jc w:val="center"/>
        <w:rPr>
          <w:rFonts w:cs="宋体"/>
          <w:szCs w:val="21"/>
          <w:highlight w:val="none"/>
        </w:rPr>
      </w:pPr>
      <w:r>
        <w:rPr>
          <w:rFonts w:hint="eastAsia" w:cs="宋体"/>
          <w:szCs w:val="21"/>
          <w:highlight w:val="none"/>
        </w:rPr>
        <w:t>12-2：工程设备暂估价表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09AB5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3AE8448A">
            <w:pPr>
              <w:keepNext/>
              <w:spacing w:line="440" w:lineRule="exact"/>
              <w:jc w:val="center"/>
              <w:rPr>
                <w:rFonts w:cs="宋体"/>
                <w:szCs w:val="21"/>
                <w:highlight w:val="none"/>
              </w:rPr>
            </w:pPr>
            <w:r>
              <w:rPr>
                <w:rFonts w:hint="eastAsia" w:cs="宋体"/>
                <w:szCs w:val="21"/>
                <w:highlight w:val="none"/>
              </w:rPr>
              <w:t>序号</w:t>
            </w:r>
          </w:p>
        </w:tc>
        <w:tc>
          <w:tcPr>
            <w:tcW w:w="1094" w:type="pct"/>
            <w:tcBorders>
              <w:top w:val="single" w:color="auto" w:sz="12" w:space="0"/>
              <w:bottom w:val="double" w:color="auto" w:sz="6" w:space="0"/>
            </w:tcBorders>
            <w:vAlign w:val="center"/>
          </w:tcPr>
          <w:p w14:paraId="6801F722">
            <w:pPr>
              <w:keepNext/>
              <w:spacing w:line="440" w:lineRule="exact"/>
              <w:jc w:val="center"/>
              <w:rPr>
                <w:rFonts w:cs="宋体"/>
                <w:szCs w:val="21"/>
                <w:highlight w:val="none"/>
              </w:rPr>
            </w:pPr>
            <w:r>
              <w:rPr>
                <w:rFonts w:hint="eastAsia" w:cs="宋体"/>
                <w:szCs w:val="21"/>
                <w:highlight w:val="none"/>
              </w:rPr>
              <w:t>名称</w:t>
            </w:r>
          </w:p>
        </w:tc>
        <w:tc>
          <w:tcPr>
            <w:tcW w:w="468" w:type="pct"/>
            <w:tcBorders>
              <w:top w:val="single" w:color="auto" w:sz="12" w:space="0"/>
              <w:bottom w:val="double" w:color="auto" w:sz="6" w:space="0"/>
            </w:tcBorders>
            <w:vAlign w:val="center"/>
          </w:tcPr>
          <w:p w14:paraId="7171C031">
            <w:pPr>
              <w:keepNext/>
              <w:spacing w:line="440" w:lineRule="exact"/>
              <w:jc w:val="center"/>
              <w:rPr>
                <w:rFonts w:cs="宋体"/>
                <w:szCs w:val="21"/>
                <w:highlight w:val="none"/>
              </w:rPr>
            </w:pPr>
            <w:r>
              <w:rPr>
                <w:rFonts w:hint="eastAsia" w:cs="宋体"/>
                <w:szCs w:val="21"/>
                <w:highlight w:val="none"/>
              </w:rPr>
              <w:t>单位</w:t>
            </w:r>
          </w:p>
        </w:tc>
        <w:tc>
          <w:tcPr>
            <w:tcW w:w="426" w:type="pct"/>
            <w:tcBorders>
              <w:top w:val="single" w:color="auto" w:sz="12" w:space="0"/>
              <w:bottom w:val="double" w:color="auto" w:sz="6" w:space="0"/>
            </w:tcBorders>
            <w:vAlign w:val="center"/>
          </w:tcPr>
          <w:p w14:paraId="3FF71EB4">
            <w:pPr>
              <w:keepNext/>
              <w:spacing w:line="440" w:lineRule="exact"/>
              <w:jc w:val="center"/>
              <w:rPr>
                <w:rFonts w:cs="宋体"/>
                <w:szCs w:val="21"/>
                <w:highlight w:val="none"/>
              </w:rPr>
            </w:pPr>
            <w:r>
              <w:rPr>
                <w:rFonts w:hint="eastAsia" w:cs="宋体"/>
                <w:szCs w:val="21"/>
                <w:highlight w:val="none"/>
              </w:rPr>
              <w:t>数量</w:t>
            </w:r>
          </w:p>
        </w:tc>
        <w:tc>
          <w:tcPr>
            <w:tcW w:w="745" w:type="pct"/>
            <w:tcBorders>
              <w:top w:val="single" w:color="auto" w:sz="12" w:space="0"/>
              <w:bottom w:val="double" w:color="auto" w:sz="6" w:space="0"/>
            </w:tcBorders>
            <w:vAlign w:val="center"/>
          </w:tcPr>
          <w:p w14:paraId="2EF8496B">
            <w:pPr>
              <w:keepNext/>
              <w:spacing w:line="440" w:lineRule="exact"/>
              <w:jc w:val="center"/>
              <w:rPr>
                <w:rFonts w:cs="宋体"/>
                <w:szCs w:val="21"/>
                <w:highlight w:val="none"/>
              </w:rPr>
            </w:pPr>
            <w:r>
              <w:rPr>
                <w:rFonts w:hint="eastAsia" w:cs="宋体"/>
                <w:szCs w:val="21"/>
                <w:highlight w:val="none"/>
              </w:rPr>
              <w:t>单价（元）</w:t>
            </w:r>
          </w:p>
        </w:tc>
        <w:tc>
          <w:tcPr>
            <w:tcW w:w="781" w:type="pct"/>
            <w:tcBorders>
              <w:top w:val="single" w:color="auto" w:sz="12" w:space="0"/>
              <w:bottom w:val="double" w:color="auto" w:sz="6" w:space="0"/>
            </w:tcBorders>
            <w:vAlign w:val="center"/>
          </w:tcPr>
          <w:p w14:paraId="08E196FD">
            <w:pPr>
              <w:keepNext/>
              <w:spacing w:line="440" w:lineRule="exact"/>
              <w:jc w:val="center"/>
              <w:rPr>
                <w:rFonts w:cs="宋体"/>
                <w:szCs w:val="21"/>
                <w:highlight w:val="none"/>
              </w:rPr>
            </w:pPr>
            <w:r>
              <w:rPr>
                <w:rFonts w:hint="eastAsia" w:cs="宋体"/>
                <w:szCs w:val="21"/>
                <w:highlight w:val="none"/>
              </w:rPr>
              <w:t>合价（元）</w:t>
            </w:r>
          </w:p>
        </w:tc>
        <w:tc>
          <w:tcPr>
            <w:tcW w:w="938" w:type="pct"/>
            <w:tcBorders>
              <w:top w:val="single" w:color="auto" w:sz="12" w:space="0"/>
              <w:bottom w:val="double" w:color="auto" w:sz="6" w:space="0"/>
            </w:tcBorders>
            <w:vAlign w:val="center"/>
          </w:tcPr>
          <w:p w14:paraId="0E8DF823">
            <w:pPr>
              <w:keepNext/>
              <w:spacing w:line="440" w:lineRule="exact"/>
              <w:jc w:val="center"/>
              <w:rPr>
                <w:rFonts w:cs="宋体"/>
                <w:szCs w:val="21"/>
                <w:highlight w:val="none"/>
              </w:rPr>
            </w:pPr>
            <w:r>
              <w:rPr>
                <w:rFonts w:hint="eastAsia" w:cs="宋体"/>
                <w:szCs w:val="21"/>
                <w:highlight w:val="none"/>
              </w:rPr>
              <w:t>备注</w:t>
            </w:r>
          </w:p>
        </w:tc>
      </w:tr>
      <w:tr w14:paraId="4FF46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01AFABA2">
            <w:pPr>
              <w:keepNext/>
              <w:spacing w:line="440" w:lineRule="exact"/>
              <w:jc w:val="center"/>
              <w:rPr>
                <w:rFonts w:cs="宋体"/>
                <w:szCs w:val="21"/>
                <w:highlight w:val="none"/>
              </w:rPr>
            </w:pPr>
          </w:p>
        </w:tc>
        <w:tc>
          <w:tcPr>
            <w:tcW w:w="1094" w:type="pct"/>
            <w:tcBorders>
              <w:top w:val="double" w:color="auto" w:sz="6" w:space="0"/>
            </w:tcBorders>
            <w:vAlign w:val="center"/>
          </w:tcPr>
          <w:p w14:paraId="6782C2AB">
            <w:pPr>
              <w:keepNext/>
              <w:spacing w:line="440" w:lineRule="exact"/>
              <w:jc w:val="center"/>
              <w:rPr>
                <w:rFonts w:cs="宋体"/>
                <w:szCs w:val="21"/>
                <w:highlight w:val="none"/>
              </w:rPr>
            </w:pPr>
          </w:p>
        </w:tc>
        <w:tc>
          <w:tcPr>
            <w:tcW w:w="468" w:type="pct"/>
            <w:tcBorders>
              <w:top w:val="double" w:color="auto" w:sz="6" w:space="0"/>
            </w:tcBorders>
            <w:vAlign w:val="center"/>
          </w:tcPr>
          <w:p w14:paraId="0392D41D">
            <w:pPr>
              <w:keepNext/>
              <w:spacing w:line="440" w:lineRule="exact"/>
              <w:jc w:val="center"/>
              <w:rPr>
                <w:rFonts w:cs="宋体"/>
                <w:szCs w:val="21"/>
                <w:highlight w:val="none"/>
              </w:rPr>
            </w:pPr>
          </w:p>
        </w:tc>
        <w:tc>
          <w:tcPr>
            <w:tcW w:w="426" w:type="pct"/>
            <w:tcBorders>
              <w:top w:val="double" w:color="auto" w:sz="6" w:space="0"/>
            </w:tcBorders>
            <w:vAlign w:val="center"/>
          </w:tcPr>
          <w:p w14:paraId="50EB4C83">
            <w:pPr>
              <w:keepNext/>
              <w:spacing w:line="440" w:lineRule="exact"/>
              <w:jc w:val="center"/>
              <w:rPr>
                <w:rFonts w:cs="宋体"/>
                <w:szCs w:val="21"/>
                <w:highlight w:val="none"/>
              </w:rPr>
            </w:pPr>
          </w:p>
        </w:tc>
        <w:tc>
          <w:tcPr>
            <w:tcW w:w="745" w:type="pct"/>
            <w:tcBorders>
              <w:top w:val="double" w:color="auto" w:sz="6" w:space="0"/>
            </w:tcBorders>
            <w:vAlign w:val="center"/>
          </w:tcPr>
          <w:p w14:paraId="7864D34E">
            <w:pPr>
              <w:keepNext/>
              <w:spacing w:line="440" w:lineRule="exact"/>
              <w:jc w:val="center"/>
              <w:rPr>
                <w:rFonts w:cs="宋体"/>
                <w:szCs w:val="21"/>
                <w:highlight w:val="none"/>
              </w:rPr>
            </w:pPr>
          </w:p>
        </w:tc>
        <w:tc>
          <w:tcPr>
            <w:tcW w:w="781" w:type="pct"/>
            <w:tcBorders>
              <w:top w:val="double" w:color="auto" w:sz="6" w:space="0"/>
            </w:tcBorders>
            <w:vAlign w:val="center"/>
          </w:tcPr>
          <w:p w14:paraId="5623752A">
            <w:pPr>
              <w:keepNext/>
              <w:spacing w:line="440" w:lineRule="exact"/>
              <w:jc w:val="center"/>
              <w:rPr>
                <w:rFonts w:cs="宋体"/>
                <w:szCs w:val="21"/>
                <w:highlight w:val="none"/>
              </w:rPr>
            </w:pPr>
          </w:p>
        </w:tc>
        <w:tc>
          <w:tcPr>
            <w:tcW w:w="938" w:type="pct"/>
            <w:tcBorders>
              <w:top w:val="double" w:color="auto" w:sz="6" w:space="0"/>
            </w:tcBorders>
            <w:vAlign w:val="center"/>
          </w:tcPr>
          <w:p w14:paraId="026E28D7">
            <w:pPr>
              <w:keepNext/>
              <w:spacing w:line="440" w:lineRule="exact"/>
              <w:jc w:val="center"/>
              <w:rPr>
                <w:rFonts w:cs="宋体"/>
                <w:szCs w:val="21"/>
                <w:highlight w:val="none"/>
              </w:rPr>
            </w:pPr>
          </w:p>
        </w:tc>
      </w:tr>
      <w:tr w14:paraId="3CB3D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01738C85">
            <w:pPr>
              <w:keepNext/>
              <w:spacing w:line="440" w:lineRule="exact"/>
              <w:jc w:val="center"/>
              <w:rPr>
                <w:rFonts w:cs="宋体"/>
                <w:szCs w:val="21"/>
                <w:highlight w:val="none"/>
              </w:rPr>
            </w:pPr>
          </w:p>
        </w:tc>
        <w:tc>
          <w:tcPr>
            <w:tcW w:w="1094" w:type="pct"/>
            <w:tcBorders>
              <w:top w:val="nil"/>
            </w:tcBorders>
            <w:vAlign w:val="center"/>
          </w:tcPr>
          <w:p w14:paraId="20F96ECB">
            <w:pPr>
              <w:keepNext/>
              <w:spacing w:line="440" w:lineRule="exact"/>
              <w:jc w:val="center"/>
              <w:rPr>
                <w:rFonts w:cs="宋体"/>
                <w:szCs w:val="21"/>
                <w:highlight w:val="none"/>
              </w:rPr>
            </w:pPr>
          </w:p>
        </w:tc>
        <w:tc>
          <w:tcPr>
            <w:tcW w:w="468" w:type="pct"/>
            <w:tcBorders>
              <w:top w:val="nil"/>
            </w:tcBorders>
            <w:vAlign w:val="center"/>
          </w:tcPr>
          <w:p w14:paraId="7EE7B081">
            <w:pPr>
              <w:keepNext/>
              <w:spacing w:line="440" w:lineRule="exact"/>
              <w:jc w:val="center"/>
              <w:rPr>
                <w:rFonts w:cs="宋体"/>
                <w:szCs w:val="21"/>
                <w:highlight w:val="none"/>
              </w:rPr>
            </w:pPr>
          </w:p>
        </w:tc>
        <w:tc>
          <w:tcPr>
            <w:tcW w:w="426" w:type="pct"/>
            <w:tcBorders>
              <w:top w:val="nil"/>
            </w:tcBorders>
            <w:vAlign w:val="center"/>
          </w:tcPr>
          <w:p w14:paraId="6A65AE2B">
            <w:pPr>
              <w:keepNext/>
              <w:spacing w:line="440" w:lineRule="exact"/>
              <w:jc w:val="center"/>
              <w:rPr>
                <w:rFonts w:cs="宋体"/>
                <w:szCs w:val="21"/>
                <w:highlight w:val="none"/>
              </w:rPr>
            </w:pPr>
          </w:p>
        </w:tc>
        <w:tc>
          <w:tcPr>
            <w:tcW w:w="745" w:type="pct"/>
            <w:tcBorders>
              <w:top w:val="nil"/>
            </w:tcBorders>
            <w:vAlign w:val="center"/>
          </w:tcPr>
          <w:p w14:paraId="5922A389">
            <w:pPr>
              <w:keepNext/>
              <w:spacing w:line="440" w:lineRule="exact"/>
              <w:jc w:val="center"/>
              <w:rPr>
                <w:rFonts w:cs="宋体"/>
                <w:szCs w:val="21"/>
                <w:highlight w:val="none"/>
              </w:rPr>
            </w:pPr>
          </w:p>
        </w:tc>
        <w:tc>
          <w:tcPr>
            <w:tcW w:w="781" w:type="pct"/>
            <w:tcBorders>
              <w:top w:val="nil"/>
            </w:tcBorders>
            <w:vAlign w:val="center"/>
          </w:tcPr>
          <w:p w14:paraId="2E083CFC">
            <w:pPr>
              <w:keepNext/>
              <w:spacing w:line="440" w:lineRule="exact"/>
              <w:jc w:val="center"/>
              <w:rPr>
                <w:rFonts w:cs="宋体"/>
                <w:szCs w:val="21"/>
                <w:highlight w:val="none"/>
              </w:rPr>
            </w:pPr>
          </w:p>
        </w:tc>
        <w:tc>
          <w:tcPr>
            <w:tcW w:w="938" w:type="pct"/>
            <w:tcBorders>
              <w:top w:val="nil"/>
            </w:tcBorders>
            <w:vAlign w:val="center"/>
          </w:tcPr>
          <w:p w14:paraId="53B9ABEA">
            <w:pPr>
              <w:keepNext/>
              <w:spacing w:line="440" w:lineRule="exact"/>
              <w:jc w:val="center"/>
              <w:rPr>
                <w:rFonts w:cs="宋体"/>
                <w:szCs w:val="21"/>
                <w:highlight w:val="none"/>
              </w:rPr>
            </w:pPr>
          </w:p>
        </w:tc>
      </w:tr>
      <w:tr w14:paraId="12CF0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55B3132E">
            <w:pPr>
              <w:keepNext/>
              <w:spacing w:line="440" w:lineRule="exact"/>
              <w:jc w:val="center"/>
              <w:rPr>
                <w:rFonts w:cs="宋体"/>
                <w:szCs w:val="21"/>
                <w:highlight w:val="none"/>
              </w:rPr>
            </w:pPr>
          </w:p>
        </w:tc>
        <w:tc>
          <w:tcPr>
            <w:tcW w:w="1094" w:type="pct"/>
            <w:vAlign w:val="center"/>
          </w:tcPr>
          <w:p w14:paraId="068949D2">
            <w:pPr>
              <w:keepNext/>
              <w:spacing w:line="440" w:lineRule="exact"/>
              <w:jc w:val="center"/>
              <w:rPr>
                <w:rFonts w:cs="宋体"/>
                <w:szCs w:val="21"/>
                <w:highlight w:val="none"/>
              </w:rPr>
            </w:pPr>
          </w:p>
        </w:tc>
        <w:tc>
          <w:tcPr>
            <w:tcW w:w="468" w:type="pct"/>
            <w:vAlign w:val="center"/>
          </w:tcPr>
          <w:p w14:paraId="2064A36D">
            <w:pPr>
              <w:keepNext/>
              <w:spacing w:line="440" w:lineRule="exact"/>
              <w:jc w:val="center"/>
              <w:rPr>
                <w:rFonts w:cs="宋体"/>
                <w:szCs w:val="21"/>
                <w:highlight w:val="none"/>
              </w:rPr>
            </w:pPr>
          </w:p>
        </w:tc>
        <w:tc>
          <w:tcPr>
            <w:tcW w:w="426" w:type="pct"/>
            <w:vAlign w:val="center"/>
          </w:tcPr>
          <w:p w14:paraId="7BFCE321">
            <w:pPr>
              <w:keepNext/>
              <w:spacing w:line="440" w:lineRule="exact"/>
              <w:jc w:val="center"/>
              <w:rPr>
                <w:rFonts w:cs="宋体"/>
                <w:szCs w:val="21"/>
                <w:highlight w:val="none"/>
              </w:rPr>
            </w:pPr>
          </w:p>
        </w:tc>
        <w:tc>
          <w:tcPr>
            <w:tcW w:w="745" w:type="pct"/>
            <w:vAlign w:val="center"/>
          </w:tcPr>
          <w:p w14:paraId="27D46652">
            <w:pPr>
              <w:keepNext/>
              <w:spacing w:line="440" w:lineRule="exact"/>
              <w:jc w:val="center"/>
              <w:rPr>
                <w:rFonts w:cs="宋体"/>
                <w:szCs w:val="21"/>
                <w:highlight w:val="none"/>
              </w:rPr>
            </w:pPr>
          </w:p>
        </w:tc>
        <w:tc>
          <w:tcPr>
            <w:tcW w:w="781" w:type="pct"/>
            <w:vAlign w:val="center"/>
          </w:tcPr>
          <w:p w14:paraId="6B79F650">
            <w:pPr>
              <w:keepNext/>
              <w:spacing w:line="440" w:lineRule="exact"/>
              <w:jc w:val="center"/>
              <w:rPr>
                <w:rFonts w:cs="宋体"/>
                <w:szCs w:val="21"/>
                <w:highlight w:val="none"/>
              </w:rPr>
            </w:pPr>
          </w:p>
        </w:tc>
        <w:tc>
          <w:tcPr>
            <w:tcW w:w="938" w:type="pct"/>
            <w:vAlign w:val="center"/>
          </w:tcPr>
          <w:p w14:paraId="56C658E8">
            <w:pPr>
              <w:keepNext/>
              <w:spacing w:line="440" w:lineRule="exact"/>
              <w:jc w:val="center"/>
              <w:rPr>
                <w:rFonts w:cs="宋体"/>
                <w:szCs w:val="21"/>
                <w:highlight w:val="none"/>
              </w:rPr>
            </w:pPr>
          </w:p>
        </w:tc>
      </w:tr>
      <w:tr w14:paraId="16AC4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3AD607EF">
            <w:pPr>
              <w:keepNext/>
              <w:spacing w:line="440" w:lineRule="exact"/>
              <w:jc w:val="center"/>
              <w:rPr>
                <w:rFonts w:cs="宋体"/>
                <w:szCs w:val="21"/>
                <w:highlight w:val="none"/>
              </w:rPr>
            </w:pPr>
          </w:p>
        </w:tc>
        <w:tc>
          <w:tcPr>
            <w:tcW w:w="1094" w:type="pct"/>
            <w:tcBorders>
              <w:bottom w:val="single" w:color="auto" w:sz="12" w:space="0"/>
            </w:tcBorders>
            <w:vAlign w:val="center"/>
          </w:tcPr>
          <w:p w14:paraId="0DB061AA">
            <w:pPr>
              <w:keepNext/>
              <w:spacing w:line="440" w:lineRule="exact"/>
              <w:jc w:val="center"/>
              <w:rPr>
                <w:rFonts w:cs="宋体"/>
                <w:szCs w:val="21"/>
                <w:highlight w:val="none"/>
              </w:rPr>
            </w:pPr>
          </w:p>
        </w:tc>
        <w:tc>
          <w:tcPr>
            <w:tcW w:w="468" w:type="pct"/>
            <w:tcBorders>
              <w:bottom w:val="single" w:color="auto" w:sz="12" w:space="0"/>
            </w:tcBorders>
            <w:vAlign w:val="center"/>
          </w:tcPr>
          <w:p w14:paraId="556C29B4">
            <w:pPr>
              <w:keepNext/>
              <w:spacing w:line="440" w:lineRule="exact"/>
              <w:jc w:val="center"/>
              <w:rPr>
                <w:rFonts w:cs="宋体"/>
                <w:szCs w:val="21"/>
                <w:highlight w:val="none"/>
              </w:rPr>
            </w:pPr>
          </w:p>
        </w:tc>
        <w:tc>
          <w:tcPr>
            <w:tcW w:w="426" w:type="pct"/>
            <w:tcBorders>
              <w:bottom w:val="single" w:color="auto" w:sz="12" w:space="0"/>
            </w:tcBorders>
            <w:vAlign w:val="center"/>
          </w:tcPr>
          <w:p w14:paraId="02446571">
            <w:pPr>
              <w:keepNext/>
              <w:spacing w:line="440" w:lineRule="exact"/>
              <w:jc w:val="center"/>
              <w:rPr>
                <w:rFonts w:cs="宋体"/>
                <w:szCs w:val="21"/>
                <w:highlight w:val="none"/>
              </w:rPr>
            </w:pPr>
          </w:p>
        </w:tc>
        <w:tc>
          <w:tcPr>
            <w:tcW w:w="745" w:type="pct"/>
            <w:tcBorders>
              <w:bottom w:val="single" w:color="auto" w:sz="12" w:space="0"/>
            </w:tcBorders>
            <w:vAlign w:val="center"/>
          </w:tcPr>
          <w:p w14:paraId="4EE6440E">
            <w:pPr>
              <w:keepNext/>
              <w:spacing w:line="440" w:lineRule="exact"/>
              <w:jc w:val="center"/>
              <w:rPr>
                <w:rFonts w:cs="宋体"/>
                <w:szCs w:val="21"/>
                <w:highlight w:val="none"/>
              </w:rPr>
            </w:pPr>
          </w:p>
        </w:tc>
        <w:tc>
          <w:tcPr>
            <w:tcW w:w="781" w:type="pct"/>
            <w:tcBorders>
              <w:bottom w:val="single" w:color="auto" w:sz="12" w:space="0"/>
            </w:tcBorders>
            <w:vAlign w:val="center"/>
          </w:tcPr>
          <w:p w14:paraId="6E04F4A1">
            <w:pPr>
              <w:keepNext/>
              <w:spacing w:line="440" w:lineRule="exact"/>
              <w:jc w:val="center"/>
              <w:rPr>
                <w:rFonts w:cs="宋体"/>
                <w:szCs w:val="21"/>
                <w:highlight w:val="none"/>
              </w:rPr>
            </w:pPr>
          </w:p>
        </w:tc>
        <w:tc>
          <w:tcPr>
            <w:tcW w:w="938" w:type="pct"/>
            <w:tcBorders>
              <w:bottom w:val="single" w:color="auto" w:sz="12" w:space="0"/>
            </w:tcBorders>
            <w:vAlign w:val="center"/>
          </w:tcPr>
          <w:p w14:paraId="5E2A9FC0">
            <w:pPr>
              <w:keepNext/>
              <w:spacing w:line="440" w:lineRule="exact"/>
              <w:jc w:val="center"/>
              <w:rPr>
                <w:rFonts w:cs="宋体"/>
                <w:szCs w:val="21"/>
                <w:highlight w:val="none"/>
              </w:rPr>
            </w:pPr>
          </w:p>
        </w:tc>
      </w:tr>
    </w:tbl>
    <w:p w14:paraId="5FFCD6BB">
      <w:pPr>
        <w:spacing w:before="156" w:beforeLines="50" w:after="156" w:afterLines="50" w:line="440" w:lineRule="exact"/>
        <w:jc w:val="center"/>
        <w:rPr>
          <w:rFonts w:cs="宋体"/>
          <w:szCs w:val="21"/>
          <w:highlight w:val="none"/>
        </w:rPr>
      </w:pPr>
      <w:r>
        <w:rPr>
          <w:rFonts w:hint="eastAsia" w:cs="宋体"/>
          <w:szCs w:val="21"/>
          <w:highlight w:val="none"/>
        </w:rPr>
        <w:t>12-3：专业工程暂估价表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25141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1962AD57">
            <w:pPr>
              <w:keepNext/>
              <w:spacing w:line="440" w:lineRule="exact"/>
              <w:jc w:val="center"/>
              <w:rPr>
                <w:rFonts w:cs="宋体"/>
                <w:szCs w:val="21"/>
                <w:highlight w:val="none"/>
              </w:rPr>
            </w:pPr>
            <w:r>
              <w:rPr>
                <w:rFonts w:hint="eastAsia" w:cs="宋体"/>
                <w:szCs w:val="21"/>
                <w:highlight w:val="none"/>
              </w:rPr>
              <w:t>序号</w:t>
            </w:r>
          </w:p>
        </w:tc>
        <w:tc>
          <w:tcPr>
            <w:tcW w:w="1094" w:type="pct"/>
            <w:tcBorders>
              <w:top w:val="single" w:color="auto" w:sz="12" w:space="0"/>
              <w:bottom w:val="double" w:color="auto" w:sz="6" w:space="0"/>
            </w:tcBorders>
            <w:vAlign w:val="center"/>
          </w:tcPr>
          <w:p w14:paraId="0CD15A6B">
            <w:pPr>
              <w:keepNext/>
              <w:spacing w:line="440" w:lineRule="exact"/>
              <w:jc w:val="center"/>
              <w:rPr>
                <w:rFonts w:cs="宋体"/>
                <w:szCs w:val="21"/>
                <w:highlight w:val="none"/>
              </w:rPr>
            </w:pPr>
            <w:r>
              <w:rPr>
                <w:rFonts w:hint="eastAsia" w:cs="宋体"/>
                <w:szCs w:val="21"/>
                <w:highlight w:val="none"/>
              </w:rPr>
              <w:t>名称</w:t>
            </w:r>
          </w:p>
        </w:tc>
        <w:tc>
          <w:tcPr>
            <w:tcW w:w="468" w:type="pct"/>
            <w:tcBorders>
              <w:top w:val="single" w:color="auto" w:sz="12" w:space="0"/>
              <w:bottom w:val="double" w:color="auto" w:sz="6" w:space="0"/>
            </w:tcBorders>
            <w:vAlign w:val="center"/>
          </w:tcPr>
          <w:p w14:paraId="3F6C70D5">
            <w:pPr>
              <w:keepNext/>
              <w:spacing w:line="440" w:lineRule="exact"/>
              <w:jc w:val="center"/>
              <w:rPr>
                <w:rFonts w:cs="宋体"/>
                <w:szCs w:val="21"/>
                <w:highlight w:val="none"/>
              </w:rPr>
            </w:pPr>
            <w:r>
              <w:rPr>
                <w:rFonts w:hint="eastAsia" w:cs="宋体"/>
                <w:szCs w:val="21"/>
                <w:highlight w:val="none"/>
              </w:rPr>
              <w:t>单位</w:t>
            </w:r>
          </w:p>
        </w:tc>
        <w:tc>
          <w:tcPr>
            <w:tcW w:w="426" w:type="pct"/>
            <w:tcBorders>
              <w:top w:val="single" w:color="auto" w:sz="12" w:space="0"/>
              <w:bottom w:val="double" w:color="auto" w:sz="6" w:space="0"/>
            </w:tcBorders>
            <w:vAlign w:val="center"/>
          </w:tcPr>
          <w:p w14:paraId="73A5D542">
            <w:pPr>
              <w:keepNext/>
              <w:spacing w:line="440" w:lineRule="exact"/>
              <w:jc w:val="center"/>
              <w:rPr>
                <w:rFonts w:cs="宋体"/>
                <w:szCs w:val="21"/>
                <w:highlight w:val="none"/>
              </w:rPr>
            </w:pPr>
            <w:r>
              <w:rPr>
                <w:rFonts w:hint="eastAsia" w:cs="宋体"/>
                <w:szCs w:val="21"/>
                <w:highlight w:val="none"/>
              </w:rPr>
              <w:t>数量</w:t>
            </w:r>
          </w:p>
        </w:tc>
        <w:tc>
          <w:tcPr>
            <w:tcW w:w="745" w:type="pct"/>
            <w:tcBorders>
              <w:top w:val="single" w:color="auto" w:sz="12" w:space="0"/>
              <w:bottom w:val="double" w:color="auto" w:sz="6" w:space="0"/>
            </w:tcBorders>
            <w:vAlign w:val="center"/>
          </w:tcPr>
          <w:p w14:paraId="0D7E3A10">
            <w:pPr>
              <w:keepNext/>
              <w:spacing w:line="440" w:lineRule="exact"/>
              <w:jc w:val="center"/>
              <w:rPr>
                <w:rFonts w:cs="宋体"/>
                <w:szCs w:val="21"/>
                <w:highlight w:val="none"/>
              </w:rPr>
            </w:pPr>
            <w:r>
              <w:rPr>
                <w:rFonts w:hint="eastAsia" w:cs="宋体"/>
                <w:szCs w:val="21"/>
                <w:highlight w:val="none"/>
              </w:rPr>
              <w:t>单价（元）</w:t>
            </w:r>
          </w:p>
        </w:tc>
        <w:tc>
          <w:tcPr>
            <w:tcW w:w="781" w:type="pct"/>
            <w:tcBorders>
              <w:top w:val="single" w:color="auto" w:sz="12" w:space="0"/>
              <w:bottom w:val="double" w:color="auto" w:sz="6" w:space="0"/>
            </w:tcBorders>
            <w:vAlign w:val="center"/>
          </w:tcPr>
          <w:p w14:paraId="6D8DB9FB">
            <w:pPr>
              <w:keepNext/>
              <w:spacing w:line="440" w:lineRule="exact"/>
              <w:jc w:val="center"/>
              <w:rPr>
                <w:rFonts w:cs="宋体"/>
                <w:szCs w:val="21"/>
                <w:highlight w:val="none"/>
              </w:rPr>
            </w:pPr>
            <w:r>
              <w:rPr>
                <w:rFonts w:hint="eastAsia" w:cs="宋体"/>
                <w:szCs w:val="21"/>
                <w:highlight w:val="none"/>
              </w:rPr>
              <w:t>合价（元）</w:t>
            </w:r>
          </w:p>
        </w:tc>
        <w:tc>
          <w:tcPr>
            <w:tcW w:w="938" w:type="pct"/>
            <w:tcBorders>
              <w:top w:val="single" w:color="auto" w:sz="12" w:space="0"/>
              <w:bottom w:val="double" w:color="auto" w:sz="6" w:space="0"/>
            </w:tcBorders>
            <w:vAlign w:val="center"/>
          </w:tcPr>
          <w:p w14:paraId="34DBB843">
            <w:pPr>
              <w:keepNext/>
              <w:spacing w:line="440" w:lineRule="exact"/>
              <w:jc w:val="center"/>
              <w:rPr>
                <w:rFonts w:cs="宋体"/>
                <w:szCs w:val="21"/>
                <w:highlight w:val="none"/>
              </w:rPr>
            </w:pPr>
            <w:r>
              <w:rPr>
                <w:rFonts w:hint="eastAsia" w:cs="宋体"/>
                <w:szCs w:val="21"/>
                <w:highlight w:val="none"/>
              </w:rPr>
              <w:t>备注</w:t>
            </w:r>
          </w:p>
        </w:tc>
      </w:tr>
      <w:tr w14:paraId="7CAC3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3CB1E69C">
            <w:pPr>
              <w:keepNext/>
              <w:spacing w:line="440" w:lineRule="exact"/>
              <w:jc w:val="center"/>
              <w:rPr>
                <w:rFonts w:cs="宋体"/>
                <w:szCs w:val="21"/>
                <w:highlight w:val="none"/>
              </w:rPr>
            </w:pPr>
          </w:p>
        </w:tc>
        <w:tc>
          <w:tcPr>
            <w:tcW w:w="1094" w:type="pct"/>
            <w:tcBorders>
              <w:top w:val="double" w:color="auto" w:sz="6" w:space="0"/>
            </w:tcBorders>
            <w:vAlign w:val="center"/>
          </w:tcPr>
          <w:p w14:paraId="39C639B8">
            <w:pPr>
              <w:keepNext/>
              <w:spacing w:line="440" w:lineRule="exact"/>
              <w:jc w:val="center"/>
              <w:rPr>
                <w:rFonts w:cs="宋体"/>
                <w:szCs w:val="21"/>
                <w:highlight w:val="none"/>
              </w:rPr>
            </w:pPr>
          </w:p>
        </w:tc>
        <w:tc>
          <w:tcPr>
            <w:tcW w:w="468" w:type="pct"/>
            <w:tcBorders>
              <w:top w:val="double" w:color="auto" w:sz="6" w:space="0"/>
            </w:tcBorders>
            <w:vAlign w:val="center"/>
          </w:tcPr>
          <w:p w14:paraId="249B2A1C">
            <w:pPr>
              <w:keepNext/>
              <w:spacing w:line="440" w:lineRule="exact"/>
              <w:jc w:val="center"/>
              <w:rPr>
                <w:rFonts w:cs="宋体"/>
                <w:szCs w:val="21"/>
                <w:highlight w:val="none"/>
              </w:rPr>
            </w:pPr>
          </w:p>
        </w:tc>
        <w:tc>
          <w:tcPr>
            <w:tcW w:w="426" w:type="pct"/>
            <w:tcBorders>
              <w:top w:val="double" w:color="auto" w:sz="6" w:space="0"/>
            </w:tcBorders>
            <w:vAlign w:val="center"/>
          </w:tcPr>
          <w:p w14:paraId="6967C0B7">
            <w:pPr>
              <w:keepNext/>
              <w:spacing w:line="440" w:lineRule="exact"/>
              <w:jc w:val="center"/>
              <w:rPr>
                <w:rFonts w:cs="宋体"/>
                <w:szCs w:val="21"/>
                <w:highlight w:val="none"/>
              </w:rPr>
            </w:pPr>
          </w:p>
        </w:tc>
        <w:tc>
          <w:tcPr>
            <w:tcW w:w="745" w:type="pct"/>
            <w:tcBorders>
              <w:top w:val="double" w:color="auto" w:sz="6" w:space="0"/>
            </w:tcBorders>
            <w:vAlign w:val="center"/>
          </w:tcPr>
          <w:p w14:paraId="293A60ED">
            <w:pPr>
              <w:keepNext/>
              <w:spacing w:line="440" w:lineRule="exact"/>
              <w:jc w:val="center"/>
              <w:rPr>
                <w:rFonts w:cs="宋体"/>
                <w:szCs w:val="21"/>
                <w:highlight w:val="none"/>
              </w:rPr>
            </w:pPr>
          </w:p>
        </w:tc>
        <w:tc>
          <w:tcPr>
            <w:tcW w:w="781" w:type="pct"/>
            <w:tcBorders>
              <w:top w:val="double" w:color="auto" w:sz="6" w:space="0"/>
            </w:tcBorders>
            <w:vAlign w:val="center"/>
          </w:tcPr>
          <w:p w14:paraId="29AF9D96">
            <w:pPr>
              <w:keepNext/>
              <w:spacing w:line="440" w:lineRule="exact"/>
              <w:jc w:val="center"/>
              <w:rPr>
                <w:rFonts w:cs="宋体"/>
                <w:szCs w:val="21"/>
                <w:highlight w:val="none"/>
              </w:rPr>
            </w:pPr>
          </w:p>
        </w:tc>
        <w:tc>
          <w:tcPr>
            <w:tcW w:w="938" w:type="pct"/>
            <w:tcBorders>
              <w:top w:val="double" w:color="auto" w:sz="6" w:space="0"/>
            </w:tcBorders>
            <w:vAlign w:val="center"/>
          </w:tcPr>
          <w:p w14:paraId="268FC40E">
            <w:pPr>
              <w:keepNext/>
              <w:spacing w:line="440" w:lineRule="exact"/>
              <w:jc w:val="center"/>
              <w:rPr>
                <w:rFonts w:cs="宋体"/>
                <w:szCs w:val="21"/>
                <w:highlight w:val="none"/>
              </w:rPr>
            </w:pPr>
          </w:p>
        </w:tc>
      </w:tr>
      <w:tr w14:paraId="2A6CB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12D83F22">
            <w:pPr>
              <w:keepNext/>
              <w:spacing w:line="440" w:lineRule="exact"/>
              <w:jc w:val="center"/>
              <w:rPr>
                <w:rFonts w:cs="宋体"/>
                <w:szCs w:val="21"/>
                <w:highlight w:val="none"/>
              </w:rPr>
            </w:pPr>
          </w:p>
        </w:tc>
        <w:tc>
          <w:tcPr>
            <w:tcW w:w="1094" w:type="pct"/>
            <w:tcBorders>
              <w:top w:val="nil"/>
            </w:tcBorders>
            <w:vAlign w:val="center"/>
          </w:tcPr>
          <w:p w14:paraId="78E29EBB">
            <w:pPr>
              <w:keepNext/>
              <w:spacing w:line="440" w:lineRule="exact"/>
              <w:jc w:val="center"/>
              <w:rPr>
                <w:rFonts w:cs="宋体"/>
                <w:szCs w:val="21"/>
                <w:highlight w:val="none"/>
              </w:rPr>
            </w:pPr>
          </w:p>
        </w:tc>
        <w:tc>
          <w:tcPr>
            <w:tcW w:w="468" w:type="pct"/>
            <w:tcBorders>
              <w:top w:val="nil"/>
            </w:tcBorders>
            <w:vAlign w:val="center"/>
          </w:tcPr>
          <w:p w14:paraId="64738EA6">
            <w:pPr>
              <w:keepNext/>
              <w:spacing w:line="440" w:lineRule="exact"/>
              <w:jc w:val="center"/>
              <w:rPr>
                <w:rFonts w:cs="宋体"/>
                <w:szCs w:val="21"/>
                <w:highlight w:val="none"/>
              </w:rPr>
            </w:pPr>
          </w:p>
        </w:tc>
        <w:tc>
          <w:tcPr>
            <w:tcW w:w="426" w:type="pct"/>
            <w:tcBorders>
              <w:top w:val="nil"/>
            </w:tcBorders>
            <w:vAlign w:val="center"/>
          </w:tcPr>
          <w:p w14:paraId="7A3536DF">
            <w:pPr>
              <w:keepNext/>
              <w:spacing w:line="440" w:lineRule="exact"/>
              <w:jc w:val="center"/>
              <w:rPr>
                <w:rFonts w:cs="宋体"/>
                <w:szCs w:val="21"/>
                <w:highlight w:val="none"/>
              </w:rPr>
            </w:pPr>
          </w:p>
        </w:tc>
        <w:tc>
          <w:tcPr>
            <w:tcW w:w="745" w:type="pct"/>
            <w:tcBorders>
              <w:top w:val="nil"/>
            </w:tcBorders>
            <w:vAlign w:val="center"/>
          </w:tcPr>
          <w:p w14:paraId="601E711F">
            <w:pPr>
              <w:keepNext/>
              <w:spacing w:line="440" w:lineRule="exact"/>
              <w:jc w:val="center"/>
              <w:rPr>
                <w:rFonts w:cs="宋体"/>
                <w:szCs w:val="21"/>
                <w:highlight w:val="none"/>
              </w:rPr>
            </w:pPr>
          </w:p>
        </w:tc>
        <w:tc>
          <w:tcPr>
            <w:tcW w:w="781" w:type="pct"/>
            <w:tcBorders>
              <w:top w:val="nil"/>
            </w:tcBorders>
            <w:vAlign w:val="center"/>
          </w:tcPr>
          <w:p w14:paraId="4BC37C0D">
            <w:pPr>
              <w:keepNext/>
              <w:spacing w:line="440" w:lineRule="exact"/>
              <w:jc w:val="center"/>
              <w:rPr>
                <w:rFonts w:cs="宋体"/>
                <w:szCs w:val="21"/>
                <w:highlight w:val="none"/>
              </w:rPr>
            </w:pPr>
          </w:p>
        </w:tc>
        <w:tc>
          <w:tcPr>
            <w:tcW w:w="938" w:type="pct"/>
            <w:tcBorders>
              <w:top w:val="nil"/>
            </w:tcBorders>
            <w:vAlign w:val="center"/>
          </w:tcPr>
          <w:p w14:paraId="722DE921">
            <w:pPr>
              <w:keepNext/>
              <w:spacing w:line="440" w:lineRule="exact"/>
              <w:jc w:val="center"/>
              <w:rPr>
                <w:rFonts w:cs="宋体"/>
                <w:szCs w:val="21"/>
                <w:highlight w:val="none"/>
              </w:rPr>
            </w:pPr>
          </w:p>
        </w:tc>
      </w:tr>
      <w:tr w14:paraId="735CA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44A3D1F9">
            <w:pPr>
              <w:keepNext/>
              <w:spacing w:line="440" w:lineRule="exact"/>
              <w:jc w:val="center"/>
              <w:rPr>
                <w:rFonts w:cs="宋体"/>
                <w:szCs w:val="21"/>
                <w:highlight w:val="none"/>
              </w:rPr>
            </w:pPr>
          </w:p>
        </w:tc>
        <w:tc>
          <w:tcPr>
            <w:tcW w:w="1094" w:type="pct"/>
            <w:vAlign w:val="center"/>
          </w:tcPr>
          <w:p w14:paraId="67620CA7">
            <w:pPr>
              <w:keepNext/>
              <w:spacing w:line="440" w:lineRule="exact"/>
              <w:jc w:val="center"/>
              <w:rPr>
                <w:rFonts w:cs="宋体"/>
                <w:szCs w:val="21"/>
                <w:highlight w:val="none"/>
              </w:rPr>
            </w:pPr>
          </w:p>
        </w:tc>
        <w:tc>
          <w:tcPr>
            <w:tcW w:w="468" w:type="pct"/>
            <w:vAlign w:val="center"/>
          </w:tcPr>
          <w:p w14:paraId="6408CEB9">
            <w:pPr>
              <w:keepNext/>
              <w:spacing w:line="440" w:lineRule="exact"/>
              <w:jc w:val="center"/>
              <w:rPr>
                <w:rFonts w:cs="宋体"/>
                <w:szCs w:val="21"/>
                <w:highlight w:val="none"/>
              </w:rPr>
            </w:pPr>
          </w:p>
        </w:tc>
        <w:tc>
          <w:tcPr>
            <w:tcW w:w="426" w:type="pct"/>
            <w:vAlign w:val="center"/>
          </w:tcPr>
          <w:p w14:paraId="555DDB50">
            <w:pPr>
              <w:keepNext/>
              <w:spacing w:line="440" w:lineRule="exact"/>
              <w:jc w:val="center"/>
              <w:rPr>
                <w:rFonts w:cs="宋体"/>
                <w:szCs w:val="21"/>
                <w:highlight w:val="none"/>
              </w:rPr>
            </w:pPr>
          </w:p>
        </w:tc>
        <w:tc>
          <w:tcPr>
            <w:tcW w:w="745" w:type="pct"/>
            <w:vAlign w:val="center"/>
          </w:tcPr>
          <w:p w14:paraId="0569DF5D">
            <w:pPr>
              <w:keepNext/>
              <w:spacing w:line="440" w:lineRule="exact"/>
              <w:jc w:val="center"/>
              <w:rPr>
                <w:rFonts w:cs="宋体"/>
                <w:szCs w:val="21"/>
                <w:highlight w:val="none"/>
              </w:rPr>
            </w:pPr>
          </w:p>
        </w:tc>
        <w:tc>
          <w:tcPr>
            <w:tcW w:w="781" w:type="pct"/>
            <w:vAlign w:val="center"/>
          </w:tcPr>
          <w:p w14:paraId="2268C85B">
            <w:pPr>
              <w:keepNext/>
              <w:spacing w:line="440" w:lineRule="exact"/>
              <w:jc w:val="center"/>
              <w:rPr>
                <w:rFonts w:cs="宋体"/>
                <w:szCs w:val="21"/>
                <w:highlight w:val="none"/>
              </w:rPr>
            </w:pPr>
          </w:p>
        </w:tc>
        <w:tc>
          <w:tcPr>
            <w:tcW w:w="938" w:type="pct"/>
            <w:vAlign w:val="center"/>
          </w:tcPr>
          <w:p w14:paraId="12B517DC">
            <w:pPr>
              <w:keepNext/>
              <w:spacing w:line="440" w:lineRule="exact"/>
              <w:jc w:val="center"/>
              <w:rPr>
                <w:rFonts w:cs="宋体"/>
                <w:szCs w:val="21"/>
                <w:highlight w:val="none"/>
              </w:rPr>
            </w:pPr>
          </w:p>
        </w:tc>
      </w:tr>
      <w:tr w14:paraId="22A6F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6F39A040">
            <w:pPr>
              <w:keepNext/>
              <w:spacing w:line="440" w:lineRule="exact"/>
              <w:jc w:val="center"/>
              <w:rPr>
                <w:rFonts w:cs="宋体"/>
                <w:szCs w:val="21"/>
                <w:highlight w:val="none"/>
              </w:rPr>
            </w:pPr>
          </w:p>
        </w:tc>
        <w:tc>
          <w:tcPr>
            <w:tcW w:w="1094" w:type="pct"/>
            <w:tcBorders>
              <w:bottom w:val="single" w:color="auto" w:sz="12" w:space="0"/>
            </w:tcBorders>
            <w:vAlign w:val="center"/>
          </w:tcPr>
          <w:p w14:paraId="17CDC957">
            <w:pPr>
              <w:keepNext/>
              <w:spacing w:line="440" w:lineRule="exact"/>
              <w:jc w:val="center"/>
              <w:rPr>
                <w:rFonts w:cs="宋体"/>
                <w:szCs w:val="21"/>
                <w:highlight w:val="none"/>
              </w:rPr>
            </w:pPr>
          </w:p>
        </w:tc>
        <w:tc>
          <w:tcPr>
            <w:tcW w:w="468" w:type="pct"/>
            <w:tcBorders>
              <w:bottom w:val="single" w:color="auto" w:sz="12" w:space="0"/>
            </w:tcBorders>
            <w:vAlign w:val="center"/>
          </w:tcPr>
          <w:p w14:paraId="0D49C3CF">
            <w:pPr>
              <w:keepNext/>
              <w:spacing w:line="440" w:lineRule="exact"/>
              <w:jc w:val="center"/>
              <w:rPr>
                <w:rFonts w:cs="宋体"/>
                <w:szCs w:val="21"/>
                <w:highlight w:val="none"/>
              </w:rPr>
            </w:pPr>
          </w:p>
        </w:tc>
        <w:tc>
          <w:tcPr>
            <w:tcW w:w="426" w:type="pct"/>
            <w:tcBorders>
              <w:bottom w:val="single" w:color="auto" w:sz="12" w:space="0"/>
            </w:tcBorders>
            <w:vAlign w:val="center"/>
          </w:tcPr>
          <w:p w14:paraId="62299FD8">
            <w:pPr>
              <w:keepNext/>
              <w:spacing w:line="440" w:lineRule="exact"/>
              <w:jc w:val="center"/>
              <w:rPr>
                <w:rFonts w:cs="宋体"/>
                <w:szCs w:val="21"/>
                <w:highlight w:val="none"/>
              </w:rPr>
            </w:pPr>
          </w:p>
        </w:tc>
        <w:tc>
          <w:tcPr>
            <w:tcW w:w="745" w:type="pct"/>
            <w:tcBorders>
              <w:bottom w:val="single" w:color="auto" w:sz="12" w:space="0"/>
            </w:tcBorders>
            <w:vAlign w:val="center"/>
          </w:tcPr>
          <w:p w14:paraId="6895A724">
            <w:pPr>
              <w:keepNext/>
              <w:spacing w:line="440" w:lineRule="exact"/>
              <w:jc w:val="center"/>
              <w:rPr>
                <w:rFonts w:cs="宋体"/>
                <w:szCs w:val="21"/>
                <w:highlight w:val="none"/>
              </w:rPr>
            </w:pPr>
          </w:p>
        </w:tc>
        <w:tc>
          <w:tcPr>
            <w:tcW w:w="781" w:type="pct"/>
            <w:tcBorders>
              <w:bottom w:val="single" w:color="auto" w:sz="12" w:space="0"/>
            </w:tcBorders>
            <w:vAlign w:val="center"/>
          </w:tcPr>
          <w:p w14:paraId="49DF0C5F">
            <w:pPr>
              <w:keepNext/>
              <w:spacing w:line="440" w:lineRule="exact"/>
              <w:jc w:val="center"/>
              <w:rPr>
                <w:rFonts w:cs="宋体"/>
                <w:szCs w:val="21"/>
                <w:highlight w:val="none"/>
              </w:rPr>
            </w:pPr>
          </w:p>
        </w:tc>
        <w:tc>
          <w:tcPr>
            <w:tcW w:w="938" w:type="pct"/>
            <w:tcBorders>
              <w:bottom w:val="single" w:color="auto" w:sz="12" w:space="0"/>
            </w:tcBorders>
            <w:vAlign w:val="center"/>
          </w:tcPr>
          <w:p w14:paraId="5D125D75">
            <w:pPr>
              <w:keepNext/>
              <w:spacing w:line="440" w:lineRule="exact"/>
              <w:jc w:val="center"/>
              <w:rPr>
                <w:rFonts w:cs="宋体"/>
                <w:szCs w:val="21"/>
                <w:highlight w:val="none"/>
              </w:rPr>
            </w:pPr>
          </w:p>
        </w:tc>
      </w:tr>
    </w:tbl>
    <w:p w14:paraId="713E2713">
      <w:pPr>
        <w:rPr>
          <w:rFonts w:cs="宋体"/>
          <w:szCs w:val="21"/>
          <w:highlight w:val="none"/>
        </w:rPr>
      </w:pPr>
    </w:p>
    <w:p w14:paraId="2C0537B3">
      <w:pPr>
        <w:spacing w:before="312" w:beforeLines="100" w:after="312" w:afterLines="100"/>
        <w:outlineLvl w:val="2"/>
        <w:rPr>
          <w:rFonts w:ascii="Times New Roman" w:eastAsia="黑体"/>
          <w:szCs w:val="24"/>
          <w:highlight w:val="none"/>
        </w:rPr>
      </w:pPr>
      <w:r>
        <w:rPr>
          <w:rFonts w:hint="eastAsia" w:cs="宋体"/>
          <w:bCs/>
          <w:highlight w:val="none"/>
        </w:rPr>
        <w:br w:type="page"/>
      </w:r>
      <w:bookmarkStart w:id="680" w:name="_Toc128950248"/>
      <w:r>
        <w:rPr>
          <w:rFonts w:hint="eastAsia" w:ascii="Times New Roman" w:eastAsia="黑体"/>
          <w:szCs w:val="24"/>
          <w:highlight w:val="none"/>
        </w:rPr>
        <w:t>附件13：安全生产合同</w:t>
      </w:r>
      <w:bookmarkEnd w:id="680"/>
    </w:p>
    <w:p w14:paraId="49472306">
      <w:pPr>
        <w:spacing w:before="156" w:beforeLines="50" w:after="156" w:afterLines="50" w:line="360" w:lineRule="auto"/>
        <w:jc w:val="center"/>
        <w:rPr>
          <w:rFonts w:cs="宋体"/>
          <w:b/>
          <w:sz w:val="32"/>
          <w:szCs w:val="32"/>
          <w:highlight w:val="none"/>
        </w:rPr>
      </w:pPr>
      <w:bookmarkStart w:id="681" w:name="_Toc11475"/>
      <w:bookmarkStart w:id="682" w:name="_Toc23792"/>
      <w:r>
        <w:rPr>
          <w:rFonts w:hint="eastAsia" w:cs="宋体"/>
          <w:b/>
          <w:sz w:val="32"/>
          <w:szCs w:val="32"/>
          <w:highlight w:val="none"/>
        </w:rPr>
        <w:t>安全生产合同</w:t>
      </w:r>
      <w:bookmarkEnd w:id="681"/>
      <w:bookmarkEnd w:id="682"/>
    </w:p>
    <w:p w14:paraId="0664FADD">
      <w:pPr>
        <w:spacing w:line="360" w:lineRule="auto"/>
        <w:ind w:firstLine="420" w:firstLineChars="200"/>
        <w:rPr>
          <w:rFonts w:cs="宋体"/>
          <w:sz w:val="21"/>
          <w:szCs w:val="21"/>
          <w:highlight w:val="none"/>
        </w:rPr>
      </w:pPr>
      <w:r>
        <w:rPr>
          <w:rFonts w:hint="eastAsia" w:cs="宋体"/>
          <w:sz w:val="21"/>
          <w:szCs w:val="21"/>
          <w:highlight w:val="none"/>
        </w:rPr>
        <w:t>为在</w:t>
      </w:r>
      <w:r>
        <w:rPr>
          <w:rFonts w:hint="eastAsia" w:cs="宋体"/>
          <w:sz w:val="21"/>
          <w:szCs w:val="21"/>
          <w:highlight w:val="none"/>
          <w:u w:val="single"/>
        </w:rPr>
        <w:t xml:space="preserve">            </w:t>
      </w:r>
      <w:r>
        <w:rPr>
          <w:rFonts w:hint="eastAsia" w:cs="宋体"/>
          <w:sz w:val="21"/>
          <w:szCs w:val="21"/>
          <w:highlight w:val="none"/>
        </w:rPr>
        <w:t>（项目名称）施工合同的实施过程中创造安全、高效的施工环境，切实搞好本项目的安全管理工作，本项目发包人</w:t>
      </w:r>
      <w:r>
        <w:rPr>
          <w:rFonts w:hint="eastAsia" w:cs="宋体"/>
          <w:sz w:val="21"/>
          <w:szCs w:val="21"/>
          <w:highlight w:val="none"/>
          <w:u w:val="single"/>
        </w:rPr>
        <w:t xml:space="preserve">       </w:t>
      </w:r>
      <w:r>
        <w:rPr>
          <w:rFonts w:hint="eastAsia" w:cs="宋体"/>
          <w:sz w:val="21"/>
          <w:szCs w:val="21"/>
          <w:highlight w:val="none"/>
        </w:rPr>
        <w:t>（发包人名称，以下简称“发包人”）与承包人</w:t>
      </w:r>
      <w:r>
        <w:rPr>
          <w:rFonts w:hint="eastAsia" w:cs="宋体"/>
          <w:sz w:val="21"/>
          <w:szCs w:val="21"/>
          <w:highlight w:val="none"/>
          <w:u w:val="single"/>
        </w:rPr>
        <w:t xml:space="preserve">         </w:t>
      </w:r>
      <w:r>
        <w:rPr>
          <w:rFonts w:hint="eastAsia" w:cs="宋体"/>
          <w:sz w:val="21"/>
          <w:szCs w:val="21"/>
          <w:highlight w:val="none"/>
        </w:rPr>
        <w:t>（承包人名称，以下简称“承包人”）特此签订安全生产合同：</w:t>
      </w:r>
    </w:p>
    <w:p w14:paraId="3AE2EEF5">
      <w:pPr>
        <w:spacing w:line="360" w:lineRule="auto"/>
        <w:ind w:firstLine="420" w:firstLineChars="200"/>
        <w:rPr>
          <w:rFonts w:cs="宋体"/>
          <w:sz w:val="21"/>
          <w:szCs w:val="21"/>
          <w:highlight w:val="none"/>
        </w:rPr>
      </w:pPr>
      <w:r>
        <w:rPr>
          <w:rFonts w:hint="eastAsia" w:cs="宋体"/>
          <w:sz w:val="21"/>
          <w:szCs w:val="21"/>
          <w:highlight w:val="none"/>
        </w:rPr>
        <w:t>1.发包人职责</w:t>
      </w:r>
    </w:p>
    <w:p w14:paraId="5EFFB65E">
      <w:pPr>
        <w:spacing w:line="360" w:lineRule="auto"/>
        <w:ind w:firstLine="420" w:firstLineChars="200"/>
        <w:rPr>
          <w:rFonts w:cs="宋体"/>
          <w:sz w:val="21"/>
          <w:szCs w:val="21"/>
          <w:highlight w:val="none"/>
        </w:rPr>
      </w:pPr>
      <w:r>
        <w:rPr>
          <w:rFonts w:hint="eastAsia" w:cs="宋体"/>
          <w:sz w:val="21"/>
          <w:szCs w:val="21"/>
          <w:highlight w:val="none"/>
        </w:rPr>
        <w:t>（1）严格遵守国家有关安全生产的法律法规，认真执行工程承包合同中的有关安全要求。</w:t>
      </w:r>
    </w:p>
    <w:p w14:paraId="777487CD">
      <w:pPr>
        <w:spacing w:line="360" w:lineRule="auto"/>
        <w:ind w:firstLine="420" w:firstLineChars="200"/>
        <w:rPr>
          <w:rFonts w:cs="宋体"/>
          <w:sz w:val="21"/>
          <w:szCs w:val="21"/>
          <w:highlight w:val="none"/>
        </w:rPr>
      </w:pPr>
      <w:r>
        <w:rPr>
          <w:rFonts w:hint="eastAsia" w:cs="宋体"/>
          <w:sz w:val="21"/>
          <w:szCs w:val="21"/>
          <w:highlight w:val="none"/>
        </w:rPr>
        <w:t>（2）按照“安全第一、预防为主”和坚持“管生产必须管安全”的原则进行安全生产管理，做到生产与安全工作同时计划、布置、检查、总结和评比。</w:t>
      </w:r>
    </w:p>
    <w:p w14:paraId="19A00F4E">
      <w:pPr>
        <w:spacing w:line="360" w:lineRule="auto"/>
        <w:ind w:firstLine="420" w:firstLineChars="200"/>
        <w:rPr>
          <w:rFonts w:cs="宋体"/>
          <w:sz w:val="21"/>
          <w:szCs w:val="21"/>
          <w:highlight w:val="none"/>
        </w:rPr>
      </w:pPr>
      <w:r>
        <w:rPr>
          <w:rFonts w:hint="eastAsia" w:cs="宋体"/>
          <w:sz w:val="21"/>
          <w:szCs w:val="21"/>
          <w:highlight w:val="none"/>
        </w:rPr>
        <w:t>（3）重要的安全设施必须坚持与主体工程“三同时”的原则，即：同时设计、审批，同时施工，同时验收，投入使用。</w:t>
      </w:r>
    </w:p>
    <w:p w14:paraId="74B9F5A6">
      <w:pPr>
        <w:spacing w:line="360" w:lineRule="auto"/>
        <w:ind w:firstLine="420" w:firstLineChars="200"/>
        <w:rPr>
          <w:rFonts w:cs="宋体"/>
          <w:sz w:val="21"/>
          <w:szCs w:val="21"/>
          <w:highlight w:val="none"/>
        </w:rPr>
      </w:pPr>
      <w:r>
        <w:rPr>
          <w:rFonts w:hint="eastAsia" w:cs="宋体"/>
          <w:sz w:val="21"/>
          <w:szCs w:val="21"/>
          <w:highlight w:val="none"/>
        </w:rPr>
        <w:t>（4）定期召开安全生产调度会，及时传达中央及地方有关安全生产的精神。</w:t>
      </w:r>
    </w:p>
    <w:p w14:paraId="3A426374">
      <w:pPr>
        <w:spacing w:line="360" w:lineRule="auto"/>
        <w:ind w:firstLine="420" w:firstLineChars="200"/>
        <w:rPr>
          <w:rFonts w:cs="宋体"/>
          <w:sz w:val="21"/>
          <w:szCs w:val="21"/>
          <w:highlight w:val="none"/>
        </w:rPr>
      </w:pPr>
      <w:r>
        <w:rPr>
          <w:rFonts w:hint="eastAsia" w:cs="宋体"/>
          <w:sz w:val="21"/>
          <w:szCs w:val="21"/>
          <w:highlight w:val="none"/>
        </w:rPr>
        <w:t>（5）组织对承包人施工现场安全生产检查，监督承包人及时处理发现的各种安全隐患。</w:t>
      </w:r>
    </w:p>
    <w:p w14:paraId="4A2F8761">
      <w:pPr>
        <w:spacing w:line="360" w:lineRule="auto"/>
        <w:ind w:firstLine="420" w:firstLineChars="200"/>
        <w:rPr>
          <w:rFonts w:cs="宋体"/>
          <w:sz w:val="21"/>
          <w:szCs w:val="21"/>
          <w:highlight w:val="none"/>
        </w:rPr>
      </w:pPr>
      <w:r>
        <w:rPr>
          <w:rFonts w:hint="eastAsia" w:cs="宋体"/>
          <w:sz w:val="21"/>
          <w:szCs w:val="21"/>
          <w:highlight w:val="none"/>
        </w:rPr>
        <w:t>2.承包人职责</w:t>
      </w:r>
    </w:p>
    <w:p w14:paraId="2054A38B">
      <w:pPr>
        <w:spacing w:line="360" w:lineRule="auto"/>
        <w:ind w:firstLine="420" w:firstLineChars="200"/>
        <w:rPr>
          <w:rFonts w:cs="宋体"/>
          <w:sz w:val="21"/>
          <w:szCs w:val="21"/>
          <w:highlight w:val="none"/>
        </w:rPr>
      </w:pPr>
      <w:r>
        <w:rPr>
          <w:rFonts w:hint="eastAsia" w:cs="宋体"/>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53260FC7">
      <w:pPr>
        <w:spacing w:line="360" w:lineRule="auto"/>
        <w:ind w:firstLine="420" w:firstLineChars="200"/>
        <w:rPr>
          <w:rFonts w:cs="宋体"/>
          <w:sz w:val="21"/>
          <w:szCs w:val="21"/>
          <w:highlight w:val="none"/>
        </w:rPr>
      </w:pPr>
      <w:r>
        <w:rPr>
          <w:rFonts w:hint="eastAsia" w:cs="宋体"/>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32A99CD6">
      <w:pPr>
        <w:spacing w:line="360" w:lineRule="auto"/>
        <w:ind w:firstLine="420" w:firstLineChars="200"/>
        <w:rPr>
          <w:rFonts w:cs="宋体"/>
          <w:sz w:val="21"/>
          <w:szCs w:val="21"/>
          <w:highlight w:val="none"/>
        </w:rPr>
      </w:pPr>
      <w:r>
        <w:rPr>
          <w:rFonts w:hint="eastAsia" w:cs="宋体"/>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65A02A25">
      <w:pPr>
        <w:spacing w:line="360" w:lineRule="auto"/>
        <w:ind w:firstLine="420" w:firstLineChars="200"/>
        <w:rPr>
          <w:rFonts w:cs="宋体"/>
          <w:sz w:val="21"/>
          <w:szCs w:val="21"/>
          <w:highlight w:val="none"/>
        </w:rPr>
      </w:pPr>
      <w:r>
        <w:rPr>
          <w:rFonts w:hint="eastAsia" w:cs="宋体"/>
          <w:sz w:val="21"/>
          <w:szCs w:val="21"/>
          <w:highlight w:val="none"/>
        </w:rPr>
        <w:t>（4）承包人在任何时候都应采取各种合理的预防措施，防止其员工发生任何违法、违禁、暴力或妨碍治安的行为。</w:t>
      </w:r>
    </w:p>
    <w:p w14:paraId="47ED7240">
      <w:pPr>
        <w:spacing w:line="360" w:lineRule="auto"/>
        <w:ind w:firstLine="420" w:firstLineChars="200"/>
        <w:rPr>
          <w:rFonts w:cs="宋体"/>
          <w:sz w:val="21"/>
          <w:szCs w:val="21"/>
          <w:highlight w:val="none"/>
        </w:rPr>
      </w:pPr>
      <w:r>
        <w:rPr>
          <w:rFonts w:hint="eastAsia" w:cs="宋体"/>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FE7B652">
      <w:pPr>
        <w:spacing w:line="360" w:lineRule="auto"/>
        <w:ind w:firstLine="420" w:firstLineChars="200"/>
        <w:rPr>
          <w:rFonts w:cs="宋体"/>
          <w:sz w:val="21"/>
          <w:szCs w:val="21"/>
          <w:highlight w:val="none"/>
        </w:rPr>
      </w:pPr>
      <w:r>
        <w:rPr>
          <w:rFonts w:hint="eastAsia" w:cs="宋体"/>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2025EF6">
      <w:pPr>
        <w:spacing w:line="360" w:lineRule="auto"/>
        <w:ind w:firstLine="420" w:firstLineChars="200"/>
        <w:rPr>
          <w:rFonts w:cs="宋体"/>
          <w:sz w:val="21"/>
          <w:szCs w:val="21"/>
          <w:highlight w:val="none"/>
        </w:rPr>
      </w:pPr>
      <w:r>
        <w:rPr>
          <w:rFonts w:hint="eastAsia" w:cs="宋体"/>
          <w:sz w:val="21"/>
          <w:szCs w:val="21"/>
          <w:highlight w:val="none"/>
        </w:rPr>
        <w:t>（7）操作人员上岗，必须按规定穿戴防护用品。施工负责人和安全检查员应随时检查劳动防护用品的穿戴情况，不按规定穿戴防护用品的人员不得上岗。</w:t>
      </w:r>
    </w:p>
    <w:p w14:paraId="0AF8D8F1">
      <w:pPr>
        <w:spacing w:line="360" w:lineRule="auto"/>
        <w:ind w:firstLine="420" w:firstLineChars="200"/>
        <w:rPr>
          <w:rFonts w:cs="宋体"/>
          <w:sz w:val="21"/>
          <w:szCs w:val="21"/>
          <w:highlight w:val="none"/>
        </w:rPr>
      </w:pPr>
      <w:r>
        <w:rPr>
          <w:rFonts w:hint="eastAsia" w:cs="宋体"/>
          <w:sz w:val="21"/>
          <w:szCs w:val="21"/>
          <w:highlight w:val="none"/>
        </w:rPr>
        <w:t>（8）所有施工机具设备和高空作业的设备均应定期检查，并有安全员的签字记录，保证其经常处于完好状态；不合格的机具、设备和劳动保护用品严禁使用：</w:t>
      </w:r>
    </w:p>
    <w:p w14:paraId="60501E2E">
      <w:pPr>
        <w:spacing w:line="360" w:lineRule="auto"/>
        <w:ind w:firstLine="420" w:firstLineChars="200"/>
        <w:rPr>
          <w:rFonts w:cs="宋体"/>
          <w:sz w:val="21"/>
          <w:szCs w:val="21"/>
          <w:highlight w:val="none"/>
        </w:rPr>
      </w:pPr>
      <w:r>
        <w:rPr>
          <w:rFonts w:hint="eastAsia" w:cs="宋体"/>
          <w:sz w:val="21"/>
          <w:szCs w:val="21"/>
          <w:highlight w:val="none"/>
        </w:rPr>
        <w:t>（9）施工中采用新技术、新工艺、新设备、新材料时，必须制定相应的安全技术措施，施工现场必须具有相关的安全标志牌。</w:t>
      </w:r>
    </w:p>
    <w:p w14:paraId="34F68D85">
      <w:pPr>
        <w:spacing w:line="360" w:lineRule="auto"/>
        <w:ind w:firstLine="420" w:firstLineChars="200"/>
        <w:rPr>
          <w:rFonts w:cs="宋体"/>
          <w:sz w:val="21"/>
          <w:szCs w:val="21"/>
          <w:highlight w:val="none"/>
        </w:rPr>
      </w:pPr>
      <w:r>
        <w:rPr>
          <w:rFonts w:hint="eastAsia" w:cs="宋体"/>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0ADBCC5">
      <w:pPr>
        <w:spacing w:line="360" w:lineRule="auto"/>
        <w:ind w:firstLine="420" w:firstLineChars="200"/>
        <w:rPr>
          <w:rFonts w:cs="宋体"/>
          <w:sz w:val="21"/>
          <w:szCs w:val="21"/>
          <w:highlight w:val="none"/>
        </w:rPr>
      </w:pPr>
      <w:r>
        <w:rPr>
          <w:rFonts w:hint="eastAsia" w:cs="宋体"/>
          <w:sz w:val="21"/>
          <w:szCs w:val="21"/>
          <w:highlight w:val="none"/>
        </w:rPr>
        <w:t>（11）安全生产费用按照《建设工程安全生产管理条例》的相关规定使用和管理。</w:t>
      </w:r>
    </w:p>
    <w:p w14:paraId="74060360">
      <w:pPr>
        <w:spacing w:line="360" w:lineRule="auto"/>
        <w:ind w:firstLine="420" w:firstLineChars="200"/>
        <w:rPr>
          <w:rFonts w:cs="宋体"/>
          <w:sz w:val="21"/>
          <w:szCs w:val="21"/>
          <w:highlight w:val="none"/>
        </w:rPr>
      </w:pPr>
      <w:r>
        <w:rPr>
          <w:rFonts w:hint="eastAsia" w:cs="宋体"/>
          <w:sz w:val="21"/>
          <w:szCs w:val="21"/>
          <w:highlight w:val="none"/>
        </w:rPr>
        <w:t>3.违约责任</w:t>
      </w:r>
    </w:p>
    <w:p w14:paraId="2843739D">
      <w:pPr>
        <w:spacing w:line="360" w:lineRule="auto"/>
        <w:ind w:firstLine="420" w:firstLineChars="200"/>
        <w:rPr>
          <w:rFonts w:cs="宋体"/>
          <w:sz w:val="21"/>
          <w:szCs w:val="21"/>
          <w:highlight w:val="none"/>
        </w:rPr>
      </w:pPr>
      <w:r>
        <w:rPr>
          <w:rFonts w:hint="eastAsia" w:cs="宋体"/>
          <w:sz w:val="21"/>
          <w:szCs w:val="21"/>
          <w:highlight w:val="none"/>
        </w:rPr>
        <w:t>如因发包人或承包人违约造成安全事故，将依法追究责任。</w:t>
      </w:r>
    </w:p>
    <w:p w14:paraId="4FEA0CA2">
      <w:pPr>
        <w:spacing w:line="360" w:lineRule="auto"/>
        <w:ind w:firstLine="420" w:firstLineChars="200"/>
        <w:rPr>
          <w:rFonts w:cs="宋体"/>
          <w:sz w:val="21"/>
          <w:szCs w:val="21"/>
          <w:highlight w:val="none"/>
        </w:rPr>
      </w:pPr>
      <w:r>
        <w:rPr>
          <w:rFonts w:hint="eastAsia" w:cs="宋体"/>
          <w:sz w:val="21"/>
          <w:szCs w:val="21"/>
          <w:highlight w:val="none"/>
        </w:rPr>
        <w:t>4.本合同由双方法定代表人或其授权的代理人签署并加盖单位章后生效，全部工程竣工验收后失效。</w:t>
      </w:r>
    </w:p>
    <w:p w14:paraId="030DC5D0">
      <w:pPr>
        <w:spacing w:line="360" w:lineRule="auto"/>
        <w:ind w:firstLine="420" w:firstLineChars="200"/>
        <w:rPr>
          <w:rFonts w:cs="宋体"/>
          <w:sz w:val="21"/>
          <w:szCs w:val="21"/>
          <w:highlight w:val="none"/>
        </w:rPr>
      </w:pPr>
      <w:r>
        <w:rPr>
          <w:rFonts w:hint="eastAsia" w:cs="宋体"/>
          <w:sz w:val="21"/>
          <w:szCs w:val="21"/>
          <w:highlight w:val="none"/>
        </w:rPr>
        <w:t>5.本合同正本—式</w:t>
      </w:r>
      <w:r>
        <w:rPr>
          <w:rFonts w:hint="eastAsia" w:cs="宋体"/>
          <w:sz w:val="21"/>
          <w:szCs w:val="21"/>
          <w:highlight w:val="none"/>
          <w:u w:val="single"/>
        </w:rPr>
        <w:t xml:space="preserve">   </w:t>
      </w:r>
      <w:r>
        <w:rPr>
          <w:rFonts w:hint="eastAsia" w:cs="宋体"/>
          <w:sz w:val="21"/>
          <w:szCs w:val="21"/>
          <w:highlight w:val="none"/>
        </w:rPr>
        <w:t>份，副本</w:t>
      </w:r>
      <w:r>
        <w:rPr>
          <w:rFonts w:hint="eastAsia" w:cs="宋体"/>
          <w:sz w:val="21"/>
          <w:szCs w:val="21"/>
          <w:highlight w:val="none"/>
          <w:u w:val="single"/>
        </w:rPr>
        <w:t xml:space="preserve">  </w:t>
      </w:r>
      <w:r>
        <w:rPr>
          <w:rFonts w:hint="eastAsia" w:cs="宋体"/>
          <w:sz w:val="21"/>
          <w:szCs w:val="21"/>
          <w:highlight w:val="none"/>
        </w:rPr>
        <w:t>份，合同双方各执正本—份，副本</w:t>
      </w:r>
      <w:r>
        <w:rPr>
          <w:rFonts w:hint="eastAsia" w:cs="宋体"/>
          <w:sz w:val="21"/>
          <w:szCs w:val="21"/>
          <w:highlight w:val="none"/>
          <w:u w:val="single"/>
        </w:rPr>
        <w:t xml:space="preserve">  </w:t>
      </w:r>
      <w:r>
        <w:rPr>
          <w:rFonts w:hint="eastAsia" w:cs="宋体"/>
          <w:sz w:val="21"/>
          <w:szCs w:val="21"/>
          <w:highlight w:val="none"/>
        </w:rPr>
        <w:t>份，当正本与副本的内容不一致时，以正本为准。</w:t>
      </w:r>
    </w:p>
    <w:p w14:paraId="2051FBE7">
      <w:pPr>
        <w:spacing w:line="360" w:lineRule="auto"/>
        <w:rPr>
          <w:rFonts w:cs="宋体"/>
          <w:sz w:val="21"/>
          <w:szCs w:val="21"/>
          <w:highlight w:val="none"/>
        </w:rPr>
      </w:pPr>
    </w:p>
    <w:p w14:paraId="01D6B69E">
      <w:pPr>
        <w:spacing w:line="360" w:lineRule="auto"/>
        <w:rPr>
          <w:rFonts w:cs="宋体"/>
          <w:sz w:val="21"/>
          <w:szCs w:val="21"/>
          <w:highlight w:val="none"/>
        </w:rPr>
      </w:pPr>
    </w:p>
    <w:p w14:paraId="4742A2FE">
      <w:pPr>
        <w:spacing w:line="360" w:lineRule="auto"/>
        <w:rPr>
          <w:rFonts w:cs="宋体"/>
          <w:sz w:val="21"/>
          <w:szCs w:val="21"/>
          <w:highlight w:val="none"/>
        </w:rPr>
      </w:pPr>
      <w:r>
        <w:rPr>
          <w:rFonts w:hint="eastAsia" w:cs="宋体"/>
          <w:sz w:val="21"/>
          <w:szCs w:val="21"/>
          <w:highlight w:val="none"/>
        </w:rPr>
        <w:t>发包人：</w:t>
      </w:r>
      <w:r>
        <w:rPr>
          <w:rFonts w:hint="eastAsia" w:cs="宋体"/>
          <w:sz w:val="21"/>
          <w:szCs w:val="21"/>
          <w:highlight w:val="none"/>
          <w:u w:val="single"/>
        </w:rPr>
        <w:t xml:space="preserve">            </w:t>
      </w:r>
      <w:r>
        <w:rPr>
          <w:rFonts w:hint="eastAsia" w:cs="宋体"/>
          <w:sz w:val="21"/>
          <w:szCs w:val="21"/>
          <w:highlight w:val="none"/>
        </w:rPr>
        <w:t>（盖单位章）          承包人：</w:t>
      </w:r>
      <w:r>
        <w:rPr>
          <w:rFonts w:hint="eastAsia" w:cs="宋体"/>
          <w:sz w:val="21"/>
          <w:szCs w:val="21"/>
          <w:highlight w:val="none"/>
          <w:u w:val="single"/>
        </w:rPr>
        <w:t xml:space="preserve">        </w:t>
      </w:r>
      <w:r>
        <w:rPr>
          <w:rFonts w:hint="eastAsia" w:cs="宋体"/>
          <w:sz w:val="21"/>
          <w:szCs w:val="21"/>
          <w:highlight w:val="none"/>
        </w:rPr>
        <w:t>（盖单位章）</w:t>
      </w:r>
    </w:p>
    <w:p w14:paraId="4EFA8B12">
      <w:pPr>
        <w:spacing w:line="360" w:lineRule="auto"/>
        <w:rPr>
          <w:rFonts w:cs="宋体"/>
          <w:sz w:val="21"/>
          <w:szCs w:val="21"/>
          <w:highlight w:val="none"/>
        </w:rPr>
      </w:pPr>
    </w:p>
    <w:p w14:paraId="4D636770">
      <w:pPr>
        <w:spacing w:line="360" w:lineRule="auto"/>
        <w:rPr>
          <w:rFonts w:cs="宋体"/>
          <w:sz w:val="21"/>
          <w:szCs w:val="21"/>
          <w:highlight w:val="none"/>
        </w:rPr>
      </w:pPr>
      <w:r>
        <w:rPr>
          <w:rFonts w:hint="eastAsia" w:cs="宋体"/>
          <w:sz w:val="21"/>
          <w:szCs w:val="21"/>
          <w:highlight w:val="none"/>
        </w:rPr>
        <w:t>法定代表人或其委托代理人：</w:t>
      </w:r>
      <w:r>
        <w:rPr>
          <w:rFonts w:hint="eastAsia" w:cs="宋体"/>
          <w:sz w:val="21"/>
          <w:szCs w:val="21"/>
          <w:highlight w:val="none"/>
          <w:u w:val="single"/>
        </w:rPr>
        <w:t xml:space="preserve">  </w:t>
      </w:r>
      <w:r>
        <w:rPr>
          <w:rFonts w:hint="eastAsia" w:cs="宋体"/>
          <w:sz w:val="21"/>
          <w:szCs w:val="21"/>
          <w:highlight w:val="none"/>
        </w:rPr>
        <w:t>（签字）     法定代表人或其委托代理人：</w:t>
      </w:r>
      <w:r>
        <w:rPr>
          <w:rFonts w:hint="eastAsia" w:cs="宋体"/>
          <w:sz w:val="21"/>
          <w:szCs w:val="21"/>
          <w:highlight w:val="none"/>
          <w:u w:val="single"/>
        </w:rPr>
        <w:t xml:space="preserve">   </w:t>
      </w:r>
      <w:r>
        <w:rPr>
          <w:rFonts w:hint="eastAsia" w:cs="宋体"/>
          <w:sz w:val="21"/>
          <w:szCs w:val="21"/>
          <w:highlight w:val="none"/>
        </w:rPr>
        <w:t>（签字）</w:t>
      </w:r>
    </w:p>
    <w:p w14:paraId="20A7F438">
      <w:pPr>
        <w:spacing w:line="360" w:lineRule="auto"/>
        <w:rPr>
          <w:rFonts w:cs="宋体"/>
          <w:sz w:val="21"/>
          <w:szCs w:val="21"/>
          <w:highlight w:val="none"/>
        </w:rPr>
      </w:pPr>
    </w:p>
    <w:p w14:paraId="2A65CBA1">
      <w:pPr>
        <w:spacing w:line="360" w:lineRule="auto"/>
        <w:ind w:firstLine="840"/>
        <w:rPr>
          <w:rFonts w:cs="宋体"/>
          <w:sz w:val="21"/>
          <w:szCs w:val="21"/>
          <w:highlight w:val="none"/>
        </w:rPr>
      </w:pPr>
      <w:r>
        <w:rPr>
          <w:rFonts w:hint="eastAsia" w:cs="宋体"/>
          <w:sz w:val="21"/>
          <w:szCs w:val="21"/>
          <w:highlight w:val="none"/>
          <w:u w:val="single"/>
        </w:rPr>
        <w:t xml:space="preserve">      </w:t>
      </w:r>
      <w:r>
        <w:rPr>
          <w:rFonts w:hint="eastAsia" w:cs="宋体"/>
          <w:sz w:val="21"/>
          <w:szCs w:val="21"/>
          <w:highlight w:val="none"/>
        </w:rPr>
        <w:t>年</w:t>
      </w:r>
      <w:r>
        <w:rPr>
          <w:rFonts w:hint="eastAsia" w:cs="宋体"/>
          <w:sz w:val="21"/>
          <w:szCs w:val="21"/>
          <w:highlight w:val="none"/>
          <w:u w:val="single"/>
        </w:rPr>
        <w:t xml:space="preserve">    </w:t>
      </w:r>
      <w:r>
        <w:rPr>
          <w:rFonts w:hint="eastAsia" w:cs="宋体"/>
          <w:sz w:val="21"/>
          <w:szCs w:val="21"/>
          <w:highlight w:val="none"/>
        </w:rPr>
        <w:t>月</w:t>
      </w:r>
      <w:r>
        <w:rPr>
          <w:rFonts w:hint="eastAsia" w:cs="宋体"/>
          <w:sz w:val="21"/>
          <w:szCs w:val="21"/>
          <w:highlight w:val="none"/>
          <w:u w:val="single"/>
        </w:rPr>
        <w:t xml:space="preserve">    </w:t>
      </w:r>
      <w:r>
        <w:rPr>
          <w:rFonts w:hint="eastAsia" w:cs="宋体"/>
          <w:sz w:val="21"/>
          <w:szCs w:val="21"/>
          <w:highlight w:val="none"/>
        </w:rPr>
        <w:t xml:space="preserve">日                </w:t>
      </w:r>
      <w:r>
        <w:rPr>
          <w:rFonts w:hint="eastAsia" w:cs="宋体"/>
          <w:sz w:val="21"/>
          <w:szCs w:val="21"/>
          <w:highlight w:val="none"/>
          <w:u w:val="single"/>
        </w:rPr>
        <w:t xml:space="preserve">      </w:t>
      </w:r>
      <w:r>
        <w:rPr>
          <w:rFonts w:hint="eastAsia" w:cs="宋体"/>
          <w:sz w:val="21"/>
          <w:szCs w:val="21"/>
          <w:highlight w:val="none"/>
        </w:rPr>
        <w:t>年</w:t>
      </w:r>
      <w:r>
        <w:rPr>
          <w:rFonts w:hint="eastAsia" w:cs="宋体"/>
          <w:sz w:val="21"/>
          <w:szCs w:val="21"/>
          <w:highlight w:val="none"/>
          <w:u w:val="single"/>
        </w:rPr>
        <w:t xml:space="preserve">    </w:t>
      </w:r>
      <w:r>
        <w:rPr>
          <w:rFonts w:hint="eastAsia" w:cs="宋体"/>
          <w:sz w:val="21"/>
          <w:szCs w:val="21"/>
          <w:highlight w:val="none"/>
        </w:rPr>
        <w:t>月</w:t>
      </w:r>
      <w:r>
        <w:rPr>
          <w:rFonts w:hint="eastAsia" w:cs="宋体"/>
          <w:sz w:val="21"/>
          <w:szCs w:val="21"/>
          <w:highlight w:val="none"/>
          <w:u w:val="single"/>
        </w:rPr>
        <w:t xml:space="preserve">    </w:t>
      </w:r>
      <w:r>
        <w:rPr>
          <w:rFonts w:hint="eastAsia" w:cs="宋体"/>
          <w:sz w:val="21"/>
          <w:szCs w:val="21"/>
          <w:highlight w:val="none"/>
        </w:rPr>
        <w:t>日</w:t>
      </w:r>
    </w:p>
    <w:p w14:paraId="242112A1">
      <w:pPr>
        <w:spacing w:before="312" w:beforeLines="100" w:after="312" w:afterLines="100"/>
        <w:outlineLvl w:val="2"/>
        <w:rPr>
          <w:rFonts w:ascii="Times New Roman" w:eastAsia="黑体"/>
          <w:szCs w:val="24"/>
          <w:highlight w:val="none"/>
        </w:rPr>
      </w:pPr>
      <w:r>
        <w:rPr>
          <w:rFonts w:hint="eastAsia" w:cs="宋体"/>
          <w:bCs/>
          <w:kern w:val="44"/>
          <w:sz w:val="21"/>
          <w:szCs w:val="21"/>
          <w:highlight w:val="none"/>
        </w:rPr>
        <w:br w:type="page"/>
      </w:r>
      <w:bookmarkStart w:id="683" w:name="_Toc128950249"/>
      <w:r>
        <w:rPr>
          <w:rFonts w:hint="eastAsia" w:ascii="Times New Roman" w:eastAsia="黑体"/>
          <w:szCs w:val="24"/>
          <w:highlight w:val="none"/>
        </w:rPr>
        <w:t>附件14：项目经理质量终身责任制承诺</w:t>
      </w:r>
      <w:bookmarkEnd w:id="683"/>
    </w:p>
    <w:p w14:paraId="5906B4DF">
      <w:pPr>
        <w:spacing w:before="156" w:beforeLines="50" w:after="156" w:afterLines="50" w:line="360" w:lineRule="auto"/>
        <w:jc w:val="center"/>
        <w:rPr>
          <w:rFonts w:cs="宋体"/>
          <w:b/>
          <w:sz w:val="32"/>
          <w:szCs w:val="32"/>
          <w:highlight w:val="none"/>
        </w:rPr>
      </w:pPr>
      <w:bookmarkStart w:id="684" w:name="_Toc128950250"/>
      <w:bookmarkStart w:id="685" w:name="_Toc19417"/>
      <w:bookmarkStart w:id="686" w:name="_Toc14540"/>
      <w:r>
        <w:rPr>
          <w:rFonts w:hint="eastAsia" w:cs="宋体"/>
          <w:b/>
          <w:sz w:val="32"/>
          <w:szCs w:val="32"/>
          <w:highlight w:val="none"/>
        </w:rPr>
        <w:t>项目经理质量终身责任制承诺</w:t>
      </w:r>
      <w:bookmarkEnd w:id="684"/>
      <w:bookmarkEnd w:id="685"/>
      <w:bookmarkEnd w:id="686"/>
    </w:p>
    <w:p w14:paraId="0857D2C8">
      <w:pPr>
        <w:spacing w:line="360" w:lineRule="auto"/>
        <w:rPr>
          <w:rFonts w:cs="宋体"/>
          <w:bCs/>
          <w:sz w:val="21"/>
          <w:szCs w:val="21"/>
          <w:highlight w:val="none"/>
        </w:rPr>
      </w:pPr>
      <w:r>
        <w:rPr>
          <w:rFonts w:hint="eastAsia" w:cs="宋体"/>
          <w:bCs/>
          <w:sz w:val="21"/>
          <w:szCs w:val="21"/>
          <w:highlight w:val="none"/>
        </w:rPr>
        <w:t>致：</w:t>
      </w:r>
      <w:r>
        <w:rPr>
          <w:rFonts w:hint="eastAsia" w:cs="宋体"/>
          <w:bCs/>
          <w:sz w:val="21"/>
          <w:szCs w:val="21"/>
          <w:highlight w:val="none"/>
          <w:u w:val="single"/>
        </w:rPr>
        <w:t>（采购人）</w:t>
      </w:r>
    </w:p>
    <w:p w14:paraId="5FF4973B">
      <w:pPr>
        <w:spacing w:line="360" w:lineRule="auto"/>
        <w:ind w:firstLine="420" w:firstLineChars="200"/>
        <w:rPr>
          <w:rFonts w:cs="宋体"/>
          <w:bCs/>
          <w:sz w:val="21"/>
          <w:szCs w:val="21"/>
          <w:highlight w:val="none"/>
        </w:rPr>
      </w:pPr>
      <w:r>
        <w:rPr>
          <w:rFonts w:hint="eastAsia" w:cs="宋体"/>
          <w:bCs/>
          <w:sz w:val="21"/>
          <w:szCs w:val="21"/>
          <w:highlight w:val="none"/>
        </w:rPr>
        <w:t>本人作为施工项目经理，承担相关质量终身责任，现郑重承诺如下：</w:t>
      </w:r>
    </w:p>
    <w:p w14:paraId="3405643F">
      <w:pPr>
        <w:spacing w:line="360" w:lineRule="auto"/>
        <w:ind w:firstLine="420" w:firstLineChars="200"/>
        <w:rPr>
          <w:rFonts w:cs="宋体"/>
          <w:bCs/>
          <w:sz w:val="21"/>
          <w:szCs w:val="21"/>
          <w:highlight w:val="none"/>
        </w:rPr>
      </w:pPr>
      <w:r>
        <w:rPr>
          <w:rFonts w:hint="eastAsia" w:cs="宋体"/>
          <w:bCs/>
          <w:sz w:val="21"/>
          <w:szCs w:val="21"/>
          <w:highlight w:val="none"/>
        </w:rPr>
        <w:t>一、在取得施工许可证后进行施工。</w:t>
      </w:r>
    </w:p>
    <w:p w14:paraId="0ED4C4AA">
      <w:pPr>
        <w:spacing w:line="360" w:lineRule="auto"/>
        <w:ind w:firstLine="420" w:firstLineChars="200"/>
        <w:rPr>
          <w:rFonts w:cs="宋体"/>
          <w:bCs/>
          <w:sz w:val="21"/>
          <w:szCs w:val="21"/>
          <w:highlight w:val="none"/>
        </w:rPr>
      </w:pPr>
      <w:r>
        <w:rPr>
          <w:rFonts w:hint="eastAsia" w:cs="宋体"/>
          <w:bCs/>
          <w:sz w:val="21"/>
          <w:szCs w:val="21"/>
          <w:highlight w:val="none"/>
        </w:rPr>
        <w:t>二、严格执行施工规范及标准。</w:t>
      </w:r>
    </w:p>
    <w:p w14:paraId="3C9783F7">
      <w:pPr>
        <w:spacing w:line="360" w:lineRule="auto"/>
        <w:ind w:firstLine="420" w:firstLineChars="200"/>
        <w:rPr>
          <w:rFonts w:cs="宋体"/>
          <w:bCs/>
          <w:sz w:val="21"/>
          <w:szCs w:val="21"/>
          <w:highlight w:val="none"/>
        </w:rPr>
      </w:pPr>
      <w:r>
        <w:rPr>
          <w:rFonts w:hint="eastAsia" w:cs="宋体"/>
          <w:bCs/>
          <w:sz w:val="21"/>
          <w:szCs w:val="21"/>
          <w:highlight w:val="none"/>
        </w:rPr>
        <w:t>三、严格按规定配备施工项目部关键岗位人员，并确保所有人员到岗履职。</w:t>
      </w:r>
    </w:p>
    <w:p w14:paraId="39A2D497">
      <w:pPr>
        <w:spacing w:line="360" w:lineRule="auto"/>
        <w:ind w:firstLine="420" w:firstLineChars="200"/>
        <w:rPr>
          <w:rFonts w:cs="宋体"/>
          <w:bCs/>
          <w:sz w:val="21"/>
          <w:szCs w:val="21"/>
          <w:highlight w:val="none"/>
        </w:rPr>
      </w:pPr>
      <w:r>
        <w:rPr>
          <w:rFonts w:hint="eastAsia" w:cs="宋体"/>
          <w:bCs/>
          <w:sz w:val="21"/>
          <w:szCs w:val="21"/>
          <w:highlight w:val="none"/>
        </w:rPr>
        <w:t>四、严格按照经施工图审查机构审查合格的工程设计文件及合同约定的质量标准精心组织施工。</w:t>
      </w:r>
    </w:p>
    <w:p w14:paraId="745A7EFE">
      <w:pPr>
        <w:spacing w:line="360" w:lineRule="auto"/>
        <w:ind w:firstLine="420" w:firstLineChars="200"/>
        <w:rPr>
          <w:rFonts w:cs="宋体"/>
          <w:bCs/>
          <w:sz w:val="21"/>
          <w:szCs w:val="21"/>
          <w:highlight w:val="none"/>
        </w:rPr>
      </w:pPr>
      <w:r>
        <w:rPr>
          <w:rFonts w:hint="eastAsia" w:cs="宋体"/>
          <w:bCs/>
          <w:sz w:val="21"/>
          <w:szCs w:val="21"/>
          <w:highlight w:val="none"/>
        </w:rPr>
        <w:t>五、施工中采用合格的建筑材料、建筑构配件和设备等，并严格按规定执行见证取样制度。</w:t>
      </w:r>
    </w:p>
    <w:p w14:paraId="5586A441">
      <w:pPr>
        <w:spacing w:line="360" w:lineRule="auto"/>
        <w:ind w:firstLine="420" w:firstLineChars="200"/>
        <w:rPr>
          <w:rFonts w:cs="宋体"/>
          <w:bCs/>
          <w:sz w:val="21"/>
          <w:szCs w:val="21"/>
          <w:highlight w:val="none"/>
        </w:rPr>
      </w:pPr>
      <w:r>
        <w:rPr>
          <w:rFonts w:hint="eastAsia" w:cs="宋体"/>
          <w:bCs/>
          <w:sz w:val="21"/>
          <w:szCs w:val="21"/>
          <w:highlight w:val="none"/>
        </w:rPr>
        <w:t>六、建立、健全质量检查、验收制度，严格工序管理，做好隐蔽工程质量的检查和记录。</w:t>
      </w:r>
    </w:p>
    <w:p w14:paraId="33BAA14C">
      <w:pPr>
        <w:spacing w:line="360" w:lineRule="auto"/>
        <w:ind w:firstLine="420" w:firstLineChars="200"/>
        <w:rPr>
          <w:rFonts w:cs="宋体"/>
          <w:bCs/>
          <w:sz w:val="21"/>
          <w:szCs w:val="21"/>
          <w:highlight w:val="none"/>
        </w:rPr>
      </w:pPr>
      <w:r>
        <w:rPr>
          <w:rFonts w:hint="eastAsia" w:cs="宋体"/>
          <w:bCs/>
          <w:sz w:val="21"/>
          <w:szCs w:val="21"/>
          <w:highlight w:val="none"/>
        </w:rPr>
        <w:t>七、对施工中出现的质量问题，及时进行整改。严格依法依规履行义务。</w:t>
      </w:r>
    </w:p>
    <w:p w14:paraId="13BA9612">
      <w:pPr>
        <w:spacing w:line="360" w:lineRule="auto"/>
        <w:ind w:firstLine="420" w:firstLineChars="200"/>
        <w:rPr>
          <w:rFonts w:cs="宋体"/>
          <w:bCs/>
          <w:sz w:val="21"/>
          <w:szCs w:val="21"/>
          <w:highlight w:val="none"/>
        </w:rPr>
      </w:pPr>
      <w:r>
        <w:rPr>
          <w:rFonts w:hint="eastAsia" w:cs="宋体"/>
          <w:bCs/>
          <w:sz w:val="21"/>
          <w:szCs w:val="21"/>
          <w:highlight w:val="none"/>
        </w:rPr>
        <w:t>八、履行相关工程质量检查、验收及事故处理等职责。</w:t>
      </w:r>
    </w:p>
    <w:p w14:paraId="306221DE">
      <w:pPr>
        <w:spacing w:line="360" w:lineRule="auto"/>
        <w:ind w:firstLine="420" w:firstLineChars="200"/>
        <w:rPr>
          <w:rFonts w:cs="宋体"/>
          <w:bCs/>
          <w:sz w:val="21"/>
          <w:szCs w:val="21"/>
          <w:highlight w:val="none"/>
        </w:rPr>
      </w:pPr>
      <w:r>
        <w:rPr>
          <w:rFonts w:hint="eastAsia" w:cs="宋体"/>
          <w:bCs/>
          <w:sz w:val="21"/>
          <w:szCs w:val="21"/>
          <w:highlight w:val="none"/>
        </w:rPr>
        <w:t>九、履行其他法律法规规定的职责。</w:t>
      </w:r>
    </w:p>
    <w:p w14:paraId="5A54B192">
      <w:pPr>
        <w:spacing w:line="360" w:lineRule="auto"/>
        <w:ind w:left="342" w:leftChars="171" w:firstLine="630" w:firstLineChars="300"/>
        <w:rPr>
          <w:rFonts w:cs="宋体"/>
          <w:bCs/>
          <w:sz w:val="21"/>
          <w:szCs w:val="21"/>
          <w:highlight w:val="none"/>
        </w:rPr>
      </w:pPr>
    </w:p>
    <w:p w14:paraId="2B60D4F2">
      <w:pPr>
        <w:spacing w:line="360" w:lineRule="auto"/>
        <w:ind w:left="342" w:leftChars="171" w:firstLine="630" w:firstLineChars="300"/>
        <w:rPr>
          <w:rFonts w:cs="宋体"/>
          <w:bCs/>
          <w:sz w:val="21"/>
          <w:szCs w:val="21"/>
          <w:highlight w:val="none"/>
        </w:rPr>
      </w:pPr>
    </w:p>
    <w:p w14:paraId="3620082D">
      <w:pPr>
        <w:spacing w:line="360" w:lineRule="auto"/>
        <w:ind w:left="342" w:leftChars="171" w:firstLine="630" w:firstLineChars="300"/>
        <w:rPr>
          <w:rFonts w:cs="宋体"/>
          <w:bCs/>
          <w:sz w:val="21"/>
          <w:szCs w:val="21"/>
          <w:highlight w:val="none"/>
        </w:rPr>
      </w:pPr>
      <w:r>
        <w:rPr>
          <w:rFonts w:hint="eastAsia" w:cs="宋体"/>
          <w:bCs/>
          <w:sz w:val="21"/>
          <w:szCs w:val="21"/>
          <w:highlight w:val="none"/>
        </w:rPr>
        <w:t>项目经理：</w:t>
      </w:r>
      <w:r>
        <w:rPr>
          <w:rFonts w:hint="eastAsia" w:cs="宋体"/>
          <w:bCs/>
          <w:sz w:val="21"/>
          <w:szCs w:val="21"/>
          <w:highlight w:val="none"/>
          <w:u w:val="single"/>
        </w:rPr>
        <w:t xml:space="preserve">                   </w:t>
      </w:r>
      <w:r>
        <w:rPr>
          <w:rFonts w:hint="eastAsia" w:cs="宋体"/>
          <w:bCs/>
          <w:sz w:val="21"/>
          <w:szCs w:val="21"/>
          <w:highlight w:val="none"/>
        </w:rPr>
        <w:t>（签字）</w:t>
      </w:r>
    </w:p>
    <w:p w14:paraId="134A6420">
      <w:pPr>
        <w:spacing w:line="360" w:lineRule="auto"/>
        <w:ind w:left="342" w:leftChars="171" w:firstLine="630" w:firstLineChars="300"/>
        <w:rPr>
          <w:rFonts w:cs="宋体"/>
          <w:bCs/>
          <w:sz w:val="21"/>
          <w:szCs w:val="21"/>
          <w:highlight w:val="none"/>
        </w:rPr>
      </w:pPr>
      <w:r>
        <w:rPr>
          <w:rFonts w:hint="eastAsia" w:cs="宋体"/>
          <w:bCs/>
          <w:sz w:val="21"/>
          <w:szCs w:val="21"/>
          <w:highlight w:val="none"/>
        </w:rPr>
        <w:t>日期：_____年____月____日</w:t>
      </w:r>
    </w:p>
    <w:p w14:paraId="404D3C0C">
      <w:pPr>
        <w:pStyle w:val="19"/>
        <w:rPr>
          <w:rFonts w:ascii="宋体" w:hAnsi="宋体" w:eastAsia="宋体" w:cs="宋体"/>
          <w:bCs/>
          <w:sz w:val="21"/>
          <w:szCs w:val="21"/>
          <w:highlight w:val="none"/>
        </w:rPr>
      </w:pPr>
    </w:p>
    <w:p w14:paraId="751BEB56">
      <w:pPr>
        <w:widowControl/>
        <w:jc w:val="left"/>
        <w:rPr>
          <w:b/>
          <w:sz w:val="24"/>
          <w:highlight w:val="none"/>
        </w:rPr>
      </w:pPr>
      <w:r>
        <w:rPr>
          <w:b/>
          <w:sz w:val="24"/>
          <w:highlight w:val="none"/>
        </w:rPr>
        <w:br w:type="page"/>
      </w:r>
    </w:p>
    <w:p w14:paraId="18B42267">
      <w:pPr>
        <w:spacing w:line="360" w:lineRule="auto"/>
        <w:jc w:val="center"/>
        <w:outlineLvl w:val="0"/>
        <w:rPr>
          <w:rFonts w:asciiTheme="minorEastAsia" w:hAnsiTheme="minorEastAsia" w:eastAsiaTheme="minorEastAsia"/>
          <w:b/>
          <w:sz w:val="28"/>
          <w:highlight w:val="none"/>
        </w:rPr>
      </w:pPr>
      <w:bookmarkStart w:id="687" w:name="_Toc22734"/>
      <w:r>
        <w:rPr>
          <w:rFonts w:hint="eastAsia" w:asciiTheme="minorEastAsia" w:hAnsiTheme="minorEastAsia" w:eastAsiaTheme="minorEastAsia"/>
          <w:b/>
          <w:sz w:val="28"/>
          <w:highlight w:val="none"/>
        </w:rPr>
        <w:t>第六章  响应文件格式</w:t>
      </w:r>
      <w:bookmarkEnd w:id="687"/>
    </w:p>
    <w:p w14:paraId="4B054B19">
      <w:pPr>
        <w:spacing w:line="900" w:lineRule="exact"/>
        <w:jc w:val="center"/>
        <w:rPr>
          <w:rFonts w:asciiTheme="minorEastAsia" w:hAnsiTheme="minorEastAsia" w:eastAsiaTheme="minorEastAsia"/>
          <w:b/>
          <w:sz w:val="72"/>
          <w:highlight w:val="none"/>
        </w:rPr>
      </w:pPr>
    </w:p>
    <w:p w14:paraId="7BC3CD9A">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响</w:t>
      </w:r>
    </w:p>
    <w:p w14:paraId="51964DBC">
      <w:pPr>
        <w:spacing w:line="900" w:lineRule="exact"/>
        <w:jc w:val="center"/>
        <w:rPr>
          <w:rFonts w:asciiTheme="minorEastAsia" w:hAnsiTheme="minorEastAsia" w:eastAsiaTheme="minorEastAsia"/>
          <w:b/>
          <w:sz w:val="72"/>
          <w:highlight w:val="none"/>
        </w:rPr>
      </w:pPr>
    </w:p>
    <w:p w14:paraId="17FF55CA">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应</w:t>
      </w:r>
    </w:p>
    <w:p w14:paraId="7E50AA59">
      <w:pPr>
        <w:spacing w:line="900" w:lineRule="exact"/>
        <w:jc w:val="center"/>
        <w:rPr>
          <w:rFonts w:asciiTheme="minorEastAsia" w:hAnsiTheme="minorEastAsia" w:eastAsiaTheme="minorEastAsia"/>
          <w:b/>
          <w:sz w:val="72"/>
          <w:highlight w:val="none"/>
        </w:rPr>
      </w:pPr>
    </w:p>
    <w:p w14:paraId="1A684897">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1E068270">
      <w:pPr>
        <w:spacing w:line="900" w:lineRule="exact"/>
        <w:jc w:val="center"/>
        <w:rPr>
          <w:rFonts w:asciiTheme="minorEastAsia" w:hAnsiTheme="minorEastAsia" w:eastAsiaTheme="minorEastAsia"/>
          <w:b/>
          <w:sz w:val="72"/>
          <w:highlight w:val="none"/>
        </w:rPr>
      </w:pPr>
    </w:p>
    <w:p w14:paraId="71D785E1">
      <w:pPr>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3008C738">
      <w:pPr>
        <w:spacing w:after="156" w:afterLines="50"/>
        <w:jc w:val="center"/>
        <w:rPr>
          <w:rFonts w:asciiTheme="minorEastAsia" w:hAnsiTheme="minorEastAsia" w:eastAsiaTheme="minorEastAsia"/>
          <w:b/>
          <w:sz w:val="72"/>
          <w:highlight w:val="none"/>
        </w:rPr>
      </w:pPr>
    </w:p>
    <w:p w14:paraId="7909075C">
      <w:pPr>
        <w:spacing w:before="156" w:beforeLines="50" w:after="156" w:afterLines="50"/>
        <w:jc w:val="center"/>
        <w:rPr>
          <w:rFonts w:asciiTheme="minorEastAsia" w:hAnsiTheme="minorEastAsia" w:eastAsiaTheme="minorEastAsia"/>
          <w:b/>
          <w:sz w:val="32"/>
          <w:szCs w:val="32"/>
          <w:highlight w:val="none"/>
        </w:rPr>
      </w:pPr>
    </w:p>
    <w:p w14:paraId="2F8BC5A4">
      <w:pPr>
        <w:spacing w:after="156" w:afterLines="50" w:line="500" w:lineRule="exact"/>
        <w:jc w:val="center"/>
        <w:rPr>
          <w:rFonts w:asciiTheme="minorEastAsia" w:hAnsiTheme="minorEastAsia" w:eastAsiaTheme="minorEastAsia"/>
          <w:b/>
          <w:sz w:val="28"/>
          <w:szCs w:val="28"/>
          <w:highlight w:val="none"/>
        </w:rPr>
      </w:pPr>
    </w:p>
    <w:p w14:paraId="3B4C21AA">
      <w:pPr>
        <w:tabs>
          <w:tab w:val="left" w:pos="2410"/>
        </w:tabs>
        <w:autoSpaceDE w:val="0"/>
        <w:autoSpaceDN w:val="0"/>
        <w:adjustRightInd w:val="0"/>
        <w:snapToGrid w:val="0"/>
        <w:spacing w:line="360" w:lineRule="auto"/>
        <w:ind w:firstLine="1928" w:firstLineChars="600"/>
        <w:rPr>
          <w:b/>
          <w:spacing w:val="20"/>
          <w:sz w:val="32"/>
          <w:szCs w:val="32"/>
          <w:highlight w:val="none"/>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57C012EB">
      <w:pPr>
        <w:tabs>
          <w:tab w:val="left" w:pos="2410"/>
        </w:tabs>
        <w:autoSpaceDE w:val="0"/>
        <w:autoSpaceDN w:val="0"/>
        <w:adjustRightInd w:val="0"/>
        <w:snapToGrid w:val="0"/>
        <w:spacing w:line="360" w:lineRule="auto"/>
        <w:ind w:firstLine="1928" w:firstLineChars="6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3E13DE2B">
      <w:pPr>
        <w:tabs>
          <w:tab w:val="left" w:pos="2410"/>
        </w:tabs>
        <w:autoSpaceDE w:val="0"/>
        <w:autoSpaceDN w:val="0"/>
        <w:adjustRightInd w:val="0"/>
        <w:snapToGrid w:val="0"/>
        <w:spacing w:line="360" w:lineRule="auto"/>
        <w:ind w:firstLine="1928" w:firstLineChars="6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供 应 商：</w:t>
      </w:r>
      <w:r>
        <w:rPr>
          <w:rFonts w:hint="eastAsia" w:asciiTheme="minorEastAsia" w:hAnsiTheme="minorEastAsia" w:eastAsiaTheme="minorEastAsia"/>
          <w:b/>
          <w:sz w:val="32"/>
          <w:highlight w:val="none"/>
          <w:u w:val="single"/>
        </w:rPr>
        <w:t xml:space="preserve">                  </w:t>
      </w:r>
    </w:p>
    <w:p w14:paraId="1B0E680D">
      <w:pPr>
        <w:spacing w:after="156" w:afterLines="50" w:line="500" w:lineRule="exact"/>
        <w:jc w:val="center"/>
        <w:outlineLvl w:val="1"/>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688" w:name="_Toc24911"/>
      <w:bookmarkStart w:id="689" w:name="_Toc19892"/>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688"/>
      <w:bookmarkEnd w:id="689"/>
    </w:p>
    <w:p w14:paraId="4FDF23F7">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0438142B">
      <w:pPr>
        <w:spacing w:line="360" w:lineRule="auto"/>
        <w:jc w:val="center"/>
        <w:outlineLvl w:val="1"/>
        <w:rPr>
          <w:rFonts w:asciiTheme="minorEastAsia" w:hAnsiTheme="minorEastAsia" w:eastAsiaTheme="minorEastAsia"/>
          <w:b/>
          <w:sz w:val="24"/>
          <w:highlight w:val="none"/>
        </w:rPr>
      </w:pPr>
      <w:bookmarkStart w:id="690" w:name="_Toc461053086"/>
      <w:bookmarkStart w:id="691" w:name="_Toc461056631"/>
      <w:bookmarkStart w:id="692" w:name="_Toc28280"/>
      <w:bookmarkStart w:id="693" w:name="_Toc520983587"/>
      <w:bookmarkStart w:id="694" w:name="_Toc21496"/>
      <w:r>
        <w:rPr>
          <w:rFonts w:hint="eastAsia" w:asciiTheme="minorEastAsia" w:hAnsiTheme="minorEastAsia" w:eastAsiaTheme="minorEastAsia"/>
          <w:b/>
          <w:sz w:val="24"/>
          <w:highlight w:val="none"/>
        </w:rPr>
        <w:t>一</w:t>
      </w:r>
      <w:bookmarkEnd w:id="690"/>
      <w:bookmarkEnd w:id="691"/>
      <w:r>
        <w:rPr>
          <w:rFonts w:hint="eastAsia" w:asciiTheme="minorEastAsia" w:hAnsiTheme="minorEastAsia" w:eastAsiaTheme="minorEastAsia"/>
          <w:b/>
          <w:sz w:val="24"/>
          <w:highlight w:val="none"/>
        </w:rPr>
        <w:t>、报价表格式</w:t>
      </w:r>
      <w:bookmarkEnd w:id="692"/>
      <w:bookmarkEnd w:id="693"/>
      <w:bookmarkEnd w:id="694"/>
    </w:p>
    <w:p w14:paraId="6B87DCA6">
      <w:pPr>
        <w:spacing w:before="156" w:beforeLines="50" w:after="156" w:afterLines="50" w:line="360" w:lineRule="auto"/>
        <w:jc w:val="left"/>
        <w:outlineLvl w:val="2"/>
        <w:rPr>
          <w:rFonts w:cs="@仿宋_GB2312" w:asciiTheme="minorEastAsia" w:hAnsiTheme="minorEastAsia" w:eastAsiaTheme="minorEastAsia"/>
          <w:b/>
          <w:kern w:val="2"/>
          <w:sz w:val="24"/>
          <w:szCs w:val="24"/>
          <w:highlight w:val="none"/>
        </w:rPr>
      </w:pPr>
      <w:r>
        <w:rPr>
          <w:rFonts w:hint="eastAsia" w:cs="@仿宋_GB2312" w:asciiTheme="minorEastAsia" w:hAnsiTheme="minorEastAsia" w:eastAsiaTheme="minorEastAsia"/>
          <w:b/>
          <w:kern w:val="2"/>
          <w:sz w:val="24"/>
          <w:szCs w:val="24"/>
          <w:highlight w:val="none"/>
        </w:rPr>
        <w:t>1-1 报价表</w:t>
      </w:r>
    </w:p>
    <w:p w14:paraId="2402CBF9">
      <w:pPr>
        <w:snapToGrid w:val="0"/>
        <w:spacing w:line="360" w:lineRule="auto"/>
        <w:jc w:val="left"/>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项目名称：</w:t>
      </w:r>
      <w:r>
        <w:rPr>
          <w:rFonts w:hint="eastAsia" w:cs="宋体" w:asciiTheme="minorEastAsia" w:hAnsiTheme="minorEastAsia" w:eastAsiaTheme="minorEastAsia"/>
          <w:b/>
          <w:kern w:val="2"/>
          <w:sz w:val="24"/>
          <w:szCs w:val="24"/>
          <w:highlight w:val="none"/>
          <w:u w:val="single"/>
        </w:rPr>
        <w:t xml:space="preserve">      </w:t>
      </w:r>
    </w:p>
    <w:p w14:paraId="2A3AE8E6">
      <w:pPr>
        <w:snapToGrid w:val="0"/>
        <w:spacing w:after="156" w:afterLines="50" w:line="360" w:lineRule="auto"/>
        <w:jc w:val="left"/>
        <w:rPr>
          <w:rFonts w:cs="宋体" w:asciiTheme="minorEastAsia" w:hAnsiTheme="minorEastAsia" w:eastAsiaTheme="minorEastAsia"/>
          <w:b/>
          <w:bCs/>
          <w:kern w:val="2"/>
          <w:sz w:val="24"/>
          <w:szCs w:val="24"/>
          <w:highlight w:val="none"/>
          <w:u w:val="single"/>
        </w:rPr>
      </w:pPr>
      <w:r>
        <w:rPr>
          <w:rFonts w:hint="eastAsia" w:cs="宋体" w:asciiTheme="minorEastAsia" w:hAnsiTheme="minorEastAsia" w:eastAsiaTheme="minorEastAsia"/>
          <w:b/>
          <w:kern w:val="2"/>
          <w:sz w:val="24"/>
          <w:szCs w:val="24"/>
          <w:highlight w:val="none"/>
        </w:rPr>
        <w:t>项目编号：</w:t>
      </w:r>
      <w:r>
        <w:rPr>
          <w:rFonts w:hint="eastAsia" w:cs="宋体" w:asciiTheme="minorEastAsia" w:hAnsiTheme="minorEastAsia" w:eastAsiaTheme="minorEastAsia"/>
          <w:b/>
          <w:kern w:val="2"/>
          <w:sz w:val="24"/>
          <w:szCs w:val="24"/>
          <w:highlight w:val="none"/>
          <w:u w:val="single"/>
        </w:rPr>
        <w:t xml:space="preserve">      </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D8F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5D3357B">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供应商名称</w:t>
            </w:r>
          </w:p>
        </w:tc>
        <w:tc>
          <w:tcPr>
            <w:tcW w:w="3557" w:type="pct"/>
            <w:tcBorders>
              <w:left w:val="single" w:color="auto" w:sz="4" w:space="0"/>
            </w:tcBorders>
          </w:tcPr>
          <w:p w14:paraId="76BB7AE8">
            <w:pPr>
              <w:rPr>
                <w:rFonts w:cs="宋体" w:asciiTheme="minorEastAsia" w:hAnsiTheme="minorEastAsia" w:eastAsiaTheme="minorEastAsia"/>
                <w:b/>
                <w:kern w:val="2"/>
                <w:sz w:val="24"/>
                <w:szCs w:val="24"/>
                <w:highlight w:val="none"/>
              </w:rPr>
            </w:pPr>
          </w:p>
        </w:tc>
      </w:tr>
      <w:tr w14:paraId="3E2E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887DCB7">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bCs/>
                <w:kern w:val="2"/>
                <w:sz w:val="24"/>
                <w:szCs w:val="24"/>
                <w:highlight w:val="none"/>
              </w:rPr>
              <w:t>磋商</w:t>
            </w:r>
            <w:r>
              <w:rPr>
                <w:rFonts w:hint="eastAsia" w:cs="宋体" w:asciiTheme="minorEastAsia" w:hAnsiTheme="minorEastAsia" w:eastAsiaTheme="minorEastAsia"/>
                <w:b/>
                <w:kern w:val="2"/>
                <w:sz w:val="24"/>
                <w:szCs w:val="24"/>
                <w:highlight w:val="none"/>
              </w:rPr>
              <w:t>范围</w:t>
            </w:r>
          </w:p>
        </w:tc>
        <w:tc>
          <w:tcPr>
            <w:tcW w:w="3557" w:type="pct"/>
            <w:tcBorders>
              <w:left w:val="single" w:color="auto" w:sz="4" w:space="0"/>
            </w:tcBorders>
            <w:vAlign w:val="center"/>
          </w:tcPr>
          <w:p w14:paraId="62EE37CB">
            <w:pPr>
              <w:widowControl/>
              <w:rPr>
                <w:rFonts w:cs="宋体" w:asciiTheme="minorEastAsia" w:hAnsiTheme="minorEastAsia" w:eastAsiaTheme="minorEastAsia"/>
                <w:b/>
                <w:kern w:val="2"/>
                <w:sz w:val="24"/>
                <w:szCs w:val="24"/>
                <w:highlight w:val="none"/>
              </w:rPr>
            </w:pPr>
            <w:r>
              <w:rPr>
                <w:rFonts w:hint="eastAsia" w:cs="@仿宋_GB2312" w:asciiTheme="minorEastAsia" w:hAnsiTheme="minorEastAsia" w:eastAsiaTheme="minorEastAsia"/>
                <w:kern w:val="2"/>
                <w:sz w:val="24"/>
                <w:szCs w:val="28"/>
                <w:highlight w:val="none"/>
              </w:rPr>
              <w:t xml:space="preserve">全部 </w:t>
            </w:r>
          </w:p>
        </w:tc>
      </w:tr>
      <w:tr w14:paraId="1E51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DAAE082">
            <w:pPr>
              <w:spacing w:line="360" w:lineRule="auto"/>
              <w:jc w:val="center"/>
              <w:rPr>
                <w:rFonts w:cs="@仿宋_GB2312"/>
                <w:b/>
                <w:kern w:val="2"/>
                <w:sz w:val="24"/>
                <w:highlight w:val="none"/>
              </w:rPr>
            </w:pPr>
            <w:r>
              <w:rPr>
                <w:rFonts w:hint="eastAsia" w:cs="@仿宋_GB2312"/>
                <w:b/>
                <w:kern w:val="2"/>
                <w:sz w:val="24"/>
                <w:highlight w:val="none"/>
              </w:rPr>
              <w:t>报价</w:t>
            </w:r>
          </w:p>
          <w:p w14:paraId="28446746">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（详见备注说明）</w:t>
            </w:r>
          </w:p>
        </w:tc>
        <w:tc>
          <w:tcPr>
            <w:tcW w:w="3557" w:type="pct"/>
            <w:vAlign w:val="center"/>
          </w:tcPr>
          <w:p w14:paraId="06BAA9E5">
            <w:pPr>
              <w:snapToGrid w:val="0"/>
              <w:rPr>
                <w:rFonts w:cs="宋体" w:asciiTheme="minorEastAsia" w:hAnsiTheme="minorEastAsia" w:eastAsiaTheme="minorEastAsia"/>
                <w:kern w:val="2"/>
                <w:sz w:val="24"/>
                <w:szCs w:val="24"/>
                <w:highlight w:val="none"/>
              </w:rPr>
            </w:pPr>
          </w:p>
          <w:p w14:paraId="3D64A4DB">
            <w:pPr>
              <w:snapToGrid w:val="0"/>
              <w:spacing w:line="360" w:lineRule="auto"/>
              <w:jc w:val="left"/>
              <w:rPr>
                <w:rFonts w:cs="宋体"/>
                <w:bCs/>
                <w:sz w:val="24"/>
                <w:szCs w:val="24"/>
                <w:highlight w:val="none"/>
                <w:u w:val="single"/>
              </w:rPr>
            </w:pPr>
            <w:r>
              <w:rPr>
                <w:rFonts w:hint="eastAsia" w:cs="宋体"/>
                <w:bCs/>
                <w:sz w:val="24"/>
                <w:szCs w:val="24"/>
                <w:highlight w:val="none"/>
              </w:rPr>
              <w:t>大写：</w:t>
            </w:r>
            <w:r>
              <w:rPr>
                <w:rFonts w:hint="eastAsia" w:cs="宋体"/>
                <w:bCs/>
                <w:sz w:val="24"/>
                <w:szCs w:val="24"/>
                <w:highlight w:val="none"/>
                <w:u w:val="single"/>
              </w:rPr>
              <w:t xml:space="preserve">                     </w:t>
            </w:r>
          </w:p>
          <w:p w14:paraId="37C75E0B">
            <w:pPr>
              <w:spacing w:line="360" w:lineRule="auto"/>
              <w:ind w:right="-670"/>
              <w:rPr>
                <w:rFonts w:asciiTheme="minorEastAsia" w:hAnsiTheme="minorEastAsia" w:eastAsiaTheme="minorEastAsia"/>
                <w:sz w:val="24"/>
                <w:highlight w:val="none"/>
              </w:rPr>
            </w:pPr>
            <w:r>
              <w:rPr>
                <w:rFonts w:hint="eastAsia" w:cs="宋体"/>
                <w:bCs/>
                <w:sz w:val="24"/>
                <w:szCs w:val="24"/>
                <w:highlight w:val="none"/>
              </w:rPr>
              <w:t>小写：</w:t>
            </w:r>
            <w:r>
              <w:rPr>
                <w:rFonts w:hint="eastAsia" w:cs="宋体"/>
                <w:bCs/>
                <w:sz w:val="24"/>
                <w:szCs w:val="24"/>
                <w:highlight w:val="none"/>
                <w:u w:val="single"/>
              </w:rPr>
              <w:t xml:space="preserve">                     </w:t>
            </w:r>
          </w:p>
          <w:p w14:paraId="110850AC">
            <w:pPr>
              <w:snapToGrid w:val="0"/>
              <w:rPr>
                <w:rFonts w:cs="宋体" w:asciiTheme="minorEastAsia" w:hAnsiTheme="minorEastAsia" w:eastAsiaTheme="minorEastAsia"/>
                <w:b/>
                <w:kern w:val="2"/>
                <w:sz w:val="24"/>
                <w:szCs w:val="24"/>
                <w:highlight w:val="none"/>
              </w:rPr>
            </w:pPr>
          </w:p>
        </w:tc>
      </w:tr>
      <w:tr w14:paraId="7803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13DCDEB6">
            <w:pPr>
              <w:snapToGrid w:val="0"/>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bCs/>
                <w:kern w:val="2"/>
                <w:sz w:val="24"/>
                <w:szCs w:val="24"/>
                <w:highlight w:val="none"/>
              </w:rPr>
              <w:t>质量标准</w:t>
            </w:r>
          </w:p>
        </w:tc>
        <w:tc>
          <w:tcPr>
            <w:tcW w:w="3557" w:type="pct"/>
            <w:vAlign w:val="center"/>
          </w:tcPr>
          <w:p w14:paraId="0EA883DA">
            <w:pPr>
              <w:snapToGrid w:val="0"/>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合格</w:t>
            </w:r>
          </w:p>
        </w:tc>
      </w:tr>
      <w:tr w14:paraId="3F03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44708BA">
            <w:pPr>
              <w:snapToGrid w:val="0"/>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bCs/>
                <w:kern w:val="2"/>
                <w:sz w:val="24"/>
                <w:szCs w:val="24"/>
                <w:highlight w:val="none"/>
              </w:rPr>
              <w:t>工    期</w:t>
            </w:r>
          </w:p>
        </w:tc>
        <w:tc>
          <w:tcPr>
            <w:tcW w:w="3557" w:type="pct"/>
            <w:vAlign w:val="center"/>
          </w:tcPr>
          <w:p w14:paraId="1B78C996">
            <w:pPr>
              <w:snapToGrid w:val="0"/>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Cs/>
                <w:kern w:val="2"/>
                <w:sz w:val="24"/>
                <w:szCs w:val="24"/>
                <w:highlight w:val="none"/>
              </w:rPr>
              <w:t>接开工令后</w:t>
            </w:r>
            <w:r>
              <w:rPr>
                <w:rFonts w:hint="eastAsia" w:cs="宋体" w:asciiTheme="minorEastAsia" w:hAnsiTheme="minorEastAsia" w:eastAsiaTheme="minorEastAsia"/>
                <w:bCs/>
                <w:kern w:val="2"/>
                <w:sz w:val="24"/>
                <w:szCs w:val="24"/>
                <w:highlight w:val="none"/>
                <w:u w:val="single"/>
              </w:rPr>
              <w:t xml:space="preserve">        </w:t>
            </w:r>
            <w:r>
              <w:rPr>
                <w:rFonts w:hint="eastAsia" w:cs="宋体" w:asciiTheme="minorEastAsia" w:hAnsiTheme="minorEastAsia" w:eastAsiaTheme="minorEastAsia"/>
                <w:bCs/>
                <w:kern w:val="2"/>
                <w:sz w:val="24"/>
                <w:szCs w:val="24"/>
                <w:highlight w:val="none"/>
              </w:rPr>
              <w:t>日历天完工</w:t>
            </w:r>
          </w:p>
        </w:tc>
      </w:tr>
      <w:tr w14:paraId="294D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3886A8C2">
            <w:pPr>
              <w:snapToGrid w:val="0"/>
              <w:jc w:val="center"/>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是否响应付款方式</w:t>
            </w:r>
          </w:p>
        </w:tc>
        <w:tc>
          <w:tcPr>
            <w:tcW w:w="3557" w:type="pct"/>
            <w:vAlign w:val="center"/>
          </w:tcPr>
          <w:p w14:paraId="17BDA938">
            <w:pPr>
              <w:snapToGrid w:val="0"/>
              <w:rPr>
                <w:rFonts w:cs="宋体" w:asciiTheme="minorEastAsia" w:hAnsiTheme="minorEastAsia" w:eastAsiaTheme="minorEastAsia"/>
                <w:bCs/>
                <w:kern w:val="2"/>
                <w:sz w:val="24"/>
                <w:szCs w:val="24"/>
                <w:highlight w:val="none"/>
              </w:rPr>
            </w:pPr>
            <w:r>
              <w:rPr>
                <w:rFonts w:hint="eastAsia" w:cs="宋体" w:asciiTheme="minorEastAsia" w:hAnsiTheme="minorEastAsia" w:eastAsiaTheme="minorEastAsia"/>
                <w:kern w:val="2"/>
                <w:sz w:val="24"/>
                <w:szCs w:val="24"/>
                <w:highlight w:val="none"/>
              </w:rPr>
              <w:t>是□    否□   （划√）</w:t>
            </w:r>
          </w:p>
        </w:tc>
      </w:tr>
      <w:tr w14:paraId="540D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19630CF0">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备注说明</w:t>
            </w:r>
          </w:p>
        </w:tc>
        <w:tc>
          <w:tcPr>
            <w:tcW w:w="3557" w:type="pct"/>
          </w:tcPr>
          <w:p w14:paraId="54A93C4F">
            <w:pPr>
              <w:rPr>
                <w:rFonts w:cs="宋体" w:asciiTheme="minorEastAsia" w:hAnsiTheme="minorEastAsia" w:eastAsiaTheme="minorEastAsia"/>
                <w:b/>
                <w:kern w:val="2"/>
                <w:sz w:val="24"/>
                <w:szCs w:val="24"/>
                <w:highlight w:val="none"/>
              </w:rPr>
            </w:pPr>
          </w:p>
        </w:tc>
      </w:tr>
    </w:tbl>
    <w:p w14:paraId="698A3B41">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rPr>
        <w:t>供应商电子签章：</w:t>
      </w:r>
      <w:r>
        <w:rPr>
          <w:rFonts w:hint="eastAsia" w:cs="@仿宋_GB2312"/>
          <w:kern w:val="2"/>
          <w:sz w:val="24"/>
          <w:szCs w:val="24"/>
          <w:highlight w:val="none"/>
          <w:u w:val="single"/>
        </w:rPr>
        <w:t xml:space="preserve">     </w:t>
      </w:r>
      <w:r>
        <w:rPr>
          <w:rFonts w:cs="@仿宋_GB2312"/>
          <w:kern w:val="2"/>
          <w:sz w:val="24"/>
          <w:szCs w:val="24"/>
          <w:highlight w:val="none"/>
          <w:u w:val="single"/>
        </w:rPr>
        <w:t xml:space="preserve">    </w:t>
      </w:r>
      <w:r>
        <w:rPr>
          <w:rFonts w:hint="eastAsia" w:cs="@仿宋_GB2312"/>
          <w:kern w:val="2"/>
          <w:sz w:val="24"/>
          <w:szCs w:val="24"/>
          <w:highlight w:val="none"/>
          <w:u w:val="single"/>
        </w:rPr>
        <w:t xml:space="preserve">    </w:t>
      </w:r>
    </w:p>
    <w:p w14:paraId="6068EFD5">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rPr>
        <w:t xml:space="preserve">日     </w:t>
      </w:r>
      <w:r>
        <w:rPr>
          <w:rFonts w:cs="@仿宋_GB2312"/>
          <w:kern w:val="2"/>
          <w:sz w:val="24"/>
          <w:szCs w:val="24"/>
          <w:highlight w:val="none"/>
        </w:rPr>
        <w:t xml:space="preserve">    </w:t>
      </w:r>
      <w:r>
        <w:rPr>
          <w:rFonts w:hint="eastAsia" w:cs="@仿宋_GB2312"/>
          <w:kern w:val="2"/>
          <w:sz w:val="24"/>
          <w:szCs w:val="24"/>
          <w:highlight w:val="none"/>
        </w:rPr>
        <w:t xml:space="preserve"> 期：</w:t>
      </w:r>
      <w:r>
        <w:rPr>
          <w:rFonts w:hint="eastAsia" w:cs="@仿宋_GB2312"/>
          <w:kern w:val="2"/>
          <w:sz w:val="24"/>
          <w:szCs w:val="24"/>
          <w:highlight w:val="none"/>
          <w:u w:val="single"/>
        </w:rPr>
        <w:t xml:space="preserve">             </w:t>
      </w:r>
    </w:p>
    <w:p w14:paraId="0D613733">
      <w:pPr>
        <w:adjustRightInd w:val="0"/>
        <w:snapToGrid w:val="0"/>
        <w:spacing w:line="360" w:lineRule="auto"/>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注：</w:t>
      </w:r>
    </w:p>
    <w:p w14:paraId="3CE24475">
      <w:pPr>
        <w:adjustRightInd w:val="0"/>
        <w:snapToGrid w:val="0"/>
        <w:spacing w:line="360" w:lineRule="auto"/>
        <w:ind w:firstLine="482"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b/>
          <w:bCs/>
          <w:kern w:val="2"/>
          <w:sz w:val="24"/>
          <w:szCs w:val="24"/>
          <w:highlight w:val="none"/>
        </w:rPr>
        <w:t>1.本表内容根据磋商文件要求包括了磋商文件要求提供的全部内容的所有费用。</w:t>
      </w:r>
    </w:p>
    <w:p w14:paraId="7EED04EF">
      <w:pPr>
        <w:adjustRightInd w:val="0"/>
        <w:snapToGrid w:val="0"/>
        <w:spacing w:line="360" w:lineRule="auto"/>
        <w:ind w:firstLine="482" w:firstLineChars="200"/>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2.特殊事项在备注中注明。</w:t>
      </w:r>
    </w:p>
    <w:p w14:paraId="4F8EAA36">
      <w:pPr>
        <w:adjustRightInd w:val="0"/>
        <w:snapToGrid w:val="0"/>
        <w:spacing w:line="360" w:lineRule="auto"/>
        <w:ind w:firstLine="482" w:firstLineChars="200"/>
        <w:rPr>
          <w:b/>
          <w:bCs/>
          <w:sz w:val="24"/>
          <w:szCs w:val="28"/>
          <w:highlight w:val="none"/>
        </w:rPr>
      </w:pPr>
      <w:r>
        <w:rPr>
          <w:rFonts w:hint="eastAsia"/>
          <w:b/>
          <w:bCs/>
          <w:sz w:val="24"/>
          <w:szCs w:val="28"/>
          <w:highlight w:val="none"/>
        </w:rPr>
        <w:t>3.表中大写金额与小写金额不一致的，以大写金额为准。</w:t>
      </w:r>
    </w:p>
    <w:p w14:paraId="654356A8">
      <w:pPr>
        <w:adjustRightInd w:val="0"/>
        <w:snapToGrid w:val="0"/>
        <w:spacing w:line="360" w:lineRule="auto"/>
        <w:ind w:firstLine="482" w:firstLineChars="200"/>
        <w:rPr>
          <w:rFonts w:cs="宋体" w:asciiTheme="minorEastAsia" w:hAnsiTheme="minorEastAsia" w:eastAsiaTheme="minorEastAsia"/>
          <w:b/>
          <w:bCs/>
          <w:kern w:val="2"/>
          <w:sz w:val="24"/>
          <w:szCs w:val="24"/>
          <w:highlight w:val="none"/>
        </w:rPr>
      </w:pPr>
      <w:r>
        <w:rPr>
          <w:rFonts w:cs="宋体" w:asciiTheme="minorEastAsia" w:hAnsiTheme="minorEastAsia" w:eastAsiaTheme="minorEastAsia"/>
          <w:b/>
          <w:bCs/>
          <w:kern w:val="2"/>
          <w:sz w:val="24"/>
          <w:szCs w:val="24"/>
          <w:highlight w:val="none"/>
        </w:rPr>
        <w:br w:type="page"/>
      </w:r>
    </w:p>
    <w:p w14:paraId="28050282">
      <w:pPr>
        <w:adjustRightInd w:val="0"/>
        <w:snapToGrid w:val="0"/>
        <w:spacing w:line="360" w:lineRule="auto"/>
        <w:outlineLvl w:val="2"/>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1-2 工程量清单报价书</w:t>
      </w:r>
    </w:p>
    <w:p w14:paraId="39756867">
      <w:pPr>
        <w:autoSpaceDE w:val="0"/>
        <w:autoSpaceDN w:val="0"/>
        <w:adjustRightInd w:val="0"/>
        <w:spacing w:before="20" w:after="20" w:line="360" w:lineRule="auto"/>
        <w:jc w:val="center"/>
        <w:rPr>
          <w:rFonts w:cs="宋体" w:asciiTheme="minorEastAsia" w:hAnsiTheme="minorEastAsia" w:eastAsiaTheme="minorEastAsia"/>
          <w:b/>
          <w:sz w:val="24"/>
          <w:szCs w:val="24"/>
          <w:highlight w:val="none"/>
        </w:rPr>
      </w:pPr>
    </w:p>
    <w:p w14:paraId="0987538A">
      <w:pPr>
        <w:autoSpaceDE w:val="0"/>
        <w:autoSpaceDN w:val="0"/>
        <w:adjustRightInd w:val="0"/>
        <w:spacing w:before="20" w:after="20" w:line="360" w:lineRule="auto"/>
        <w:jc w:val="center"/>
        <w:outlineLvl w:val="1"/>
        <w:rPr>
          <w:rFonts w:cs="宋体" w:asciiTheme="minorEastAsia" w:hAnsiTheme="minorEastAsia" w:eastAsiaTheme="minorEastAsia"/>
          <w:b/>
          <w:sz w:val="24"/>
          <w:szCs w:val="24"/>
          <w:highlight w:val="none"/>
        </w:rPr>
      </w:pPr>
      <w:bookmarkStart w:id="695" w:name="_Toc1874"/>
      <w:bookmarkStart w:id="696" w:name="_Toc26702"/>
      <w:r>
        <w:rPr>
          <w:rFonts w:hint="eastAsia" w:cs="宋体" w:asciiTheme="minorEastAsia" w:hAnsiTheme="minorEastAsia" w:eastAsiaTheme="minorEastAsia"/>
          <w:b/>
          <w:sz w:val="24"/>
          <w:szCs w:val="24"/>
          <w:highlight w:val="none"/>
        </w:rPr>
        <w:t>工程量清单报价书</w:t>
      </w:r>
      <w:bookmarkEnd w:id="695"/>
      <w:bookmarkEnd w:id="696"/>
    </w:p>
    <w:p w14:paraId="62FE7DD4">
      <w:pPr>
        <w:adjustRightInd w:val="0"/>
        <w:snapToGrid w:val="0"/>
        <w:spacing w:line="360" w:lineRule="auto"/>
        <w:ind w:firstLine="422" w:firstLineChars="200"/>
        <w:jc w:val="center"/>
        <w:rPr>
          <w:b/>
          <w:bCs/>
          <w:sz w:val="24"/>
          <w:szCs w:val="28"/>
          <w:highlight w:val="none"/>
        </w:rPr>
      </w:pPr>
      <w:r>
        <w:rPr>
          <w:rFonts w:hint="eastAsia" w:cs="宋体" w:asciiTheme="minorEastAsia" w:hAnsiTheme="minorEastAsia" w:eastAsiaTheme="minorEastAsia"/>
          <w:b/>
          <w:kern w:val="2"/>
          <w:sz w:val="21"/>
          <w:szCs w:val="24"/>
          <w:highlight w:val="none"/>
        </w:rPr>
        <w:t>（格式详见工程量清单）</w:t>
      </w:r>
    </w:p>
    <w:p w14:paraId="64FAF42B">
      <w:pPr>
        <w:widowControl/>
        <w:jc w:val="left"/>
        <w:rPr>
          <w:b/>
          <w:bCs/>
          <w:sz w:val="24"/>
          <w:szCs w:val="28"/>
          <w:highlight w:val="none"/>
        </w:rPr>
      </w:pPr>
      <w:r>
        <w:rPr>
          <w:b/>
          <w:bCs/>
          <w:sz w:val="24"/>
          <w:szCs w:val="28"/>
          <w:highlight w:val="none"/>
        </w:rPr>
        <w:br w:type="page"/>
      </w:r>
    </w:p>
    <w:p w14:paraId="3627C033">
      <w:pPr>
        <w:spacing w:line="360" w:lineRule="auto"/>
        <w:jc w:val="center"/>
        <w:outlineLvl w:val="1"/>
        <w:rPr>
          <w:rFonts w:asciiTheme="minorEastAsia" w:hAnsiTheme="minorEastAsia" w:eastAsiaTheme="minorEastAsia"/>
          <w:b/>
          <w:sz w:val="24"/>
          <w:highlight w:val="none"/>
        </w:rPr>
      </w:pPr>
      <w:bookmarkStart w:id="697" w:name="_Toc461053087"/>
      <w:bookmarkStart w:id="698" w:name="_Toc461056632"/>
      <w:bookmarkStart w:id="699" w:name="_Toc22341"/>
      <w:bookmarkStart w:id="700" w:name="_Toc20879"/>
      <w:bookmarkStart w:id="701" w:name="_Toc520983588"/>
      <w:r>
        <w:rPr>
          <w:rFonts w:hint="eastAsia" w:asciiTheme="minorEastAsia" w:hAnsiTheme="minorEastAsia" w:eastAsiaTheme="minorEastAsia"/>
          <w:b/>
          <w:sz w:val="24"/>
          <w:highlight w:val="none"/>
        </w:rPr>
        <w:t>二</w:t>
      </w:r>
      <w:bookmarkEnd w:id="697"/>
      <w:bookmarkEnd w:id="698"/>
      <w:r>
        <w:rPr>
          <w:rFonts w:hint="eastAsia" w:asciiTheme="minorEastAsia" w:hAnsiTheme="minorEastAsia" w:eastAsiaTheme="minorEastAsia"/>
          <w:b/>
          <w:sz w:val="24"/>
          <w:highlight w:val="none"/>
        </w:rPr>
        <w:t>、最后承诺报价表</w:t>
      </w:r>
      <w:bookmarkEnd w:id="699"/>
      <w:bookmarkEnd w:id="700"/>
      <w:bookmarkEnd w:id="701"/>
    </w:p>
    <w:p w14:paraId="08C47C6F">
      <w:pPr>
        <w:spacing w:before="156" w:beforeLines="50" w:after="156" w:afterLines="50" w:line="360" w:lineRule="auto"/>
        <w:ind w:firstLine="236" w:firstLineChars="98"/>
        <w:jc w:val="center"/>
        <w:outlineLvl w:val="1"/>
        <w:rPr>
          <w:b/>
          <w:sz w:val="24"/>
          <w:szCs w:val="28"/>
          <w:highlight w:val="none"/>
        </w:rPr>
      </w:pPr>
      <w:bookmarkStart w:id="702" w:name="_Toc13333"/>
      <w:bookmarkStart w:id="703" w:name="_Toc8562"/>
      <w:r>
        <w:rPr>
          <w:rFonts w:hint="eastAsia"/>
          <w:b/>
          <w:sz w:val="24"/>
          <w:szCs w:val="28"/>
          <w:highlight w:val="none"/>
        </w:rPr>
        <w:t>（第</w:t>
      </w:r>
      <w:r>
        <w:rPr>
          <w:rFonts w:hint="eastAsia"/>
          <w:b/>
          <w:sz w:val="24"/>
          <w:szCs w:val="28"/>
          <w:highlight w:val="none"/>
          <w:u w:val="single"/>
        </w:rPr>
        <w:t xml:space="preserve">   </w:t>
      </w:r>
      <w:r>
        <w:rPr>
          <w:rFonts w:hint="eastAsia"/>
          <w:b/>
          <w:sz w:val="24"/>
          <w:szCs w:val="28"/>
          <w:highlight w:val="none"/>
        </w:rPr>
        <w:t>次报价书）</w:t>
      </w:r>
      <w:bookmarkEnd w:id="702"/>
      <w:bookmarkEnd w:id="703"/>
    </w:p>
    <w:p w14:paraId="68D7B297">
      <w:pPr>
        <w:snapToGrid w:val="0"/>
        <w:spacing w:line="360" w:lineRule="auto"/>
        <w:jc w:val="left"/>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项目名称：</w:t>
      </w:r>
      <w:r>
        <w:rPr>
          <w:rFonts w:hint="eastAsia" w:cs="宋体" w:asciiTheme="minorEastAsia" w:hAnsiTheme="minorEastAsia" w:eastAsiaTheme="minorEastAsia"/>
          <w:b/>
          <w:kern w:val="2"/>
          <w:sz w:val="24"/>
          <w:szCs w:val="24"/>
          <w:highlight w:val="none"/>
          <w:u w:val="single"/>
        </w:rPr>
        <w:t xml:space="preserve">          </w:t>
      </w:r>
    </w:p>
    <w:p w14:paraId="7D00D151">
      <w:pPr>
        <w:snapToGrid w:val="0"/>
        <w:spacing w:after="156" w:afterLines="50" w:line="360" w:lineRule="auto"/>
        <w:jc w:val="left"/>
        <w:rPr>
          <w:rFonts w:cs="宋体" w:asciiTheme="minorEastAsia" w:hAnsiTheme="minorEastAsia" w:eastAsiaTheme="minorEastAsia"/>
          <w:b/>
          <w:bCs/>
          <w:kern w:val="2"/>
          <w:sz w:val="24"/>
          <w:szCs w:val="24"/>
          <w:highlight w:val="none"/>
          <w:u w:val="single"/>
        </w:rPr>
      </w:pPr>
      <w:r>
        <w:rPr>
          <w:rFonts w:hint="eastAsia" w:cs="宋体" w:asciiTheme="minorEastAsia" w:hAnsiTheme="minorEastAsia" w:eastAsiaTheme="minorEastAsia"/>
          <w:b/>
          <w:kern w:val="2"/>
          <w:sz w:val="24"/>
          <w:szCs w:val="24"/>
          <w:highlight w:val="none"/>
        </w:rPr>
        <w:t>项目编号：</w:t>
      </w:r>
      <w:r>
        <w:rPr>
          <w:rFonts w:hint="eastAsia" w:cs="宋体" w:asciiTheme="minorEastAsia" w:hAnsiTheme="minorEastAsia" w:eastAsiaTheme="minorEastAsia"/>
          <w:b/>
          <w:kern w:val="2"/>
          <w:sz w:val="24"/>
          <w:szCs w:val="24"/>
          <w:highlight w:val="none"/>
          <w:u w:val="single"/>
        </w:rPr>
        <w:t xml:space="preserve">          </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63B5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6026EF8E">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供应商名称</w:t>
            </w:r>
          </w:p>
        </w:tc>
        <w:tc>
          <w:tcPr>
            <w:tcW w:w="3490" w:type="pct"/>
            <w:tcBorders>
              <w:left w:val="single" w:color="auto" w:sz="4" w:space="0"/>
            </w:tcBorders>
          </w:tcPr>
          <w:p w14:paraId="1FDE4311">
            <w:pPr>
              <w:rPr>
                <w:rFonts w:cs="宋体" w:asciiTheme="minorEastAsia" w:hAnsiTheme="minorEastAsia" w:eastAsiaTheme="minorEastAsia"/>
                <w:b/>
                <w:kern w:val="2"/>
                <w:sz w:val="24"/>
                <w:szCs w:val="24"/>
                <w:highlight w:val="none"/>
              </w:rPr>
            </w:pPr>
          </w:p>
        </w:tc>
      </w:tr>
      <w:tr w14:paraId="5140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4152B87">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bCs/>
                <w:kern w:val="2"/>
                <w:sz w:val="24"/>
                <w:szCs w:val="24"/>
                <w:highlight w:val="none"/>
              </w:rPr>
              <w:t>磋商</w:t>
            </w:r>
            <w:r>
              <w:rPr>
                <w:rFonts w:hint="eastAsia" w:cs="宋体" w:asciiTheme="minorEastAsia" w:hAnsiTheme="minorEastAsia" w:eastAsiaTheme="minorEastAsia"/>
                <w:b/>
                <w:kern w:val="2"/>
                <w:sz w:val="24"/>
                <w:szCs w:val="24"/>
                <w:highlight w:val="none"/>
              </w:rPr>
              <w:t>范围</w:t>
            </w:r>
          </w:p>
        </w:tc>
        <w:tc>
          <w:tcPr>
            <w:tcW w:w="3490" w:type="pct"/>
            <w:tcBorders>
              <w:left w:val="single" w:color="auto" w:sz="4" w:space="0"/>
            </w:tcBorders>
            <w:vAlign w:val="center"/>
          </w:tcPr>
          <w:p w14:paraId="6E0A783F">
            <w:pPr>
              <w:widowControl/>
              <w:rPr>
                <w:rFonts w:cs="宋体" w:asciiTheme="minorEastAsia" w:hAnsiTheme="minorEastAsia" w:eastAsiaTheme="minorEastAsia"/>
                <w:b/>
                <w:kern w:val="2"/>
                <w:sz w:val="24"/>
                <w:szCs w:val="24"/>
                <w:highlight w:val="none"/>
              </w:rPr>
            </w:pPr>
            <w:r>
              <w:rPr>
                <w:rFonts w:hint="eastAsia" w:cs="@仿宋_GB2312" w:asciiTheme="minorEastAsia" w:hAnsiTheme="minorEastAsia" w:eastAsiaTheme="minorEastAsia"/>
                <w:kern w:val="2"/>
                <w:sz w:val="24"/>
                <w:szCs w:val="28"/>
                <w:highlight w:val="none"/>
              </w:rPr>
              <w:t>全部</w:t>
            </w:r>
          </w:p>
        </w:tc>
      </w:tr>
      <w:tr w14:paraId="2771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4B186EF">
            <w:pPr>
              <w:spacing w:line="360" w:lineRule="auto"/>
              <w:jc w:val="center"/>
              <w:rPr>
                <w:rFonts w:cs="@仿宋_GB2312"/>
                <w:b/>
                <w:kern w:val="2"/>
                <w:sz w:val="24"/>
                <w:highlight w:val="none"/>
              </w:rPr>
            </w:pPr>
            <w:r>
              <w:rPr>
                <w:rFonts w:hint="eastAsia" w:cs="@仿宋_GB2312"/>
                <w:b/>
                <w:bCs/>
                <w:kern w:val="2"/>
                <w:sz w:val="24"/>
                <w:szCs w:val="28"/>
                <w:highlight w:val="none"/>
              </w:rPr>
              <w:t>最后报价</w:t>
            </w:r>
          </w:p>
          <w:p w14:paraId="363E7CD0">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（详见备注说明）</w:t>
            </w:r>
          </w:p>
        </w:tc>
        <w:tc>
          <w:tcPr>
            <w:tcW w:w="3490" w:type="pct"/>
            <w:vAlign w:val="center"/>
          </w:tcPr>
          <w:p w14:paraId="2E9E0059">
            <w:pPr>
              <w:snapToGrid w:val="0"/>
              <w:spacing w:line="360" w:lineRule="auto"/>
              <w:jc w:val="left"/>
              <w:rPr>
                <w:rFonts w:cs="宋体"/>
                <w:bCs/>
                <w:sz w:val="24"/>
                <w:szCs w:val="24"/>
                <w:highlight w:val="none"/>
                <w:u w:val="single"/>
              </w:rPr>
            </w:pPr>
            <w:r>
              <w:rPr>
                <w:rFonts w:hint="eastAsia" w:cs="宋体"/>
                <w:bCs/>
                <w:sz w:val="24"/>
                <w:szCs w:val="24"/>
                <w:highlight w:val="none"/>
              </w:rPr>
              <w:t>大写：</w:t>
            </w:r>
            <w:r>
              <w:rPr>
                <w:rFonts w:hint="eastAsia" w:cs="宋体"/>
                <w:bCs/>
                <w:sz w:val="24"/>
                <w:szCs w:val="24"/>
                <w:highlight w:val="none"/>
                <w:u w:val="single"/>
              </w:rPr>
              <w:t xml:space="preserve">                     </w:t>
            </w:r>
          </w:p>
          <w:p w14:paraId="17F2D1F3">
            <w:pPr>
              <w:spacing w:line="360" w:lineRule="auto"/>
              <w:ind w:right="-670"/>
              <w:rPr>
                <w:rFonts w:cs="宋体" w:asciiTheme="minorEastAsia" w:hAnsiTheme="minorEastAsia" w:eastAsiaTheme="minorEastAsia"/>
                <w:b/>
                <w:kern w:val="2"/>
                <w:sz w:val="24"/>
                <w:szCs w:val="24"/>
                <w:highlight w:val="none"/>
              </w:rPr>
            </w:pPr>
            <w:r>
              <w:rPr>
                <w:rFonts w:hint="eastAsia" w:cs="宋体"/>
                <w:bCs/>
                <w:sz w:val="24"/>
                <w:szCs w:val="24"/>
                <w:highlight w:val="none"/>
              </w:rPr>
              <w:t>小写：</w:t>
            </w:r>
            <w:r>
              <w:rPr>
                <w:rFonts w:hint="eastAsia" w:cs="宋体"/>
                <w:bCs/>
                <w:sz w:val="24"/>
                <w:szCs w:val="24"/>
                <w:highlight w:val="none"/>
                <w:u w:val="single"/>
              </w:rPr>
              <w:t xml:space="preserve">                     </w:t>
            </w:r>
          </w:p>
        </w:tc>
      </w:tr>
      <w:tr w14:paraId="20BC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694CAC75">
            <w:pPr>
              <w:snapToGrid w:val="0"/>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bCs/>
                <w:kern w:val="2"/>
                <w:sz w:val="24"/>
                <w:szCs w:val="24"/>
                <w:highlight w:val="none"/>
              </w:rPr>
              <w:t>质量标准</w:t>
            </w:r>
          </w:p>
        </w:tc>
        <w:tc>
          <w:tcPr>
            <w:tcW w:w="3490" w:type="pct"/>
            <w:vAlign w:val="center"/>
          </w:tcPr>
          <w:p w14:paraId="01EAA7F4">
            <w:pPr>
              <w:snapToGrid w:val="0"/>
              <w:rPr>
                <w:rFonts w:cs="宋体" w:asciiTheme="minorEastAsia" w:hAnsiTheme="minorEastAsia" w:eastAsiaTheme="minorEastAsia"/>
                <w:b/>
                <w:kern w:val="2"/>
                <w:sz w:val="24"/>
                <w:szCs w:val="24"/>
                <w:highlight w:val="none"/>
              </w:rPr>
            </w:pPr>
          </w:p>
        </w:tc>
      </w:tr>
      <w:tr w14:paraId="4EFB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28B65C9">
            <w:pPr>
              <w:snapToGrid w:val="0"/>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bCs/>
                <w:kern w:val="2"/>
                <w:sz w:val="24"/>
                <w:szCs w:val="24"/>
                <w:highlight w:val="none"/>
              </w:rPr>
              <w:t>工    期</w:t>
            </w:r>
          </w:p>
        </w:tc>
        <w:tc>
          <w:tcPr>
            <w:tcW w:w="3490" w:type="pct"/>
            <w:vAlign w:val="center"/>
          </w:tcPr>
          <w:p w14:paraId="6A18B2D3">
            <w:pPr>
              <w:snapToGrid w:val="0"/>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Cs/>
                <w:kern w:val="2"/>
                <w:sz w:val="24"/>
                <w:szCs w:val="24"/>
                <w:highlight w:val="none"/>
              </w:rPr>
              <w:t>接开工令后</w:t>
            </w:r>
            <w:r>
              <w:rPr>
                <w:rFonts w:hint="eastAsia" w:cs="宋体" w:asciiTheme="minorEastAsia" w:hAnsiTheme="minorEastAsia" w:eastAsiaTheme="minorEastAsia"/>
                <w:bCs/>
                <w:kern w:val="2"/>
                <w:sz w:val="24"/>
                <w:szCs w:val="24"/>
                <w:highlight w:val="none"/>
                <w:u w:val="single"/>
              </w:rPr>
              <w:t xml:space="preserve">      </w:t>
            </w:r>
            <w:r>
              <w:rPr>
                <w:rFonts w:hint="eastAsia" w:cs="宋体" w:asciiTheme="minorEastAsia" w:hAnsiTheme="minorEastAsia" w:eastAsiaTheme="minorEastAsia"/>
                <w:bCs/>
                <w:kern w:val="2"/>
                <w:sz w:val="24"/>
                <w:szCs w:val="24"/>
                <w:highlight w:val="none"/>
              </w:rPr>
              <w:t>日历天完工</w:t>
            </w:r>
          </w:p>
        </w:tc>
      </w:tr>
      <w:tr w14:paraId="51EF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68DD767F">
            <w:pPr>
              <w:snapToGrid w:val="0"/>
              <w:jc w:val="center"/>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是否响应付款方式</w:t>
            </w:r>
          </w:p>
        </w:tc>
        <w:tc>
          <w:tcPr>
            <w:tcW w:w="3490" w:type="pct"/>
            <w:vAlign w:val="center"/>
          </w:tcPr>
          <w:p w14:paraId="3FE80225">
            <w:pPr>
              <w:snapToGrid w:val="0"/>
              <w:rPr>
                <w:rFonts w:cs="宋体" w:asciiTheme="minorEastAsia" w:hAnsiTheme="minorEastAsia" w:eastAsiaTheme="minorEastAsia"/>
                <w:bCs/>
                <w:kern w:val="2"/>
                <w:sz w:val="24"/>
                <w:szCs w:val="24"/>
                <w:highlight w:val="none"/>
              </w:rPr>
            </w:pPr>
            <w:r>
              <w:rPr>
                <w:rFonts w:hint="eastAsia" w:cs="宋体" w:asciiTheme="minorEastAsia" w:hAnsiTheme="minorEastAsia" w:eastAsiaTheme="minorEastAsia"/>
                <w:kern w:val="2"/>
                <w:sz w:val="24"/>
                <w:szCs w:val="24"/>
                <w:highlight w:val="none"/>
              </w:rPr>
              <w:t>是□    否□   （划√）</w:t>
            </w:r>
          </w:p>
        </w:tc>
      </w:tr>
      <w:tr w14:paraId="3814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252090EE">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备注说明</w:t>
            </w:r>
          </w:p>
        </w:tc>
        <w:tc>
          <w:tcPr>
            <w:tcW w:w="3490" w:type="pct"/>
          </w:tcPr>
          <w:p w14:paraId="377C2194">
            <w:pPr>
              <w:rPr>
                <w:rFonts w:cs="宋体" w:asciiTheme="minorEastAsia" w:hAnsiTheme="minorEastAsia" w:eastAsiaTheme="minorEastAsia"/>
                <w:b/>
                <w:kern w:val="2"/>
                <w:sz w:val="24"/>
                <w:szCs w:val="24"/>
                <w:highlight w:val="none"/>
              </w:rPr>
            </w:pPr>
          </w:p>
        </w:tc>
      </w:tr>
    </w:tbl>
    <w:p w14:paraId="487129DC">
      <w:pPr>
        <w:spacing w:line="440" w:lineRule="exact"/>
        <w:ind w:firstLine="3600" w:firstLineChars="1500"/>
        <w:rPr>
          <w:rFonts w:cs="@仿宋_GB2312"/>
          <w:kern w:val="2"/>
          <w:sz w:val="24"/>
          <w:szCs w:val="24"/>
          <w:highlight w:val="none"/>
          <w:u w:val="single"/>
        </w:rPr>
      </w:pPr>
      <w:r>
        <w:rPr>
          <w:rFonts w:hint="eastAsia" w:cs="@仿宋_GB2312"/>
          <w:kern w:val="2"/>
          <w:sz w:val="24"/>
          <w:szCs w:val="24"/>
          <w:highlight w:val="none"/>
        </w:rPr>
        <w:t>供应商公章或授权代表签字：</w:t>
      </w:r>
      <w:r>
        <w:rPr>
          <w:rFonts w:hint="eastAsia" w:cs="@仿宋_GB2312"/>
          <w:kern w:val="2"/>
          <w:sz w:val="24"/>
          <w:szCs w:val="24"/>
          <w:highlight w:val="none"/>
          <w:u w:val="single"/>
        </w:rPr>
        <w:t xml:space="preserve">     </w:t>
      </w:r>
      <w:r>
        <w:rPr>
          <w:rFonts w:cs="@仿宋_GB2312"/>
          <w:kern w:val="2"/>
          <w:sz w:val="24"/>
          <w:szCs w:val="24"/>
          <w:highlight w:val="none"/>
          <w:u w:val="single"/>
        </w:rPr>
        <w:t xml:space="preserve">    </w:t>
      </w:r>
      <w:r>
        <w:rPr>
          <w:rFonts w:hint="eastAsia" w:cs="@仿宋_GB2312"/>
          <w:kern w:val="2"/>
          <w:sz w:val="24"/>
          <w:szCs w:val="24"/>
          <w:highlight w:val="none"/>
          <w:u w:val="single"/>
        </w:rPr>
        <w:t xml:space="preserve">    </w:t>
      </w:r>
    </w:p>
    <w:p w14:paraId="07A90909">
      <w:pPr>
        <w:spacing w:line="440" w:lineRule="exact"/>
        <w:ind w:firstLine="4800" w:firstLineChars="2000"/>
        <w:rPr>
          <w:rFonts w:cs="宋体" w:asciiTheme="minorEastAsia" w:hAnsiTheme="minorEastAsia" w:eastAsiaTheme="minorEastAsia"/>
          <w:b/>
          <w:bCs/>
          <w:kern w:val="2"/>
          <w:sz w:val="24"/>
          <w:szCs w:val="24"/>
          <w:highlight w:val="none"/>
        </w:rPr>
      </w:pPr>
      <w:r>
        <w:rPr>
          <w:rFonts w:hint="eastAsia" w:cs="@仿宋_GB2312"/>
          <w:kern w:val="2"/>
          <w:sz w:val="24"/>
          <w:szCs w:val="24"/>
          <w:highlight w:val="none"/>
        </w:rPr>
        <w:t xml:space="preserve">日     </w:t>
      </w:r>
      <w:r>
        <w:rPr>
          <w:rFonts w:cs="@仿宋_GB2312"/>
          <w:kern w:val="2"/>
          <w:sz w:val="24"/>
          <w:szCs w:val="24"/>
          <w:highlight w:val="none"/>
        </w:rPr>
        <w:t xml:space="preserve">    </w:t>
      </w:r>
      <w:r>
        <w:rPr>
          <w:rFonts w:hint="eastAsia" w:cs="@仿宋_GB2312"/>
          <w:kern w:val="2"/>
          <w:sz w:val="24"/>
          <w:szCs w:val="24"/>
          <w:highlight w:val="none"/>
        </w:rPr>
        <w:t xml:space="preserve"> 期：</w:t>
      </w:r>
      <w:r>
        <w:rPr>
          <w:rFonts w:hint="eastAsia" w:cs="@仿宋_GB2312"/>
          <w:kern w:val="2"/>
          <w:sz w:val="24"/>
          <w:szCs w:val="24"/>
          <w:highlight w:val="none"/>
          <w:u w:val="single"/>
        </w:rPr>
        <w:t xml:space="preserve">             </w:t>
      </w:r>
    </w:p>
    <w:p w14:paraId="35D025F4">
      <w:pPr>
        <w:spacing w:line="360" w:lineRule="auto"/>
        <w:jc w:val="left"/>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注：</w:t>
      </w:r>
    </w:p>
    <w:p w14:paraId="032DAC54">
      <w:pPr>
        <w:spacing w:line="360" w:lineRule="auto"/>
        <w:ind w:firstLine="482" w:firstLineChars="200"/>
        <w:jc w:val="left"/>
        <w:rPr>
          <w:bCs/>
          <w:sz w:val="24"/>
          <w:highlight w:val="none"/>
        </w:rPr>
      </w:pPr>
      <w:r>
        <w:rPr>
          <w:rFonts w:hint="eastAsia" w:cs="宋体" w:asciiTheme="minorEastAsia" w:hAnsiTheme="minorEastAsia" w:eastAsiaTheme="minorEastAsia"/>
          <w:b/>
          <w:bCs/>
          <w:kern w:val="2"/>
          <w:sz w:val="24"/>
          <w:szCs w:val="24"/>
          <w:highlight w:val="none"/>
        </w:rPr>
        <w:t>1.</w:t>
      </w:r>
      <w:r>
        <w:rPr>
          <w:rFonts w:hint="eastAsia" w:cs="@仿宋_GB2312"/>
          <w:b/>
          <w:bCs/>
          <w:kern w:val="2"/>
          <w:sz w:val="24"/>
          <w:highlight w:val="none"/>
        </w:rPr>
        <w:t>本页《报价表》由供应商在接到报价通知后依据磋商情况填写,并在规定时间内提交。</w:t>
      </w:r>
      <w:r>
        <w:rPr>
          <w:rFonts w:hint="eastAsia" w:cs="宋体" w:asciiTheme="minorEastAsia" w:hAnsiTheme="minorEastAsia" w:eastAsiaTheme="minorEastAsia"/>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kern w:val="2"/>
          <w:sz w:val="24"/>
          <w:szCs w:val="24"/>
          <w:highlight w:val="none"/>
        </w:rPr>
        <w:t>此优惠率调整原则适用于合同内价格的计算及项目增减、变更时价格的计算。</w:t>
      </w:r>
    </w:p>
    <w:p w14:paraId="50C7827B">
      <w:pPr>
        <w:adjustRightInd w:val="0"/>
        <w:snapToGrid w:val="0"/>
        <w:spacing w:line="360" w:lineRule="auto"/>
        <w:ind w:firstLine="482" w:firstLineChars="200"/>
        <w:rPr>
          <w:b/>
          <w:bCs/>
          <w:sz w:val="24"/>
          <w:szCs w:val="28"/>
          <w:highlight w:val="none"/>
        </w:rPr>
      </w:pPr>
      <w:r>
        <w:rPr>
          <w:rFonts w:hint="eastAsia"/>
          <w:b/>
          <w:bCs/>
          <w:sz w:val="24"/>
          <w:szCs w:val="28"/>
          <w:highlight w:val="none"/>
        </w:rPr>
        <w:t>2.表中大写金额与小写金额不一致的，以大写金额为准。</w:t>
      </w:r>
    </w:p>
    <w:p w14:paraId="0B236CD8">
      <w:pPr>
        <w:widowControl/>
        <w:jc w:val="left"/>
        <w:rPr>
          <w:bCs/>
          <w:sz w:val="24"/>
          <w:highlight w:val="none"/>
        </w:rPr>
      </w:pPr>
      <w:r>
        <w:rPr>
          <w:bCs/>
          <w:sz w:val="24"/>
          <w:highlight w:val="none"/>
        </w:rPr>
        <w:br w:type="page"/>
      </w:r>
    </w:p>
    <w:p w14:paraId="059D50CB">
      <w:pPr>
        <w:keepNext/>
        <w:keepLines/>
        <w:spacing w:before="260" w:after="260" w:line="416" w:lineRule="auto"/>
        <w:jc w:val="center"/>
        <w:outlineLvl w:val="1"/>
        <w:rPr>
          <w:rFonts w:cs="@仿宋_GB2312" w:asciiTheme="minorEastAsia" w:hAnsiTheme="minorEastAsia" w:eastAsiaTheme="minorEastAsia"/>
          <w:b/>
          <w:bCs/>
          <w:kern w:val="2"/>
          <w:sz w:val="24"/>
          <w:szCs w:val="24"/>
          <w:highlight w:val="none"/>
        </w:rPr>
      </w:pPr>
      <w:bookmarkStart w:id="704" w:name="_Toc22429"/>
      <w:bookmarkStart w:id="705" w:name="_Toc7943"/>
      <w:bookmarkStart w:id="706" w:name="_Toc520983591"/>
      <w:r>
        <w:rPr>
          <w:rFonts w:hint="eastAsia" w:cs="@仿宋_GB2312" w:asciiTheme="minorEastAsia" w:hAnsiTheme="minorEastAsia" w:eastAsiaTheme="minorEastAsia"/>
          <w:b/>
          <w:bCs/>
          <w:kern w:val="2"/>
          <w:sz w:val="24"/>
          <w:szCs w:val="24"/>
          <w:highlight w:val="none"/>
        </w:rPr>
        <w:t>三、供应商综合情况简介</w:t>
      </w:r>
      <w:bookmarkEnd w:id="704"/>
      <w:bookmarkEnd w:id="705"/>
    </w:p>
    <w:p w14:paraId="56A1E37D">
      <w:pPr>
        <w:spacing w:before="156" w:beforeLines="50" w:after="156" w:afterLines="50" w:line="360" w:lineRule="auto"/>
        <w:ind w:firstLine="235" w:firstLineChars="98"/>
        <w:jc w:val="center"/>
        <w:rPr>
          <w:sz w:val="24"/>
          <w:szCs w:val="28"/>
          <w:highlight w:val="none"/>
        </w:rPr>
      </w:pPr>
      <w:r>
        <w:rPr>
          <w:rFonts w:hint="eastAsia"/>
          <w:sz w:val="24"/>
          <w:szCs w:val="28"/>
          <w:highlight w:val="none"/>
        </w:rPr>
        <w:t>（供应商可自行制作格式）</w:t>
      </w:r>
    </w:p>
    <w:p w14:paraId="416B82F9">
      <w:pPr>
        <w:widowControl/>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3F97D396">
      <w:pPr>
        <w:spacing w:line="360" w:lineRule="auto"/>
        <w:jc w:val="center"/>
        <w:outlineLvl w:val="1"/>
        <w:rPr>
          <w:rFonts w:asciiTheme="minorEastAsia" w:hAnsiTheme="minorEastAsia" w:eastAsiaTheme="minorEastAsia"/>
          <w:b/>
          <w:sz w:val="24"/>
          <w:highlight w:val="none"/>
        </w:rPr>
      </w:pPr>
      <w:bookmarkStart w:id="707" w:name="_Toc28160"/>
      <w:bookmarkStart w:id="708" w:name="_Toc8006"/>
      <w:r>
        <w:rPr>
          <w:rFonts w:hint="eastAsia" w:asciiTheme="minorEastAsia" w:hAnsiTheme="minorEastAsia" w:eastAsiaTheme="minorEastAsia"/>
          <w:b/>
          <w:sz w:val="24"/>
          <w:highlight w:val="none"/>
        </w:rPr>
        <w:t>四、磋商响应函</w:t>
      </w:r>
      <w:bookmarkEnd w:id="706"/>
      <w:bookmarkEnd w:id="707"/>
      <w:bookmarkEnd w:id="708"/>
    </w:p>
    <w:p w14:paraId="0CA0A609">
      <w:pPr>
        <w:spacing w:line="360" w:lineRule="auto"/>
        <w:rPr>
          <w:rFonts w:cs="宋体" w:asciiTheme="minorEastAsia" w:hAnsiTheme="minorEastAsia" w:eastAsiaTheme="minorEastAsia"/>
          <w:b/>
          <w:kern w:val="2"/>
          <w:sz w:val="24"/>
          <w:szCs w:val="24"/>
          <w:highlight w:val="none"/>
          <w:u w:val="single"/>
        </w:rPr>
      </w:pPr>
      <w:r>
        <w:rPr>
          <w:rFonts w:hint="eastAsia" w:cs="宋体" w:asciiTheme="minorEastAsia" w:hAnsiTheme="minorEastAsia" w:eastAsiaTheme="minorEastAsia"/>
          <w:b/>
          <w:kern w:val="2"/>
          <w:sz w:val="24"/>
          <w:szCs w:val="24"/>
          <w:highlight w:val="none"/>
        </w:rPr>
        <w:t>致：</w:t>
      </w:r>
      <w:r>
        <w:rPr>
          <w:rFonts w:hint="eastAsia" w:cs="宋体" w:asciiTheme="minorEastAsia" w:hAnsiTheme="minorEastAsia" w:eastAsiaTheme="minorEastAsia"/>
          <w:b/>
          <w:kern w:val="2"/>
          <w:sz w:val="24"/>
          <w:szCs w:val="24"/>
          <w:highlight w:val="none"/>
          <w:u w:val="single"/>
        </w:rPr>
        <w:t>采购人</w:t>
      </w:r>
    </w:p>
    <w:p w14:paraId="094714EA">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根据贵方的竞争性磋商公告和磋商邀请，我方兹宣布同意如下：</w:t>
      </w:r>
    </w:p>
    <w:p w14:paraId="169E81ED">
      <w:pPr>
        <w:spacing w:line="360" w:lineRule="auto"/>
        <w:ind w:firstLine="480" w:firstLineChars="200"/>
        <w:rPr>
          <w:rFonts w:cs="宋体" w:asciiTheme="minorEastAsia" w:hAnsiTheme="minorEastAsia" w:eastAsiaTheme="minorEastAsia"/>
          <w:kern w:val="2"/>
          <w:sz w:val="24"/>
          <w:szCs w:val="24"/>
          <w:highlight w:val="none"/>
          <w:u w:val="single"/>
        </w:rPr>
      </w:pPr>
      <w:r>
        <w:rPr>
          <w:rFonts w:hint="eastAsia" w:cs="宋体" w:asciiTheme="minorEastAsia" w:hAnsiTheme="minorEastAsia" w:eastAsiaTheme="minorEastAsia"/>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kern w:val="2"/>
          <w:sz w:val="24"/>
          <w:szCs w:val="24"/>
          <w:highlight w:val="none"/>
        </w:rPr>
        <w:t>承诺按本磋商文件、施工图纸、合同条款和工程建设技术标准的条件、</w:t>
      </w:r>
      <w:r>
        <w:rPr>
          <w:rFonts w:hint="eastAsia" w:cs="宋体" w:asciiTheme="minorEastAsia" w:hAnsiTheme="minorEastAsia" w:eastAsiaTheme="minorEastAsia"/>
          <w:kern w:val="2"/>
          <w:sz w:val="24"/>
          <w:szCs w:val="24"/>
          <w:highlight w:val="none"/>
        </w:rPr>
        <w:t>承担</w:t>
      </w:r>
      <w:r>
        <w:rPr>
          <w:rFonts w:hint="eastAsia" w:cs="宋体" w:asciiTheme="minorEastAsia" w:hAnsiTheme="minorEastAsia" w:eastAsiaTheme="minorEastAsia"/>
          <w:bCs/>
          <w:kern w:val="2"/>
          <w:sz w:val="24"/>
          <w:szCs w:val="24"/>
          <w:highlight w:val="none"/>
        </w:rPr>
        <w:t>上述工程的施工、竣工，并承担任何质量缺陷保修责任。</w:t>
      </w:r>
    </w:p>
    <w:p w14:paraId="06FBDC8A">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55BF05F0">
      <w:pPr>
        <w:spacing w:line="360" w:lineRule="auto"/>
        <w:ind w:firstLine="480" w:firstLineChars="200"/>
        <w:rPr>
          <w:rFonts w:cs="宋体"/>
          <w:kern w:val="2"/>
          <w:sz w:val="24"/>
          <w:szCs w:val="24"/>
          <w:highlight w:val="none"/>
        </w:rPr>
      </w:pPr>
      <w:r>
        <w:rPr>
          <w:rFonts w:hint="eastAsia" w:cs="宋体"/>
          <w:kern w:val="2"/>
          <w:sz w:val="24"/>
          <w:szCs w:val="24"/>
          <w:highlight w:val="none"/>
        </w:rPr>
        <w:t>3.</w:t>
      </w:r>
      <w:r>
        <w:rPr>
          <w:rFonts w:hint="eastAsia" w:cs="宋体"/>
          <w:sz w:val="24"/>
          <w:szCs w:val="24"/>
          <w:highlight w:val="none"/>
        </w:rPr>
        <w:t>我方保证按磋商文件约定的工期和磋商文件或业主开工令的要求如期开工、工程质量达到合格标准、如期竣工并移交整个工程。</w:t>
      </w:r>
    </w:p>
    <w:p w14:paraId="6647C1B3">
      <w:pPr>
        <w:spacing w:line="360" w:lineRule="auto"/>
        <w:ind w:firstLine="480" w:firstLineChars="200"/>
        <w:rPr>
          <w:rFonts w:cs="宋体"/>
          <w:kern w:val="2"/>
          <w:sz w:val="24"/>
          <w:szCs w:val="24"/>
          <w:highlight w:val="none"/>
        </w:rPr>
      </w:pPr>
      <w:r>
        <w:rPr>
          <w:rFonts w:hint="eastAsia" w:cs="宋体"/>
          <w:kern w:val="2"/>
          <w:sz w:val="24"/>
          <w:szCs w:val="24"/>
          <w:highlight w:val="none"/>
        </w:rPr>
        <w:t>4.我方同意所提交的响应文件在磋商文件规定的磋商有效期内有效，在此期间内如果成交，我方将受此约束。</w:t>
      </w:r>
    </w:p>
    <w:p w14:paraId="51DA4096">
      <w:pPr>
        <w:spacing w:line="360" w:lineRule="auto"/>
        <w:ind w:firstLine="480" w:firstLineChars="200"/>
        <w:rPr>
          <w:rFonts w:cs="宋体"/>
          <w:kern w:val="2"/>
          <w:sz w:val="24"/>
          <w:szCs w:val="24"/>
          <w:highlight w:val="none"/>
        </w:rPr>
      </w:pPr>
      <w:r>
        <w:rPr>
          <w:rFonts w:hint="eastAsia" w:cs="宋体"/>
          <w:kern w:val="2"/>
          <w:sz w:val="24"/>
          <w:szCs w:val="24"/>
          <w:highlight w:val="none"/>
        </w:rPr>
        <w:t>5.除非另外达成协议并生效，你方的成交通知书和本响应文件以及磋商文件、磋商文件澄清、修改、补充将成为约束双方的合同文件的组成部分。</w:t>
      </w:r>
    </w:p>
    <w:p w14:paraId="7C24972E">
      <w:pPr>
        <w:spacing w:line="360" w:lineRule="auto"/>
        <w:ind w:firstLine="480" w:firstLineChars="200"/>
        <w:rPr>
          <w:rFonts w:cs="宋体" w:asciiTheme="minorEastAsia" w:hAnsiTheme="minorEastAsia" w:eastAsiaTheme="minorEastAsia"/>
          <w:kern w:val="2"/>
          <w:sz w:val="24"/>
          <w:szCs w:val="24"/>
          <w:highlight w:val="none"/>
          <w:u w:val="single"/>
        </w:rPr>
      </w:pPr>
      <w:r>
        <w:rPr>
          <w:rFonts w:hint="eastAsia" w:cs="宋体"/>
          <w:kern w:val="2"/>
          <w:sz w:val="24"/>
          <w:szCs w:val="24"/>
          <w:highlight w:val="none"/>
        </w:rPr>
        <w:t>6.其他补充说明</w:t>
      </w:r>
      <w:r>
        <w:rPr>
          <w:rFonts w:hint="eastAsia" w:cs="宋体" w:asciiTheme="minorEastAsia" w:hAnsiTheme="minorEastAsia" w:eastAsiaTheme="minorEastAsia"/>
          <w:kern w:val="2"/>
          <w:sz w:val="24"/>
          <w:szCs w:val="24"/>
          <w:highlight w:val="none"/>
        </w:rPr>
        <w:t>：</w:t>
      </w:r>
      <w:r>
        <w:rPr>
          <w:rFonts w:hint="eastAsia" w:cs="宋体" w:asciiTheme="minorEastAsia" w:hAnsiTheme="minorEastAsia" w:eastAsiaTheme="minorEastAsia"/>
          <w:kern w:val="2"/>
          <w:sz w:val="24"/>
          <w:szCs w:val="24"/>
          <w:highlight w:val="none"/>
          <w:u w:val="single"/>
        </w:rPr>
        <w:t xml:space="preserve">  （</w:t>
      </w:r>
      <w:r>
        <w:rPr>
          <w:rFonts w:hint="eastAsia" w:cs="宋体" w:asciiTheme="minorEastAsia" w:hAnsiTheme="minorEastAsia" w:eastAsiaTheme="minorEastAsia"/>
          <w:i/>
          <w:iCs/>
          <w:kern w:val="2"/>
          <w:sz w:val="24"/>
          <w:szCs w:val="24"/>
          <w:highlight w:val="none"/>
          <w:u w:val="single"/>
        </w:rPr>
        <w:t>如有</w:t>
      </w:r>
      <w:r>
        <w:rPr>
          <w:rFonts w:hint="eastAsia" w:cs="宋体" w:asciiTheme="minorEastAsia" w:hAnsiTheme="minorEastAsia" w:eastAsiaTheme="minorEastAsia"/>
          <w:kern w:val="2"/>
          <w:sz w:val="24"/>
          <w:szCs w:val="24"/>
          <w:highlight w:val="none"/>
          <w:u w:val="single"/>
        </w:rPr>
        <w:t xml:space="preserve">）       </w:t>
      </w:r>
    </w:p>
    <w:p w14:paraId="1824ECAF">
      <w:pPr>
        <w:pStyle w:val="52"/>
        <w:ind w:firstLine="200"/>
        <w:rPr>
          <w:highlight w:val="none"/>
          <w:lang w:val="en-US"/>
        </w:rPr>
      </w:pPr>
    </w:p>
    <w:p w14:paraId="1C51FF15">
      <w:pPr>
        <w:spacing w:line="360" w:lineRule="auto"/>
        <w:ind w:firstLine="4800" w:firstLineChars="2000"/>
        <w:rPr>
          <w:rFonts w:cs="@仿宋_GB2312"/>
          <w:kern w:val="2"/>
          <w:sz w:val="24"/>
          <w:highlight w:val="none"/>
        </w:rPr>
      </w:pPr>
      <w:r>
        <w:rPr>
          <w:rFonts w:hint="eastAsia" w:cs="@仿宋_GB2312"/>
          <w:kern w:val="2"/>
          <w:sz w:val="24"/>
          <w:highlight w:val="none"/>
        </w:rPr>
        <w:t>供应商电子签章：</w:t>
      </w:r>
      <w:r>
        <w:rPr>
          <w:rFonts w:hint="eastAsia" w:cs="@仿宋_GB2312"/>
          <w:kern w:val="2"/>
          <w:sz w:val="24"/>
          <w:highlight w:val="none"/>
          <w:u w:val="single"/>
        </w:rPr>
        <w:t xml:space="preserve">             </w:t>
      </w:r>
    </w:p>
    <w:p w14:paraId="46F7987B">
      <w:pPr>
        <w:spacing w:line="360" w:lineRule="auto"/>
        <w:ind w:firstLine="4800" w:firstLineChars="2000"/>
        <w:rPr>
          <w:rFonts w:cs="@仿宋_GB2312"/>
          <w:kern w:val="2"/>
          <w:sz w:val="24"/>
          <w:highlight w:val="none"/>
          <w:u w:val="single"/>
        </w:rPr>
      </w:pPr>
      <w:r>
        <w:rPr>
          <w:rFonts w:hint="eastAsia" w:cs="@仿宋_GB2312"/>
          <w:kern w:val="2"/>
          <w:sz w:val="24"/>
          <w:highlight w:val="none"/>
        </w:rPr>
        <w:t>日          期：</w:t>
      </w:r>
      <w:r>
        <w:rPr>
          <w:rFonts w:hint="eastAsia" w:cs="@仿宋_GB2312"/>
          <w:kern w:val="2"/>
          <w:sz w:val="24"/>
          <w:highlight w:val="none"/>
          <w:u w:val="single"/>
        </w:rPr>
        <w:t xml:space="preserve">             </w:t>
      </w:r>
    </w:p>
    <w:p w14:paraId="19BAA532">
      <w:pPr>
        <w:widowControl/>
        <w:jc w:val="left"/>
        <w:rPr>
          <w:sz w:val="24"/>
          <w:highlight w:val="none"/>
        </w:rPr>
      </w:pPr>
      <w:r>
        <w:rPr>
          <w:sz w:val="24"/>
          <w:highlight w:val="none"/>
        </w:rPr>
        <w:br w:type="page"/>
      </w:r>
    </w:p>
    <w:p w14:paraId="5536F61C">
      <w:pPr>
        <w:spacing w:line="360" w:lineRule="auto"/>
        <w:jc w:val="center"/>
        <w:outlineLvl w:val="1"/>
        <w:rPr>
          <w:b/>
          <w:i/>
          <w:sz w:val="24"/>
          <w:highlight w:val="none"/>
        </w:rPr>
      </w:pPr>
      <w:bookmarkStart w:id="709" w:name="_Toc2947"/>
      <w:bookmarkStart w:id="710" w:name="_Toc20728"/>
      <w:r>
        <w:rPr>
          <w:rFonts w:hint="eastAsia" w:asciiTheme="minorEastAsia" w:hAnsiTheme="minorEastAsia" w:eastAsiaTheme="minorEastAsia"/>
          <w:b/>
          <w:sz w:val="24"/>
          <w:highlight w:val="none"/>
        </w:rPr>
        <w:t>五、</w:t>
      </w:r>
      <w:bookmarkEnd w:id="709"/>
      <w:bookmarkStart w:id="711" w:name="_Toc8658"/>
      <w:r>
        <w:rPr>
          <w:rFonts w:hint="eastAsia" w:asciiTheme="minorEastAsia" w:hAnsiTheme="minorEastAsia" w:eastAsiaTheme="minorEastAsia"/>
          <w:b/>
          <w:sz w:val="24"/>
          <w:highlight w:val="none"/>
        </w:rPr>
        <w:t>供应商资格声明书</w:t>
      </w:r>
      <w:bookmarkEnd w:id="710"/>
      <w:r>
        <w:rPr>
          <w:rFonts w:hint="eastAsia" w:asciiTheme="minorEastAsia" w:hAnsiTheme="minorEastAsia" w:eastAsiaTheme="minorEastAsia"/>
          <w:b/>
          <w:sz w:val="24"/>
          <w:highlight w:val="none"/>
        </w:rPr>
        <w:t xml:space="preserve"> </w:t>
      </w:r>
    </w:p>
    <w:p w14:paraId="63913355">
      <w:pPr>
        <w:pStyle w:val="29"/>
        <w:spacing w:line="360" w:lineRule="auto"/>
        <w:rPr>
          <w:rFonts w:asciiTheme="minorEastAsia" w:hAnsiTheme="minorEastAsia" w:cstheme="minorEastAsia"/>
          <w:sz w:val="24"/>
          <w:szCs w:val="24"/>
          <w:highlight w:val="none"/>
        </w:rPr>
      </w:pPr>
      <w:r>
        <w:rPr>
          <w:rFonts w:hint="eastAsia" w:ascii="宋体" w:hAnsi="宋体"/>
          <w:sz w:val="24"/>
          <w:highlight w:val="none"/>
        </w:rPr>
        <w:t>致：</w:t>
      </w:r>
      <w:r>
        <w:rPr>
          <w:rFonts w:hint="eastAsia" w:ascii="宋体" w:hAnsi="宋体"/>
          <w:sz w:val="24"/>
          <w:highlight w:val="none"/>
          <w:u w:val="single"/>
        </w:rPr>
        <w:t>采购人</w:t>
      </w:r>
    </w:p>
    <w:p w14:paraId="0FDF4375">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lang w:bidi="ar"/>
        </w:rPr>
        <w:t>在参与本次项目磋商中，我单位承诺：</w:t>
      </w:r>
    </w:p>
    <w:p w14:paraId="6195C329">
      <w:pPr>
        <w:widowControl/>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lang w:bidi="ar"/>
        </w:rPr>
        <w:t>（一）具有良好的商业信誉和健全的财务会计制度；</w:t>
      </w:r>
    </w:p>
    <w:p w14:paraId="5E55B971">
      <w:pPr>
        <w:widowControl/>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lang w:bidi="ar"/>
        </w:rPr>
        <w:t>（二）具有履行合同所必需的设备和专业技术能力；</w:t>
      </w:r>
    </w:p>
    <w:p w14:paraId="63C4EFCC">
      <w:pPr>
        <w:widowControl/>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lang w:bidi="ar"/>
        </w:rPr>
        <w:t>（三）有依法缴纳税收和社会保障资金的良好记录；</w:t>
      </w:r>
    </w:p>
    <w:p w14:paraId="60E8E86E">
      <w:pPr>
        <w:widowControl/>
        <w:spacing w:line="360" w:lineRule="auto"/>
        <w:jc w:val="left"/>
        <w:rPr>
          <w:rFonts w:asciiTheme="minorEastAsia" w:hAnsiTheme="minorEastAsia" w:eastAsiaTheme="minorEastAsia" w:cstheme="minorEastAsia"/>
          <w:color w:val="000000"/>
          <w:sz w:val="24"/>
          <w:szCs w:val="24"/>
          <w:highlight w:val="none"/>
          <w:lang w:bidi="ar"/>
        </w:rPr>
      </w:pPr>
      <w:r>
        <w:rPr>
          <w:rFonts w:hint="eastAsia" w:asciiTheme="minorEastAsia" w:hAnsiTheme="minorEastAsia" w:eastAsiaTheme="minorEastAsia" w:cstheme="minorEastAsia"/>
          <w:color w:val="00000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6101686">
      <w:pPr>
        <w:spacing w:line="360" w:lineRule="auto"/>
        <w:rPr>
          <w:rFonts w:cs="宋体"/>
          <w:kern w:val="2"/>
          <w:sz w:val="24"/>
          <w:szCs w:val="24"/>
          <w:highlight w:val="none"/>
        </w:rPr>
      </w:pPr>
      <w:r>
        <w:rPr>
          <w:rFonts w:hint="eastAsia" w:cs="宋体"/>
          <w:kern w:val="2"/>
          <w:sz w:val="24"/>
          <w:szCs w:val="24"/>
          <w:highlight w:val="none"/>
        </w:rPr>
        <w:t>（五）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29A3711B">
      <w:pPr>
        <w:spacing w:line="360" w:lineRule="auto"/>
        <w:rPr>
          <w:rFonts w:cs="宋体"/>
          <w:kern w:val="2"/>
          <w:sz w:val="24"/>
          <w:szCs w:val="24"/>
          <w:highlight w:val="none"/>
        </w:rPr>
      </w:pPr>
      <w:r>
        <w:rPr>
          <w:rFonts w:hint="eastAsia" w:cs="宋体"/>
          <w:kern w:val="2"/>
          <w:sz w:val="24"/>
          <w:szCs w:val="24"/>
          <w:highlight w:val="none"/>
        </w:rPr>
        <w:t>（六）我单位在本项目磋商有效期内，在本项目所在区域未存在因质量事故、安全事故等被限期承包工程或市场不良行为等被限制磋商资格行为，且处于处罚期内的情况；</w:t>
      </w:r>
    </w:p>
    <w:p w14:paraId="11CD25A6">
      <w:pPr>
        <w:spacing w:line="360" w:lineRule="auto"/>
        <w:rPr>
          <w:highlight w:val="none"/>
        </w:rPr>
      </w:pPr>
      <w:r>
        <w:rPr>
          <w:rFonts w:hint="eastAsia" w:cs="宋体"/>
          <w:kern w:val="2"/>
          <w:sz w:val="24"/>
          <w:szCs w:val="24"/>
          <w:highlight w:val="none"/>
        </w:rPr>
        <w:t>（七）我单位</w:t>
      </w:r>
      <w:r>
        <w:rPr>
          <w:rFonts w:hint="eastAsia" w:cs="宋体"/>
          <w:sz w:val="24"/>
          <w:szCs w:val="24"/>
          <w:highlight w:val="none"/>
        </w:rPr>
        <w:t>未被“信用中国”网站列入拖欠农民工工资失信联合惩戒对象名单</w:t>
      </w:r>
      <w:r>
        <w:rPr>
          <w:rFonts w:hint="eastAsia" w:cs="宋体"/>
          <w:kern w:val="2"/>
          <w:sz w:val="24"/>
          <w:szCs w:val="24"/>
          <w:highlight w:val="none"/>
        </w:rPr>
        <w:t>；</w:t>
      </w:r>
    </w:p>
    <w:p w14:paraId="4490FC45">
      <w:pPr>
        <w:widowControl/>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lang w:bidi="ar"/>
        </w:rPr>
        <w:t>（八）我单位不存在为采购项目提供整体设计、规范编制或者项目管理、监理、检测等服务后，再参加该采购项目的其他采购活动的情形（单一来源采购项目除外）；</w:t>
      </w:r>
    </w:p>
    <w:p w14:paraId="1604DBA5">
      <w:pPr>
        <w:widowControl/>
        <w:spacing w:line="360" w:lineRule="auto"/>
        <w:jc w:val="left"/>
        <w:rPr>
          <w:rFonts w:asciiTheme="minorEastAsia" w:hAnsiTheme="minorEastAsia" w:eastAsiaTheme="minorEastAsia" w:cstheme="minorEastAsia"/>
          <w:color w:val="000000"/>
          <w:sz w:val="24"/>
          <w:szCs w:val="24"/>
          <w:highlight w:val="none"/>
          <w:lang w:bidi="ar"/>
        </w:rPr>
      </w:pPr>
      <w:r>
        <w:rPr>
          <w:rFonts w:hint="eastAsia" w:asciiTheme="minorEastAsia" w:hAnsiTheme="minorEastAsia" w:eastAsiaTheme="minorEastAsia" w:cstheme="minorEastAsia"/>
          <w:color w:val="000000"/>
          <w:sz w:val="24"/>
          <w:szCs w:val="24"/>
          <w:highlight w:val="none"/>
          <w:lang w:bidi="ar"/>
        </w:rPr>
        <w:t>（九）与我单位存在单位负责人为同一人或者存在直接控股、管理关系的其他法人单位信息如下（如有，不论其是否参加同一合同项下的政府采购活动均须填写）：</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71B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6295F4C">
            <w:pPr>
              <w:widowControl/>
              <w:spacing w:before="156" w:beforeLines="50" w:after="10"/>
              <w:jc w:val="center"/>
              <w:rPr>
                <w:rFonts w:asciiTheme="minorEastAsia" w:hAnsiTheme="minorEastAsia" w:eastAsiaTheme="minorEastAsia" w:cstheme="minorEastAsia"/>
                <w:color w:val="000000"/>
                <w:sz w:val="24"/>
                <w:szCs w:val="24"/>
                <w:highlight w:val="none"/>
                <w:lang w:bidi="ar"/>
              </w:rPr>
            </w:pPr>
            <w:r>
              <w:rPr>
                <w:rFonts w:hint="eastAsia" w:asciiTheme="minorEastAsia" w:hAnsiTheme="minorEastAsia" w:eastAsiaTheme="minorEastAsia" w:cstheme="minorEastAsia"/>
                <w:color w:val="000000"/>
                <w:sz w:val="24"/>
                <w:szCs w:val="24"/>
                <w:highlight w:val="none"/>
                <w:lang w:bidi="ar"/>
              </w:rPr>
              <w:t>序号</w:t>
            </w:r>
          </w:p>
        </w:tc>
        <w:tc>
          <w:tcPr>
            <w:tcW w:w="2841" w:type="dxa"/>
          </w:tcPr>
          <w:p w14:paraId="2B75AC34">
            <w:pPr>
              <w:pStyle w:val="19"/>
              <w:spacing w:before="156" w:beforeLines="50" w:after="10"/>
              <w:jc w:val="center"/>
              <w:rPr>
                <w:rFonts w:asciiTheme="minorEastAsia" w:hAnsiTheme="minorEastAsia" w:eastAsiaTheme="minorEastAsia" w:cstheme="minorEastAsia"/>
                <w:color w:val="000000"/>
                <w:sz w:val="24"/>
                <w:highlight w:val="none"/>
                <w:lang w:val="en-US" w:bidi="ar"/>
              </w:rPr>
            </w:pPr>
            <w:r>
              <w:rPr>
                <w:rFonts w:hint="eastAsia" w:asciiTheme="minorEastAsia" w:hAnsiTheme="minorEastAsia" w:eastAsiaTheme="minorEastAsia" w:cstheme="minorEastAsia"/>
                <w:color w:val="000000"/>
                <w:sz w:val="24"/>
                <w:highlight w:val="none"/>
                <w:lang w:val="en-US" w:bidi="ar"/>
              </w:rPr>
              <w:t>单位名称</w:t>
            </w:r>
          </w:p>
        </w:tc>
        <w:tc>
          <w:tcPr>
            <w:tcW w:w="2841" w:type="dxa"/>
          </w:tcPr>
          <w:p w14:paraId="2F57FDF7">
            <w:pPr>
              <w:pStyle w:val="19"/>
              <w:spacing w:before="156" w:beforeLines="50" w:after="10"/>
              <w:jc w:val="center"/>
              <w:rPr>
                <w:rFonts w:asciiTheme="minorEastAsia" w:hAnsiTheme="minorEastAsia" w:eastAsiaTheme="minorEastAsia" w:cstheme="minorEastAsia"/>
                <w:color w:val="000000"/>
                <w:sz w:val="24"/>
                <w:highlight w:val="none"/>
                <w:lang w:val="en-US" w:bidi="ar"/>
              </w:rPr>
            </w:pPr>
            <w:r>
              <w:rPr>
                <w:rFonts w:hint="eastAsia" w:asciiTheme="minorEastAsia" w:hAnsiTheme="minorEastAsia" w:eastAsiaTheme="minorEastAsia" w:cstheme="minorEastAsia"/>
                <w:color w:val="000000"/>
                <w:sz w:val="24"/>
                <w:highlight w:val="none"/>
                <w:lang w:val="en-US" w:bidi="ar"/>
              </w:rPr>
              <w:t>相互关系</w:t>
            </w:r>
          </w:p>
        </w:tc>
      </w:tr>
      <w:tr w14:paraId="1854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6AC7B90">
            <w:pPr>
              <w:pStyle w:val="19"/>
              <w:spacing w:before="156" w:beforeLines="50" w:after="10"/>
              <w:jc w:val="center"/>
              <w:rPr>
                <w:rFonts w:asciiTheme="minorEastAsia" w:hAnsiTheme="minorEastAsia" w:eastAsiaTheme="minorEastAsia" w:cstheme="minorEastAsia"/>
                <w:color w:val="000000"/>
                <w:sz w:val="24"/>
                <w:highlight w:val="none"/>
                <w:lang w:val="en-US" w:bidi="ar"/>
              </w:rPr>
            </w:pPr>
            <w:r>
              <w:rPr>
                <w:rFonts w:hint="eastAsia" w:asciiTheme="minorEastAsia" w:hAnsiTheme="minorEastAsia" w:eastAsiaTheme="minorEastAsia" w:cstheme="minorEastAsia"/>
                <w:color w:val="000000"/>
                <w:sz w:val="24"/>
                <w:highlight w:val="none"/>
                <w:lang w:val="en-US" w:bidi="ar"/>
              </w:rPr>
              <w:t>1</w:t>
            </w:r>
          </w:p>
        </w:tc>
        <w:tc>
          <w:tcPr>
            <w:tcW w:w="2841" w:type="dxa"/>
          </w:tcPr>
          <w:p w14:paraId="0980A3C5">
            <w:pPr>
              <w:pStyle w:val="19"/>
              <w:spacing w:before="156" w:beforeLines="50" w:after="10"/>
              <w:jc w:val="center"/>
              <w:rPr>
                <w:rFonts w:asciiTheme="minorEastAsia" w:hAnsiTheme="minorEastAsia" w:eastAsiaTheme="minorEastAsia" w:cstheme="minorEastAsia"/>
                <w:color w:val="000000"/>
                <w:sz w:val="24"/>
                <w:highlight w:val="none"/>
                <w:lang w:val="en-US" w:bidi="ar"/>
              </w:rPr>
            </w:pPr>
          </w:p>
        </w:tc>
        <w:tc>
          <w:tcPr>
            <w:tcW w:w="2841" w:type="dxa"/>
          </w:tcPr>
          <w:p w14:paraId="7F9D18E6">
            <w:pPr>
              <w:pStyle w:val="19"/>
              <w:spacing w:before="156" w:beforeLines="50" w:after="10"/>
              <w:jc w:val="center"/>
              <w:rPr>
                <w:rFonts w:asciiTheme="minorEastAsia" w:hAnsiTheme="minorEastAsia" w:eastAsiaTheme="minorEastAsia" w:cstheme="minorEastAsia"/>
                <w:color w:val="000000"/>
                <w:sz w:val="24"/>
                <w:highlight w:val="none"/>
                <w:lang w:val="en-US" w:bidi="ar"/>
              </w:rPr>
            </w:pPr>
          </w:p>
        </w:tc>
      </w:tr>
      <w:tr w14:paraId="1928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3D04C70">
            <w:pPr>
              <w:pStyle w:val="19"/>
              <w:spacing w:before="156" w:beforeLines="50" w:after="10"/>
              <w:jc w:val="center"/>
              <w:rPr>
                <w:rFonts w:asciiTheme="minorEastAsia" w:hAnsiTheme="minorEastAsia" w:eastAsiaTheme="minorEastAsia" w:cstheme="minorEastAsia"/>
                <w:color w:val="000000"/>
                <w:sz w:val="24"/>
                <w:highlight w:val="none"/>
                <w:lang w:val="en-US" w:bidi="ar"/>
              </w:rPr>
            </w:pPr>
            <w:r>
              <w:rPr>
                <w:rFonts w:hint="eastAsia" w:asciiTheme="minorEastAsia" w:hAnsiTheme="minorEastAsia" w:eastAsiaTheme="minorEastAsia" w:cstheme="minorEastAsia"/>
                <w:color w:val="000000"/>
                <w:sz w:val="24"/>
                <w:highlight w:val="none"/>
                <w:lang w:val="en-US" w:bidi="ar"/>
              </w:rPr>
              <w:t>2</w:t>
            </w:r>
          </w:p>
        </w:tc>
        <w:tc>
          <w:tcPr>
            <w:tcW w:w="2841" w:type="dxa"/>
          </w:tcPr>
          <w:p w14:paraId="17634709">
            <w:pPr>
              <w:pStyle w:val="19"/>
              <w:spacing w:before="156" w:beforeLines="50" w:after="10"/>
              <w:jc w:val="center"/>
              <w:rPr>
                <w:rFonts w:asciiTheme="minorEastAsia" w:hAnsiTheme="minorEastAsia" w:eastAsiaTheme="minorEastAsia" w:cstheme="minorEastAsia"/>
                <w:color w:val="000000"/>
                <w:sz w:val="24"/>
                <w:highlight w:val="none"/>
                <w:lang w:val="en-US" w:bidi="ar"/>
              </w:rPr>
            </w:pPr>
          </w:p>
        </w:tc>
        <w:tc>
          <w:tcPr>
            <w:tcW w:w="2841" w:type="dxa"/>
          </w:tcPr>
          <w:p w14:paraId="47FB5B74">
            <w:pPr>
              <w:pStyle w:val="19"/>
              <w:spacing w:before="156" w:beforeLines="50" w:after="10"/>
              <w:jc w:val="center"/>
              <w:rPr>
                <w:rFonts w:asciiTheme="minorEastAsia" w:hAnsiTheme="minorEastAsia" w:eastAsiaTheme="minorEastAsia" w:cstheme="minorEastAsia"/>
                <w:color w:val="000000"/>
                <w:sz w:val="24"/>
                <w:highlight w:val="none"/>
                <w:lang w:val="en-US" w:bidi="ar"/>
              </w:rPr>
            </w:pPr>
          </w:p>
        </w:tc>
      </w:tr>
    </w:tbl>
    <w:p w14:paraId="18D03F02">
      <w:pPr>
        <w:spacing w:line="360" w:lineRule="auto"/>
        <w:ind w:firstLine="435"/>
        <w:rPr>
          <w:sz w:val="24"/>
          <w:highlight w:val="none"/>
        </w:rPr>
      </w:pPr>
      <w:r>
        <w:rPr>
          <w:rFonts w:hint="eastAsia"/>
          <w:sz w:val="24"/>
          <w:highlight w:val="none"/>
        </w:rPr>
        <w:t>本单位对</w:t>
      </w:r>
      <w:r>
        <w:rPr>
          <w:rFonts w:hint="eastAsia" w:asciiTheme="minorEastAsia" w:hAnsiTheme="minorEastAsia" w:eastAsiaTheme="minorEastAsia"/>
          <w:sz w:val="24"/>
          <w:highlight w:val="none"/>
        </w:rPr>
        <w:t>上述</w:t>
      </w:r>
      <w:r>
        <w:rPr>
          <w:rFonts w:hint="eastAsia"/>
          <w:sz w:val="24"/>
          <w:highlight w:val="none"/>
        </w:rPr>
        <w:t>声明的真实性负责。如有虚假，将依法承担相应责任。</w:t>
      </w:r>
    </w:p>
    <w:p w14:paraId="21E4F132">
      <w:pPr>
        <w:spacing w:line="360" w:lineRule="auto"/>
        <w:ind w:firstLine="4800" w:firstLineChars="2000"/>
        <w:rPr>
          <w:sz w:val="24"/>
          <w:highlight w:val="none"/>
          <w:u w:val="single"/>
        </w:rPr>
      </w:pPr>
      <w:r>
        <w:rPr>
          <w:rFonts w:hint="eastAsia"/>
          <w:sz w:val="24"/>
          <w:highlight w:val="none"/>
        </w:rPr>
        <w:t>供应商电子签章：</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p>
    <w:p w14:paraId="7A370C3B">
      <w:pPr>
        <w:spacing w:line="360" w:lineRule="auto"/>
        <w:jc w:val="center"/>
        <w:rPr>
          <w:rFonts w:asciiTheme="minorEastAsia" w:hAnsiTheme="minorEastAsia" w:eastAsiaTheme="minorEastAsia"/>
          <w:b/>
          <w:sz w:val="24"/>
          <w:highlight w:val="none"/>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sz w:val="24"/>
          <w:highlight w:val="none"/>
        </w:rPr>
        <w:t xml:space="preserve">                           日          期：</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rFonts w:hint="eastAsia"/>
          <w:sz w:val="24"/>
          <w:highlight w:val="none"/>
        </w:rPr>
        <w:t xml:space="preserve">         </w:t>
      </w:r>
      <w:bookmarkEnd w:id="711"/>
    </w:p>
    <w:p w14:paraId="71367241">
      <w:pPr>
        <w:widowControl/>
        <w:jc w:val="center"/>
        <w:outlineLvl w:val="1"/>
        <w:rPr>
          <w:rFonts w:asciiTheme="minorEastAsia" w:hAnsiTheme="minorEastAsia" w:eastAsiaTheme="minorEastAsia"/>
          <w:b/>
          <w:sz w:val="24"/>
          <w:highlight w:val="none"/>
        </w:rPr>
      </w:pPr>
      <w:bookmarkStart w:id="712" w:name="_Toc25503"/>
      <w:bookmarkStart w:id="713" w:name="_Toc909"/>
      <w:bookmarkStart w:id="714" w:name="_Toc204594911"/>
      <w:bookmarkStart w:id="715" w:name="_Toc121626298"/>
      <w:bookmarkStart w:id="716" w:name="_Toc520983594"/>
      <w:bookmarkStart w:id="717" w:name="_Toc516969106"/>
      <w:r>
        <w:rPr>
          <w:rFonts w:hint="eastAsia" w:asciiTheme="minorEastAsia" w:hAnsiTheme="minorEastAsia" w:eastAsiaTheme="minorEastAsia"/>
          <w:b/>
          <w:sz w:val="24"/>
          <w:highlight w:val="none"/>
        </w:rPr>
        <w:t>六、授权书</w:t>
      </w:r>
      <w:bookmarkEnd w:id="712"/>
      <w:bookmarkEnd w:id="713"/>
      <w:bookmarkEnd w:id="714"/>
      <w:bookmarkEnd w:id="715"/>
      <w:bookmarkEnd w:id="716"/>
      <w:bookmarkEnd w:id="717"/>
    </w:p>
    <w:p w14:paraId="4AA847C8">
      <w:pPr>
        <w:spacing w:line="360" w:lineRule="auto"/>
        <w:jc w:val="center"/>
        <w:rPr>
          <w:rFonts w:asciiTheme="minorEastAsia" w:hAnsiTheme="minorEastAsia" w:eastAsiaTheme="minorEastAsia"/>
          <w:b/>
          <w:sz w:val="24"/>
          <w:highlight w:val="none"/>
        </w:rPr>
      </w:pPr>
    </w:p>
    <w:p w14:paraId="0DB305E2">
      <w:pPr>
        <w:pStyle w:val="27"/>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本授权书声明：</w:t>
      </w:r>
      <w:r>
        <w:rPr>
          <w:rFonts w:hint="eastAsia" w:hAnsi="宋体" w:eastAsia="宋体"/>
          <w:sz w:val="24"/>
          <w:szCs w:val="28"/>
          <w:highlight w:val="none"/>
          <w:u w:val="single"/>
        </w:rPr>
        <w:t xml:space="preserve">           </w:t>
      </w:r>
      <w:r>
        <w:rPr>
          <w:rFonts w:hint="eastAsia" w:hAnsi="宋体" w:eastAsia="宋体"/>
          <w:sz w:val="24"/>
          <w:szCs w:val="28"/>
          <w:highlight w:val="none"/>
        </w:rPr>
        <w:t>（供应商名称）授权</w:t>
      </w:r>
      <w:r>
        <w:rPr>
          <w:rFonts w:hint="eastAsia" w:hAnsi="宋体" w:eastAsia="宋体"/>
          <w:sz w:val="24"/>
          <w:szCs w:val="28"/>
          <w:highlight w:val="none"/>
          <w:u w:val="single"/>
        </w:rPr>
        <w:t xml:space="preserve">       </w:t>
      </w:r>
      <w:r>
        <w:rPr>
          <w:rFonts w:hint="eastAsia" w:hAnsi="宋体" w:eastAsia="宋体"/>
          <w:sz w:val="24"/>
          <w:szCs w:val="28"/>
          <w:highlight w:val="none"/>
        </w:rPr>
        <w:t>（供应商授权代表姓名）代表我方参加本项目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18D18B6">
      <w:pPr>
        <w:pStyle w:val="27"/>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本授权书自出具之日起生效。</w:t>
      </w:r>
    </w:p>
    <w:p w14:paraId="59CBD28C">
      <w:pPr>
        <w:pStyle w:val="27"/>
        <w:snapToGrid w:val="0"/>
        <w:spacing w:line="360" w:lineRule="auto"/>
        <w:ind w:firstLine="480" w:firstLineChars="200"/>
        <w:jc w:val="left"/>
        <w:rPr>
          <w:rFonts w:hAnsi="宋体" w:eastAsia="宋体"/>
          <w:sz w:val="24"/>
          <w:highlight w:val="none"/>
        </w:rPr>
      </w:pPr>
      <w:r>
        <w:rPr>
          <w:rFonts w:hint="eastAsia" w:hAnsi="宋体" w:eastAsia="宋体"/>
          <w:sz w:val="24"/>
          <w:szCs w:val="28"/>
          <w:highlight w:val="none"/>
        </w:rPr>
        <w:t>授权代表</w:t>
      </w:r>
      <w:r>
        <w:rPr>
          <w:rFonts w:hint="eastAsia" w:hAnsi="宋体" w:eastAsia="宋体"/>
          <w:sz w:val="24"/>
          <w:highlight w:val="none"/>
        </w:rPr>
        <w:t>身份证明扫描件：</w:t>
      </w:r>
    </w:p>
    <w:p w14:paraId="254FD31D">
      <w:pPr>
        <w:pStyle w:val="27"/>
        <w:snapToGrid w:val="0"/>
        <w:spacing w:line="360" w:lineRule="auto"/>
        <w:ind w:firstLine="480" w:firstLineChars="200"/>
        <w:jc w:val="left"/>
        <w:rPr>
          <w:rFonts w:hAnsi="宋体" w:eastAsia="宋体"/>
          <w:sz w:val="24"/>
          <w:highlight w:val="none"/>
        </w:rPr>
      </w:pPr>
    </w:p>
    <w:p w14:paraId="2E1EEE2F">
      <w:pPr>
        <w:pStyle w:val="27"/>
        <w:snapToGrid w:val="0"/>
        <w:spacing w:line="360" w:lineRule="auto"/>
        <w:ind w:firstLine="480" w:firstLineChars="200"/>
        <w:jc w:val="left"/>
        <w:rPr>
          <w:rFonts w:hAnsi="宋体" w:eastAsia="宋体"/>
          <w:sz w:val="24"/>
          <w:highlight w:val="none"/>
        </w:rPr>
      </w:pPr>
    </w:p>
    <w:p w14:paraId="4CA3112F">
      <w:pPr>
        <w:pStyle w:val="27"/>
        <w:snapToGrid w:val="0"/>
        <w:spacing w:line="360" w:lineRule="auto"/>
        <w:ind w:firstLine="480" w:firstLineChars="200"/>
        <w:jc w:val="left"/>
        <w:rPr>
          <w:rFonts w:hAnsi="宋体" w:eastAsia="宋体"/>
          <w:sz w:val="24"/>
          <w:highlight w:val="none"/>
        </w:rPr>
      </w:pPr>
    </w:p>
    <w:p w14:paraId="5E9533B0">
      <w:pPr>
        <w:pStyle w:val="27"/>
        <w:snapToGrid w:val="0"/>
        <w:spacing w:line="360" w:lineRule="auto"/>
        <w:ind w:firstLine="480" w:firstLineChars="200"/>
        <w:jc w:val="left"/>
        <w:rPr>
          <w:rFonts w:hAnsi="宋体" w:eastAsia="宋体"/>
          <w:sz w:val="24"/>
          <w:highlight w:val="none"/>
        </w:rPr>
      </w:pPr>
    </w:p>
    <w:p w14:paraId="557987BF">
      <w:pPr>
        <w:pStyle w:val="27"/>
        <w:snapToGrid w:val="0"/>
        <w:spacing w:line="360" w:lineRule="auto"/>
        <w:ind w:firstLine="480" w:firstLineChars="200"/>
        <w:jc w:val="left"/>
        <w:rPr>
          <w:rFonts w:hAnsi="宋体" w:eastAsia="宋体"/>
          <w:sz w:val="24"/>
          <w:szCs w:val="28"/>
          <w:highlight w:val="none"/>
          <w:u w:val="single"/>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57300EB9">
      <w:pPr>
        <w:pStyle w:val="27"/>
        <w:snapToGrid w:val="0"/>
        <w:spacing w:line="360" w:lineRule="auto"/>
        <w:ind w:firstLine="480" w:firstLineChars="200"/>
        <w:jc w:val="left"/>
        <w:rPr>
          <w:rFonts w:hAnsi="宋体" w:eastAsia="宋体"/>
          <w:sz w:val="24"/>
          <w:szCs w:val="28"/>
          <w:highlight w:val="none"/>
        </w:rPr>
      </w:pPr>
    </w:p>
    <w:p w14:paraId="7AF1FF9E">
      <w:pPr>
        <w:spacing w:line="360" w:lineRule="auto"/>
        <w:ind w:firstLine="360" w:firstLineChars="150"/>
        <w:rPr>
          <w:sz w:val="24"/>
          <w:szCs w:val="28"/>
          <w:highlight w:val="none"/>
        </w:rPr>
      </w:pPr>
      <w:r>
        <w:rPr>
          <w:rFonts w:hint="eastAsia"/>
          <w:sz w:val="24"/>
          <w:szCs w:val="28"/>
          <w:highlight w:val="none"/>
        </w:rPr>
        <w:t>特此声明。</w:t>
      </w:r>
    </w:p>
    <w:p w14:paraId="78D726F8">
      <w:pPr>
        <w:spacing w:line="360" w:lineRule="auto"/>
        <w:rPr>
          <w:sz w:val="24"/>
          <w:szCs w:val="28"/>
          <w:highlight w:val="none"/>
        </w:rPr>
      </w:pPr>
    </w:p>
    <w:p w14:paraId="23EF83CD">
      <w:pPr>
        <w:spacing w:line="360" w:lineRule="auto"/>
        <w:jc w:val="center"/>
        <w:rPr>
          <w:bCs/>
          <w:sz w:val="24"/>
          <w:szCs w:val="28"/>
          <w:highlight w:val="none"/>
        </w:rPr>
      </w:pPr>
      <w:r>
        <w:rPr>
          <w:rFonts w:hint="eastAsia"/>
          <w:bCs/>
          <w:sz w:val="24"/>
          <w:szCs w:val="28"/>
          <w:highlight w:val="none"/>
        </w:rPr>
        <w:t xml:space="preserve">                    供应商电子签章：</w:t>
      </w:r>
      <w:r>
        <w:rPr>
          <w:rFonts w:hint="eastAsia"/>
          <w:bCs/>
          <w:sz w:val="24"/>
          <w:szCs w:val="28"/>
          <w:highlight w:val="none"/>
          <w:u w:val="single"/>
        </w:rPr>
        <w:t xml:space="preserve">                    </w:t>
      </w:r>
    </w:p>
    <w:p w14:paraId="032D8DD8">
      <w:pPr>
        <w:spacing w:line="360" w:lineRule="auto"/>
        <w:rPr>
          <w:sz w:val="24"/>
          <w:szCs w:val="28"/>
          <w:highlight w:val="none"/>
        </w:rPr>
      </w:pPr>
      <w:r>
        <w:rPr>
          <w:rFonts w:hint="eastAsia"/>
          <w:sz w:val="24"/>
          <w:szCs w:val="28"/>
          <w:highlight w:val="none"/>
        </w:rPr>
        <w:t xml:space="preserve">                                        日          期：</w:t>
      </w:r>
      <w:r>
        <w:rPr>
          <w:rFonts w:hint="eastAsia"/>
          <w:sz w:val="24"/>
          <w:szCs w:val="28"/>
          <w:highlight w:val="none"/>
          <w:u w:val="single"/>
        </w:rPr>
        <w:t xml:space="preserve">                    </w:t>
      </w:r>
    </w:p>
    <w:p w14:paraId="0724AEF5">
      <w:pPr>
        <w:spacing w:line="360" w:lineRule="auto"/>
        <w:rPr>
          <w:sz w:val="24"/>
          <w:szCs w:val="28"/>
          <w:highlight w:val="none"/>
        </w:rPr>
      </w:pPr>
    </w:p>
    <w:p w14:paraId="0E5917D3">
      <w:pPr>
        <w:pStyle w:val="27"/>
        <w:snapToGrid w:val="0"/>
        <w:spacing w:line="360" w:lineRule="auto"/>
        <w:jc w:val="left"/>
        <w:rPr>
          <w:rFonts w:hAnsi="宋体" w:eastAsia="宋体"/>
          <w:sz w:val="24"/>
          <w:szCs w:val="28"/>
          <w:highlight w:val="none"/>
        </w:rPr>
      </w:pPr>
      <w:r>
        <w:rPr>
          <w:rFonts w:hint="eastAsia" w:hAnsi="宋体" w:eastAsia="宋体"/>
          <w:sz w:val="24"/>
          <w:szCs w:val="28"/>
          <w:highlight w:val="none"/>
        </w:rPr>
        <w:t>注：</w:t>
      </w:r>
    </w:p>
    <w:p w14:paraId="0F9639D5">
      <w:pPr>
        <w:pStyle w:val="27"/>
        <w:snapToGrid w:val="0"/>
        <w:spacing w:line="360" w:lineRule="auto"/>
        <w:jc w:val="left"/>
        <w:rPr>
          <w:rFonts w:hAnsi="宋体" w:eastAsia="宋体"/>
          <w:sz w:val="24"/>
          <w:szCs w:val="28"/>
          <w:highlight w:val="none"/>
        </w:rPr>
      </w:pPr>
      <w:r>
        <w:rPr>
          <w:rFonts w:hint="eastAsia" w:hAnsi="宋体" w:eastAsia="宋体"/>
          <w:sz w:val="24"/>
          <w:szCs w:val="28"/>
          <w:highlight w:val="none"/>
        </w:rPr>
        <w:t>1.本项目只允许有唯一的供应商授权代表，提供身份证明扫描件；</w:t>
      </w:r>
    </w:p>
    <w:p w14:paraId="2038FF68">
      <w:pPr>
        <w:spacing w:line="360" w:lineRule="auto"/>
        <w:jc w:val="left"/>
        <w:rPr>
          <w:sz w:val="24"/>
          <w:highlight w:val="none"/>
        </w:rPr>
      </w:pPr>
      <w:r>
        <w:rPr>
          <w:rFonts w:hint="eastAsia"/>
          <w:sz w:val="24"/>
          <w:highlight w:val="none"/>
        </w:rPr>
        <w:t>2.法定代表人参加磋商的无需提供授权书，仅提供身份证明扫描件。</w:t>
      </w:r>
    </w:p>
    <w:p w14:paraId="494268B5">
      <w:pPr>
        <w:widowControl/>
        <w:jc w:val="left"/>
        <w:rPr>
          <w:sz w:val="24"/>
          <w:highlight w:val="none"/>
        </w:rPr>
      </w:pPr>
      <w:r>
        <w:rPr>
          <w:sz w:val="24"/>
          <w:highlight w:val="none"/>
        </w:rPr>
        <w:br w:type="page"/>
      </w:r>
    </w:p>
    <w:p w14:paraId="09D89045">
      <w:pPr>
        <w:keepNext/>
        <w:keepLines/>
        <w:spacing w:before="260" w:after="260" w:line="416" w:lineRule="auto"/>
        <w:jc w:val="center"/>
        <w:outlineLvl w:val="1"/>
        <w:rPr>
          <w:rFonts w:cs="@仿宋_GB2312" w:asciiTheme="minorEastAsia" w:hAnsiTheme="minorEastAsia" w:eastAsiaTheme="minorEastAsia"/>
          <w:b/>
          <w:bCs/>
          <w:kern w:val="2"/>
          <w:sz w:val="24"/>
          <w:szCs w:val="24"/>
          <w:highlight w:val="none"/>
        </w:rPr>
      </w:pPr>
      <w:bookmarkStart w:id="718" w:name="_Toc32351"/>
      <w:bookmarkStart w:id="719" w:name="_Toc12223"/>
      <w:r>
        <w:rPr>
          <w:rFonts w:hint="eastAsia" w:cs="@仿宋_GB2312" w:asciiTheme="minorEastAsia" w:hAnsiTheme="minorEastAsia" w:eastAsiaTheme="minorEastAsia"/>
          <w:b/>
          <w:bCs/>
          <w:kern w:val="2"/>
          <w:sz w:val="24"/>
          <w:szCs w:val="24"/>
          <w:highlight w:val="none"/>
        </w:rPr>
        <w:t>七、法定代表人身份证明书</w:t>
      </w:r>
      <w:bookmarkEnd w:id="718"/>
      <w:bookmarkEnd w:id="719"/>
    </w:p>
    <w:p w14:paraId="5D911504">
      <w:pPr>
        <w:autoSpaceDE w:val="0"/>
        <w:autoSpaceDN w:val="0"/>
        <w:adjustRightInd w:val="0"/>
        <w:spacing w:line="360" w:lineRule="auto"/>
        <w:jc w:val="center"/>
        <w:rPr>
          <w:rFonts w:ascii="@仿宋_GB2312" w:eastAsia="@仿宋_GB2312" w:cs="宋体"/>
          <w:b/>
          <w:kern w:val="2"/>
          <w:sz w:val="21"/>
          <w:szCs w:val="24"/>
          <w:highlight w:val="none"/>
          <w:lang w:val="zh-CN"/>
        </w:rPr>
      </w:pPr>
    </w:p>
    <w:p w14:paraId="7B3D3915">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单位名称：</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012F91C9">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单位性质：</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351A4BDB">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地    址：</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5F175D48">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成立时间：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月</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日</w:t>
      </w:r>
    </w:p>
    <w:p w14:paraId="52F6E7BF">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经营期限：</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217551FB">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姓    名：</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性 </w:t>
      </w:r>
      <w:r>
        <w:rPr>
          <w:rFonts w:ascii="Calibri" w:hAnsi="Calibri" w:cs="Times New Roman"/>
          <w:kern w:val="2"/>
          <w:sz w:val="24"/>
          <w:szCs w:val="28"/>
          <w:highlight w:val="none"/>
        </w:rPr>
        <w:t xml:space="preserve">  </w:t>
      </w:r>
      <w:r>
        <w:rPr>
          <w:rFonts w:hint="eastAsia" w:ascii="Calibri" w:hAnsi="Calibri" w:cs="Times New Roman"/>
          <w:kern w:val="2"/>
          <w:sz w:val="24"/>
          <w:szCs w:val="28"/>
          <w:highlight w:val="none"/>
        </w:rPr>
        <w:t xml:space="preserve"> 别：</w:t>
      </w:r>
      <w:r>
        <w:rPr>
          <w:rFonts w:hint="eastAsia" w:ascii="Calibri" w:hAnsi="Calibri" w:cs="Times New Roman"/>
          <w:kern w:val="2"/>
          <w:sz w:val="24"/>
          <w:szCs w:val="28"/>
          <w:highlight w:val="none"/>
          <w:u w:val="single"/>
        </w:rPr>
        <w:t xml:space="preserve">             </w:t>
      </w:r>
    </w:p>
    <w:p w14:paraId="3886701D">
      <w:pPr>
        <w:snapToGrid w:val="0"/>
        <w:spacing w:line="360" w:lineRule="auto"/>
        <w:ind w:firstLine="480" w:firstLineChars="200"/>
        <w:jc w:val="left"/>
        <w:rPr>
          <w:rFonts w:ascii="Calibri" w:hAnsi="Calibri" w:cs="Times New Roman"/>
          <w:kern w:val="2"/>
          <w:sz w:val="24"/>
          <w:szCs w:val="28"/>
          <w:highlight w:val="none"/>
          <w:u w:val="single"/>
        </w:rPr>
      </w:pPr>
      <w:r>
        <w:rPr>
          <w:rFonts w:hint="eastAsia" w:ascii="Calibri" w:hAnsi="Calibri" w:cs="Times New Roman"/>
          <w:kern w:val="2"/>
          <w:sz w:val="24"/>
          <w:szCs w:val="28"/>
          <w:highlight w:val="none"/>
        </w:rPr>
        <w:t>年    龄：</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职    务：</w:t>
      </w:r>
      <w:r>
        <w:rPr>
          <w:rFonts w:hint="eastAsia" w:ascii="Calibri" w:hAnsi="Calibri" w:cs="Times New Roman"/>
          <w:kern w:val="2"/>
          <w:sz w:val="24"/>
          <w:szCs w:val="28"/>
          <w:highlight w:val="none"/>
          <w:u w:val="single"/>
        </w:rPr>
        <w:t xml:space="preserve">             </w:t>
      </w:r>
    </w:p>
    <w:p w14:paraId="50118B76">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联系</w:t>
      </w:r>
      <w:r>
        <w:rPr>
          <w:rFonts w:ascii="Calibri" w:hAnsi="Calibri" w:cs="Times New Roman"/>
          <w:kern w:val="2"/>
          <w:sz w:val="24"/>
          <w:szCs w:val="28"/>
          <w:highlight w:val="none"/>
        </w:rPr>
        <w:t>电话</w:t>
      </w:r>
      <w:r>
        <w:rPr>
          <w:rFonts w:hint="eastAsia" w:ascii="Calibri" w:hAnsi="Calibri" w:cs="Times New Roman"/>
          <w:kern w:val="2"/>
          <w:sz w:val="24"/>
          <w:szCs w:val="28"/>
          <w:highlight w:val="none"/>
        </w:rPr>
        <w:t>：</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手机号码：</w:t>
      </w:r>
      <w:r>
        <w:rPr>
          <w:rFonts w:hint="eastAsia" w:ascii="Calibri" w:hAnsi="Calibri" w:cs="Times New Roman"/>
          <w:kern w:val="2"/>
          <w:sz w:val="24"/>
          <w:szCs w:val="28"/>
          <w:highlight w:val="none"/>
          <w:u w:val="single"/>
        </w:rPr>
        <w:t xml:space="preserve">             </w:t>
      </w:r>
    </w:p>
    <w:p w14:paraId="50A69A90">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系  </w:t>
      </w:r>
      <w:r>
        <w:rPr>
          <w:rFonts w:hint="eastAsia" w:ascii="Calibri" w:hAnsi="Calibri" w:cs="Times New Roman"/>
          <w:kern w:val="2"/>
          <w:sz w:val="24"/>
          <w:szCs w:val="28"/>
          <w:highlight w:val="none"/>
          <w:u w:val="single"/>
        </w:rPr>
        <w:t xml:space="preserve">   （供应商单位名称）       </w:t>
      </w:r>
      <w:r>
        <w:rPr>
          <w:rFonts w:hint="eastAsia" w:ascii="Calibri" w:hAnsi="Calibri" w:cs="Times New Roman"/>
          <w:kern w:val="2"/>
          <w:sz w:val="24"/>
          <w:szCs w:val="28"/>
          <w:highlight w:val="none"/>
        </w:rPr>
        <w:t>的法定代表人。</w:t>
      </w:r>
    </w:p>
    <w:p w14:paraId="63034964">
      <w:pPr>
        <w:spacing w:before="62" w:beforeLines="20" w:after="62" w:afterLines="20" w:line="540" w:lineRule="exact"/>
        <w:ind w:firstLine="610"/>
        <w:rPr>
          <w:rFonts w:ascii="@仿宋_GB2312" w:hAnsi="Calibri" w:eastAsia="@仿宋_GB2312" w:cs="宋体"/>
          <w:kern w:val="2"/>
          <w:sz w:val="24"/>
          <w:szCs w:val="24"/>
          <w:highlight w:val="none"/>
        </w:rPr>
      </w:pPr>
    </w:p>
    <w:p w14:paraId="48691F44">
      <w:pPr>
        <w:spacing w:before="62" w:beforeLines="20" w:after="62" w:afterLines="20" w:line="540" w:lineRule="exact"/>
        <w:ind w:left="400" w:leftChars="200" w:firstLine="240" w:firstLineChars="100"/>
        <w:rPr>
          <w:rFonts w:ascii="Calibri" w:hAnsi="Calibri" w:cs="宋体"/>
          <w:kern w:val="2"/>
          <w:sz w:val="24"/>
          <w:szCs w:val="24"/>
          <w:highlight w:val="none"/>
        </w:rPr>
      </w:pPr>
      <w:r>
        <w:rPr>
          <w:rFonts w:hint="eastAsia" w:ascii="Calibri" w:hAnsi="Calibri" w:cs="宋体"/>
          <w:kern w:val="2"/>
          <w:sz w:val="24"/>
          <w:szCs w:val="24"/>
          <w:highlight w:val="none"/>
        </w:rPr>
        <w:t>特此证明。</w:t>
      </w:r>
    </w:p>
    <w:p w14:paraId="170F99B8">
      <w:pPr>
        <w:tabs>
          <w:tab w:val="left" w:pos="720"/>
          <w:tab w:val="left" w:pos="900"/>
        </w:tabs>
        <w:spacing w:before="62" w:beforeLines="20" w:after="62" w:afterLines="20" w:line="540" w:lineRule="exact"/>
        <w:ind w:firstLine="480" w:firstLineChars="200"/>
        <w:rPr>
          <w:rFonts w:ascii="Calibri" w:hAnsi="Calibri" w:cs="宋体"/>
          <w:kern w:val="2"/>
          <w:sz w:val="24"/>
          <w:szCs w:val="24"/>
          <w:highlight w:val="none"/>
        </w:rPr>
      </w:pPr>
      <w:r>
        <w:rPr>
          <w:rFonts w:hint="eastAsia" w:ascii="Calibri" w:hAnsi="Calibri" w:cs="宋体"/>
          <w:kern w:val="2"/>
          <w:sz w:val="24"/>
          <w:szCs w:val="24"/>
          <w:highlight w:val="none"/>
        </w:rPr>
        <w:t>附：法定代表人身份证扫描件</w:t>
      </w:r>
    </w:p>
    <w:p w14:paraId="5D3F03A6">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highlight w:val="none"/>
        </w:rPr>
      </w:pPr>
    </w:p>
    <w:p w14:paraId="01AC1A54">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highlight w:val="none"/>
        </w:rPr>
      </w:pPr>
    </w:p>
    <w:p w14:paraId="4FB66145">
      <w:pPr>
        <w:spacing w:line="360" w:lineRule="auto"/>
        <w:ind w:firstLine="3840" w:firstLineChars="1600"/>
        <w:rPr>
          <w:rFonts w:cs="宋体"/>
          <w:kern w:val="2"/>
          <w:sz w:val="24"/>
          <w:szCs w:val="24"/>
          <w:highlight w:val="none"/>
        </w:rPr>
      </w:pPr>
      <w:r>
        <w:rPr>
          <w:rFonts w:hint="eastAsia" w:cs="宋体"/>
          <w:kern w:val="2"/>
          <w:sz w:val="24"/>
          <w:szCs w:val="24"/>
          <w:highlight w:val="none"/>
        </w:rPr>
        <w:t>供应商电子签章：</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5A62528B">
      <w:pPr>
        <w:spacing w:line="360" w:lineRule="auto"/>
        <w:ind w:firstLine="3840" w:firstLineChars="1600"/>
        <w:rPr>
          <w:rFonts w:cs="宋体"/>
          <w:kern w:val="2"/>
          <w:sz w:val="24"/>
          <w:szCs w:val="24"/>
          <w:highlight w:val="none"/>
        </w:rPr>
      </w:pPr>
      <w:r>
        <w:rPr>
          <w:rFonts w:hint="eastAsia" w:cs="宋体"/>
          <w:kern w:val="2"/>
          <w:sz w:val="24"/>
          <w:szCs w:val="24"/>
          <w:highlight w:val="none"/>
        </w:rPr>
        <w:t>日</w:t>
      </w:r>
      <w:r>
        <w:rPr>
          <w:rFonts w:cs="宋体"/>
          <w:kern w:val="2"/>
          <w:sz w:val="24"/>
          <w:szCs w:val="24"/>
          <w:highlight w:val="none"/>
        </w:rPr>
        <w:t xml:space="preserve">   </w:t>
      </w:r>
      <w:r>
        <w:rPr>
          <w:rFonts w:hint="eastAsia" w:cs="宋体"/>
          <w:kern w:val="2"/>
          <w:sz w:val="24"/>
          <w:szCs w:val="24"/>
          <w:highlight w:val="none"/>
        </w:rPr>
        <w:t xml:space="preserve">    </w:t>
      </w:r>
      <w:r>
        <w:rPr>
          <w:rFonts w:cs="宋体"/>
          <w:kern w:val="2"/>
          <w:sz w:val="24"/>
          <w:szCs w:val="24"/>
          <w:highlight w:val="none"/>
        </w:rPr>
        <w:t xml:space="preserve">   </w:t>
      </w:r>
      <w:r>
        <w:rPr>
          <w:rFonts w:hint="eastAsia" w:cs="宋体"/>
          <w:kern w:val="2"/>
          <w:sz w:val="24"/>
          <w:szCs w:val="24"/>
          <w:highlight w:val="none"/>
        </w:rPr>
        <w:t>期：</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54B96C0D">
      <w:pPr>
        <w:widowControl/>
        <w:jc w:val="left"/>
        <w:rPr>
          <w:rFonts w:cs="@仿宋_GB2312" w:asciiTheme="minorEastAsia" w:hAnsiTheme="minorEastAsia" w:eastAsiaTheme="minorEastAsia"/>
          <w:b/>
          <w:bCs/>
          <w:kern w:val="2"/>
          <w:sz w:val="24"/>
          <w:szCs w:val="24"/>
          <w:highlight w:val="none"/>
        </w:rPr>
      </w:pPr>
      <w:r>
        <w:rPr>
          <w:rFonts w:cs="@仿宋_GB2312" w:asciiTheme="minorEastAsia" w:hAnsiTheme="minorEastAsia" w:eastAsiaTheme="minorEastAsia"/>
          <w:kern w:val="2"/>
          <w:sz w:val="24"/>
          <w:szCs w:val="24"/>
          <w:highlight w:val="none"/>
        </w:rPr>
        <w:br w:type="page"/>
      </w:r>
    </w:p>
    <w:p w14:paraId="2205C12A">
      <w:pPr>
        <w:keepNext/>
        <w:keepLines/>
        <w:spacing w:before="260" w:after="260" w:line="416" w:lineRule="auto"/>
        <w:jc w:val="center"/>
        <w:outlineLvl w:val="1"/>
        <w:rPr>
          <w:rFonts w:cs="@仿宋_GB2312" w:asciiTheme="minorEastAsia" w:hAnsiTheme="minorEastAsia" w:eastAsiaTheme="minorEastAsia"/>
          <w:b/>
          <w:bCs/>
          <w:kern w:val="2"/>
          <w:sz w:val="24"/>
          <w:szCs w:val="24"/>
          <w:highlight w:val="none"/>
        </w:rPr>
      </w:pPr>
      <w:bookmarkStart w:id="720" w:name="_Toc20099"/>
      <w:bookmarkStart w:id="721" w:name="_Toc4373"/>
      <w:r>
        <w:rPr>
          <w:rFonts w:hint="eastAsia" w:cs="@仿宋_GB2312" w:asciiTheme="minorEastAsia" w:hAnsiTheme="minorEastAsia" w:eastAsiaTheme="minorEastAsia"/>
          <w:b/>
          <w:bCs/>
          <w:kern w:val="2"/>
          <w:sz w:val="24"/>
          <w:szCs w:val="24"/>
          <w:highlight w:val="none"/>
        </w:rPr>
        <w:t>八、项目经理承诺书</w:t>
      </w:r>
      <w:bookmarkEnd w:id="720"/>
      <w:bookmarkEnd w:id="721"/>
    </w:p>
    <w:p w14:paraId="782637AE">
      <w:pPr>
        <w:spacing w:line="360" w:lineRule="auto"/>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b/>
          <w:kern w:val="2"/>
          <w:sz w:val="24"/>
          <w:szCs w:val="24"/>
          <w:highlight w:val="none"/>
        </w:rPr>
        <w:t>致：采购人</w:t>
      </w:r>
    </w:p>
    <w:p w14:paraId="30D4AE03">
      <w:pPr>
        <w:spacing w:line="360" w:lineRule="auto"/>
        <w:ind w:firstLine="480" w:firstLineChars="200"/>
        <w:rPr>
          <w:rFonts w:cs="宋体"/>
          <w:kern w:val="2"/>
          <w:sz w:val="24"/>
          <w:szCs w:val="24"/>
          <w:highlight w:val="none"/>
        </w:rPr>
      </w:pPr>
      <w:r>
        <w:rPr>
          <w:rFonts w:hint="eastAsia" w:cs="宋体"/>
          <w:kern w:val="2"/>
          <w:sz w:val="24"/>
          <w:szCs w:val="24"/>
          <w:highlight w:val="none"/>
        </w:rPr>
        <w:t>本人作为我单位在本项目磋商担任的项目经理，郑重承诺：</w:t>
      </w:r>
    </w:p>
    <w:p w14:paraId="002C19DC">
      <w:pPr>
        <w:spacing w:line="360" w:lineRule="auto"/>
        <w:ind w:firstLine="480" w:firstLineChars="200"/>
        <w:rPr>
          <w:rFonts w:cs="宋体"/>
          <w:kern w:val="2"/>
          <w:sz w:val="24"/>
          <w:szCs w:val="24"/>
          <w:highlight w:val="none"/>
        </w:rPr>
      </w:pPr>
      <w:r>
        <w:rPr>
          <w:rFonts w:hint="eastAsia" w:cs="宋体"/>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04CEDA99">
      <w:pPr>
        <w:spacing w:line="360" w:lineRule="auto"/>
        <w:ind w:firstLine="480" w:firstLineChars="200"/>
        <w:rPr>
          <w:rFonts w:cs="宋体"/>
          <w:kern w:val="2"/>
          <w:sz w:val="24"/>
          <w:szCs w:val="24"/>
          <w:highlight w:val="none"/>
        </w:rPr>
      </w:pPr>
      <w:r>
        <w:rPr>
          <w:rFonts w:hint="eastAsia" w:cs="宋体"/>
          <w:kern w:val="2"/>
          <w:sz w:val="24"/>
          <w:szCs w:val="24"/>
          <w:highlight w:val="none"/>
        </w:rPr>
        <w:t>二、本人承诺，一旦成交，将严格按照磋商文件规定履约。</w:t>
      </w:r>
    </w:p>
    <w:p w14:paraId="39AF7641">
      <w:pPr>
        <w:spacing w:line="360" w:lineRule="auto"/>
        <w:ind w:firstLine="480" w:firstLineChars="200"/>
        <w:rPr>
          <w:rFonts w:cs="宋体"/>
          <w:kern w:val="2"/>
          <w:sz w:val="24"/>
          <w:szCs w:val="24"/>
          <w:highlight w:val="none"/>
        </w:rPr>
      </w:pPr>
      <w:r>
        <w:rPr>
          <w:rFonts w:hint="eastAsia" w:cs="宋体"/>
          <w:kern w:val="2"/>
          <w:sz w:val="24"/>
          <w:szCs w:val="24"/>
          <w:highlight w:val="none"/>
        </w:rPr>
        <w:t>三、本人声明，对以上承诺，一旦发现虚假现象，本人愿意承担相应法律责任，并随时无条件配合监管部门调查取证。</w:t>
      </w:r>
    </w:p>
    <w:p w14:paraId="47D291FD">
      <w:pPr>
        <w:spacing w:line="360" w:lineRule="auto"/>
        <w:ind w:firstLine="480" w:firstLineChars="200"/>
        <w:rPr>
          <w:rFonts w:cs="宋体"/>
          <w:kern w:val="2"/>
          <w:sz w:val="24"/>
          <w:szCs w:val="24"/>
          <w:highlight w:val="none"/>
        </w:rPr>
      </w:pPr>
      <w:r>
        <w:rPr>
          <w:rFonts w:hint="eastAsia" w:cs="宋体"/>
          <w:kern w:val="2"/>
          <w:sz w:val="24"/>
          <w:szCs w:val="24"/>
          <w:highlight w:val="none"/>
        </w:rPr>
        <w:t>四、目前未在其他项目上任职或虽在其他项目上任职但本项目成交后能够从该项目撤离。</w:t>
      </w:r>
    </w:p>
    <w:p w14:paraId="610DB39D">
      <w:pPr>
        <w:spacing w:line="360" w:lineRule="auto"/>
        <w:ind w:firstLine="480" w:firstLineChars="200"/>
        <w:rPr>
          <w:rFonts w:cs="宋体"/>
          <w:kern w:val="2"/>
          <w:sz w:val="24"/>
          <w:szCs w:val="24"/>
          <w:highlight w:val="none"/>
        </w:rPr>
      </w:pPr>
    </w:p>
    <w:p w14:paraId="226FC341">
      <w:pPr>
        <w:spacing w:line="360" w:lineRule="auto"/>
        <w:ind w:firstLine="4200" w:firstLineChars="1750"/>
        <w:rPr>
          <w:rFonts w:cs="宋体"/>
          <w:kern w:val="2"/>
          <w:sz w:val="24"/>
          <w:szCs w:val="24"/>
          <w:highlight w:val="none"/>
        </w:rPr>
      </w:pPr>
      <w:r>
        <w:rPr>
          <w:rFonts w:hint="eastAsia" w:cs="宋体"/>
          <w:kern w:val="2"/>
          <w:sz w:val="24"/>
          <w:szCs w:val="24"/>
          <w:highlight w:val="none"/>
        </w:rPr>
        <w:t>项目经理签字：</w:t>
      </w:r>
      <w:r>
        <w:rPr>
          <w:rFonts w:hint="eastAsia" w:cs="宋体"/>
          <w:kern w:val="2"/>
          <w:sz w:val="24"/>
          <w:szCs w:val="24"/>
          <w:highlight w:val="none"/>
          <w:u w:val="single"/>
        </w:rPr>
        <w:t xml:space="preserve">                   </w:t>
      </w:r>
    </w:p>
    <w:p w14:paraId="5CDBA09D">
      <w:pPr>
        <w:spacing w:line="360" w:lineRule="auto"/>
        <w:ind w:firstLine="4200" w:firstLineChars="1750"/>
        <w:rPr>
          <w:rFonts w:cs="宋体"/>
          <w:kern w:val="2"/>
          <w:sz w:val="24"/>
          <w:szCs w:val="24"/>
          <w:highlight w:val="none"/>
        </w:rPr>
      </w:pPr>
      <w:r>
        <w:rPr>
          <w:rFonts w:hint="eastAsia" w:cs="宋体"/>
          <w:kern w:val="2"/>
          <w:sz w:val="24"/>
          <w:szCs w:val="24"/>
          <w:highlight w:val="none"/>
        </w:rPr>
        <w:t>身份证号：</w:t>
      </w:r>
      <w:r>
        <w:rPr>
          <w:rFonts w:hint="eastAsia" w:cs="宋体"/>
          <w:kern w:val="2"/>
          <w:sz w:val="24"/>
          <w:szCs w:val="24"/>
          <w:highlight w:val="none"/>
          <w:u w:val="single"/>
        </w:rPr>
        <w:t xml:space="preserve">                       </w:t>
      </w:r>
    </w:p>
    <w:p w14:paraId="69D4383F">
      <w:pPr>
        <w:spacing w:line="360" w:lineRule="auto"/>
        <w:ind w:firstLine="4200" w:firstLineChars="1750"/>
        <w:rPr>
          <w:rFonts w:cs="宋体"/>
          <w:kern w:val="2"/>
          <w:sz w:val="24"/>
          <w:szCs w:val="24"/>
          <w:highlight w:val="none"/>
        </w:rPr>
      </w:pPr>
      <w:r>
        <w:rPr>
          <w:rFonts w:hint="eastAsia" w:cs="宋体"/>
          <w:kern w:val="2"/>
          <w:sz w:val="24"/>
          <w:szCs w:val="24"/>
          <w:highlight w:val="none"/>
        </w:rPr>
        <w:t>日    期：</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p>
    <w:p w14:paraId="351E1062">
      <w:pPr>
        <w:spacing w:line="360" w:lineRule="auto"/>
        <w:ind w:firstLine="480" w:firstLineChars="200"/>
        <w:rPr>
          <w:rFonts w:cs="宋体"/>
          <w:kern w:val="2"/>
          <w:sz w:val="24"/>
          <w:szCs w:val="24"/>
          <w:highlight w:val="none"/>
        </w:rPr>
      </w:pPr>
    </w:p>
    <w:p w14:paraId="1D590F9C">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kern w:val="2"/>
          <w:sz w:val="24"/>
          <w:szCs w:val="24"/>
          <w:highlight w:val="none"/>
        </w:rPr>
        <w:t>注：本页后附项目经理身份证明扫描件。</w:t>
      </w:r>
    </w:p>
    <w:p w14:paraId="497F23CE">
      <w:pPr>
        <w:autoSpaceDE w:val="0"/>
        <w:autoSpaceDN w:val="0"/>
        <w:adjustRightInd w:val="0"/>
        <w:spacing w:line="360" w:lineRule="auto"/>
        <w:jc w:val="center"/>
        <w:rPr>
          <w:rFonts w:ascii="@仿宋_GB2312" w:eastAsia="@仿宋_GB2312" w:cs="宋体"/>
          <w:kern w:val="2"/>
          <w:sz w:val="24"/>
          <w:szCs w:val="24"/>
          <w:highlight w:val="none"/>
          <w:lang w:val="zh-CN"/>
        </w:rPr>
      </w:pPr>
      <w:bookmarkStart w:id="722" w:name="_Toc438648628"/>
      <w:r>
        <w:rPr>
          <w:rFonts w:hint="eastAsia" w:ascii="@仿宋_GB2312" w:eastAsia="@仿宋_GB2312" w:cs="宋体"/>
          <w:b/>
          <w:kern w:val="2"/>
          <w:sz w:val="24"/>
          <w:szCs w:val="24"/>
          <w:highlight w:val="none"/>
        </w:rPr>
        <w:br w:type="page"/>
      </w:r>
      <w:bookmarkEnd w:id="722"/>
    </w:p>
    <w:p w14:paraId="297FF9D0">
      <w:pPr>
        <w:spacing w:line="360" w:lineRule="auto"/>
        <w:jc w:val="center"/>
        <w:outlineLvl w:val="1"/>
        <w:rPr>
          <w:rFonts w:asciiTheme="minorEastAsia" w:hAnsiTheme="minorEastAsia" w:eastAsiaTheme="minorEastAsia"/>
          <w:b/>
          <w:sz w:val="24"/>
          <w:highlight w:val="none"/>
        </w:rPr>
      </w:pPr>
      <w:bookmarkStart w:id="723" w:name="_Toc31589"/>
      <w:bookmarkStart w:id="724" w:name="_Toc28359"/>
      <w:r>
        <w:rPr>
          <w:rFonts w:hint="eastAsia" w:asciiTheme="minorEastAsia" w:hAnsiTheme="minorEastAsia" w:eastAsiaTheme="minorEastAsia"/>
          <w:b/>
          <w:sz w:val="24"/>
          <w:highlight w:val="none"/>
        </w:rPr>
        <w:t>九、中小企业声明函</w:t>
      </w:r>
      <w:bookmarkEnd w:id="723"/>
      <w:bookmarkEnd w:id="724"/>
    </w:p>
    <w:p w14:paraId="306D760D">
      <w:pPr>
        <w:pStyle w:val="19"/>
        <w:spacing w:line="360" w:lineRule="auto"/>
        <w:jc w:val="center"/>
        <w:rPr>
          <w:rFonts w:asciiTheme="minorEastAsia" w:hAnsiTheme="minorEastAsia" w:eastAsiaTheme="minorEastAsia"/>
          <w:sz w:val="24"/>
          <w:highlight w:val="none"/>
        </w:rPr>
      </w:pPr>
      <w:r>
        <w:rPr>
          <w:rFonts w:hint="eastAsia" w:ascii="宋体" w:hAnsi="宋体" w:eastAsia="宋体"/>
          <w:i/>
          <w:sz w:val="24"/>
          <w:highlight w:val="none"/>
          <w:lang w:val="en-US"/>
        </w:rPr>
        <w:t>（</w:t>
      </w:r>
      <w:r>
        <w:rPr>
          <w:rFonts w:hint="eastAsia" w:ascii="宋体" w:hAnsi="宋体" w:eastAsia="宋体"/>
          <w:i/>
          <w:sz w:val="24"/>
          <w:highlight w:val="none"/>
        </w:rPr>
        <w:t>非中小企业</w:t>
      </w:r>
      <w:r>
        <w:rPr>
          <w:rFonts w:hint="eastAsia" w:ascii="宋体" w:hAnsi="宋体" w:eastAsia="宋体"/>
          <w:i/>
          <w:sz w:val="24"/>
          <w:highlight w:val="none"/>
          <w:lang w:val="en-US"/>
        </w:rPr>
        <w:t>磋商，不需此件，请删去“中小企业声明函”）</w:t>
      </w:r>
    </w:p>
    <w:p w14:paraId="283A30AA">
      <w:pPr>
        <w:spacing w:line="360" w:lineRule="auto"/>
        <w:ind w:firstLine="435"/>
        <w:rPr>
          <w:rFonts w:cs="@仿宋_GB2312"/>
          <w:kern w:val="2"/>
          <w:sz w:val="24"/>
          <w:szCs w:val="24"/>
          <w:highlight w:val="none"/>
          <w:lang w:val="zh-CN"/>
        </w:rPr>
      </w:pPr>
      <w:r>
        <w:rPr>
          <w:rFonts w:hint="eastAsia" w:cs="@仿宋_GB2312"/>
          <w:kern w:val="2"/>
          <w:sz w:val="24"/>
          <w:szCs w:val="24"/>
          <w:highlight w:val="none"/>
          <w:lang w:val="zh-CN"/>
        </w:rPr>
        <w:t>本公司（联合体）郑重声明，根据《政府采购促进中小企业发展管理办法》（财库﹝2020﹞46号）的规定，本公司（联合体）参加</w:t>
      </w:r>
      <w:r>
        <w:rPr>
          <w:rFonts w:hint="eastAsia" w:cs="@仿宋_GB2312"/>
          <w:kern w:val="2"/>
          <w:sz w:val="24"/>
          <w:szCs w:val="24"/>
          <w:highlight w:val="none"/>
          <w:u w:val="single"/>
          <w:lang w:val="zh-CN"/>
        </w:rPr>
        <w:t>（单位</w:t>
      </w:r>
      <w:r>
        <w:rPr>
          <w:rFonts w:hint="eastAsia" w:cs="@仿宋_GB2312"/>
          <w:kern w:val="2"/>
          <w:sz w:val="24"/>
          <w:szCs w:val="24"/>
          <w:highlight w:val="none"/>
          <w:u w:val="single"/>
        </w:rPr>
        <w:t>名称</w:t>
      </w:r>
      <w:r>
        <w:rPr>
          <w:rFonts w:hint="eastAsia" w:cs="@仿宋_GB2312"/>
          <w:kern w:val="2"/>
          <w:sz w:val="24"/>
          <w:szCs w:val="24"/>
          <w:highlight w:val="none"/>
          <w:u w:val="single"/>
          <w:lang w:val="zh-CN"/>
        </w:rPr>
        <w:t>）</w:t>
      </w:r>
      <w:r>
        <w:rPr>
          <w:rFonts w:hint="eastAsia" w:cs="@仿宋_GB2312"/>
          <w:kern w:val="2"/>
          <w:sz w:val="24"/>
          <w:szCs w:val="24"/>
          <w:highlight w:val="none"/>
          <w:lang w:val="zh-CN"/>
        </w:rPr>
        <w:t>的</w:t>
      </w:r>
      <w:r>
        <w:rPr>
          <w:rFonts w:hint="eastAsia" w:cs="@仿宋_GB2312"/>
          <w:kern w:val="2"/>
          <w:sz w:val="24"/>
          <w:szCs w:val="24"/>
          <w:highlight w:val="none"/>
          <w:u w:val="single"/>
          <w:lang w:val="zh-CN"/>
        </w:rPr>
        <w:t>（项目</w:t>
      </w:r>
      <w:r>
        <w:rPr>
          <w:rFonts w:hint="eastAsia" w:cs="@仿宋_GB2312"/>
          <w:kern w:val="2"/>
          <w:sz w:val="24"/>
          <w:szCs w:val="24"/>
          <w:highlight w:val="none"/>
          <w:u w:val="single"/>
        </w:rPr>
        <w:t>名称</w:t>
      </w:r>
      <w:r>
        <w:rPr>
          <w:rFonts w:hint="eastAsia" w:cs="@仿宋_GB2312"/>
          <w:kern w:val="2"/>
          <w:sz w:val="24"/>
          <w:szCs w:val="24"/>
          <w:highlight w:val="none"/>
          <w:u w:val="single"/>
          <w:lang w:val="zh-CN"/>
        </w:rPr>
        <w:t>）</w:t>
      </w:r>
      <w:r>
        <w:rPr>
          <w:rFonts w:hint="eastAsia" w:cs="@仿宋_GB2312"/>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5F08B834">
      <w:pPr>
        <w:spacing w:line="360" w:lineRule="auto"/>
        <w:ind w:firstLine="435"/>
        <w:rPr>
          <w:rFonts w:cs="@仿宋_GB2312"/>
          <w:kern w:val="2"/>
          <w:sz w:val="24"/>
          <w:szCs w:val="24"/>
          <w:highlight w:val="none"/>
          <w:lang w:val="zh-CN"/>
        </w:rPr>
      </w:pPr>
      <w:r>
        <w:rPr>
          <w:rFonts w:hint="eastAsia" w:cs="@仿宋_GB2312"/>
          <w:kern w:val="2"/>
          <w:sz w:val="24"/>
          <w:szCs w:val="24"/>
          <w:highlight w:val="none"/>
          <w:lang w:val="zh-CN"/>
        </w:rPr>
        <w:t>1.</w:t>
      </w:r>
      <w:r>
        <w:rPr>
          <w:rFonts w:hint="eastAsia" w:cs="@仿宋_GB2312"/>
          <w:kern w:val="2"/>
          <w:sz w:val="24"/>
          <w:szCs w:val="24"/>
          <w:highlight w:val="none"/>
          <w:u w:val="single"/>
          <w:lang w:val="zh-CN"/>
        </w:rPr>
        <w:t xml:space="preserve"> （标的名称） </w:t>
      </w:r>
      <w:r>
        <w:rPr>
          <w:rFonts w:hint="eastAsia" w:cs="@仿宋_GB2312"/>
          <w:kern w:val="2"/>
          <w:sz w:val="24"/>
          <w:szCs w:val="24"/>
          <w:highlight w:val="none"/>
          <w:lang w:val="zh-CN"/>
        </w:rPr>
        <w:t>，属于</w:t>
      </w:r>
      <w:r>
        <w:rPr>
          <w:rFonts w:hint="eastAsia" w:cs="@仿宋_GB2312"/>
          <w:kern w:val="2"/>
          <w:sz w:val="24"/>
          <w:szCs w:val="24"/>
          <w:highlight w:val="none"/>
          <w:u w:val="single"/>
          <w:lang w:val="zh-CN"/>
        </w:rPr>
        <w:t>（采购文件中明确的所属行业）</w:t>
      </w:r>
      <w:r>
        <w:rPr>
          <w:rFonts w:hint="eastAsia" w:cs="@仿宋_GB2312"/>
          <w:kern w:val="2"/>
          <w:sz w:val="24"/>
          <w:szCs w:val="24"/>
          <w:highlight w:val="none"/>
          <w:lang w:val="zh-CN"/>
        </w:rPr>
        <w:t>行业；承建企业为</w:t>
      </w:r>
      <w:r>
        <w:rPr>
          <w:rFonts w:hint="eastAsia" w:cs="@仿宋_GB2312"/>
          <w:kern w:val="2"/>
          <w:sz w:val="24"/>
          <w:szCs w:val="24"/>
          <w:highlight w:val="none"/>
          <w:u w:val="single"/>
          <w:lang w:val="zh-CN"/>
        </w:rPr>
        <w:t>（企业名称）</w:t>
      </w:r>
      <w:r>
        <w:rPr>
          <w:rFonts w:hint="eastAsia" w:cs="@仿宋_GB2312"/>
          <w:kern w:val="2"/>
          <w:sz w:val="24"/>
          <w:szCs w:val="24"/>
          <w:highlight w:val="none"/>
          <w:lang w:val="zh-CN"/>
        </w:rPr>
        <w:t>，从业人员</w:t>
      </w:r>
      <w:r>
        <w:rPr>
          <w:rFonts w:hint="eastAsia" w:cs="@仿宋_GB2312"/>
          <w:kern w:val="2"/>
          <w:sz w:val="24"/>
          <w:szCs w:val="24"/>
          <w:highlight w:val="none"/>
          <w:u w:val="single"/>
          <w:lang w:val="zh-CN"/>
        </w:rPr>
        <w:t xml:space="preserve">     </w:t>
      </w:r>
      <w:r>
        <w:rPr>
          <w:rFonts w:hint="eastAsia" w:cs="@仿宋_GB2312"/>
          <w:kern w:val="2"/>
          <w:sz w:val="24"/>
          <w:szCs w:val="24"/>
          <w:highlight w:val="none"/>
          <w:lang w:val="zh-CN"/>
        </w:rPr>
        <w:t>人，营业收入为</w:t>
      </w:r>
      <w:r>
        <w:rPr>
          <w:rFonts w:hint="eastAsia" w:cs="@仿宋_GB2312"/>
          <w:kern w:val="2"/>
          <w:sz w:val="24"/>
          <w:szCs w:val="24"/>
          <w:highlight w:val="none"/>
          <w:u w:val="single"/>
          <w:lang w:val="zh-CN"/>
        </w:rPr>
        <w:t xml:space="preserve">     </w:t>
      </w:r>
      <w:r>
        <w:rPr>
          <w:rFonts w:hint="eastAsia" w:cs="@仿宋_GB2312"/>
          <w:kern w:val="2"/>
          <w:sz w:val="24"/>
          <w:szCs w:val="24"/>
          <w:highlight w:val="none"/>
          <w:lang w:val="zh-CN"/>
        </w:rPr>
        <w:t>万元，资产总额为</w:t>
      </w:r>
      <w:r>
        <w:rPr>
          <w:rFonts w:hint="eastAsia" w:cs="@仿宋_GB2312"/>
          <w:kern w:val="2"/>
          <w:sz w:val="24"/>
          <w:szCs w:val="24"/>
          <w:highlight w:val="none"/>
          <w:u w:val="single"/>
          <w:lang w:val="zh-CN"/>
        </w:rPr>
        <w:t xml:space="preserve">     </w:t>
      </w:r>
      <w:r>
        <w:rPr>
          <w:rFonts w:hint="eastAsia" w:cs="@仿宋_GB2312"/>
          <w:kern w:val="2"/>
          <w:sz w:val="24"/>
          <w:szCs w:val="24"/>
          <w:highlight w:val="none"/>
          <w:lang w:val="zh-CN"/>
        </w:rPr>
        <w:t>万元，属于</w:t>
      </w:r>
      <w:r>
        <w:rPr>
          <w:rFonts w:hint="eastAsia" w:cs="@仿宋_GB2312"/>
          <w:kern w:val="2"/>
          <w:sz w:val="24"/>
          <w:szCs w:val="24"/>
          <w:highlight w:val="none"/>
          <w:u w:val="single"/>
          <w:lang w:val="zh-CN"/>
        </w:rPr>
        <w:t>（中型企业、小型企业、微型企业）</w:t>
      </w:r>
      <w:r>
        <w:rPr>
          <w:rFonts w:hint="eastAsia" w:cs="@仿宋_GB2312"/>
          <w:kern w:val="2"/>
          <w:sz w:val="24"/>
          <w:szCs w:val="24"/>
          <w:highlight w:val="none"/>
          <w:lang w:val="zh-CN"/>
        </w:rPr>
        <w:t xml:space="preserve">； </w:t>
      </w:r>
    </w:p>
    <w:p w14:paraId="4930ACCB">
      <w:pPr>
        <w:spacing w:line="360" w:lineRule="auto"/>
        <w:ind w:firstLine="435"/>
        <w:rPr>
          <w:rFonts w:cs="@仿宋_GB2312"/>
          <w:kern w:val="2"/>
          <w:sz w:val="24"/>
          <w:szCs w:val="24"/>
          <w:highlight w:val="none"/>
          <w:lang w:val="zh-CN"/>
        </w:rPr>
      </w:pPr>
      <w:r>
        <w:rPr>
          <w:rFonts w:hint="eastAsia" w:cs="@仿宋_GB2312"/>
          <w:kern w:val="2"/>
          <w:sz w:val="24"/>
          <w:szCs w:val="24"/>
          <w:highlight w:val="none"/>
          <w:lang w:val="zh-CN"/>
        </w:rPr>
        <w:t>2.</w:t>
      </w:r>
      <w:r>
        <w:rPr>
          <w:rFonts w:hint="eastAsia" w:cs="@仿宋_GB2312"/>
          <w:kern w:val="2"/>
          <w:sz w:val="24"/>
          <w:szCs w:val="24"/>
          <w:highlight w:val="none"/>
          <w:u w:val="single"/>
          <w:lang w:val="zh-CN"/>
        </w:rPr>
        <w:t xml:space="preserve"> （标的名称） </w:t>
      </w:r>
      <w:r>
        <w:rPr>
          <w:rFonts w:hint="eastAsia" w:cs="@仿宋_GB2312"/>
          <w:kern w:val="2"/>
          <w:sz w:val="24"/>
          <w:szCs w:val="24"/>
          <w:highlight w:val="none"/>
          <w:lang w:val="zh-CN"/>
        </w:rPr>
        <w:t>，属于</w:t>
      </w:r>
      <w:r>
        <w:rPr>
          <w:rFonts w:hint="eastAsia" w:cs="@仿宋_GB2312"/>
          <w:kern w:val="2"/>
          <w:sz w:val="24"/>
          <w:szCs w:val="24"/>
          <w:highlight w:val="none"/>
          <w:u w:val="single"/>
          <w:lang w:val="zh-CN"/>
        </w:rPr>
        <w:t>（采购文件中明确的所属行业）</w:t>
      </w:r>
      <w:r>
        <w:rPr>
          <w:rFonts w:hint="eastAsia" w:cs="@仿宋_GB2312"/>
          <w:kern w:val="2"/>
          <w:sz w:val="24"/>
          <w:szCs w:val="24"/>
          <w:highlight w:val="none"/>
          <w:lang w:val="zh-CN"/>
        </w:rPr>
        <w:t>行业；承建企业为</w:t>
      </w:r>
      <w:r>
        <w:rPr>
          <w:rFonts w:hint="eastAsia" w:cs="@仿宋_GB2312"/>
          <w:kern w:val="2"/>
          <w:sz w:val="24"/>
          <w:szCs w:val="24"/>
          <w:highlight w:val="none"/>
          <w:u w:val="single"/>
          <w:lang w:val="zh-CN"/>
        </w:rPr>
        <w:t>（企业名称）</w:t>
      </w:r>
      <w:r>
        <w:rPr>
          <w:rFonts w:hint="eastAsia" w:cs="@仿宋_GB2312"/>
          <w:kern w:val="2"/>
          <w:sz w:val="24"/>
          <w:szCs w:val="24"/>
          <w:highlight w:val="none"/>
          <w:lang w:val="zh-CN"/>
        </w:rPr>
        <w:t>，从业人员</w:t>
      </w:r>
      <w:r>
        <w:rPr>
          <w:rFonts w:hint="eastAsia" w:cs="@仿宋_GB2312"/>
          <w:kern w:val="2"/>
          <w:sz w:val="24"/>
          <w:szCs w:val="24"/>
          <w:highlight w:val="none"/>
          <w:u w:val="single"/>
          <w:lang w:val="zh-CN"/>
        </w:rPr>
        <w:t xml:space="preserve">     </w:t>
      </w:r>
      <w:r>
        <w:rPr>
          <w:rFonts w:hint="eastAsia" w:cs="@仿宋_GB2312"/>
          <w:kern w:val="2"/>
          <w:sz w:val="24"/>
          <w:szCs w:val="24"/>
          <w:highlight w:val="none"/>
          <w:lang w:val="zh-CN"/>
        </w:rPr>
        <w:t>人，营业收入为</w:t>
      </w:r>
      <w:r>
        <w:rPr>
          <w:rFonts w:hint="eastAsia" w:cs="@仿宋_GB2312"/>
          <w:kern w:val="2"/>
          <w:sz w:val="24"/>
          <w:szCs w:val="24"/>
          <w:highlight w:val="none"/>
          <w:u w:val="single"/>
          <w:lang w:val="zh-CN"/>
        </w:rPr>
        <w:t xml:space="preserve">     </w:t>
      </w:r>
      <w:r>
        <w:rPr>
          <w:rFonts w:hint="eastAsia" w:cs="@仿宋_GB2312"/>
          <w:kern w:val="2"/>
          <w:sz w:val="24"/>
          <w:szCs w:val="24"/>
          <w:highlight w:val="none"/>
          <w:lang w:val="zh-CN"/>
        </w:rPr>
        <w:t>万元，资产总额为</w:t>
      </w:r>
      <w:r>
        <w:rPr>
          <w:rFonts w:hint="eastAsia" w:cs="@仿宋_GB2312"/>
          <w:kern w:val="2"/>
          <w:sz w:val="24"/>
          <w:szCs w:val="24"/>
          <w:highlight w:val="none"/>
          <w:u w:val="single"/>
          <w:lang w:val="zh-CN"/>
        </w:rPr>
        <w:t xml:space="preserve">     </w:t>
      </w:r>
      <w:r>
        <w:rPr>
          <w:rFonts w:hint="eastAsia" w:cs="@仿宋_GB2312"/>
          <w:kern w:val="2"/>
          <w:sz w:val="24"/>
          <w:szCs w:val="24"/>
          <w:highlight w:val="none"/>
          <w:lang w:val="zh-CN"/>
        </w:rPr>
        <w:t>万元，属于</w:t>
      </w:r>
      <w:r>
        <w:rPr>
          <w:rFonts w:hint="eastAsia" w:cs="@仿宋_GB2312"/>
          <w:kern w:val="2"/>
          <w:sz w:val="24"/>
          <w:szCs w:val="24"/>
          <w:highlight w:val="none"/>
          <w:u w:val="single"/>
          <w:lang w:val="zh-CN"/>
        </w:rPr>
        <w:t>（中型企业、小型企业、微型企业）</w:t>
      </w:r>
      <w:r>
        <w:rPr>
          <w:rFonts w:hint="eastAsia" w:cs="@仿宋_GB2312"/>
          <w:kern w:val="2"/>
          <w:sz w:val="24"/>
          <w:szCs w:val="24"/>
          <w:highlight w:val="none"/>
          <w:lang w:val="zh-CN"/>
        </w:rPr>
        <w:t xml:space="preserve">； </w:t>
      </w:r>
    </w:p>
    <w:p w14:paraId="79749A74">
      <w:pPr>
        <w:spacing w:line="360" w:lineRule="auto"/>
        <w:ind w:firstLine="435"/>
        <w:rPr>
          <w:rFonts w:cs="@仿宋_GB2312"/>
          <w:kern w:val="2"/>
          <w:sz w:val="24"/>
          <w:szCs w:val="24"/>
          <w:highlight w:val="none"/>
          <w:lang w:val="zh-CN"/>
        </w:rPr>
      </w:pPr>
      <w:r>
        <w:rPr>
          <w:rFonts w:hint="eastAsia" w:cs="@仿宋_GB2312"/>
          <w:kern w:val="2"/>
          <w:sz w:val="24"/>
          <w:szCs w:val="24"/>
          <w:highlight w:val="none"/>
          <w:lang w:val="zh-CN"/>
        </w:rPr>
        <w:t>……</w:t>
      </w:r>
    </w:p>
    <w:p w14:paraId="6DE11509">
      <w:pPr>
        <w:spacing w:line="360" w:lineRule="auto"/>
        <w:ind w:firstLine="435"/>
        <w:rPr>
          <w:rFonts w:cs="@仿宋_GB2312"/>
          <w:kern w:val="2"/>
          <w:sz w:val="24"/>
          <w:szCs w:val="24"/>
          <w:highlight w:val="none"/>
          <w:lang w:val="zh-CN"/>
        </w:rPr>
      </w:pPr>
      <w:r>
        <w:rPr>
          <w:rFonts w:hint="eastAsia" w:cs="@仿宋_GB2312"/>
          <w:kern w:val="2"/>
          <w:sz w:val="24"/>
          <w:szCs w:val="24"/>
          <w:highlight w:val="none"/>
          <w:lang w:val="zh-CN"/>
        </w:rPr>
        <w:t>以上企业，不属于大企业的分支机构，不存在控股股东为大企业的情形，也不存在与大企业的负责人为同一人的情形。</w:t>
      </w:r>
    </w:p>
    <w:p w14:paraId="24C21FD9">
      <w:pPr>
        <w:spacing w:line="360" w:lineRule="auto"/>
        <w:ind w:firstLine="435"/>
        <w:rPr>
          <w:rFonts w:cs="@仿宋_GB2312"/>
          <w:kern w:val="2"/>
          <w:sz w:val="24"/>
          <w:szCs w:val="24"/>
          <w:highlight w:val="none"/>
          <w:lang w:val="zh-CN"/>
        </w:rPr>
      </w:pPr>
      <w:r>
        <w:rPr>
          <w:rFonts w:hint="eastAsia" w:cs="@仿宋_GB2312"/>
          <w:kern w:val="2"/>
          <w:sz w:val="24"/>
          <w:szCs w:val="24"/>
          <w:highlight w:val="none"/>
          <w:lang w:val="zh-CN"/>
        </w:rPr>
        <w:t xml:space="preserve">本企业对上述声明内容的真实性负责。如有虚假，将依法承担相应责任。 </w:t>
      </w:r>
    </w:p>
    <w:p w14:paraId="5CC36242">
      <w:pPr>
        <w:spacing w:line="360" w:lineRule="auto"/>
        <w:ind w:firstLine="435"/>
        <w:rPr>
          <w:rFonts w:cs="@仿宋_GB2312" w:asciiTheme="minorEastAsia" w:hAnsiTheme="minorEastAsia" w:eastAsiaTheme="minorEastAsia"/>
          <w:kern w:val="2"/>
          <w:sz w:val="24"/>
          <w:szCs w:val="24"/>
          <w:highlight w:val="none"/>
        </w:rPr>
      </w:pPr>
    </w:p>
    <w:p w14:paraId="161AE51B">
      <w:pPr>
        <w:spacing w:line="360" w:lineRule="auto"/>
        <w:ind w:firstLine="435"/>
        <w:rPr>
          <w:rFonts w:cs="@仿宋_GB2312" w:asciiTheme="minorEastAsia" w:hAnsiTheme="minorEastAsia" w:eastAsiaTheme="minorEastAsia"/>
          <w:kern w:val="2"/>
          <w:sz w:val="24"/>
          <w:szCs w:val="24"/>
          <w:highlight w:val="none"/>
        </w:rPr>
      </w:pPr>
    </w:p>
    <w:p w14:paraId="30684FAD">
      <w:pPr>
        <w:spacing w:line="360" w:lineRule="auto"/>
        <w:ind w:firstLine="4228" w:firstLineChars="1762"/>
        <w:rPr>
          <w:rFonts w:cs="@仿宋_GB2312" w:asciiTheme="minorEastAsia" w:hAnsiTheme="minorEastAsia" w:eastAsiaTheme="minorEastAsia"/>
          <w:kern w:val="2"/>
          <w:sz w:val="24"/>
          <w:szCs w:val="24"/>
          <w:highlight w:val="none"/>
          <w:u w:val="single"/>
        </w:rPr>
      </w:pPr>
      <w:r>
        <w:rPr>
          <w:rFonts w:hint="eastAsia" w:cs="@仿宋_GB2312" w:asciiTheme="minorEastAsia" w:hAnsiTheme="minorEastAsia" w:eastAsiaTheme="minorEastAsia"/>
          <w:kern w:val="2"/>
          <w:sz w:val="24"/>
          <w:szCs w:val="24"/>
          <w:highlight w:val="none"/>
        </w:rPr>
        <w:t>供应商</w:t>
      </w:r>
      <w:r>
        <w:rPr>
          <w:rFonts w:cs="@仿宋_GB2312" w:asciiTheme="minorEastAsia" w:hAnsiTheme="minorEastAsia" w:eastAsiaTheme="minorEastAsia"/>
          <w:kern w:val="2"/>
          <w:sz w:val="24"/>
          <w:szCs w:val="24"/>
          <w:highlight w:val="none"/>
        </w:rPr>
        <w:t>电子签章</w:t>
      </w:r>
      <w:r>
        <w:rPr>
          <w:rFonts w:hint="eastAsia" w:cs="@仿宋_GB2312" w:asciiTheme="minorEastAsia" w:hAnsiTheme="minorEastAsia" w:eastAsiaTheme="minorEastAsia"/>
          <w:kern w:val="2"/>
          <w:sz w:val="24"/>
          <w:szCs w:val="24"/>
          <w:highlight w:val="none"/>
        </w:rPr>
        <w:t>：</w:t>
      </w:r>
      <w:r>
        <w:rPr>
          <w:rFonts w:cs="@仿宋_GB2312" w:asciiTheme="minorEastAsia" w:hAnsiTheme="minorEastAsia" w:eastAsiaTheme="minorEastAsia"/>
          <w:kern w:val="2"/>
          <w:sz w:val="24"/>
          <w:szCs w:val="24"/>
          <w:highlight w:val="none"/>
          <w:u w:val="single"/>
        </w:rPr>
        <w:t xml:space="preserve">             </w:t>
      </w:r>
    </w:p>
    <w:p w14:paraId="6B4DA1D5">
      <w:pPr>
        <w:tabs>
          <w:tab w:val="left" w:pos="4620"/>
        </w:tabs>
        <w:spacing w:line="360" w:lineRule="auto"/>
        <w:ind w:firstLine="4252" w:firstLineChars="1772"/>
        <w:rPr>
          <w:rFonts w:cs="@仿宋_GB2312" w:asciiTheme="minorEastAsia" w:hAnsiTheme="minorEastAsia" w:eastAsiaTheme="minorEastAsia"/>
          <w:kern w:val="2"/>
          <w:sz w:val="24"/>
          <w:szCs w:val="24"/>
          <w:highlight w:val="none"/>
          <w:u w:val="single"/>
        </w:rPr>
      </w:pPr>
      <w:r>
        <w:rPr>
          <w:rFonts w:hint="eastAsia" w:cs="@仿宋_GB2312" w:asciiTheme="minorEastAsia" w:hAnsiTheme="minorEastAsia" w:eastAsiaTheme="minorEastAsia"/>
          <w:kern w:val="2"/>
          <w:sz w:val="24"/>
          <w:szCs w:val="24"/>
          <w:highlight w:val="none"/>
        </w:rPr>
        <w:t>日</w:t>
      </w:r>
      <w:r>
        <w:rPr>
          <w:rFonts w:cs="@仿宋_GB2312" w:asciiTheme="minorEastAsia" w:hAnsiTheme="minorEastAsia" w:eastAsiaTheme="minorEastAsia"/>
          <w:kern w:val="2"/>
          <w:sz w:val="24"/>
          <w:szCs w:val="24"/>
          <w:highlight w:val="none"/>
        </w:rPr>
        <w:t xml:space="preserve">      </w:t>
      </w:r>
      <w:r>
        <w:rPr>
          <w:rFonts w:hint="eastAsia" w:cs="@仿宋_GB2312" w:asciiTheme="minorEastAsia" w:hAnsiTheme="minorEastAsia" w:eastAsiaTheme="minorEastAsia"/>
          <w:kern w:val="2"/>
          <w:sz w:val="24"/>
          <w:szCs w:val="24"/>
          <w:highlight w:val="none"/>
        </w:rPr>
        <w:t xml:space="preserve">    期：</w:t>
      </w:r>
      <w:r>
        <w:rPr>
          <w:rFonts w:cs="@仿宋_GB2312" w:asciiTheme="minorEastAsia" w:hAnsiTheme="minorEastAsia" w:eastAsiaTheme="minorEastAsia"/>
          <w:kern w:val="2"/>
          <w:sz w:val="24"/>
          <w:szCs w:val="24"/>
          <w:highlight w:val="none"/>
          <w:u w:val="single"/>
        </w:rPr>
        <w:t xml:space="preserve">             </w:t>
      </w:r>
    </w:p>
    <w:p w14:paraId="0858E2B2">
      <w:pPr>
        <w:tabs>
          <w:tab w:val="left" w:pos="4620"/>
        </w:tabs>
        <w:spacing w:line="360" w:lineRule="auto"/>
        <w:jc w:val="left"/>
        <w:rPr>
          <w:rFonts w:cs="@仿宋_GB2312" w:asciiTheme="minorEastAsia" w:hAnsiTheme="minorEastAsia" w:eastAsiaTheme="minorEastAsia"/>
          <w:kern w:val="2"/>
          <w:sz w:val="24"/>
          <w:szCs w:val="24"/>
          <w:highlight w:val="none"/>
        </w:rPr>
      </w:pPr>
    </w:p>
    <w:p w14:paraId="79603F1D">
      <w:pPr>
        <w:tabs>
          <w:tab w:val="left" w:pos="4620"/>
        </w:tabs>
        <w:spacing w:line="360" w:lineRule="auto"/>
        <w:jc w:val="left"/>
        <w:rPr>
          <w:rFonts w:cs="@仿宋_GB2312" w:asciiTheme="minorEastAsia" w:hAnsiTheme="minorEastAsia" w:eastAsiaTheme="minorEastAsia"/>
          <w:kern w:val="2"/>
          <w:sz w:val="24"/>
          <w:szCs w:val="24"/>
          <w:highlight w:val="none"/>
        </w:rPr>
      </w:pPr>
    </w:p>
    <w:p w14:paraId="6665FC84">
      <w:pPr>
        <w:tabs>
          <w:tab w:val="left" w:pos="4620"/>
        </w:tabs>
        <w:spacing w:line="360" w:lineRule="auto"/>
        <w:jc w:val="left"/>
        <w:rPr>
          <w:rFonts w:cs="@仿宋_GB2312" w:asciiTheme="minorEastAsia" w:hAnsiTheme="minorEastAsia" w:eastAsiaTheme="minorEastAsia"/>
          <w:kern w:val="2"/>
          <w:sz w:val="24"/>
          <w:szCs w:val="24"/>
          <w:highlight w:val="none"/>
        </w:rPr>
      </w:pPr>
    </w:p>
    <w:p w14:paraId="282B0256">
      <w:pPr>
        <w:tabs>
          <w:tab w:val="left" w:pos="4620"/>
        </w:tabs>
        <w:spacing w:line="360" w:lineRule="auto"/>
        <w:jc w:val="left"/>
        <w:rPr>
          <w:rFonts w:cs="@仿宋_GB2312" w:asciiTheme="minorEastAsia" w:hAnsiTheme="minorEastAsia" w:eastAsiaTheme="minorEastAsia"/>
          <w:kern w:val="2"/>
          <w:sz w:val="24"/>
          <w:szCs w:val="24"/>
          <w:highlight w:val="none"/>
        </w:rPr>
      </w:pPr>
    </w:p>
    <w:p w14:paraId="4FD4FB87">
      <w:pPr>
        <w:tabs>
          <w:tab w:val="left" w:pos="4620"/>
        </w:tabs>
        <w:spacing w:line="360" w:lineRule="auto"/>
        <w:jc w:val="left"/>
        <w:rPr>
          <w:rFonts w:cs="@仿宋_GB2312" w:asciiTheme="minorEastAsia" w:hAnsiTheme="minorEastAsia" w:eastAsiaTheme="minorEastAsia"/>
          <w:kern w:val="2"/>
          <w:sz w:val="24"/>
          <w:szCs w:val="24"/>
          <w:highlight w:val="none"/>
        </w:rPr>
      </w:pPr>
    </w:p>
    <w:p w14:paraId="10E93882">
      <w:pPr>
        <w:tabs>
          <w:tab w:val="left" w:pos="4620"/>
        </w:tabs>
        <w:spacing w:line="360" w:lineRule="auto"/>
        <w:jc w:val="left"/>
        <w:rPr>
          <w:rFonts w:cs="@仿宋_GB2312" w:asciiTheme="minorEastAsia" w:hAnsiTheme="minorEastAsia" w:eastAsiaTheme="minorEastAsia"/>
          <w:b/>
          <w:kern w:val="2"/>
          <w:sz w:val="21"/>
          <w:szCs w:val="24"/>
          <w:highlight w:val="none"/>
        </w:rPr>
      </w:pPr>
      <w:r>
        <w:rPr>
          <w:rFonts w:hint="eastAsia" w:cs="@仿宋_GB2312" w:asciiTheme="minorEastAsia" w:hAnsiTheme="minorEastAsia" w:eastAsiaTheme="minorEastAsia"/>
          <w:b/>
          <w:kern w:val="2"/>
          <w:sz w:val="21"/>
          <w:szCs w:val="24"/>
          <w:highlight w:val="none"/>
        </w:rPr>
        <w:t>注：</w:t>
      </w:r>
    </w:p>
    <w:p w14:paraId="42BFF141">
      <w:pPr>
        <w:tabs>
          <w:tab w:val="left" w:pos="4620"/>
        </w:tabs>
        <w:spacing w:line="360" w:lineRule="auto"/>
        <w:jc w:val="left"/>
        <w:rPr>
          <w:rFonts w:cs="@仿宋_GB2312" w:asciiTheme="minorEastAsia" w:hAnsiTheme="minorEastAsia" w:eastAsiaTheme="minorEastAsia"/>
          <w:kern w:val="2"/>
          <w:sz w:val="21"/>
          <w:szCs w:val="24"/>
          <w:highlight w:val="none"/>
        </w:rPr>
      </w:pPr>
      <w:r>
        <w:rPr>
          <w:rFonts w:cs="@仿宋_GB2312" w:asciiTheme="minorEastAsia" w:hAnsiTheme="minorEastAsia" w:eastAsiaTheme="minorEastAsia"/>
          <w:kern w:val="2"/>
          <w:sz w:val="21"/>
          <w:szCs w:val="24"/>
          <w:highlight w:val="none"/>
        </w:rPr>
        <w:t>1.从业人员、营业收入、资产总额填报上一年数据，无上一年数据的新成立企业可不填报。</w:t>
      </w:r>
    </w:p>
    <w:p w14:paraId="19517FD2">
      <w:pPr>
        <w:tabs>
          <w:tab w:val="left" w:pos="4620"/>
        </w:tabs>
        <w:spacing w:line="360" w:lineRule="auto"/>
        <w:jc w:val="left"/>
        <w:rPr>
          <w:rFonts w:cs="宋体"/>
          <w:b/>
          <w:bCs/>
          <w:kern w:val="2"/>
          <w:sz w:val="21"/>
          <w:szCs w:val="21"/>
          <w:highlight w:val="none"/>
        </w:rPr>
      </w:pPr>
      <w:r>
        <w:rPr>
          <w:rFonts w:hint="eastAsia" w:cs="宋体"/>
          <w:b/>
          <w:bCs/>
          <w:sz w:val="21"/>
          <w:szCs w:val="21"/>
          <w:highlight w:val="none"/>
        </w:rPr>
        <w:t>2.</w:t>
      </w:r>
      <w:r>
        <w:rPr>
          <w:rFonts w:hint="eastAsia" w:cs="宋体"/>
          <w:b/>
          <w:bCs/>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kern w:val="2"/>
          <w:sz w:val="21"/>
          <w:szCs w:val="21"/>
          <w:highlight w:val="none"/>
          <w:lang w:val="zh-CN"/>
        </w:rPr>
        <w:t>如有虚假，将依法承担相应责任。</w:t>
      </w:r>
      <w:r>
        <w:rPr>
          <w:rFonts w:hint="eastAsia" w:cs="宋体"/>
          <w:b/>
          <w:bCs/>
          <w:kern w:val="2"/>
          <w:sz w:val="21"/>
          <w:szCs w:val="21"/>
          <w:highlight w:val="none"/>
        </w:rPr>
        <w:t>供应商自行登录工业和信息化部官网进行中小企业规模类型自测（查询网址https://www.miit.gov.cn/）。</w:t>
      </w:r>
    </w:p>
    <w:p w14:paraId="1EE89293">
      <w:pPr>
        <w:tabs>
          <w:tab w:val="left" w:pos="4620"/>
        </w:tabs>
        <w:spacing w:line="360" w:lineRule="auto"/>
        <w:jc w:val="left"/>
        <w:rPr>
          <w:rFonts w:cs="宋体"/>
          <w:b/>
          <w:bCs/>
          <w:kern w:val="2"/>
          <w:sz w:val="21"/>
          <w:szCs w:val="21"/>
          <w:highlight w:val="none"/>
        </w:rPr>
      </w:pPr>
      <w:r>
        <w:rPr>
          <w:rFonts w:hint="eastAsia" w:cs="宋体"/>
          <w:b/>
          <w:bCs/>
          <w:kern w:val="2"/>
          <w:sz w:val="21"/>
          <w:szCs w:val="21"/>
          <w:highlight w:val="none"/>
        </w:rPr>
        <w:t>3.上述“</w:t>
      </w:r>
      <w:r>
        <w:rPr>
          <w:rFonts w:hint="eastAsia" w:cs="宋体"/>
          <w:b/>
          <w:bCs/>
          <w:kern w:val="2"/>
          <w:sz w:val="21"/>
          <w:szCs w:val="21"/>
          <w:highlight w:val="none"/>
          <w:u w:val="single"/>
          <w:lang w:val="zh-CN"/>
        </w:rPr>
        <w:t>标的名称</w:t>
      </w:r>
      <w:r>
        <w:rPr>
          <w:rFonts w:hint="eastAsia" w:cs="宋体"/>
          <w:b/>
          <w:bCs/>
          <w:kern w:val="2"/>
          <w:sz w:val="21"/>
          <w:szCs w:val="21"/>
          <w:highlight w:val="none"/>
        </w:rPr>
        <w:t>”，详见第三章采购需求前附表中明确的“标的名称”。</w:t>
      </w:r>
    </w:p>
    <w:p w14:paraId="74C838D2">
      <w:pPr>
        <w:tabs>
          <w:tab w:val="left" w:pos="4620"/>
        </w:tabs>
        <w:spacing w:line="360" w:lineRule="auto"/>
        <w:jc w:val="left"/>
        <w:rPr>
          <w:rFonts w:cs="宋体"/>
          <w:b/>
          <w:bCs/>
          <w:kern w:val="2"/>
          <w:sz w:val="21"/>
          <w:szCs w:val="21"/>
          <w:highlight w:val="none"/>
        </w:rPr>
      </w:pPr>
      <w:r>
        <w:rPr>
          <w:rFonts w:hint="eastAsia" w:cs="宋体"/>
          <w:b/>
          <w:bCs/>
          <w:kern w:val="2"/>
          <w:sz w:val="21"/>
          <w:szCs w:val="21"/>
          <w:highlight w:val="none"/>
        </w:rPr>
        <w:t>4.上述“</w:t>
      </w:r>
      <w:r>
        <w:rPr>
          <w:rFonts w:hint="eastAsia" w:cs="宋体"/>
          <w:b/>
          <w:bCs/>
          <w:kern w:val="2"/>
          <w:sz w:val="21"/>
          <w:szCs w:val="21"/>
          <w:highlight w:val="none"/>
          <w:u w:val="single"/>
        </w:rPr>
        <w:t>采购文件中明确的所属行业</w:t>
      </w:r>
      <w:r>
        <w:rPr>
          <w:rFonts w:hint="eastAsia" w:cs="宋体"/>
          <w:b/>
          <w:bCs/>
          <w:kern w:val="2"/>
          <w:sz w:val="21"/>
          <w:szCs w:val="21"/>
          <w:highlight w:val="none"/>
        </w:rPr>
        <w:t>”，详见第三章采购需求前附表中明确的“所属行业”。</w:t>
      </w:r>
    </w:p>
    <w:p w14:paraId="26773811">
      <w:pPr>
        <w:tabs>
          <w:tab w:val="left" w:pos="4620"/>
        </w:tabs>
        <w:spacing w:line="360" w:lineRule="auto"/>
        <w:jc w:val="left"/>
        <w:rPr>
          <w:rFonts w:cs="宋体"/>
          <w:b/>
          <w:bCs/>
          <w:kern w:val="2"/>
          <w:sz w:val="21"/>
          <w:szCs w:val="21"/>
          <w:highlight w:val="none"/>
        </w:rPr>
      </w:pPr>
      <w:r>
        <w:rPr>
          <w:rFonts w:hint="eastAsia" w:cs="宋体"/>
          <w:b/>
          <w:bCs/>
          <w:kern w:val="2"/>
          <w:sz w:val="21"/>
          <w:szCs w:val="21"/>
          <w:highlight w:val="none"/>
        </w:rPr>
        <w:t>5．</w:t>
      </w:r>
      <w:r>
        <w:rPr>
          <w:rFonts w:hint="eastAsia" w:cs="宋体"/>
          <w:b/>
          <w:bCs/>
          <w:szCs w:val="21"/>
          <w:highlight w:val="none"/>
        </w:rPr>
        <w:t>填写示例：</w:t>
      </w:r>
      <w:r>
        <w:rPr>
          <w:rFonts w:hint="eastAsia" w:cs="宋体"/>
          <w:b/>
          <w:bCs/>
          <w:szCs w:val="21"/>
          <w:highlight w:val="none"/>
          <w:u w:val="single"/>
        </w:rPr>
        <w:t>某标的名称</w:t>
      </w:r>
      <w:r>
        <w:rPr>
          <w:rFonts w:hint="eastAsia" w:cs="宋体"/>
          <w:b/>
          <w:bCs/>
          <w:szCs w:val="21"/>
          <w:highlight w:val="none"/>
        </w:rPr>
        <w:t>（</w:t>
      </w:r>
      <w:r>
        <w:rPr>
          <w:rFonts w:hint="eastAsia" w:cs="宋体"/>
          <w:b/>
          <w:bCs/>
          <w:szCs w:val="21"/>
          <w:highlight w:val="none"/>
          <w:u w:val="single"/>
        </w:rPr>
        <w:t>填写第三章采购需求前附表中明确的“标的名称”</w:t>
      </w:r>
      <w:r>
        <w:rPr>
          <w:rFonts w:hint="eastAsia" w:cs="宋体"/>
          <w:b/>
          <w:bCs/>
          <w:szCs w:val="21"/>
          <w:highlight w:val="none"/>
        </w:rPr>
        <w:t>），属于</w:t>
      </w:r>
      <w:r>
        <w:rPr>
          <w:rFonts w:hint="eastAsia" w:cs="宋体"/>
          <w:b/>
          <w:bCs/>
          <w:szCs w:val="21"/>
          <w:highlight w:val="none"/>
          <w:u w:val="single"/>
        </w:rPr>
        <w:t>（填写第三章采购需求前附表中明确的“所属行业”，如建筑业）</w:t>
      </w:r>
      <w:r>
        <w:rPr>
          <w:rFonts w:hint="eastAsia" w:cs="宋体"/>
          <w:b/>
          <w:bCs/>
          <w:szCs w:val="21"/>
          <w:highlight w:val="none"/>
        </w:rPr>
        <w:t>行业；承建企业为</w:t>
      </w:r>
      <w:r>
        <w:rPr>
          <w:rFonts w:hint="eastAsia" w:cs="宋体"/>
          <w:b/>
          <w:bCs/>
          <w:szCs w:val="21"/>
          <w:highlight w:val="none"/>
          <w:u w:val="single"/>
          <w:lang w:val="zh-CN"/>
        </w:rPr>
        <w:t>某公司</w:t>
      </w:r>
      <w:r>
        <w:rPr>
          <w:rFonts w:hint="eastAsia" w:cs="宋体"/>
          <w:b/>
          <w:bCs/>
          <w:szCs w:val="21"/>
          <w:highlight w:val="none"/>
        </w:rPr>
        <w:t>，</w:t>
      </w:r>
      <w:r>
        <w:rPr>
          <w:rFonts w:hint="eastAsia" w:cs="宋体"/>
          <w:b/>
          <w:bCs/>
          <w:szCs w:val="21"/>
          <w:highlight w:val="none"/>
          <w:lang w:val="zh-CN"/>
        </w:rPr>
        <w:t>从业人员</w:t>
      </w:r>
      <w:r>
        <w:rPr>
          <w:rFonts w:hint="eastAsia" w:cs="宋体"/>
          <w:b/>
          <w:bCs/>
          <w:szCs w:val="21"/>
          <w:highlight w:val="none"/>
          <w:u w:val="single"/>
        </w:rPr>
        <w:t>100</w:t>
      </w:r>
      <w:r>
        <w:rPr>
          <w:rFonts w:hint="eastAsia" w:cs="宋体"/>
          <w:b/>
          <w:bCs/>
          <w:szCs w:val="21"/>
          <w:highlight w:val="none"/>
          <w:lang w:val="zh-CN"/>
        </w:rPr>
        <w:t>人</w:t>
      </w:r>
      <w:r>
        <w:rPr>
          <w:rFonts w:hint="eastAsia" w:cs="宋体"/>
          <w:b/>
          <w:bCs/>
          <w:szCs w:val="21"/>
          <w:highlight w:val="none"/>
        </w:rPr>
        <w:t>，</w:t>
      </w:r>
      <w:r>
        <w:rPr>
          <w:rFonts w:hint="eastAsia" w:cs="宋体"/>
          <w:b/>
          <w:bCs/>
          <w:szCs w:val="21"/>
          <w:highlight w:val="none"/>
          <w:lang w:val="zh-CN"/>
        </w:rPr>
        <w:t>营业收入为</w:t>
      </w:r>
      <w:r>
        <w:rPr>
          <w:rFonts w:hint="eastAsia" w:cs="宋体"/>
          <w:b/>
          <w:bCs/>
          <w:szCs w:val="21"/>
          <w:highlight w:val="none"/>
          <w:u w:val="single"/>
        </w:rPr>
        <w:t>10000</w:t>
      </w:r>
      <w:r>
        <w:rPr>
          <w:rFonts w:hint="eastAsia" w:cs="宋体"/>
          <w:b/>
          <w:bCs/>
          <w:szCs w:val="21"/>
          <w:highlight w:val="none"/>
          <w:lang w:val="zh-CN"/>
        </w:rPr>
        <w:t>万元</w:t>
      </w:r>
      <w:r>
        <w:rPr>
          <w:rFonts w:hint="eastAsia" w:cs="宋体"/>
          <w:b/>
          <w:bCs/>
          <w:szCs w:val="21"/>
          <w:highlight w:val="none"/>
        </w:rPr>
        <w:t>，</w:t>
      </w:r>
      <w:r>
        <w:rPr>
          <w:rFonts w:hint="eastAsia" w:cs="宋体"/>
          <w:b/>
          <w:bCs/>
          <w:szCs w:val="21"/>
          <w:highlight w:val="none"/>
          <w:lang w:val="zh-CN"/>
        </w:rPr>
        <w:t>资产总额为</w:t>
      </w:r>
      <w:r>
        <w:rPr>
          <w:rFonts w:hint="eastAsia" w:cs="宋体"/>
          <w:b/>
          <w:bCs/>
          <w:szCs w:val="21"/>
          <w:highlight w:val="none"/>
          <w:u w:val="single"/>
        </w:rPr>
        <w:t>5000</w:t>
      </w:r>
      <w:r>
        <w:rPr>
          <w:rFonts w:hint="eastAsia" w:cs="宋体"/>
          <w:b/>
          <w:bCs/>
          <w:szCs w:val="21"/>
          <w:highlight w:val="none"/>
          <w:lang w:val="zh-CN"/>
        </w:rPr>
        <w:t>万元</w:t>
      </w:r>
      <w:r>
        <w:rPr>
          <w:rFonts w:hint="eastAsia" w:cs="宋体"/>
          <w:b/>
          <w:bCs/>
          <w:szCs w:val="21"/>
          <w:highlight w:val="none"/>
        </w:rPr>
        <w:t>，</w:t>
      </w:r>
      <w:r>
        <w:rPr>
          <w:rFonts w:hint="eastAsia" w:cs="宋体"/>
          <w:b/>
          <w:bCs/>
          <w:szCs w:val="21"/>
          <w:highlight w:val="none"/>
          <w:lang w:val="zh-CN"/>
        </w:rPr>
        <w:t>属于</w:t>
      </w:r>
      <w:r>
        <w:rPr>
          <w:rFonts w:hint="eastAsia" w:cs="宋体"/>
          <w:b/>
          <w:bCs/>
          <w:szCs w:val="21"/>
          <w:highlight w:val="none"/>
        </w:rPr>
        <w:t>中</w:t>
      </w:r>
      <w:r>
        <w:rPr>
          <w:rFonts w:hint="eastAsia" w:cs="宋体"/>
          <w:b/>
          <w:bCs/>
          <w:szCs w:val="21"/>
          <w:highlight w:val="none"/>
          <w:u w:val="single"/>
          <w:lang w:val="zh-CN"/>
        </w:rPr>
        <w:t>型</w:t>
      </w:r>
      <w:r>
        <w:rPr>
          <w:rFonts w:hint="eastAsia" w:cs="宋体"/>
          <w:b/>
          <w:bCs/>
          <w:szCs w:val="21"/>
          <w:highlight w:val="none"/>
          <w:lang w:val="zh-CN"/>
        </w:rPr>
        <w:t>企业</w:t>
      </w:r>
      <w:r>
        <w:rPr>
          <w:rFonts w:hint="eastAsia" w:cs="宋体"/>
          <w:b/>
          <w:bCs/>
          <w:szCs w:val="21"/>
          <w:highlight w:val="none"/>
        </w:rPr>
        <w:t>[供应商自行登录工业和信息化部官网进行中小企业规模类型自测（查询网址https://www.miit.gov.cn/）]</w:t>
      </w:r>
      <w:r>
        <w:rPr>
          <w:rFonts w:hint="eastAsia" w:cs="宋体"/>
          <w:b/>
          <w:bCs/>
          <w:kern w:val="2"/>
          <w:sz w:val="21"/>
          <w:szCs w:val="21"/>
          <w:highlight w:val="none"/>
          <w:lang w:val="zh-CN"/>
        </w:rPr>
        <w:t>。</w:t>
      </w:r>
    </w:p>
    <w:p w14:paraId="375FA587">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26F64B3F">
      <w:pPr>
        <w:spacing w:line="360" w:lineRule="auto"/>
        <w:jc w:val="center"/>
        <w:outlineLvl w:val="1"/>
        <w:rPr>
          <w:rFonts w:asciiTheme="minorEastAsia" w:hAnsiTheme="minorEastAsia" w:eastAsiaTheme="minorEastAsia"/>
          <w:b/>
          <w:sz w:val="24"/>
          <w:highlight w:val="none"/>
        </w:rPr>
      </w:pPr>
      <w:bookmarkStart w:id="725" w:name="_Toc17813"/>
      <w:bookmarkStart w:id="726" w:name="_Toc17154"/>
      <w:r>
        <w:rPr>
          <w:rFonts w:hint="eastAsia" w:asciiTheme="minorEastAsia" w:hAnsiTheme="minorEastAsia" w:eastAsiaTheme="minorEastAsia"/>
          <w:b/>
          <w:sz w:val="24"/>
          <w:highlight w:val="none"/>
        </w:rPr>
        <w:t>十、残疾人福利性单位声明函</w:t>
      </w:r>
      <w:bookmarkEnd w:id="725"/>
      <w:bookmarkEnd w:id="726"/>
    </w:p>
    <w:p w14:paraId="44ED9215">
      <w:pPr>
        <w:pStyle w:val="19"/>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（非残疾人福利性单位磋商，请删去“残疾人福利性单位声明函”）</w:t>
      </w:r>
    </w:p>
    <w:p w14:paraId="4A0A284F">
      <w:pPr>
        <w:spacing w:line="360" w:lineRule="auto"/>
        <w:ind w:firstLine="435"/>
        <w:rPr>
          <w:rFonts w:cs="Times New Roman"/>
          <w:spacing w:val="6"/>
          <w:kern w:val="2"/>
          <w:sz w:val="24"/>
          <w:szCs w:val="24"/>
          <w:highlight w:val="none"/>
        </w:rPr>
      </w:pPr>
      <w:r>
        <w:rPr>
          <w:rFonts w:hint="eastAsia" w:cs="Times New Roman"/>
          <w:spacing w:val="6"/>
          <w:kern w:val="2"/>
          <w:sz w:val="24"/>
          <w:szCs w:val="24"/>
          <w:highlight w:val="none"/>
        </w:rPr>
        <w:t>本单位</w:t>
      </w:r>
      <w:r>
        <w:rPr>
          <w:rFonts w:hint="eastAsia" w:cs="Times New Roman"/>
          <w:kern w:val="2"/>
          <w:sz w:val="24"/>
          <w:szCs w:val="22"/>
          <w:highlight w:val="none"/>
        </w:rPr>
        <w:t>郑重</w:t>
      </w:r>
      <w:r>
        <w:rPr>
          <w:rFonts w:hint="eastAsia" w:cs="Times New Roman"/>
          <w:spacing w:val="6"/>
          <w:kern w:val="2"/>
          <w:sz w:val="24"/>
          <w:szCs w:val="24"/>
          <w:highlight w:val="none"/>
        </w:rPr>
        <w:t>声明，根据《财政部 民政部 中国残疾人联合会关于促进残疾人就业政府采购政策的通知》（财库</w:t>
      </w:r>
      <w:r>
        <w:rPr>
          <w:rFonts w:hint="eastAsia" w:cs="Times New Roman"/>
          <w:kern w:val="2"/>
          <w:sz w:val="24"/>
          <w:szCs w:val="24"/>
          <w:highlight w:val="none"/>
        </w:rPr>
        <w:t>〔2017〕141</w:t>
      </w:r>
      <w:r>
        <w:rPr>
          <w:rFonts w:hint="eastAsia" w:cs="Times New Roman"/>
          <w:spacing w:val="6"/>
          <w:kern w:val="2"/>
          <w:sz w:val="24"/>
          <w:szCs w:val="24"/>
          <w:highlight w:val="none"/>
        </w:rPr>
        <w:t>号）的规定，</w:t>
      </w:r>
      <w:r>
        <w:rPr>
          <w:rFonts w:hint="eastAsia" w:asciiTheme="minorEastAsia" w:hAnsiTheme="minorEastAsia" w:eastAsiaTheme="minorEastAsia"/>
          <w:spacing w:val="6"/>
          <w:sz w:val="24"/>
          <w:szCs w:val="24"/>
          <w:highlight w:val="none"/>
        </w:rPr>
        <w:t>本单位为</w:t>
      </w:r>
      <w:r>
        <w:rPr>
          <w:rFonts w:hint="eastAsia" w:asciiTheme="minorEastAsia" w:hAnsiTheme="minorEastAsia" w:eastAsiaTheme="minorEastAsia"/>
          <w:bCs/>
          <w:sz w:val="24"/>
          <w:szCs w:val="24"/>
          <w:highlight w:val="none"/>
        </w:rPr>
        <w:t>符合</w:t>
      </w:r>
      <w:r>
        <w:rPr>
          <w:rFonts w:hint="eastAsia" w:asciiTheme="minorEastAsia" w:hAnsiTheme="minorEastAsia" w:eastAsiaTheme="minorEastAsia"/>
          <w:spacing w:val="6"/>
          <w:sz w:val="24"/>
          <w:szCs w:val="24"/>
          <w:highlight w:val="none"/>
        </w:rPr>
        <w:t>条件的残疾人福利性单位，且本单位参加</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单位的</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6F220200">
      <w:pPr>
        <w:spacing w:line="360" w:lineRule="auto"/>
        <w:ind w:firstLine="435"/>
        <w:rPr>
          <w:rFonts w:cs="Times New Roman"/>
          <w:spacing w:val="6"/>
          <w:kern w:val="2"/>
          <w:sz w:val="24"/>
          <w:szCs w:val="24"/>
          <w:highlight w:val="none"/>
        </w:rPr>
      </w:pPr>
      <w:r>
        <w:rPr>
          <w:rFonts w:hint="eastAsia" w:cs="Times New Roman"/>
          <w:spacing w:val="6"/>
          <w:kern w:val="2"/>
          <w:sz w:val="24"/>
          <w:szCs w:val="24"/>
          <w:highlight w:val="none"/>
        </w:rPr>
        <w:t>本单位对上述声明的真实性负责。如有虚假，将依法承担相应责任。</w:t>
      </w:r>
    </w:p>
    <w:p w14:paraId="1092CDA1">
      <w:pPr>
        <w:spacing w:line="360" w:lineRule="auto"/>
        <w:ind w:firstLine="4228" w:firstLineChars="1762"/>
        <w:rPr>
          <w:rFonts w:cs="Times New Roman"/>
          <w:kern w:val="2"/>
          <w:sz w:val="24"/>
          <w:szCs w:val="24"/>
          <w:highlight w:val="none"/>
        </w:rPr>
      </w:pPr>
    </w:p>
    <w:p w14:paraId="04A2408C">
      <w:pPr>
        <w:spacing w:line="360" w:lineRule="auto"/>
        <w:ind w:firstLine="4228" w:firstLineChars="1762"/>
        <w:rPr>
          <w:rFonts w:cs="Times New Roman"/>
          <w:kern w:val="2"/>
          <w:sz w:val="24"/>
          <w:szCs w:val="24"/>
          <w:highlight w:val="none"/>
        </w:rPr>
      </w:pPr>
    </w:p>
    <w:p w14:paraId="5518A82B">
      <w:pPr>
        <w:spacing w:line="360" w:lineRule="auto"/>
        <w:ind w:firstLine="4228" w:firstLineChars="1762"/>
        <w:rPr>
          <w:rFonts w:cs="Times New Roman"/>
          <w:kern w:val="2"/>
          <w:sz w:val="24"/>
          <w:szCs w:val="24"/>
          <w:highlight w:val="none"/>
          <w:u w:val="single"/>
        </w:rPr>
      </w:pPr>
      <w:r>
        <w:rPr>
          <w:rFonts w:hint="eastAsia" w:cs="Times New Roman"/>
          <w:kern w:val="2"/>
          <w:sz w:val="24"/>
          <w:szCs w:val="24"/>
          <w:highlight w:val="none"/>
        </w:rPr>
        <w:t>供应商</w:t>
      </w:r>
      <w:r>
        <w:rPr>
          <w:rFonts w:cs="Times New Roman"/>
          <w:kern w:val="2"/>
          <w:sz w:val="24"/>
          <w:szCs w:val="24"/>
          <w:highlight w:val="none"/>
        </w:rPr>
        <w:t>电子签章</w:t>
      </w:r>
      <w:r>
        <w:rPr>
          <w:rFonts w:hint="eastAsia" w:cs="Times New Roman"/>
          <w:kern w:val="2"/>
          <w:sz w:val="24"/>
          <w:szCs w:val="24"/>
          <w:highlight w:val="none"/>
        </w:rPr>
        <w:t>：</w:t>
      </w:r>
      <w:r>
        <w:rPr>
          <w:rFonts w:cs="Times New Roman"/>
          <w:kern w:val="2"/>
          <w:sz w:val="24"/>
          <w:szCs w:val="24"/>
          <w:highlight w:val="none"/>
          <w:u w:val="single"/>
        </w:rPr>
        <w:t xml:space="preserve">             </w:t>
      </w:r>
    </w:p>
    <w:p w14:paraId="321B48AE">
      <w:pPr>
        <w:tabs>
          <w:tab w:val="left" w:pos="4620"/>
        </w:tabs>
        <w:spacing w:line="360" w:lineRule="auto"/>
        <w:ind w:firstLine="4252" w:firstLineChars="1772"/>
        <w:rPr>
          <w:rFonts w:cs="Times New Roman"/>
          <w:kern w:val="2"/>
          <w:sz w:val="24"/>
          <w:szCs w:val="24"/>
          <w:highlight w:val="none"/>
          <w:u w:val="single"/>
        </w:rPr>
      </w:pPr>
      <w:r>
        <w:rPr>
          <w:rFonts w:hint="eastAsia" w:cs="Times New Roman"/>
          <w:kern w:val="2"/>
          <w:sz w:val="24"/>
          <w:szCs w:val="24"/>
          <w:highlight w:val="none"/>
        </w:rPr>
        <w:t>日</w:t>
      </w:r>
      <w:r>
        <w:rPr>
          <w:rFonts w:cs="Times New Roman"/>
          <w:kern w:val="2"/>
          <w:sz w:val="24"/>
          <w:szCs w:val="24"/>
          <w:highlight w:val="none"/>
        </w:rPr>
        <w:t xml:space="preserve">      </w:t>
      </w:r>
      <w:r>
        <w:rPr>
          <w:rFonts w:hint="eastAsia" w:cs="Times New Roman"/>
          <w:kern w:val="2"/>
          <w:sz w:val="24"/>
          <w:szCs w:val="24"/>
          <w:highlight w:val="none"/>
        </w:rPr>
        <w:t xml:space="preserve">    期：</w:t>
      </w:r>
      <w:r>
        <w:rPr>
          <w:rFonts w:cs="Times New Roman"/>
          <w:kern w:val="2"/>
          <w:sz w:val="24"/>
          <w:szCs w:val="24"/>
          <w:highlight w:val="none"/>
          <w:u w:val="single"/>
        </w:rPr>
        <w:t xml:space="preserve">             </w:t>
      </w:r>
    </w:p>
    <w:p w14:paraId="34F0EE9E">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05C54EF0">
      <w:pPr>
        <w:spacing w:line="360" w:lineRule="auto"/>
        <w:jc w:val="center"/>
        <w:outlineLvl w:val="1"/>
        <w:rPr>
          <w:rFonts w:asciiTheme="minorEastAsia" w:hAnsiTheme="minorEastAsia" w:eastAsiaTheme="minorEastAsia"/>
          <w:b/>
          <w:sz w:val="24"/>
          <w:highlight w:val="none"/>
        </w:rPr>
      </w:pPr>
      <w:bookmarkStart w:id="727" w:name="_Toc26894"/>
      <w:bookmarkStart w:id="728" w:name="_Toc17768"/>
      <w:bookmarkStart w:id="729" w:name="_Hlk44283088"/>
      <w:r>
        <w:rPr>
          <w:rFonts w:hint="eastAsia" w:asciiTheme="minorEastAsia" w:hAnsiTheme="minorEastAsia" w:eastAsiaTheme="minorEastAsia"/>
          <w:b/>
          <w:sz w:val="24"/>
          <w:highlight w:val="none"/>
        </w:rPr>
        <w:t>十一、诚信履约承诺函</w:t>
      </w:r>
      <w:bookmarkEnd w:id="727"/>
      <w:bookmarkEnd w:id="728"/>
    </w:p>
    <w:p w14:paraId="50565901">
      <w:pPr>
        <w:spacing w:line="360" w:lineRule="auto"/>
        <w:rPr>
          <w:rFonts w:cs="@仿宋_GB2312" w:asciiTheme="minorEastAsia" w:hAnsiTheme="minorEastAsia" w:eastAsiaTheme="minorEastAsia"/>
          <w:b/>
          <w:bCs/>
          <w:kern w:val="2"/>
          <w:sz w:val="24"/>
          <w:highlight w:val="none"/>
        </w:rPr>
      </w:pPr>
    </w:p>
    <w:p w14:paraId="0700843D">
      <w:pPr>
        <w:spacing w:line="360" w:lineRule="auto"/>
        <w:rPr>
          <w:rFonts w:cs="@仿宋_GB2312" w:asciiTheme="minorEastAsia" w:hAnsiTheme="minorEastAsia" w:eastAsiaTheme="minorEastAsia"/>
          <w:b/>
          <w:bCs/>
          <w:kern w:val="2"/>
          <w:sz w:val="24"/>
          <w:highlight w:val="none"/>
          <w:u w:val="single"/>
        </w:rPr>
      </w:pPr>
      <w:r>
        <w:rPr>
          <w:rFonts w:hint="eastAsia" w:cs="@仿宋_GB2312" w:asciiTheme="minorEastAsia" w:hAnsiTheme="minorEastAsia" w:eastAsiaTheme="minorEastAsia"/>
          <w:b/>
          <w:bCs/>
          <w:kern w:val="2"/>
          <w:sz w:val="24"/>
          <w:highlight w:val="none"/>
        </w:rPr>
        <w:t>致：采购人</w:t>
      </w:r>
    </w:p>
    <w:p w14:paraId="226BA8A2">
      <w:pPr>
        <w:spacing w:line="360" w:lineRule="auto"/>
        <w:ind w:firstLine="480" w:firstLineChars="200"/>
        <w:rPr>
          <w:rFonts w:cs="@仿宋_GB2312" w:asciiTheme="minorEastAsia" w:hAnsiTheme="minorEastAsia" w:eastAsiaTheme="minorEastAsia"/>
          <w:bCs/>
          <w:kern w:val="2"/>
          <w:sz w:val="24"/>
          <w:highlight w:val="none"/>
        </w:rPr>
      </w:pPr>
      <w:r>
        <w:rPr>
          <w:rFonts w:hint="eastAsia" w:cs="@仿宋_GB2312" w:asciiTheme="minorEastAsia" w:hAnsiTheme="minorEastAsia" w:eastAsiaTheme="minorEastAsia"/>
          <w:bCs/>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42F1FC1B">
      <w:pPr>
        <w:spacing w:line="360" w:lineRule="auto"/>
        <w:ind w:firstLine="480" w:firstLineChars="200"/>
        <w:rPr>
          <w:rFonts w:cs="@仿宋_GB2312" w:asciiTheme="minorEastAsia" w:hAnsiTheme="minorEastAsia" w:eastAsiaTheme="minorEastAsia"/>
          <w:bCs/>
          <w:kern w:val="2"/>
          <w:sz w:val="24"/>
          <w:highlight w:val="none"/>
        </w:rPr>
      </w:pPr>
      <w:r>
        <w:rPr>
          <w:rFonts w:hint="eastAsia" w:cs="@仿宋_GB2312" w:asciiTheme="minorEastAsia" w:hAnsiTheme="minorEastAsia" w:eastAsiaTheme="minorEastAsia"/>
          <w:bCs/>
          <w:kern w:val="2"/>
          <w:sz w:val="24"/>
          <w:highlight w:val="none"/>
        </w:rPr>
        <w:t>（1）中标或者成交后无正当理由拒不与采购人签订政府采购合同；</w:t>
      </w:r>
    </w:p>
    <w:p w14:paraId="0013BABF">
      <w:pPr>
        <w:spacing w:line="360" w:lineRule="auto"/>
        <w:ind w:firstLine="480" w:firstLineChars="200"/>
        <w:rPr>
          <w:rFonts w:cs="@仿宋_GB2312" w:asciiTheme="minorEastAsia" w:hAnsiTheme="minorEastAsia" w:eastAsiaTheme="minorEastAsia"/>
          <w:bCs/>
          <w:kern w:val="2"/>
          <w:sz w:val="24"/>
          <w:highlight w:val="none"/>
        </w:rPr>
      </w:pPr>
      <w:r>
        <w:rPr>
          <w:rFonts w:hint="eastAsia" w:cs="@仿宋_GB2312" w:asciiTheme="minorEastAsia" w:hAnsiTheme="minorEastAsia" w:eastAsiaTheme="minorEastAsia"/>
          <w:bCs/>
          <w:kern w:val="2"/>
          <w:sz w:val="24"/>
          <w:highlight w:val="none"/>
        </w:rPr>
        <w:t>（2）未按照采购文件确定的事项签订政府采购合同；</w:t>
      </w:r>
    </w:p>
    <w:p w14:paraId="4583F5C3">
      <w:pPr>
        <w:spacing w:line="360" w:lineRule="auto"/>
        <w:ind w:firstLine="480" w:firstLineChars="200"/>
        <w:rPr>
          <w:rFonts w:cs="@仿宋_GB2312" w:asciiTheme="minorEastAsia" w:hAnsiTheme="minorEastAsia" w:eastAsiaTheme="minorEastAsia"/>
          <w:bCs/>
          <w:kern w:val="2"/>
          <w:sz w:val="24"/>
          <w:highlight w:val="none"/>
        </w:rPr>
      </w:pPr>
      <w:r>
        <w:rPr>
          <w:rFonts w:hint="eastAsia" w:cs="@仿宋_GB2312" w:asciiTheme="minorEastAsia" w:hAnsiTheme="minorEastAsia" w:eastAsiaTheme="minorEastAsia"/>
          <w:bCs/>
          <w:kern w:val="2"/>
          <w:sz w:val="24"/>
          <w:highlight w:val="none"/>
        </w:rPr>
        <w:t>（3）将政府采购合同转包；</w:t>
      </w:r>
    </w:p>
    <w:p w14:paraId="560C399B">
      <w:pPr>
        <w:spacing w:line="360" w:lineRule="auto"/>
        <w:ind w:firstLine="480" w:firstLineChars="200"/>
        <w:rPr>
          <w:rFonts w:cs="@仿宋_GB2312" w:asciiTheme="minorEastAsia" w:hAnsiTheme="minorEastAsia" w:eastAsiaTheme="minorEastAsia"/>
          <w:bCs/>
          <w:kern w:val="2"/>
          <w:sz w:val="24"/>
          <w:highlight w:val="none"/>
        </w:rPr>
      </w:pPr>
      <w:r>
        <w:rPr>
          <w:rFonts w:hint="eastAsia" w:cs="@仿宋_GB2312" w:asciiTheme="minorEastAsia" w:hAnsiTheme="minorEastAsia" w:eastAsiaTheme="minorEastAsia"/>
          <w:bCs/>
          <w:kern w:val="2"/>
          <w:sz w:val="24"/>
          <w:highlight w:val="none"/>
        </w:rPr>
        <w:t>（4）提供假冒伪劣产品；</w:t>
      </w:r>
    </w:p>
    <w:p w14:paraId="69F2C9CE">
      <w:pPr>
        <w:spacing w:line="360" w:lineRule="auto"/>
        <w:ind w:firstLine="480" w:firstLineChars="200"/>
        <w:rPr>
          <w:rFonts w:cs="@仿宋_GB2312" w:asciiTheme="minorEastAsia" w:hAnsiTheme="minorEastAsia" w:eastAsiaTheme="minorEastAsia"/>
          <w:bCs/>
          <w:kern w:val="2"/>
          <w:sz w:val="24"/>
          <w:highlight w:val="none"/>
        </w:rPr>
      </w:pPr>
      <w:r>
        <w:rPr>
          <w:rFonts w:hint="eastAsia" w:cs="@仿宋_GB2312" w:asciiTheme="minorEastAsia" w:hAnsiTheme="minorEastAsia" w:eastAsiaTheme="minorEastAsia"/>
          <w:bCs/>
          <w:kern w:val="2"/>
          <w:sz w:val="24"/>
          <w:highlight w:val="none"/>
        </w:rPr>
        <w:t>（5）擅自变更、中止或者终止政府采购合同。</w:t>
      </w:r>
    </w:p>
    <w:p w14:paraId="259A2F9B">
      <w:pPr>
        <w:spacing w:line="360" w:lineRule="auto"/>
        <w:ind w:firstLine="480" w:firstLineChars="200"/>
        <w:rPr>
          <w:rFonts w:cs="@仿宋_GB2312" w:asciiTheme="minorEastAsia" w:hAnsiTheme="minorEastAsia" w:eastAsiaTheme="minorEastAsia"/>
          <w:bCs/>
          <w:kern w:val="2"/>
          <w:sz w:val="24"/>
          <w:highlight w:val="none"/>
        </w:rPr>
      </w:pPr>
      <w:r>
        <w:rPr>
          <w:rFonts w:hint="eastAsia" w:cs="@仿宋_GB2312" w:asciiTheme="minorEastAsia" w:hAnsiTheme="minorEastAsia" w:eastAsiaTheme="minorEastAsia"/>
          <w:bCs/>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F31FC4F">
      <w:pPr>
        <w:spacing w:line="360" w:lineRule="auto"/>
        <w:rPr>
          <w:rFonts w:cs="@仿宋_GB2312" w:asciiTheme="minorEastAsia" w:hAnsiTheme="minorEastAsia" w:eastAsiaTheme="minorEastAsia"/>
          <w:bCs/>
          <w:kern w:val="2"/>
          <w:sz w:val="24"/>
          <w:highlight w:val="none"/>
        </w:rPr>
      </w:pPr>
    </w:p>
    <w:p w14:paraId="75B444B7">
      <w:pPr>
        <w:spacing w:line="360" w:lineRule="auto"/>
        <w:rPr>
          <w:rFonts w:cs="@仿宋_GB2312" w:asciiTheme="minorEastAsia" w:hAnsiTheme="minorEastAsia" w:eastAsiaTheme="minorEastAsia"/>
          <w:bCs/>
          <w:kern w:val="2"/>
          <w:sz w:val="24"/>
          <w:highlight w:val="none"/>
        </w:rPr>
      </w:pPr>
    </w:p>
    <w:p w14:paraId="45617488">
      <w:pPr>
        <w:spacing w:line="360" w:lineRule="auto"/>
        <w:ind w:firstLine="4320" w:firstLineChars="1800"/>
        <w:rPr>
          <w:rFonts w:cs="@仿宋_GB2312" w:asciiTheme="minorEastAsia" w:hAnsiTheme="minorEastAsia" w:eastAsiaTheme="minorEastAsia"/>
          <w:bCs/>
          <w:kern w:val="2"/>
          <w:sz w:val="24"/>
          <w:highlight w:val="none"/>
          <w:u w:val="single"/>
        </w:rPr>
      </w:pPr>
      <w:r>
        <w:rPr>
          <w:rFonts w:hint="eastAsia" w:cs="@仿宋_GB2312" w:asciiTheme="minorEastAsia" w:hAnsiTheme="minorEastAsia" w:eastAsiaTheme="minorEastAsia"/>
          <w:bCs/>
          <w:kern w:val="2"/>
          <w:sz w:val="24"/>
          <w:highlight w:val="none"/>
        </w:rPr>
        <w:t>供应商电子签章：</w:t>
      </w:r>
      <w:r>
        <w:rPr>
          <w:rFonts w:hint="eastAsia" w:cs="@仿宋_GB2312" w:asciiTheme="minorEastAsia" w:hAnsiTheme="minorEastAsia" w:eastAsiaTheme="minorEastAsia"/>
          <w:bCs/>
          <w:kern w:val="2"/>
          <w:sz w:val="24"/>
          <w:highlight w:val="none"/>
          <w:u w:val="single"/>
        </w:rPr>
        <w:t xml:space="preserve">     </w:t>
      </w:r>
      <w:r>
        <w:rPr>
          <w:rFonts w:cs="@仿宋_GB2312" w:asciiTheme="minorEastAsia" w:hAnsiTheme="minorEastAsia" w:eastAsiaTheme="minorEastAsia"/>
          <w:bCs/>
          <w:kern w:val="2"/>
          <w:sz w:val="24"/>
          <w:highlight w:val="none"/>
          <w:u w:val="single"/>
        </w:rPr>
        <w:t xml:space="preserve">    </w:t>
      </w:r>
      <w:r>
        <w:rPr>
          <w:rFonts w:hint="eastAsia" w:cs="@仿宋_GB2312" w:asciiTheme="minorEastAsia" w:hAnsiTheme="minorEastAsia" w:eastAsiaTheme="minorEastAsia"/>
          <w:bCs/>
          <w:kern w:val="2"/>
          <w:sz w:val="24"/>
          <w:highlight w:val="none"/>
          <w:u w:val="single"/>
        </w:rPr>
        <w:t xml:space="preserve">    </w:t>
      </w:r>
    </w:p>
    <w:p w14:paraId="2A20C47E">
      <w:pPr>
        <w:spacing w:line="360" w:lineRule="auto"/>
        <w:ind w:firstLine="4320" w:firstLineChars="1800"/>
        <w:rPr>
          <w:rFonts w:cs="@仿宋_GB2312" w:asciiTheme="minorEastAsia" w:hAnsiTheme="minorEastAsia" w:eastAsiaTheme="minorEastAsia"/>
          <w:bCs/>
          <w:kern w:val="2"/>
          <w:sz w:val="24"/>
          <w:highlight w:val="none"/>
        </w:rPr>
      </w:pPr>
      <w:r>
        <w:rPr>
          <w:rFonts w:hint="eastAsia" w:cs="@仿宋_GB2312" w:asciiTheme="minorEastAsia" w:hAnsiTheme="minorEastAsia" w:eastAsiaTheme="minorEastAsia"/>
          <w:bCs/>
          <w:kern w:val="2"/>
          <w:sz w:val="24"/>
          <w:highlight w:val="none"/>
        </w:rPr>
        <w:t>日          期：</w:t>
      </w:r>
      <w:r>
        <w:rPr>
          <w:rFonts w:hint="eastAsia" w:cs="@仿宋_GB2312" w:asciiTheme="minorEastAsia" w:hAnsiTheme="minorEastAsia" w:eastAsiaTheme="minorEastAsia"/>
          <w:bCs/>
          <w:kern w:val="2"/>
          <w:sz w:val="24"/>
          <w:highlight w:val="none"/>
          <w:u w:val="single"/>
        </w:rPr>
        <w:t xml:space="preserve">             </w:t>
      </w:r>
    </w:p>
    <w:p w14:paraId="5014E28F">
      <w:pPr>
        <w:widowControl/>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bookmarkEnd w:id="729"/>
    <w:p w14:paraId="197EADFA">
      <w:pPr>
        <w:spacing w:line="360" w:lineRule="auto"/>
        <w:jc w:val="center"/>
        <w:outlineLvl w:val="1"/>
        <w:rPr>
          <w:rFonts w:hint="eastAsia" w:asciiTheme="minorEastAsia" w:hAnsiTheme="minorEastAsia" w:eastAsiaTheme="minorEastAsia"/>
          <w:b/>
          <w:sz w:val="24"/>
          <w:highlight w:val="none"/>
          <w:lang w:val="en-US" w:eastAsia="zh-CN"/>
        </w:rPr>
      </w:pPr>
      <w:bookmarkStart w:id="730" w:name="_Toc8176"/>
      <w:bookmarkStart w:id="731" w:name="_Toc28645"/>
      <w:r>
        <w:rPr>
          <w:rFonts w:hint="eastAsia" w:asciiTheme="minorEastAsia" w:hAnsiTheme="minorEastAsia" w:eastAsiaTheme="minorEastAsia"/>
          <w:b/>
          <w:sz w:val="24"/>
          <w:highlight w:val="none"/>
          <w:lang w:val="en-US" w:eastAsia="zh-CN"/>
        </w:rPr>
        <w:t>十二、节能产品认证证书</w:t>
      </w:r>
    </w:p>
    <w:p w14:paraId="3EC020F8">
      <w:pPr>
        <w:spacing w:line="360" w:lineRule="auto"/>
        <w:jc w:val="center"/>
        <w:outlineLvl w:val="9"/>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lang w:eastAsia="zh-CN"/>
        </w:rPr>
        <w:t>（</w:t>
      </w:r>
      <w:r>
        <w:rPr>
          <w:rFonts w:hint="eastAsia" w:asciiTheme="minorEastAsia" w:hAnsiTheme="minorEastAsia" w:eastAsiaTheme="minorEastAsia"/>
          <w:b/>
          <w:sz w:val="24"/>
          <w:highlight w:val="none"/>
          <w:lang w:val="en-US" w:eastAsia="zh-CN"/>
        </w:rPr>
        <w:t>供应商在此处附上本项目政府强制采购节能产品认证证书（包括：小便器、蹲便器、座便器）</w:t>
      </w:r>
      <w:r>
        <w:rPr>
          <w:rFonts w:hint="eastAsia" w:asciiTheme="minorEastAsia" w:hAnsiTheme="minorEastAsia" w:eastAsiaTheme="minorEastAsia"/>
          <w:b/>
          <w:sz w:val="24"/>
          <w:highlight w:val="none"/>
        </w:rPr>
        <w:br w:type="page"/>
      </w:r>
    </w:p>
    <w:p w14:paraId="43E457D4">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三</w:t>
      </w:r>
      <w:r>
        <w:rPr>
          <w:rFonts w:hint="eastAsia" w:asciiTheme="minorEastAsia" w:hAnsiTheme="minorEastAsia" w:eastAsiaTheme="minorEastAsia"/>
          <w:b/>
          <w:sz w:val="24"/>
          <w:highlight w:val="none"/>
        </w:rPr>
        <w:t>、其他相关证明材料</w:t>
      </w:r>
      <w:bookmarkEnd w:id="730"/>
      <w:bookmarkEnd w:id="731"/>
    </w:p>
    <w:p w14:paraId="2F04F85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提供符合磋商邀请、采购需求及评标方法和标准规定的相关证明文件。</w:t>
      </w:r>
    </w:p>
    <w:p w14:paraId="25AC1407">
      <w:pPr>
        <w:spacing w:line="360" w:lineRule="auto"/>
        <w:ind w:firstLine="480" w:firstLineChars="200"/>
        <w:rPr>
          <w:rFonts w:asciiTheme="minorEastAsia" w:hAnsiTheme="minorEastAsia" w:eastAsiaTheme="minorEastAsia"/>
          <w:sz w:val="24"/>
          <w:highlight w:val="none"/>
        </w:rPr>
      </w:pPr>
    </w:p>
    <w:p w14:paraId="466EA4DF">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0A94D1F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供应商在响应文件制作时可在此栏内上传磋商文件</w:t>
      </w:r>
      <w:r>
        <w:rPr>
          <w:rFonts w:asciiTheme="minorEastAsia" w:hAnsiTheme="minorEastAsia" w:eastAsiaTheme="minorEastAsia"/>
          <w:sz w:val="24"/>
          <w:highlight w:val="none"/>
        </w:rPr>
        <w:t>要求上传的证明资料</w:t>
      </w:r>
      <w:r>
        <w:rPr>
          <w:rFonts w:hint="eastAsia" w:asciiTheme="minorEastAsia" w:hAnsiTheme="minorEastAsia" w:eastAsiaTheme="minorEastAsia"/>
          <w:sz w:val="24"/>
          <w:highlight w:val="none"/>
        </w:rPr>
        <w:t>，如营业执照、证书</w:t>
      </w:r>
      <w:r>
        <w:rPr>
          <w:rFonts w:asciiTheme="minorEastAsia" w:hAnsiTheme="minorEastAsia" w:eastAsiaTheme="minorEastAsia"/>
          <w:sz w:val="24"/>
          <w:highlight w:val="none"/>
        </w:rPr>
        <w:t>等，应将上述证明材料制作成扫描件上传。</w:t>
      </w:r>
    </w:p>
    <w:p w14:paraId="1A49D9E6">
      <w:pPr>
        <w:pStyle w:val="49"/>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highlight w:val="none"/>
        </w:rPr>
        <w:br w:type="page"/>
      </w:r>
    </w:p>
    <w:p w14:paraId="23019D18">
      <w:pPr>
        <w:widowControl/>
        <w:jc w:val="center"/>
        <w:outlineLvl w:val="0"/>
        <w:rPr>
          <w:b/>
          <w:bCs/>
          <w:sz w:val="28"/>
          <w:highlight w:val="none"/>
        </w:rPr>
      </w:pPr>
      <w:bookmarkStart w:id="732" w:name="_Toc24879"/>
      <w:r>
        <w:rPr>
          <w:rFonts w:hint="eastAsia"/>
          <w:b/>
          <w:bCs/>
          <w:sz w:val="28"/>
          <w:highlight w:val="none"/>
        </w:rPr>
        <w:t>第七章  政府采购</w:t>
      </w:r>
      <w:r>
        <w:rPr>
          <w:rFonts w:hint="eastAsia" w:asciiTheme="minorEastAsia" w:hAnsiTheme="minorEastAsia" w:eastAsiaTheme="minorEastAsia"/>
          <w:b/>
          <w:sz w:val="28"/>
          <w:highlight w:val="none"/>
        </w:rPr>
        <w:t>供应</w:t>
      </w:r>
      <w:r>
        <w:rPr>
          <w:rFonts w:hint="eastAsia"/>
          <w:b/>
          <w:bCs/>
          <w:sz w:val="28"/>
          <w:highlight w:val="none"/>
        </w:rPr>
        <w:t>商询问函和质疑函范本</w:t>
      </w:r>
      <w:bookmarkEnd w:id="732"/>
    </w:p>
    <w:p w14:paraId="750E9585">
      <w:pPr>
        <w:spacing w:line="360" w:lineRule="auto"/>
        <w:jc w:val="center"/>
        <w:outlineLvl w:val="1"/>
        <w:rPr>
          <w:rFonts w:ascii="仿宋" w:hAnsi="仿宋" w:eastAsia="仿宋" w:cs="仿宋"/>
          <w:b/>
          <w:bCs/>
          <w:sz w:val="32"/>
          <w:szCs w:val="44"/>
          <w:highlight w:val="none"/>
        </w:rPr>
      </w:pPr>
      <w:bookmarkStart w:id="733" w:name="_Toc2290"/>
      <w:bookmarkStart w:id="734" w:name="_Toc26448"/>
      <w:r>
        <w:rPr>
          <w:rFonts w:hint="eastAsia" w:ascii="仿宋" w:hAnsi="仿宋" w:eastAsia="仿宋" w:cs="仿宋"/>
          <w:b/>
          <w:bCs/>
          <w:sz w:val="32"/>
          <w:szCs w:val="44"/>
          <w:highlight w:val="none"/>
        </w:rPr>
        <w:t>询问函范本</w:t>
      </w:r>
      <w:bookmarkEnd w:id="733"/>
      <w:bookmarkEnd w:id="734"/>
    </w:p>
    <w:p w14:paraId="1E9926C1">
      <w:pPr>
        <w:adjustRightInd w:val="0"/>
        <w:snapToGrid w:val="0"/>
        <w:spacing w:line="360" w:lineRule="auto"/>
        <w:ind w:firstLine="480" w:firstLineChars="200"/>
        <w:jc w:val="center"/>
        <w:rPr>
          <w:rFonts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（如为对采购文件或采购程序的询问或疑问，请按询问函范本或电子交易系统中网上询问格式附件进行提交）</w:t>
      </w:r>
    </w:p>
    <w:p w14:paraId="63F8CF43">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致：采购人</w:t>
      </w:r>
    </w:p>
    <w:p w14:paraId="711492AA">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3206B53C">
      <w:pPr>
        <w:adjustRightInd w:val="0"/>
        <w:snapToGrid w:val="0"/>
        <w:spacing w:line="360" w:lineRule="auto"/>
        <w:ind w:firstLine="480" w:firstLineChars="200"/>
        <w:outlineLvl w:val="1"/>
        <w:rPr>
          <w:rFonts w:cs="仿宋" w:asciiTheme="minorEastAsia" w:hAnsiTheme="minorEastAsia" w:eastAsiaTheme="minorEastAsia"/>
          <w:sz w:val="24"/>
          <w:szCs w:val="24"/>
          <w:highlight w:val="none"/>
        </w:rPr>
      </w:pPr>
      <w:bookmarkStart w:id="735" w:name="_Toc32070"/>
      <w:bookmarkStart w:id="736" w:name="_Toc14234"/>
      <w:r>
        <w:rPr>
          <w:rFonts w:hint="eastAsia" w:cs="仿宋" w:asciiTheme="minorEastAsia" w:hAnsiTheme="minorEastAsia" w:eastAsiaTheme="minorEastAsia"/>
          <w:sz w:val="24"/>
          <w:szCs w:val="24"/>
          <w:highlight w:val="none"/>
        </w:rPr>
        <w:t>一、(事项一)</w:t>
      </w:r>
      <w:bookmarkEnd w:id="735"/>
      <w:bookmarkEnd w:id="736"/>
    </w:p>
    <w:p w14:paraId="3268151A">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520C29F8">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286802F9">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46781F98">
      <w:pPr>
        <w:adjustRightInd w:val="0"/>
        <w:snapToGrid w:val="0"/>
        <w:spacing w:line="360" w:lineRule="auto"/>
        <w:ind w:firstLine="480" w:firstLineChars="200"/>
        <w:outlineLvl w:val="1"/>
        <w:rPr>
          <w:rFonts w:cs="仿宋" w:asciiTheme="minorEastAsia" w:hAnsiTheme="minorEastAsia" w:eastAsiaTheme="minorEastAsia"/>
          <w:sz w:val="24"/>
          <w:szCs w:val="24"/>
          <w:highlight w:val="none"/>
        </w:rPr>
      </w:pPr>
      <w:bookmarkStart w:id="737" w:name="_Toc6489"/>
      <w:bookmarkStart w:id="738" w:name="_Toc16507"/>
      <w:r>
        <w:rPr>
          <w:rFonts w:hint="eastAsia" w:cs="仿宋" w:asciiTheme="minorEastAsia" w:hAnsiTheme="minorEastAsia" w:eastAsiaTheme="minorEastAsia"/>
          <w:sz w:val="24"/>
          <w:szCs w:val="24"/>
          <w:highlight w:val="none"/>
        </w:rPr>
        <w:t>二、(事项二)</w:t>
      </w:r>
      <w:bookmarkEnd w:id="737"/>
      <w:bookmarkEnd w:id="738"/>
    </w:p>
    <w:p w14:paraId="511B09FF">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0AC632F5">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1B51A615">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69C45E03">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3F0C25B6">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0DE6C9FC">
      <w:pPr>
        <w:rPr>
          <w:rFonts w:asciiTheme="minorEastAsia" w:hAnsiTheme="minorEastAsia" w:eastAsiaTheme="minorEastAsia"/>
          <w:b/>
          <w:sz w:val="52"/>
          <w:highlight w:val="none"/>
        </w:rPr>
      </w:pPr>
      <w:r>
        <w:rPr>
          <w:rFonts w:hint="eastAsia" w:ascii="仿宋" w:hAnsi="仿宋" w:eastAsia="仿宋" w:cs="仿宋"/>
          <w:b/>
          <w:bCs/>
          <w:sz w:val="32"/>
          <w:szCs w:val="44"/>
          <w:highlight w:val="none"/>
        </w:rPr>
        <w:br w:type="page"/>
      </w:r>
    </w:p>
    <w:p w14:paraId="01166F2F">
      <w:pPr>
        <w:jc w:val="center"/>
        <w:outlineLvl w:val="1"/>
        <w:rPr>
          <w:rFonts w:ascii="仿宋" w:hAnsi="仿宋" w:eastAsia="仿宋" w:cs="仿宋"/>
          <w:b/>
          <w:bCs/>
          <w:sz w:val="32"/>
          <w:szCs w:val="44"/>
          <w:highlight w:val="none"/>
        </w:rPr>
      </w:pPr>
      <w:bookmarkStart w:id="739" w:name="_Toc4923"/>
      <w:bookmarkStart w:id="740" w:name="_Toc26224"/>
      <w:r>
        <w:rPr>
          <w:rFonts w:hint="eastAsia" w:ascii="仿宋" w:hAnsi="仿宋" w:eastAsia="仿宋" w:cs="仿宋"/>
          <w:b/>
          <w:bCs/>
          <w:sz w:val="32"/>
          <w:szCs w:val="44"/>
          <w:highlight w:val="none"/>
        </w:rPr>
        <w:t>质疑函范本</w:t>
      </w:r>
      <w:bookmarkEnd w:id="739"/>
      <w:bookmarkEnd w:id="740"/>
    </w:p>
    <w:p w14:paraId="75D9B239">
      <w:pPr>
        <w:adjustRightInd w:val="0"/>
        <w:snapToGrid w:val="0"/>
        <w:spacing w:before="312" w:beforeLines="100" w:line="360" w:lineRule="auto"/>
        <w:outlineLvl w:val="1"/>
        <w:rPr>
          <w:rFonts w:cs="仿宋" w:asciiTheme="minorEastAsia" w:hAnsiTheme="minorEastAsia" w:eastAsiaTheme="minorEastAsia"/>
          <w:b/>
          <w:bCs/>
          <w:sz w:val="24"/>
          <w:szCs w:val="24"/>
          <w:highlight w:val="none"/>
        </w:rPr>
      </w:pPr>
      <w:bookmarkStart w:id="741" w:name="_Toc10663"/>
      <w:bookmarkStart w:id="742" w:name="_Toc3847"/>
      <w:r>
        <w:rPr>
          <w:rFonts w:hint="eastAsia" w:cs="仿宋" w:asciiTheme="minorEastAsia" w:hAnsiTheme="minorEastAsia" w:eastAsiaTheme="minorEastAsia"/>
          <w:b/>
          <w:bCs/>
          <w:sz w:val="24"/>
          <w:szCs w:val="24"/>
          <w:highlight w:val="none"/>
        </w:rPr>
        <w:t>一、质疑供应商基本信息</w:t>
      </w:r>
      <w:bookmarkEnd w:id="741"/>
      <w:bookmarkEnd w:id="742"/>
    </w:p>
    <w:p w14:paraId="1ECEF82F">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7A3C6FFD">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5D76877A">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30ECFA85">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7D27A04A">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6C626A6D">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17F43D0F">
      <w:pPr>
        <w:adjustRightInd w:val="0"/>
        <w:snapToGrid w:val="0"/>
        <w:spacing w:line="360" w:lineRule="auto"/>
        <w:outlineLvl w:val="1"/>
        <w:rPr>
          <w:rFonts w:cs="仿宋" w:asciiTheme="minorEastAsia" w:hAnsiTheme="minorEastAsia" w:eastAsiaTheme="minorEastAsia"/>
          <w:b/>
          <w:bCs/>
          <w:sz w:val="24"/>
          <w:szCs w:val="24"/>
          <w:highlight w:val="none"/>
        </w:rPr>
      </w:pPr>
      <w:bookmarkStart w:id="743" w:name="_Toc19182"/>
      <w:bookmarkStart w:id="744" w:name="_Toc30012"/>
      <w:r>
        <w:rPr>
          <w:rFonts w:hint="eastAsia" w:cs="仿宋" w:asciiTheme="minorEastAsia" w:hAnsiTheme="minorEastAsia" w:eastAsiaTheme="minorEastAsia"/>
          <w:b/>
          <w:bCs/>
          <w:sz w:val="24"/>
          <w:szCs w:val="24"/>
          <w:highlight w:val="none"/>
        </w:rPr>
        <w:t>二、质疑项目基本情况</w:t>
      </w:r>
      <w:bookmarkEnd w:id="743"/>
      <w:bookmarkEnd w:id="744"/>
    </w:p>
    <w:p w14:paraId="16C8C665">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489B7B3D">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7EEF7688">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767A297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06FF9B39">
      <w:pPr>
        <w:adjustRightInd w:val="0"/>
        <w:snapToGrid w:val="0"/>
        <w:spacing w:line="360" w:lineRule="auto"/>
        <w:outlineLvl w:val="1"/>
        <w:rPr>
          <w:rFonts w:cs="仿宋" w:asciiTheme="minorEastAsia" w:hAnsiTheme="minorEastAsia" w:eastAsiaTheme="minorEastAsia"/>
          <w:b/>
          <w:bCs/>
          <w:sz w:val="24"/>
          <w:szCs w:val="24"/>
          <w:highlight w:val="none"/>
        </w:rPr>
      </w:pPr>
      <w:bookmarkStart w:id="745" w:name="_Toc9989"/>
      <w:bookmarkStart w:id="746" w:name="_Toc21700"/>
      <w:r>
        <w:rPr>
          <w:rFonts w:hint="eastAsia" w:cs="仿宋" w:asciiTheme="minorEastAsia" w:hAnsiTheme="minorEastAsia" w:eastAsiaTheme="minorEastAsia"/>
          <w:b/>
          <w:bCs/>
          <w:sz w:val="24"/>
          <w:szCs w:val="24"/>
          <w:highlight w:val="none"/>
        </w:rPr>
        <w:t>三、质疑事项具体内容</w:t>
      </w:r>
      <w:bookmarkEnd w:id="745"/>
      <w:bookmarkEnd w:id="746"/>
    </w:p>
    <w:p w14:paraId="62E28980">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010C3B3F">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1D1FEC97">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7FDABE86">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6E1717AB">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018AFA6E">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3343746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49E436E5">
      <w:pPr>
        <w:adjustRightInd w:val="0"/>
        <w:snapToGrid w:val="0"/>
        <w:spacing w:line="360" w:lineRule="auto"/>
        <w:outlineLvl w:val="1"/>
        <w:rPr>
          <w:rFonts w:cs="仿宋" w:asciiTheme="minorEastAsia" w:hAnsiTheme="minorEastAsia" w:eastAsiaTheme="minorEastAsia"/>
          <w:b/>
          <w:bCs/>
          <w:sz w:val="24"/>
          <w:szCs w:val="24"/>
          <w:highlight w:val="none"/>
        </w:rPr>
      </w:pPr>
      <w:bookmarkStart w:id="747" w:name="_Toc10625"/>
      <w:bookmarkStart w:id="748" w:name="_Toc19016"/>
      <w:r>
        <w:rPr>
          <w:rFonts w:hint="eastAsia" w:cs="仿宋" w:asciiTheme="minorEastAsia" w:hAnsiTheme="minorEastAsia" w:eastAsiaTheme="minorEastAsia"/>
          <w:b/>
          <w:bCs/>
          <w:sz w:val="24"/>
          <w:szCs w:val="24"/>
          <w:highlight w:val="none"/>
        </w:rPr>
        <w:t>四、与质疑事项相关的质疑请求</w:t>
      </w:r>
      <w:bookmarkEnd w:id="747"/>
      <w:bookmarkEnd w:id="748"/>
    </w:p>
    <w:p w14:paraId="42B1BAFA">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681BDFE4">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签字(签章)：                   公章：                      </w:t>
      </w:r>
    </w:p>
    <w:p w14:paraId="20BC4F91">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47DF74E0">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3E328847">
      <w:pPr>
        <w:outlineLvl w:val="0"/>
        <w:rPr>
          <w:rFonts w:asciiTheme="minorEastAsia" w:hAnsiTheme="minorEastAsia" w:eastAsiaTheme="minorEastAsia"/>
          <w:b/>
          <w:sz w:val="28"/>
          <w:szCs w:val="32"/>
          <w:highlight w:val="none"/>
        </w:rPr>
      </w:pPr>
      <w:bookmarkStart w:id="749" w:name="_Toc25274"/>
      <w:bookmarkStart w:id="750" w:name="_Toc17684"/>
      <w:r>
        <w:rPr>
          <w:rFonts w:hint="eastAsia" w:asciiTheme="minorEastAsia" w:hAnsiTheme="minorEastAsia" w:eastAsiaTheme="minorEastAsia"/>
          <w:b/>
          <w:sz w:val="28"/>
          <w:szCs w:val="32"/>
          <w:highlight w:val="none"/>
        </w:rPr>
        <w:t>质疑函制作说明：</w:t>
      </w:r>
      <w:bookmarkEnd w:id="749"/>
      <w:bookmarkEnd w:id="750"/>
    </w:p>
    <w:p w14:paraId="4DFA4D8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1ECCDCF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615296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0C17253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57FD6BA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298A0D7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FD613">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056D288A">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66</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105</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103</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64276"/>
    </w:sdtPr>
    <w:sdtEndPr>
      <w:rPr>
        <w:rFonts w:asciiTheme="minorEastAsia" w:hAnsiTheme="minorEastAsia" w:eastAsiaTheme="minorEastAsia"/>
        <w:sz w:val="21"/>
        <w:szCs w:val="21"/>
      </w:rPr>
    </w:sdtEndPr>
    <w:sdtContent>
      <w:sdt>
        <w:sdtPr>
          <w:rPr>
            <w:sz w:val="21"/>
            <w:szCs w:val="21"/>
          </w:rPr>
          <w:id w:val="147470583"/>
        </w:sdtPr>
        <w:sdtEndPr>
          <w:rPr>
            <w:rFonts w:asciiTheme="minorEastAsia" w:hAnsiTheme="minorEastAsia" w:eastAsiaTheme="minorEastAsia"/>
            <w:sz w:val="21"/>
            <w:szCs w:val="21"/>
          </w:rPr>
        </w:sdtEndPr>
        <w:sdtContent>
          <w:p w14:paraId="3E22F474">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93</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105</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103</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174DE">
    <w:pPr>
      <w:pStyle w:val="33"/>
      <w:jc w:val="left"/>
    </w:pPr>
    <w:r>
      <w:rPr>
        <w:rFonts w:hint="eastAsia" w:asciiTheme="minorEastAsia" w:hAnsiTheme="minorEastAsia" w:eastAsiaTheme="minorEastAsia"/>
      </w:rPr>
      <w:t>安徽省政府采购项目竞争性磋商文件示范文本（工程类）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30D0C">
    <w:pPr>
      <w:pStyle w:val="33"/>
      <w:jc w:val="both"/>
    </w:pPr>
    <w:r>
      <w:rPr>
        <w:rFonts w:hint="eastAsia"/>
      </w:rPr>
      <w:t>安徽省政府采购项目竞争性磋商文件示范文本（</w:t>
    </w:r>
    <w:r>
      <w:rPr>
        <w:rFonts w:hint="eastAsia" w:asciiTheme="minorEastAsia" w:hAnsiTheme="minorEastAsia" w:eastAsiaTheme="minorEastAsia"/>
      </w:rPr>
      <w:t>工程类</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2A94">
    <w:pPr>
      <w:pStyle w:val="33"/>
      <w:jc w:val="left"/>
    </w:pPr>
    <w:r>
      <w:rPr>
        <w:rFonts w:hint="eastAsia" w:asciiTheme="minorEastAsia" w:hAnsiTheme="minorEastAsia" w:eastAsiaTheme="minorEastAsia"/>
      </w:rPr>
      <w:t>安徽省政府采购项目竞争性磋商文件示范文本（工程类）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A47BFD53"/>
    <w:multiLevelType w:val="singleLevel"/>
    <w:tmpl w:val="A47BFD53"/>
    <w:lvl w:ilvl="0" w:tentative="0">
      <w:start w:val="1"/>
      <w:numFmt w:val="decimal"/>
      <w:suff w:val="nothing"/>
      <w:lvlText w:val="%1、"/>
      <w:lvlJc w:val="left"/>
    </w:lvl>
  </w:abstractNum>
  <w:abstractNum w:abstractNumId="2">
    <w:nsid w:val="D28E2EA7"/>
    <w:multiLevelType w:val="singleLevel"/>
    <w:tmpl w:val="D28E2EA7"/>
    <w:lvl w:ilvl="0" w:tentative="0">
      <w:start w:val="1"/>
      <w:numFmt w:val="decimal"/>
      <w:suff w:val="nothing"/>
      <w:lvlText w:val="%1、"/>
      <w:lvlJc w:val="left"/>
    </w:lvl>
  </w:abstractNum>
  <w:abstractNum w:abstractNumId="3">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4">
    <w:nsid w:val="28DB48D6"/>
    <w:multiLevelType w:val="singleLevel"/>
    <w:tmpl w:val="28DB48D6"/>
    <w:lvl w:ilvl="0" w:tentative="0">
      <w:start w:val="1"/>
      <w:numFmt w:val="decimal"/>
      <w:suff w:val="nothing"/>
      <w:lvlText w:val="%1、"/>
      <w:lvlJc w:val="left"/>
    </w:lvl>
  </w:abstractNum>
  <w:abstractNum w:abstractNumId="5">
    <w:nsid w:val="294F3285"/>
    <w:multiLevelType w:val="singleLevel"/>
    <w:tmpl w:val="294F3285"/>
    <w:lvl w:ilvl="0" w:tentative="0">
      <w:start w:val="1"/>
      <w:numFmt w:val="decimal"/>
      <w:suff w:val="nothing"/>
      <w:lvlText w:val="%1、"/>
      <w:lvlJc w:val="left"/>
    </w:lvl>
  </w:abstractNum>
  <w:abstractNum w:abstractNumId="6">
    <w:nsid w:val="2A4061A4"/>
    <w:multiLevelType w:val="singleLevel"/>
    <w:tmpl w:val="2A4061A4"/>
    <w:lvl w:ilvl="0" w:tentative="0">
      <w:start w:val="1"/>
      <w:numFmt w:val="decimal"/>
      <w:suff w:val="nothing"/>
      <w:lvlText w:val="%1、"/>
      <w:lvlJc w:val="left"/>
    </w:lvl>
  </w:abstractNum>
  <w:abstractNum w:abstractNumId="7">
    <w:nsid w:val="3B8989AF"/>
    <w:multiLevelType w:val="singleLevel"/>
    <w:tmpl w:val="3B8989AF"/>
    <w:lvl w:ilvl="0" w:tentative="0">
      <w:start w:val="2"/>
      <w:numFmt w:val="decimal"/>
      <w:suff w:val="nothing"/>
      <w:lvlText w:val="（%1）"/>
      <w:lvlJc w:val="left"/>
    </w:lvl>
  </w:abstractNum>
  <w:abstractNum w:abstractNumId="8">
    <w:nsid w:val="7F7E5238"/>
    <w:multiLevelType w:val="multilevel"/>
    <w:tmpl w:val="7F7E5238"/>
    <w:lvl w:ilvl="0" w:tentative="0">
      <w:start w:val="1"/>
      <w:numFmt w:val="none"/>
      <w:pStyle w:val="16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0"/>
      <w:lvlText w:val="           "/>
      <w:lvlJc w:val="left"/>
      <w:pPr>
        <w:tabs>
          <w:tab w:val="left" w:pos="1440"/>
        </w:tabs>
        <w:ind w:left="1152" w:hanging="1152"/>
      </w:pPr>
      <w:rPr>
        <w:rFonts w:hint="eastAsia"/>
      </w:rPr>
    </w:lvl>
    <w:lvl w:ilvl="6" w:tentative="0">
      <w:start w:val="1"/>
      <w:numFmt w:val="decimal"/>
      <w:pStyle w:val="172"/>
      <w:lvlText w:val="%1.%2.%3.%4.%5.%6.%7"/>
      <w:lvlJc w:val="left"/>
      <w:pPr>
        <w:tabs>
          <w:tab w:val="left" w:pos="2520"/>
        </w:tabs>
        <w:ind w:left="1296" w:hanging="1296"/>
      </w:pPr>
      <w:rPr>
        <w:rFonts w:hint="eastAsia"/>
      </w:rPr>
    </w:lvl>
    <w:lvl w:ilvl="7" w:tentative="0">
      <w:start w:val="1"/>
      <w:numFmt w:val="decimal"/>
      <w:pStyle w:val="174"/>
      <w:lvlText w:val="%1.%2.%3.%4.%5.%6.%7.%8"/>
      <w:lvlJc w:val="left"/>
      <w:pPr>
        <w:tabs>
          <w:tab w:val="left" w:pos="1440"/>
        </w:tabs>
        <w:ind w:left="1440" w:hanging="1440"/>
      </w:pPr>
      <w:rPr>
        <w:rFonts w:hint="eastAsia"/>
      </w:rPr>
    </w:lvl>
    <w:lvl w:ilvl="8" w:tentative="0">
      <w:start w:val="1"/>
      <w:numFmt w:val="decimal"/>
      <w:pStyle w:val="176"/>
      <w:lvlText w:val="%1.%2.%3.%4.%5.%6.%7.%8.%9"/>
      <w:lvlJc w:val="left"/>
      <w:pPr>
        <w:tabs>
          <w:tab w:val="left" w:pos="1584"/>
        </w:tabs>
        <w:ind w:left="1584" w:hanging="1584"/>
      </w:pPr>
      <w:rPr>
        <w:rFonts w:hint="eastAsia"/>
      </w:rPr>
    </w:lvl>
  </w:abstractNum>
  <w:num w:numId="1">
    <w:abstractNumId w:val="8"/>
  </w:num>
  <w:num w:numId="2">
    <w:abstractNumId w:val="1"/>
  </w:num>
  <w:num w:numId="3">
    <w:abstractNumId w:val="6"/>
  </w:num>
  <w:num w:numId="4">
    <w:abstractNumId w:val="2"/>
  </w:num>
  <w:num w:numId="5">
    <w:abstractNumId w:val="4"/>
  </w:num>
  <w:num w:numId="6">
    <w:abstractNumId w:val="5"/>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23C3"/>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3BE3"/>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386"/>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2284997"/>
    <w:rsid w:val="060D5ED0"/>
    <w:rsid w:val="06EE74DB"/>
    <w:rsid w:val="072015CC"/>
    <w:rsid w:val="07E720E2"/>
    <w:rsid w:val="08617CF0"/>
    <w:rsid w:val="093E5132"/>
    <w:rsid w:val="099C3247"/>
    <w:rsid w:val="0B34273F"/>
    <w:rsid w:val="0B5759D8"/>
    <w:rsid w:val="0B584B6B"/>
    <w:rsid w:val="0B9A6428"/>
    <w:rsid w:val="0BC76A6E"/>
    <w:rsid w:val="0BD069A1"/>
    <w:rsid w:val="0C0B76AE"/>
    <w:rsid w:val="0C695EBF"/>
    <w:rsid w:val="0C764D16"/>
    <w:rsid w:val="0C7C092D"/>
    <w:rsid w:val="0D3E7892"/>
    <w:rsid w:val="0D46126D"/>
    <w:rsid w:val="0DB72352"/>
    <w:rsid w:val="0DFC12FE"/>
    <w:rsid w:val="0DFF1A91"/>
    <w:rsid w:val="0E30091C"/>
    <w:rsid w:val="0EB116DF"/>
    <w:rsid w:val="0EB9796D"/>
    <w:rsid w:val="0ED93BBF"/>
    <w:rsid w:val="0FC76BB7"/>
    <w:rsid w:val="10F935A7"/>
    <w:rsid w:val="112E2768"/>
    <w:rsid w:val="12E83133"/>
    <w:rsid w:val="13607801"/>
    <w:rsid w:val="1375778E"/>
    <w:rsid w:val="14E43199"/>
    <w:rsid w:val="16003A26"/>
    <w:rsid w:val="16F15C51"/>
    <w:rsid w:val="17146EEB"/>
    <w:rsid w:val="176C1DA5"/>
    <w:rsid w:val="18A85F98"/>
    <w:rsid w:val="1B291D20"/>
    <w:rsid w:val="1D015171"/>
    <w:rsid w:val="1D191BE5"/>
    <w:rsid w:val="1D3B78BE"/>
    <w:rsid w:val="1DEC70E9"/>
    <w:rsid w:val="1E0B00F8"/>
    <w:rsid w:val="1E112FC8"/>
    <w:rsid w:val="1E210D48"/>
    <w:rsid w:val="1F2E6A6D"/>
    <w:rsid w:val="20BD2AE0"/>
    <w:rsid w:val="21326E5F"/>
    <w:rsid w:val="2160058A"/>
    <w:rsid w:val="21A12912"/>
    <w:rsid w:val="237C1D35"/>
    <w:rsid w:val="241D3932"/>
    <w:rsid w:val="247E2DFD"/>
    <w:rsid w:val="265B0373"/>
    <w:rsid w:val="274D5052"/>
    <w:rsid w:val="27E85AF1"/>
    <w:rsid w:val="27F46626"/>
    <w:rsid w:val="288E11CC"/>
    <w:rsid w:val="28A96E2F"/>
    <w:rsid w:val="2A1534D2"/>
    <w:rsid w:val="2B5044AE"/>
    <w:rsid w:val="2B89414F"/>
    <w:rsid w:val="2D1633EB"/>
    <w:rsid w:val="2D611D48"/>
    <w:rsid w:val="2E992065"/>
    <w:rsid w:val="2EB60132"/>
    <w:rsid w:val="2F850E2A"/>
    <w:rsid w:val="2F8779B7"/>
    <w:rsid w:val="31966FB2"/>
    <w:rsid w:val="31E11695"/>
    <w:rsid w:val="3215051D"/>
    <w:rsid w:val="323D69D4"/>
    <w:rsid w:val="34152599"/>
    <w:rsid w:val="349A7538"/>
    <w:rsid w:val="3544508A"/>
    <w:rsid w:val="36AD04C3"/>
    <w:rsid w:val="36E71BB0"/>
    <w:rsid w:val="385414FE"/>
    <w:rsid w:val="38CD4FE1"/>
    <w:rsid w:val="38E55510"/>
    <w:rsid w:val="3AB216C0"/>
    <w:rsid w:val="3B5006E0"/>
    <w:rsid w:val="3C2546B9"/>
    <w:rsid w:val="3C9227B9"/>
    <w:rsid w:val="3E1715D2"/>
    <w:rsid w:val="408D59ED"/>
    <w:rsid w:val="40973487"/>
    <w:rsid w:val="40B54BA9"/>
    <w:rsid w:val="42C61CD1"/>
    <w:rsid w:val="43406525"/>
    <w:rsid w:val="44CC5046"/>
    <w:rsid w:val="44F243AD"/>
    <w:rsid w:val="456D21BF"/>
    <w:rsid w:val="45B649C6"/>
    <w:rsid w:val="46D629D1"/>
    <w:rsid w:val="47C27D6C"/>
    <w:rsid w:val="4838270D"/>
    <w:rsid w:val="4874770E"/>
    <w:rsid w:val="48EC3373"/>
    <w:rsid w:val="48F007C1"/>
    <w:rsid w:val="493B64BB"/>
    <w:rsid w:val="495E0E6D"/>
    <w:rsid w:val="49CD7090"/>
    <w:rsid w:val="49D55251"/>
    <w:rsid w:val="4BE87A98"/>
    <w:rsid w:val="4C1743E7"/>
    <w:rsid w:val="4C2E43AC"/>
    <w:rsid w:val="4D3C584D"/>
    <w:rsid w:val="4E616C92"/>
    <w:rsid w:val="4E6F2E5D"/>
    <w:rsid w:val="4F9B25B3"/>
    <w:rsid w:val="502B1AD6"/>
    <w:rsid w:val="50484B47"/>
    <w:rsid w:val="508A5A0C"/>
    <w:rsid w:val="50B13DEA"/>
    <w:rsid w:val="512C5C57"/>
    <w:rsid w:val="52A906F4"/>
    <w:rsid w:val="5407371F"/>
    <w:rsid w:val="55076EDB"/>
    <w:rsid w:val="557F62EE"/>
    <w:rsid w:val="55A3400F"/>
    <w:rsid w:val="565019E7"/>
    <w:rsid w:val="56861129"/>
    <w:rsid w:val="569861B6"/>
    <w:rsid w:val="56B6493F"/>
    <w:rsid w:val="56D26221"/>
    <w:rsid w:val="57E97BD0"/>
    <w:rsid w:val="5809250B"/>
    <w:rsid w:val="58946959"/>
    <w:rsid w:val="589E1721"/>
    <w:rsid w:val="5A5113C2"/>
    <w:rsid w:val="5AE45C16"/>
    <w:rsid w:val="5C8F7148"/>
    <w:rsid w:val="5D547339"/>
    <w:rsid w:val="5D5B355A"/>
    <w:rsid w:val="5D8C4430"/>
    <w:rsid w:val="5F6103C2"/>
    <w:rsid w:val="5FCD130C"/>
    <w:rsid w:val="5FD07FE9"/>
    <w:rsid w:val="60613CC2"/>
    <w:rsid w:val="61737CE0"/>
    <w:rsid w:val="617A62BB"/>
    <w:rsid w:val="61E70FD8"/>
    <w:rsid w:val="61FF434A"/>
    <w:rsid w:val="62450E0A"/>
    <w:rsid w:val="6270505E"/>
    <w:rsid w:val="62A2790D"/>
    <w:rsid w:val="62EB49FC"/>
    <w:rsid w:val="632B05B6"/>
    <w:rsid w:val="63D905AD"/>
    <w:rsid w:val="645F3309"/>
    <w:rsid w:val="647A03AB"/>
    <w:rsid w:val="652674EA"/>
    <w:rsid w:val="65B46500"/>
    <w:rsid w:val="66E2747D"/>
    <w:rsid w:val="66F7550A"/>
    <w:rsid w:val="673047EC"/>
    <w:rsid w:val="6833421D"/>
    <w:rsid w:val="683B31A6"/>
    <w:rsid w:val="68B5683F"/>
    <w:rsid w:val="6A4B69A3"/>
    <w:rsid w:val="6A9874AE"/>
    <w:rsid w:val="6AAD1A41"/>
    <w:rsid w:val="6B9C347D"/>
    <w:rsid w:val="6BAC18E9"/>
    <w:rsid w:val="6BC8363A"/>
    <w:rsid w:val="6BE23EB5"/>
    <w:rsid w:val="6D2F1B21"/>
    <w:rsid w:val="6DB172CF"/>
    <w:rsid w:val="6E5F172B"/>
    <w:rsid w:val="6F5D0B2F"/>
    <w:rsid w:val="6F6117F5"/>
    <w:rsid w:val="6F84274A"/>
    <w:rsid w:val="6FBE314B"/>
    <w:rsid w:val="6FDC216E"/>
    <w:rsid w:val="70217AAF"/>
    <w:rsid w:val="70A0444C"/>
    <w:rsid w:val="71E7396A"/>
    <w:rsid w:val="74FC2405"/>
    <w:rsid w:val="76C94E50"/>
    <w:rsid w:val="78373BAC"/>
    <w:rsid w:val="78526D18"/>
    <w:rsid w:val="78D4376C"/>
    <w:rsid w:val="793F73F3"/>
    <w:rsid w:val="79775D93"/>
    <w:rsid w:val="799B26EC"/>
    <w:rsid w:val="79DA107C"/>
    <w:rsid w:val="7B853EC3"/>
    <w:rsid w:val="7BE8201F"/>
    <w:rsid w:val="7C5113DD"/>
    <w:rsid w:val="7CAE2B9E"/>
    <w:rsid w:val="7D18299B"/>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6"/>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5"/>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0"/>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7"/>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98"/>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99"/>
    <w:autoRedefine/>
    <w:qFormat/>
    <w:uiPriority w:val="0"/>
    <w:pPr>
      <w:tabs>
        <w:tab w:val="left" w:pos="1800"/>
        <w:tab w:val="clear" w:pos="1440"/>
      </w:tabs>
      <w:ind w:left="1276" w:hanging="1276"/>
      <w:outlineLvl w:val="6"/>
    </w:pPr>
  </w:style>
  <w:style w:type="paragraph" w:styleId="9">
    <w:name w:val="heading 8"/>
    <w:basedOn w:val="1"/>
    <w:next w:val="1"/>
    <w:link w:val="100"/>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1"/>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5"/>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2"/>
    <w:autoRedefine/>
    <w:qFormat/>
    <w:uiPriority w:val="0"/>
    <w:pPr>
      <w:jc w:val="left"/>
    </w:pPr>
    <w:rPr>
      <w:rFonts w:ascii="Arial" w:hAnsi="Arial" w:eastAsia="黑体" w:cs="Arial"/>
    </w:rPr>
  </w:style>
  <w:style w:type="paragraph" w:styleId="17">
    <w:name w:val="Salutation"/>
    <w:basedOn w:val="1"/>
    <w:next w:val="1"/>
    <w:link w:val="112"/>
    <w:autoRedefine/>
    <w:qFormat/>
    <w:uiPriority w:val="0"/>
    <w:rPr>
      <w:rFonts w:ascii="仿宋_GB2312" w:hAnsi="Times New Roman" w:eastAsia="仿宋_GB2312" w:cs="Times New Roman"/>
      <w:kern w:val="2"/>
      <w:sz w:val="28"/>
      <w:lang w:val="zh-CN"/>
    </w:rPr>
  </w:style>
  <w:style w:type="paragraph" w:styleId="18">
    <w:name w:val="Body Text 3"/>
    <w:basedOn w:val="1"/>
    <w:link w:val="131"/>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1"/>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6"/>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1"/>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78"/>
    <w:autoRedefine/>
    <w:qFormat/>
    <w:uiPriority w:val="0"/>
    <w:rPr>
      <w:rFonts w:ascii="Arial" w:hAnsi="Arial" w:cs="Arial"/>
      <w:b/>
      <w:sz w:val="28"/>
    </w:rPr>
  </w:style>
  <w:style w:type="paragraph" w:styleId="30">
    <w:name w:val="Body Text Indent 2"/>
    <w:basedOn w:val="1"/>
    <w:link w:val="127"/>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5"/>
    <w:autoRedefine/>
    <w:unhideWhenUsed/>
    <w:qFormat/>
    <w:uiPriority w:val="0"/>
    <w:rPr>
      <w:sz w:val="18"/>
      <w:szCs w:val="18"/>
    </w:rPr>
  </w:style>
  <w:style w:type="paragraph" w:styleId="32">
    <w:name w:val="footer"/>
    <w:basedOn w:val="1"/>
    <w:link w:val="70"/>
    <w:autoRedefine/>
    <w:unhideWhenUsed/>
    <w:qFormat/>
    <w:uiPriority w:val="99"/>
    <w:pPr>
      <w:tabs>
        <w:tab w:val="center" w:pos="4153"/>
        <w:tab w:val="right" w:pos="8306"/>
      </w:tabs>
      <w:snapToGrid w:val="0"/>
      <w:jc w:val="left"/>
    </w:pPr>
    <w:rPr>
      <w:sz w:val="18"/>
      <w:szCs w:val="18"/>
    </w:rPr>
  </w:style>
  <w:style w:type="paragraph" w:styleId="33">
    <w:name w:val="header"/>
    <w:basedOn w:val="1"/>
    <w:link w:val="6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5">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6">
    <w:name w:val="toc 4"/>
    <w:basedOn w:val="1"/>
    <w:next w:val="1"/>
    <w:autoRedefine/>
    <w:unhideWhenUsed/>
    <w:qFormat/>
    <w:uiPriority w:val="39"/>
    <w:pPr>
      <w:ind w:left="630"/>
      <w:jc w:val="left"/>
    </w:pPr>
    <w:rPr>
      <w:rFonts w:ascii="Calibri" w:hAnsi="Calibri" w:cs="Calibri"/>
      <w:kern w:val="2"/>
      <w:sz w:val="18"/>
      <w:szCs w:val="18"/>
    </w:rPr>
  </w:style>
  <w:style w:type="paragraph" w:styleId="37">
    <w:name w:val="index heading"/>
    <w:basedOn w:val="1"/>
    <w:next w:val="38"/>
    <w:autoRedefine/>
    <w:semiHidden/>
    <w:qFormat/>
    <w:uiPriority w:val="0"/>
    <w:rPr>
      <w:rFonts w:ascii="Times New Roman" w:hAnsi="Times New Roman" w:cs="Times New Roman"/>
      <w:kern w:val="2"/>
      <w:sz w:val="21"/>
      <w:szCs w:val="24"/>
    </w:rPr>
  </w:style>
  <w:style w:type="paragraph" w:styleId="38">
    <w:name w:val="index 1"/>
    <w:basedOn w:val="1"/>
    <w:next w:val="1"/>
    <w:autoRedefine/>
    <w:qFormat/>
    <w:uiPriority w:val="0"/>
    <w:pPr>
      <w:jc w:val="center"/>
    </w:pPr>
    <w:rPr>
      <w:rFonts w:ascii="Arial" w:hAnsi="Arial" w:eastAsia="Arial" w:cs="Arial"/>
      <w:b/>
      <w:bCs/>
      <w:sz w:val="28"/>
    </w:rPr>
  </w:style>
  <w:style w:type="paragraph" w:styleId="39">
    <w:name w:val="Subtitle"/>
    <w:basedOn w:val="1"/>
    <w:link w:val="219"/>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0">
    <w:name w:val="List"/>
    <w:basedOn w:val="1"/>
    <w:autoRedefine/>
    <w:qFormat/>
    <w:uiPriority w:val="0"/>
    <w:pPr>
      <w:ind w:left="200" w:hanging="200" w:hangingChars="200"/>
    </w:pPr>
    <w:rPr>
      <w:rFonts w:ascii="Calibri" w:hAnsi="Calibri" w:cs="Times New Roman"/>
      <w:kern w:val="2"/>
      <w:sz w:val="21"/>
      <w:szCs w:val="22"/>
    </w:rPr>
  </w:style>
  <w:style w:type="paragraph" w:styleId="41">
    <w:name w:val="footnote text"/>
    <w:basedOn w:val="1"/>
    <w:link w:val="108"/>
    <w:autoRedefine/>
    <w:unhideWhenUsed/>
    <w:qFormat/>
    <w:uiPriority w:val="0"/>
    <w:pPr>
      <w:snapToGrid w:val="0"/>
      <w:jc w:val="left"/>
    </w:pPr>
    <w:rPr>
      <w:rFonts w:ascii="Times New Roman" w:hAnsi="Times New Roman" w:cs="Times New Roman"/>
      <w:kern w:val="2"/>
      <w:sz w:val="18"/>
      <w:szCs w:val="18"/>
      <w:lang w:val="zh-CN"/>
    </w:rPr>
  </w:style>
  <w:style w:type="paragraph" w:styleId="42">
    <w:name w:val="toc 6"/>
    <w:basedOn w:val="1"/>
    <w:next w:val="1"/>
    <w:autoRedefine/>
    <w:unhideWhenUsed/>
    <w:qFormat/>
    <w:uiPriority w:val="39"/>
    <w:pPr>
      <w:ind w:left="1050"/>
      <w:jc w:val="left"/>
    </w:pPr>
    <w:rPr>
      <w:rFonts w:ascii="Calibri" w:hAnsi="Calibri" w:cs="Calibri"/>
      <w:kern w:val="2"/>
      <w:sz w:val="18"/>
      <w:szCs w:val="18"/>
    </w:rPr>
  </w:style>
  <w:style w:type="paragraph" w:styleId="43">
    <w:name w:val="Body Text Indent 3"/>
    <w:basedOn w:val="1"/>
    <w:link w:val="126"/>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4">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5">
    <w:name w:val="toc 9"/>
    <w:basedOn w:val="1"/>
    <w:next w:val="1"/>
    <w:autoRedefine/>
    <w:unhideWhenUsed/>
    <w:qFormat/>
    <w:uiPriority w:val="39"/>
    <w:pPr>
      <w:ind w:left="1680"/>
      <w:jc w:val="left"/>
    </w:pPr>
    <w:rPr>
      <w:rFonts w:ascii="Calibri" w:hAnsi="Calibri" w:cs="Calibri"/>
      <w:kern w:val="2"/>
      <w:sz w:val="18"/>
      <w:szCs w:val="18"/>
    </w:rPr>
  </w:style>
  <w:style w:type="paragraph" w:styleId="46">
    <w:name w:val="Body Text 2"/>
    <w:basedOn w:val="1"/>
    <w:link w:val="130"/>
    <w:autoRedefine/>
    <w:qFormat/>
    <w:uiPriority w:val="0"/>
    <w:pPr>
      <w:spacing w:line="360" w:lineRule="auto"/>
    </w:pPr>
    <w:rPr>
      <w:rFonts w:hAnsi="Times New Roman" w:cs="Times New Roman"/>
      <w:spacing w:val="-20"/>
      <w:kern w:val="2"/>
      <w:sz w:val="28"/>
      <w:lang w:val="zh-CN"/>
    </w:rPr>
  </w:style>
  <w:style w:type="paragraph" w:styleId="47">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8">
    <w:name w:val="List Continue 2"/>
    <w:basedOn w:val="1"/>
    <w:autoRedefine/>
    <w:qFormat/>
    <w:uiPriority w:val="0"/>
    <w:pPr>
      <w:spacing w:after="120"/>
      <w:ind w:left="840" w:leftChars="400"/>
    </w:pPr>
    <w:rPr>
      <w:rFonts w:ascii="Calibri" w:hAnsi="Calibri" w:cs="Times New Roman"/>
      <w:kern w:val="2"/>
      <w:sz w:val="21"/>
      <w:szCs w:val="22"/>
    </w:rPr>
  </w:style>
  <w:style w:type="paragraph" w:styleId="49">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0">
    <w:name w:val="Title"/>
    <w:basedOn w:val="3"/>
    <w:next w:val="1"/>
    <w:link w:val="134"/>
    <w:autoRedefine/>
    <w:qFormat/>
    <w:uiPriority w:val="0"/>
    <w:pPr>
      <w:spacing w:before="0" w:after="0" w:line="360" w:lineRule="auto"/>
      <w:jc w:val="center"/>
    </w:pPr>
    <w:rPr>
      <w:rFonts w:ascii="宋体" w:hAnsi="宋体" w:eastAsia="黑体"/>
      <w:bCs w:val="0"/>
      <w:smallCaps/>
      <w:snapToGrid w:val="0"/>
      <w:sz w:val="44"/>
      <w:szCs w:val="24"/>
    </w:rPr>
  </w:style>
  <w:style w:type="paragraph" w:styleId="51">
    <w:name w:val="annotation subject"/>
    <w:basedOn w:val="16"/>
    <w:next w:val="16"/>
    <w:link w:val="93"/>
    <w:autoRedefine/>
    <w:unhideWhenUsed/>
    <w:qFormat/>
    <w:uiPriority w:val="0"/>
    <w:rPr>
      <w:rFonts w:ascii="宋体" w:hAnsi="宋体" w:eastAsia="宋体" w:cstheme="minorBidi"/>
      <w:b/>
      <w:bCs/>
    </w:rPr>
  </w:style>
  <w:style w:type="paragraph" w:styleId="52">
    <w:name w:val="Body Text First Indent"/>
    <w:basedOn w:val="19"/>
    <w:autoRedefine/>
    <w:semiHidden/>
    <w:unhideWhenUsed/>
    <w:qFormat/>
    <w:uiPriority w:val="99"/>
    <w:pPr>
      <w:ind w:firstLine="420" w:firstLineChars="100"/>
    </w:pPr>
  </w:style>
  <w:style w:type="table" w:styleId="54">
    <w:name w:val="Table Grid"/>
    <w:basedOn w:val="5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autoRedefine/>
    <w:qFormat/>
    <w:uiPriority w:val="0"/>
    <w:rPr>
      <w:b/>
      <w:bCs/>
    </w:rPr>
  </w:style>
  <w:style w:type="character" w:styleId="57">
    <w:name w:val="page number"/>
    <w:basedOn w:val="55"/>
    <w:autoRedefine/>
    <w:qFormat/>
    <w:uiPriority w:val="0"/>
  </w:style>
  <w:style w:type="character" w:styleId="58">
    <w:name w:val="FollowedHyperlink"/>
    <w:basedOn w:val="55"/>
    <w:autoRedefine/>
    <w:semiHidden/>
    <w:unhideWhenUsed/>
    <w:qFormat/>
    <w:uiPriority w:val="99"/>
    <w:rPr>
      <w:color w:val="800080" w:themeColor="followedHyperlink"/>
      <w:u w:val="single"/>
      <w14:textFill>
        <w14:solidFill>
          <w14:schemeClr w14:val="folHlink"/>
        </w14:solidFill>
      </w14:textFill>
    </w:rPr>
  </w:style>
  <w:style w:type="character" w:styleId="59">
    <w:name w:val="Emphasis"/>
    <w:autoRedefine/>
    <w:qFormat/>
    <w:uiPriority w:val="0"/>
    <w:rPr>
      <w:color w:val="CC0033"/>
    </w:rPr>
  </w:style>
  <w:style w:type="character" w:styleId="60">
    <w:name w:val="Hyperlink"/>
    <w:basedOn w:val="55"/>
    <w:autoRedefine/>
    <w:unhideWhenUsed/>
    <w:qFormat/>
    <w:uiPriority w:val="99"/>
    <w:rPr>
      <w:color w:val="0000FF" w:themeColor="hyperlink"/>
      <w:u w:val="single"/>
      <w14:textFill>
        <w14:solidFill>
          <w14:schemeClr w14:val="hlink"/>
        </w14:solidFill>
      </w14:textFill>
    </w:rPr>
  </w:style>
  <w:style w:type="character" w:styleId="61">
    <w:name w:val="annotation reference"/>
    <w:basedOn w:val="55"/>
    <w:autoRedefine/>
    <w:unhideWhenUsed/>
    <w:qFormat/>
    <w:uiPriority w:val="0"/>
    <w:rPr>
      <w:sz w:val="21"/>
      <w:szCs w:val="21"/>
    </w:rPr>
  </w:style>
  <w:style w:type="character" w:styleId="62">
    <w:name w:val="footnote reference"/>
    <w:autoRedefine/>
    <w:unhideWhenUsed/>
    <w:qFormat/>
    <w:uiPriority w:val="0"/>
    <w:rPr>
      <w:vertAlign w:val="superscript"/>
    </w:rPr>
  </w:style>
  <w:style w:type="character" w:styleId="63">
    <w:name w:val="HTML Sample"/>
    <w:autoRedefine/>
    <w:qFormat/>
    <w:uiPriority w:val="0"/>
    <w:rPr>
      <w:rFonts w:hint="default" w:ascii="monospace" w:hAnsi="monospace" w:eastAsia="monospace" w:cs="monospace"/>
      <w:sz w:val="21"/>
      <w:szCs w:val="21"/>
    </w:rPr>
  </w:style>
  <w:style w:type="paragraph" w:customStyle="1" w:styleId="64">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65">
    <w:name w:val="批注框文本 Char"/>
    <w:basedOn w:val="55"/>
    <w:link w:val="31"/>
    <w:autoRedefine/>
    <w:qFormat/>
    <w:uiPriority w:val="0"/>
    <w:rPr>
      <w:rFonts w:ascii="@仿宋_GB2312" w:hAnsi="@仿宋_GB2312" w:eastAsia="@仿宋_GB2312" w:cs="@仿宋_GB2312"/>
      <w:sz w:val="18"/>
      <w:szCs w:val="18"/>
    </w:rPr>
  </w:style>
  <w:style w:type="paragraph" w:customStyle="1" w:styleId="66">
    <w:name w:val="正文（缩进）"/>
    <w:basedOn w:val="1"/>
    <w:autoRedefine/>
    <w:qFormat/>
    <w:uiPriority w:val="0"/>
    <w:pPr>
      <w:widowControl/>
      <w:spacing w:before="156" w:after="156"/>
      <w:ind w:firstLine="480" w:firstLineChars="200"/>
      <w:jc w:val="left"/>
    </w:pPr>
    <w:rPr>
      <w:sz w:val="24"/>
      <w:szCs w:val="24"/>
    </w:rPr>
  </w:style>
  <w:style w:type="paragraph" w:customStyle="1" w:styleId="67">
    <w:name w:val="xl31"/>
    <w:basedOn w:val="1"/>
    <w:autoRedefine/>
    <w:qFormat/>
    <w:uiPriority w:val="0"/>
    <w:pPr>
      <w:widowControl/>
      <w:spacing w:before="100" w:beforeAutospacing="1" w:after="100" w:afterAutospacing="1"/>
      <w:jc w:val="center"/>
    </w:pPr>
    <w:rPr>
      <w:b/>
      <w:bCs/>
      <w:sz w:val="28"/>
      <w:szCs w:val="28"/>
    </w:rPr>
  </w:style>
  <w:style w:type="paragraph" w:customStyle="1" w:styleId="68">
    <w:name w:val="D&amp;L"/>
    <w:basedOn w:val="33"/>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69">
    <w:name w:val="页眉 Char"/>
    <w:basedOn w:val="55"/>
    <w:link w:val="33"/>
    <w:autoRedefine/>
    <w:qFormat/>
    <w:uiPriority w:val="99"/>
    <w:rPr>
      <w:rFonts w:ascii="@仿宋_GB2312" w:hAnsi="@仿宋_GB2312" w:eastAsia="@仿宋_GB2312" w:cs="@仿宋_GB2312"/>
      <w:sz w:val="18"/>
      <w:szCs w:val="18"/>
    </w:rPr>
  </w:style>
  <w:style w:type="character" w:customStyle="1" w:styleId="70">
    <w:name w:val="页脚 Char"/>
    <w:basedOn w:val="55"/>
    <w:link w:val="32"/>
    <w:autoRedefine/>
    <w:qFormat/>
    <w:uiPriority w:val="99"/>
    <w:rPr>
      <w:rFonts w:ascii="@仿宋_GB2312" w:hAnsi="@仿宋_GB2312" w:eastAsia="@仿宋_GB2312" w:cs="@仿宋_GB2312"/>
      <w:sz w:val="18"/>
      <w:szCs w:val="18"/>
    </w:rPr>
  </w:style>
  <w:style w:type="character" w:customStyle="1" w:styleId="71">
    <w:name w:val="纯文本 Char"/>
    <w:link w:val="27"/>
    <w:autoRedefine/>
    <w:qFormat/>
    <w:uiPriority w:val="0"/>
    <w:rPr>
      <w:rFonts w:ascii="宋体" w:hAnsi="Courier New"/>
    </w:rPr>
  </w:style>
  <w:style w:type="character" w:customStyle="1" w:styleId="72">
    <w:name w:val="纯文本 字符1"/>
    <w:basedOn w:val="55"/>
    <w:autoRedefine/>
    <w:semiHidden/>
    <w:qFormat/>
    <w:uiPriority w:val="99"/>
    <w:rPr>
      <w:rFonts w:hAnsi="Courier New" w:cs="Courier New" w:asciiTheme="minorEastAsia"/>
      <w:szCs w:val="20"/>
    </w:rPr>
  </w:style>
  <w:style w:type="character" w:customStyle="1" w:styleId="73">
    <w:name w:val="未处理的提及1"/>
    <w:basedOn w:val="55"/>
    <w:autoRedefine/>
    <w:semiHidden/>
    <w:unhideWhenUsed/>
    <w:qFormat/>
    <w:uiPriority w:val="99"/>
    <w:rPr>
      <w:color w:val="605E5C"/>
      <w:shd w:val="clear" w:color="auto" w:fill="E1DFDD"/>
    </w:rPr>
  </w:style>
  <w:style w:type="paragraph" w:styleId="74">
    <w:name w:val="List Paragraph"/>
    <w:basedOn w:val="1"/>
    <w:autoRedefine/>
    <w:qFormat/>
    <w:uiPriority w:val="34"/>
    <w:pPr>
      <w:ind w:firstLine="420" w:firstLineChars="200"/>
    </w:pPr>
  </w:style>
  <w:style w:type="paragraph" w:customStyle="1" w:styleId="75">
    <w:name w:val="Char Char Char Char Char Char Char1 Char"/>
    <w:basedOn w:val="1"/>
    <w:autoRedefine/>
    <w:qFormat/>
    <w:uiPriority w:val="0"/>
    <w:rPr>
      <w:rFonts w:ascii="Arial" w:hAnsi="Arial" w:cs="Arial"/>
      <w:sz w:val="24"/>
    </w:rPr>
  </w:style>
  <w:style w:type="table" w:customStyle="1" w:styleId="76">
    <w:name w:val="网格表 1 浅色1"/>
    <w:basedOn w:val="5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7">
    <w:name w:val="日期 字符"/>
    <w:basedOn w:val="55"/>
    <w:autoRedefine/>
    <w:semiHidden/>
    <w:qFormat/>
    <w:uiPriority w:val="99"/>
    <w:rPr>
      <w:rFonts w:ascii="@仿宋_GB2312" w:hAnsi="@仿宋_GB2312" w:eastAsia="@仿宋_GB2312" w:cs="@仿宋_GB2312"/>
      <w:szCs w:val="20"/>
    </w:rPr>
  </w:style>
  <w:style w:type="character" w:customStyle="1" w:styleId="78">
    <w:name w:val="日期 Char"/>
    <w:link w:val="29"/>
    <w:autoRedefine/>
    <w:qFormat/>
    <w:uiPriority w:val="0"/>
    <w:rPr>
      <w:rFonts w:ascii="Arial" w:hAnsi="Arial" w:eastAsia="宋体" w:cs="Arial"/>
      <w:b/>
      <w:sz w:val="28"/>
      <w:szCs w:val="20"/>
    </w:rPr>
  </w:style>
  <w:style w:type="character" w:customStyle="1" w:styleId="79">
    <w:name w:val="纯文本 Char1"/>
    <w:link w:val="80"/>
    <w:autoRedefine/>
    <w:qFormat/>
    <w:locked/>
    <w:uiPriority w:val="99"/>
    <w:rPr>
      <w:rFonts w:ascii="Arial" w:hAnsi="Arial" w:eastAsia="Arial"/>
      <w:kern w:val="2"/>
      <w:sz w:val="21"/>
      <w:lang w:val="en-US" w:eastAsia="zh-CN" w:bidi="ar-SA"/>
    </w:rPr>
  </w:style>
  <w:style w:type="paragraph" w:customStyle="1" w:styleId="80">
    <w:name w:val="纯文本1"/>
    <w:basedOn w:val="1"/>
    <w:link w:val="79"/>
    <w:autoRedefine/>
    <w:qFormat/>
    <w:uiPriority w:val="0"/>
    <w:rPr>
      <w:rFonts w:ascii="Arial" w:hAnsi="Arial" w:eastAsia="Arial"/>
    </w:rPr>
  </w:style>
  <w:style w:type="character" w:customStyle="1" w:styleId="81">
    <w:name w:val="批注文字 Char"/>
    <w:basedOn w:val="55"/>
    <w:autoRedefine/>
    <w:qFormat/>
    <w:uiPriority w:val="0"/>
    <w:rPr>
      <w:rFonts w:ascii="@仿宋_GB2312" w:hAnsi="@仿宋_GB2312" w:eastAsia="@仿宋_GB2312" w:cs="@仿宋_GB2312"/>
      <w:szCs w:val="20"/>
    </w:rPr>
  </w:style>
  <w:style w:type="character" w:customStyle="1" w:styleId="82">
    <w:name w:val="批注文字 Char1"/>
    <w:link w:val="16"/>
    <w:autoRedefine/>
    <w:qFormat/>
    <w:uiPriority w:val="99"/>
    <w:rPr>
      <w:rFonts w:ascii="Arial" w:hAnsi="Arial" w:eastAsia="黑体" w:cs="Arial"/>
      <w:szCs w:val="20"/>
    </w:rPr>
  </w:style>
  <w:style w:type="character" w:customStyle="1" w:styleId="83">
    <w:name w:val="标题 1 Char"/>
    <w:basedOn w:val="55"/>
    <w:link w:val="2"/>
    <w:autoRedefine/>
    <w:qFormat/>
    <w:uiPriority w:val="0"/>
    <w:rPr>
      <w:rFonts w:ascii="@仿宋_GB2312" w:hAnsi="@仿宋_GB2312" w:eastAsia="@仿宋_GB2312" w:cs="@仿宋_GB2312"/>
      <w:b/>
      <w:bCs/>
      <w:kern w:val="44"/>
      <w:sz w:val="44"/>
      <w:szCs w:val="44"/>
    </w:rPr>
  </w:style>
  <w:style w:type="paragraph" w:customStyle="1" w:styleId="84">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5">
    <w:name w:val="标题 3 Char"/>
    <w:basedOn w:val="55"/>
    <w:link w:val="4"/>
    <w:autoRedefine/>
    <w:qFormat/>
    <w:uiPriority w:val="0"/>
    <w:rPr>
      <w:rFonts w:ascii="@仿宋_GB2312" w:hAnsi="@仿宋_GB2312" w:eastAsia="@仿宋_GB2312" w:cs="@仿宋_GB2312"/>
      <w:b/>
      <w:bCs/>
      <w:sz w:val="32"/>
      <w:szCs w:val="32"/>
    </w:rPr>
  </w:style>
  <w:style w:type="character" w:customStyle="1" w:styleId="86">
    <w:name w:val="fontstyle01"/>
    <w:basedOn w:val="55"/>
    <w:autoRedefine/>
    <w:qFormat/>
    <w:uiPriority w:val="0"/>
    <w:rPr>
      <w:rFonts w:hint="eastAsia" w:ascii="宋体" w:hAnsi="宋体" w:eastAsia="宋体"/>
      <w:color w:val="000000"/>
      <w:sz w:val="22"/>
      <w:szCs w:val="22"/>
    </w:rPr>
  </w:style>
  <w:style w:type="character" w:customStyle="1" w:styleId="87">
    <w:name w:val="fontstyle21"/>
    <w:basedOn w:val="55"/>
    <w:autoRedefine/>
    <w:qFormat/>
    <w:uiPriority w:val="0"/>
    <w:rPr>
      <w:rFonts w:hint="default" w:ascii="TimesNewRomanPSMT" w:hAnsi="TimesNewRomanPSMT"/>
      <w:color w:val="000000"/>
      <w:sz w:val="22"/>
      <w:szCs w:val="22"/>
    </w:rPr>
  </w:style>
  <w:style w:type="character" w:customStyle="1" w:styleId="8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9">
    <w:name w:val="标题 4 字符"/>
    <w:basedOn w:val="55"/>
    <w:autoRedefine/>
    <w:semiHidden/>
    <w:qFormat/>
    <w:uiPriority w:val="9"/>
    <w:rPr>
      <w:rFonts w:asciiTheme="majorHAnsi" w:hAnsiTheme="majorHAnsi" w:eastAsiaTheme="majorEastAsia" w:cstheme="majorBidi"/>
      <w:b/>
      <w:bCs/>
      <w:sz w:val="28"/>
      <w:szCs w:val="28"/>
    </w:rPr>
  </w:style>
  <w:style w:type="character" w:customStyle="1" w:styleId="90">
    <w:name w:val="标题 4 Char"/>
    <w:link w:val="5"/>
    <w:autoRedefine/>
    <w:qFormat/>
    <w:uiPriority w:val="0"/>
    <w:rPr>
      <w:rFonts w:ascii="@仿宋_GB2312" w:hAnsi="@仿宋_GB2312" w:eastAsia="@仿宋_GB2312" w:cs="@仿宋_GB2312"/>
      <w:b/>
      <w:bCs/>
      <w:sz w:val="28"/>
      <w:szCs w:val="28"/>
    </w:rPr>
  </w:style>
  <w:style w:type="character" w:customStyle="1" w:styleId="91">
    <w:name w:val="正文文本 Char"/>
    <w:basedOn w:val="55"/>
    <w:link w:val="19"/>
    <w:autoRedefine/>
    <w:qFormat/>
    <w:uiPriority w:val="0"/>
    <w:rPr>
      <w:rFonts w:ascii="@微软简标宋" w:hAnsi="@微软简标宋" w:eastAsia="@微软简标宋" w:cs="@微软简标宋"/>
      <w:szCs w:val="24"/>
      <w:lang w:val="zh-CN" w:eastAsia="zh-CN"/>
    </w:rPr>
  </w:style>
  <w:style w:type="table" w:customStyle="1" w:styleId="92">
    <w:name w:val="网格型1"/>
    <w:basedOn w:val="5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3">
    <w:name w:val="批注主题 Char"/>
    <w:basedOn w:val="82"/>
    <w:link w:val="51"/>
    <w:autoRedefine/>
    <w:qFormat/>
    <w:uiPriority w:val="0"/>
    <w:rPr>
      <w:rFonts w:ascii="Arial" w:hAnsi="Arial" w:eastAsia="黑体" w:cs="Arial"/>
      <w:b/>
      <w:bCs/>
      <w:szCs w:val="20"/>
    </w:rPr>
  </w:style>
  <w:style w:type="paragraph" w:customStyle="1" w:styleId="94">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5">
    <w:name w:val="网格型2"/>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标题 2 Char"/>
    <w:basedOn w:val="55"/>
    <w:link w:val="3"/>
    <w:autoRedefine/>
    <w:qFormat/>
    <w:uiPriority w:val="0"/>
    <w:rPr>
      <w:rFonts w:ascii="Cambria" w:hAnsi="Cambria" w:cs="Times New Roman"/>
      <w:b/>
      <w:bCs/>
      <w:kern w:val="2"/>
      <w:sz w:val="32"/>
      <w:szCs w:val="32"/>
      <w:lang w:val="zh-CN" w:eastAsia="zh-CN"/>
    </w:rPr>
  </w:style>
  <w:style w:type="character" w:customStyle="1" w:styleId="97">
    <w:name w:val="标题 5 Char"/>
    <w:basedOn w:val="55"/>
    <w:link w:val="6"/>
    <w:autoRedefine/>
    <w:qFormat/>
    <w:uiPriority w:val="0"/>
    <w:rPr>
      <w:rFonts w:ascii="Calibri" w:hAnsi="Calibri" w:cs="Times New Roman"/>
      <w:b/>
      <w:bCs/>
      <w:kern w:val="2"/>
      <w:sz w:val="28"/>
      <w:szCs w:val="28"/>
      <w:lang w:val="zh-CN" w:eastAsia="zh-CN"/>
    </w:rPr>
  </w:style>
  <w:style w:type="character" w:customStyle="1" w:styleId="98">
    <w:name w:val="标题 6 Char"/>
    <w:basedOn w:val="55"/>
    <w:link w:val="7"/>
    <w:autoRedefine/>
    <w:qFormat/>
    <w:uiPriority w:val="0"/>
    <w:rPr>
      <w:rFonts w:ascii="Times New Roman" w:hAnsi="Times New Roman" w:cs="Times New Roman"/>
      <w:b/>
      <w:bCs/>
      <w:kern w:val="2"/>
      <w:sz w:val="30"/>
      <w:szCs w:val="18"/>
      <w:lang w:val="zh-CN" w:eastAsia="zh-CN"/>
    </w:rPr>
  </w:style>
  <w:style w:type="character" w:customStyle="1" w:styleId="99">
    <w:name w:val="标题 7 Char"/>
    <w:basedOn w:val="55"/>
    <w:link w:val="8"/>
    <w:autoRedefine/>
    <w:qFormat/>
    <w:uiPriority w:val="0"/>
    <w:rPr>
      <w:rFonts w:ascii="Times New Roman" w:hAnsi="Times New Roman" w:cs="Times New Roman"/>
      <w:b/>
      <w:bCs/>
      <w:kern w:val="2"/>
      <w:sz w:val="30"/>
      <w:szCs w:val="18"/>
      <w:lang w:val="zh-CN" w:eastAsia="zh-CN"/>
    </w:rPr>
  </w:style>
  <w:style w:type="character" w:customStyle="1" w:styleId="100">
    <w:name w:val="标题 8 Char"/>
    <w:basedOn w:val="55"/>
    <w:link w:val="9"/>
    <w:autoRedefine/>
    <w:qFormat/>
    <w:uiPriority w:val="0"/>
    <w:rPr>
      <w:rFonts w:eastAsia="黑体" w:cs="Times New Roman"/>
      <w:kern w:val="2"/>
      <w:sz w:val="32"/>
      <w:szCs w:val="32"/>
      <w:lang w:val="zh-CN" w:eastAsia="zh-CN"/>
    </w:rPr>
  </w:style>
  <w:style w:type="character" w:customStyle="1" w:styleId="101">
    <w:name w:val="标题 9 Char"/>
    <w:basedOn w:val="55"/>
    <w:link w:val="10"/>
    <w:autoRedefine/>
    <w:qFormat/>
    <w:uiPriority w:val="0"/>
    <w:rPr>
      <w:rFonts w:ascii="Cambria" w:hAnsi="Cambria" w:cs="Times New Roman"/>
      <w:kern w:val="2"/>
      <w:sz w:val="21"/>
      <w:szCs w:val="21"/>
      <w:lang w:val="zh-CN" w:eastAsia="zh-CN"/>
    </w:rPr>
  </w:style>
  <w:style w:type="character" w:customStyle="1" w:styleId="102">
    <w:name w:val="纯文本 Char2"/>
    <w:autoRedefine/>
    <w:qFormat/>
    <w:uiPriority w:val="0"/>
    <w:rPr>
      <w:rFonts w:ascii="宋体" w:hAnsi="Courier New"/>
    </w:rPr>
  </w:style>
  <w:style w:type="table" w:customStyle="1" w:styleId="103">
    <w:name w:val="网格型3"/>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表 1 浅色11"/>
    <w:basedOn w:val="53"/>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5">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6">
    <w:name w:val="正文文本缩进 Char"/>
    <w:basedOn w:val="55"/>
    <w:link w:val="20"/>
    <w:autoRedefine/>
    <w:qFormat/>
    <w:uiPriority w:val="0"/>
    <w:rPr>
      <w:rFonts w:asciiTheme="minorHAnsi" w:hAnsiTheme="minorHAnsi"/>
      <w:kern w:val="2"/>
      <w:sz w:val="21"/>
      <w:szCs w:val="22"/>
    </w:rPr>
  </w:style>
  <w:style w:type="paragraph" w:customStyle="1" w:styleId="107">
    <w:name w:val="Char"/>
    <w:basedOn w:val="1"/>
    <w:autoRedefine/>
    <w:qFormat/>
    <w:uiPriority w:val="0"/>
    <w:rPr>
      <w:rFonts w:ascii="Tahoma" w:hAnsi="Tahoma" w:cs="Times New Roman"/>
      <w:sz w:val="24"/>
    </w:rPr>
  </w:style>
  <w:style w:type="character" w:customStyle="1" w:styleId="108">
    <w:name w:val="脚注文本 Char"/>
    <w:basedOn w:val="55"/>
    <w:link w:val="41"/>
    <w:autoRedefine/>
    <w:qFormat/>
    <w:uiPriority w:val="0"/>
    <w:rPr>
      <w:rFonts w:ascii="Times New Roman" w:hAnsi="Times New Roman" w:cs="Times New Roman"/>
      <w:kern w:val="2"/>
      <w:sz w:val="18"/>
      <w:szCs w:val="18"/>
      <w:lang w:val="zh-CN" w:eastAsia="zh-CN"/>
    </w:rPr>
  </w:style>
  <w:style w:type="paragraph" w:customStyle="1" w:styleId="109">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0">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1">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2">
    <w:name w:val="称呼 Char"/>
    <w:basedOn w:val="55"/>
    <w:link w:val="17"/>
    <w:autoRedefine/>
    <w:qFormat/>
    <w:uiPriority w:val="0"/>
    <w:rPr>
      <w:rFonts w:ascii="仿宋_GB2312" w:hAnsi="Times New Roman" w:eastAsia="仿宋_GB2312" w:cs="Times New Roman"/>
      <w:kern w:val="2"/>
      <w:sz w:val="28"/>
      <w:lang w:val="zh-CN" w:eastAsia="zh-CN"/>
    </w:rPr>
  </w:style>
  <w:style w:type="paragraph" w:customStyle="1" w:styleId="113">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19">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0">
    <w:name w:val="Char Char Char Char Char Char"/>
    <w:basedOn w:val="1"/>
    <w:autoRedefine/>
    <w:qFormat/>
    <w:uiPriority w:val="0"/>
    <w:rPr>
      <w:rFonts w:ascii="Tahoma" w:hAnsi="Tahoma" w:cs="Times New Roman"/>
      <w:kern w:val="2"/>
      <w:sz w:val="24"/>
    </w:rPr>
  </w:style>
  <w:style w:type="paragraph" w:customStyle="1" w:styleId="121">
    <w:name w:val="Blockquote"/>
    <w:basedOn w:val="1"/>
    <w:link w:val="122"/>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2">
    <w:name w:val="Blockquote Char"/>
    <w:link w:val="121"/>
    <w:autoRedefine/>
    <w:qFormat/>
    <w:uiPriority w:val="0"/>
    <w:rPr>
      <w:rFonts w:ascii="Times New Roman" w:hAnsi="Times New Roman" w:cs="Times New Roman"/>
      <w:sz w:val="24"/>
      <w:lang w:val="zh-CN" w:eastAsia="zh-CN"/>
    </w:rPr>
  </w:style>
  <w:style w:type="paragraph" w:customStyle="1" w:styleId="123">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24">
    <w:name w:val="tdrownotice1"/>
    <w:autoRedefine/>
    <w:qFormat/>
    <w:uiPriority w:val="0"/>
    <w:rPr>
      <w:sz w:val="22"/>
    </w:rPr>
  </w:style>
  <w:style w:type="paragraph" w:customStyle="1" w:styleId="125">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6">
    <w:name w:val="正文文本缩进 3 Char"/>
    <w:basedOn w:val="55"/>
    <w:link w:val="43"/>
    <w:autoRedefine/>
    <w:qFormat/>
    <w:uiPriority w:val="0"/>
    <w:rPr>
      <w:rFonts w:hAnsi="MS Sans Serif" w:cs="Times New Roman"/>
      <w:bCs/>
      <w:color w:val="000000"/>
      <w:sz w:val="24"/>
      <w:lang w:val="zh-CN" w:eastAsia="zh-CN"/>
    </w:rPr>
  </w:style>
  <w:style w:type="character" w:customStyle="1" w:styleId="127">
    <w:name w:val="正文文本缩进 2 Char"/>
    <w:basedOn w:val="55"/>
    <w:link w:val="30"/>
    <w:autoRedefine/>
    <w:qFormat/>
    <w:uiPriority w:val="0"/>
    <w:rPr>
      <w:rFonts w:hAnsi="MS Sans Serif" w:cs="Times New Roman"/>
      <w:bCs/>
      <w:spacing w:val="12"/>
      <w:sz w:val="24"/>
      <w:lang w:val="zh-CN" w:eastAsia="zh-CN"/>
    </w:rPr>
  </w:style>
  <w:style w:type="paragraph" w:customStyle="1" w:styleId="128">
    <w:name w:val="目录"/>
    <w:basedOn w:val="1"/>
    <w:autoRedefine/>
    <w:qFormat/>
    <w:uiPriority w:val="0"/>
    <w:pPr>
      <w:widowControl/>
      <w:jc w:val="center"/>
    </w:pPr>
    <w:rPr>
      <w:rFonts w:hAnsi="Calibri" w:cs="Times New Roman"/>
      <w:b/>
      <w:sz w:val="36"/>
    </w:rPr>
  </w:style>
  <w:style w:type="paragraph" w:customStyle="1" w:styleId="129">
    <w:name w:val="目录文字"/>
    <w:basedOn w:val="1"/>
    <w:autoRedefine/>
    <w:qFormat/>
    <w:uiPriority w:val="0"/>
    <w:pPr>
      <w:widowControl/>
      <w:spacing w:line="480" w:lineRule="auto"/>
      <w:jc w:val="left"/>
    </w:pPr>
    <w:rPr>
      <w:rFonts w:cs="Times New Roman"/>
      <w:sz w:val="24"/>
    </w:rPr>
  </w:style>
  <w:style w:type="character" w:customStyle="1" w:styleId="130">
    <w:name w:val="正文文本 2 Char"/>
    <w:basedOn w:val="55"/>
    <w:link w:val="46"/>
    <w:autoRedefine/>
    <w:qFormat/>
    <w:uiPriority w:val="0"/>
    <w:rPr>
      <w:rFonts w:hAnsi="Times New Roman" w:cs="Times New Roman"/>
      <w:spacing w:val="-20"/>
      <w:kern w:val="2"/>
      <w:sz w:val="28"/>
      <w:lang w:val="zh-CN" w:eastAsia="zh-CN"/>
    </w:rPr>
  </w:style>
  <w:style w:type="character" w:customStyle="1" w:styleId="131">
    <w:name w:val="正文文本 3 Char"/>
    <w:basedOn w:val="55"/>
    <w:link w:val="18"/>
    <w:autoRedefine/>
    <w:qFormat/>
    <w:uiPriority w:val="0"/>
    <w:rPr>
      <w:rFonts w:ascii="仿宋_GB2312" w:eastAsia="仿宋_GB2312" w:cs="Times New Roman"/>
      <w:bCs/>
      <w:color w:val="000000"/>
      <w:kern w:val="2"/>
      <w:sz w:val="24"/>
      <w:szCs w:val="32"/>
      <w:lang w:val="zh-CN" w:eastAsia="zh-CN"/>
    </w:rPr>
  </w:style>
  <w:style w:type="paragraph" w:customStyle="1" w:styleId="13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3">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4">
    <w:name w:val="标题 Char"/>
    <w:basedOn w:val="55"/>
    <w:link w:val="50"/>
    <w:autoRedefine/>
    <w:qFormat/>
    <w:uiPriority w:val="0"/>
    <w:rPr>
      <w:rFonts w:eastAsia="黑体" w:cs="Times New Roman"/>
      <w:b/>
      <w:smallCaps/>
      <w:snapToGrid w:val="0"/>
      <w:kern w:val="2"/>
      <w:sz w:val="44"/>
      <w:szCs w:val="24"/>
      <w:lang w:val="zh-CN" w:eastAsia="zh-CN"/>
    </w:rPr>
  </w:style>
  <w:style w:type="paragraph" w:customStyle="1" w:styleId="135">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6">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7">
    <w:name w:val="简单回函地址"/>
    <w:basedOn w:val="1"/>
    <w:autoRedefine/>
    <w:qFormat/>
    <w:uiPriority w:val="0"/>
    <w:rPr>
      <w:rFonts w:ascii="Calibri" w:hAnsi="Calibri" w:cs="Times New Roman"/>
      <w:kern w:val="2"/>
      <w:sz w:val="21"/>
      <w:szCs w:val="22"/>
    </w:rPr>
  </w:style>
  <w:style w:type="paragraph" w:customStyle="1" w:styleId="138">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39">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0">
    <w:name w:val="t_tag"/>
    <w:basedOn w:val="55"/>
    <w:autoRedefine/>
    <w:qFormat/>
    <w:uiPriority w:val="0"/>
  </w:style>
  <w:style w:type="table" w:customStyle="1" w:styleId="141">
    <w:name w:val="网格型11"/>
    <w:basedOn w:val="53"/>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2">
    <w:name w:val="批注框文本 Char1"/>
    <w:basedOn w:val="55"/>
    <w:autoRedefine/>
    <w:qFormat/>
    <w:uiPriority w:val="0"/>
    <w:rPr>
      <w:rFonts w:ascii="Times New Roman" w:hAnsi="Times New Roman" w:eastAsia="宋体" w:cs="Times New Roman"/>
      <w:sz w:val="18"/>
      <w:szCs w:val="18"/>
    </w:rPr>
  </w:style>
  <w:style w:type="character" w:customStyle="1" w:styleId="143">
    <w:name w:val="批注主题 Char1"/>
    <w:basedOn w:val="82"/>
    <w:autoRedefine/>
    <w:qFormat/>
    <w:uiPriority w:val="0"/>
    <w:rPr>
      <w:rFonts w:ascii="@仿宋_GB2312" w:hAnsi="@仿宋_GB2312" w:eastAsia="@仿宋_GB2312" w:cs="@仿宋_GB2312"/>
      <w:b/>
      <w:bCs/>
      <w:szCs w:val="20"/>
    </w:rPr>
  </w:style>
  <w:style w:type="paragraph" w:customStyle="1" w:styleId="144">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5">
    <w:name w:val="文档结构图 Char"/>
    <w:basedOn w:val="55"/>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6">
    <w:name w:val="标题 1 Char1"/>
    <w:autoRedefine/>
    <w:qFormat/>
    <w:uiPriority w:val="0"/>
    <w:rPr>
      <w:rFonts w:ascii="Calibri" w:hAnsi="Calibri" w:eastAsia="宋体"/>
      <w:b/>
      <w:kern w:val="44"/>
      <w:sz w:val="44"/>
      <w:szCs w:val="44"/>
    </w:rPr>
  </w:style>
  <w:style w:type="character" w:customStyle="1" w:styleId="147">
    <w:name w:val="标题 3 Char1"/>
    <w:autoRedefine/>
    <w:semiHidden/>
    <w:qFormat/>
    <w:uiPriority w:val="0"/>
    <w:rPr>
      <w:rFonts w:ascii="Calibri" w:hAnsi="Calibri" w:eastAsia="宋体"/>
      <w:b/>
      <w:kern w:val="2"/>
      <w:sz w:val="32"/>
    </w:rPr>
  </w:style>
  <w:style w:type="character" w:customStyle="1" w:styleId="148">
    <w:name w:val="标题 4 Char1"/>
    <w:autoRedefine/>
    <w:semiHidden/>
    <w:qFormat/>
    <w:uiPriority w:val="0"/>
    <w:rPr>
      <w:rFonts w:ascii="Cambria" w:hAnsi="Cambria" w:eastAsia="宋体"/>
      <w:b/>
      <w:kern w:val="2"/>
      <w:sz w:val="28"/>
      <w:szCs w:val="28"/>
    </w:rPr>
  </w:style>
  <w:style w:type="character" w:customStyle="1" w:styleId="149">
    <w:name w:val="标题 5 Char1"/>
    <w:autoRedefine/>
    <w:semiHidden/>
    <w:qFormat/>
    <w:uiPriority w:val="0"/>
    <w:rPr>
      <w:rFonts w:ascii="Calibri" w:hAnsi="Calibri" w:eastAsia="宋体"/>
      <w:b/>
      <w:kern w:val="2"/>
      <w:sz w:val="28"/>
      <w:szCs w:val="28"/>
    </w:rPr>
  </w:style>
  <w:style w:type="character" w:customStyle="1" w:styleId="150">
    <w:name w:val="标题 6 Char1"/>
    <w:autoRedefine/>
    <w:semiHidden/>
    <w:qFormat/>
    <w:uiPriority w:val="0"/>
    <w:rPr>
      <w:rFonts w:ascii="Cambria" w:hAnsi="Cambria" w:eastAsia="宋体"/>
      <w:b/>
      <w:kern w:val="2"/>
      <w:sz w:val="24"/>
      <w:szCs w:val="24"/>
    </w:rPr>
  </w:style>
  <w:style w:type="character" w:customStyle="1" w:styleId="151">
    <w:name w:val="标题 7 Char1"/>
    <w:autoRedefine/>
    <w:semiHidden/>
    <w:qFormat/>
    <w:uiPriority w:val="0"/>
    <w:rPr>
      <w:rFonts w:ascii="Calibri" w:hAnsi="Calibri" w:eastAsia="宋体"/>
      <w:b/>
      <w:kern w:val="2"/>
      <w:sz w:val="24"/>
      <w:szCs w:val="24"/>
    </w:rPr>
  </w:style>
  <w:style w:type="character" w:customStyle="1" w:styleId="152">
    <w:name w:val="标题 8 Char1"/>
    <w:autoRedefine/>
    <w:semiHidden/>
    <w:qFormat/>
    <w:uiPriority w:val="0"/>
    <w:rPr>
      <w:rFonts w:ascii="Cambria" w:hAnsi="Cambria" w:eastAsia="宋体"/>
      <w:kern w:val="2"/>
      <w:sz w:val="24"/>
      <w:szCs w:val="24"/>
    </w:rPr>
  </w:style>
  <w:style w:type="character" w:customStyle="1" w:styleId="153">
    <w:name w:val="标题 9 Char1"/>
    <w:autoRedefine/>
    <w:semiHidden/>
    <w:qFormat/>
    <w:uiPriority w:val="0"/>
    <w:rPr>
      <w:rFonts w:ascii="Cambria" w:hAnsi="Cambria" w:eastAsia="宋体"/>
      <w:kern w:val="2"/>
      <w:sz w:val="21"/>
      <w:szCs w:val="21"/>
    </w:rPr>
  </w:style>
  <w:style w:type="paragraph" w:customStyle="1" w:styleId="154">
    <w:name w:val="MsoNormal"/>
    <w:basedOn w:val="155"/>
    <w:autoRedefine/>
    <w:qFormat/>
    <w:uiPriority w:val="0"/>
    <w:rPr>
      <w:rFonts w:ascii="Calibri" w:hAnsi="Calibri" w:eastAsia="Calibri"/>
      <w:sz w:val="21"/>
    </w:rPr>
  </w:style>
  <w:style w:type="paragraph" w:customStyle="1" w:styleId="155">
    <w:name w:val="Normal_0"/>
    <w:autoRedefine/>
    <w:qFormat/>
    <w:uiPriority w:val="0"/>
    <w:rPr>
      <w:rFonts w:ascii="Times New Roman" w:hAnsi="Times New Roman" w:eastAsia="宋体" w:cs="Times New Roman"/>
      <w:sz w:val="24"/>
      <w:szCs w:val="24"/>
      <w:lang w:val="en-US" w:eastAsia="zh-CN" w:bidi="ar-SA"/>
    </w:rPr>
  </w:style>
  <w:style w:type="paragraph" w:customStyle="1" w:styleId="156">
    <w:name w:val="标题 2_0"/>
    <w:basedOn w:val="157"/>
    <w:next w:val="158"/>
    <w:link w:val="15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标题 2 Char_0"/>
    <w:link w:val="156"/>
    <w:autoRedefine/>
    <w:qFormat/>
    <w:uiPriority w:val="0"/>
    <w:rPr>
      <w:rFonts w:ascii="黑体" w:eastAsia="黑体" w:cs="Times New Roman"/>
      <w:b/>
      <w:smallCaps/>
      <w:snapToGrid w:val="0"/>
      <w:sz w:val="36"/>
      <w:szCs w:val="24"/>
      <w:lang w:val="zh-CN" w:eastAsia="zh-CN"/>
    </w:rPr>
  </w:style>
  <w:style w:type="paragraph" w:customStyle="1" w:styleId="160">
    <w:name w:val="纯文本_0"/>
    <w:basedOn w:val="158"/>
    <w:link w:val="161"/>
    <w:autoRedefine/>
    <w:qFormat/>
    <w:uiPriority w:val="99"/>
    <w:rPr>
      <w:rFonts w:ascii="宋体" w:hAnsi="Courier New"/>
      <w:szCs w:val="21"/>
    </w:rPr>
  </w:style>
  <w:style w:type="character" w:customStyle="1" w:styleId="161">
    <w:name w:val="Texte Char1"/>
    <w:link w:val="160"/>
    <w:autoRedefine/>
    <w:qFormat/>
    <w:uiPriority w:val="99"/>
    <w:rPr>
      <w:rFonts w:hAnsi="Courier New" w:cs="Times New Roman"/>
      <w:kern w:val="2"/>
      <w:sz w:val="21"/>
      <w:szCs w:val="21"/>
    </w:rPr>
  </w:style>
  <w:style w:type="paragraph" w:customStyle="1" w:styleId="162">
    <w:name w:val="纯文本_1"/>
    <w:basedOn w:val="163"/>
    <w:link w:val="164"/>
    <w:autoRedefine/>
    <w:qFormat/>
    <w:uiPriority w:val="0"/>
    <w:rPr>
      <w:rFonts w:ascii="宋体" w:hAnsi="Courier New"/>
      <w:szCs w:val="21"/>
      <w:lang w:val="zh-CN"/>
    </w:rPr>
  </w:style>
  <w:style w:type="paragraph" w:customStyle="1" w:styleId="1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纯文本 Char1_0"/>
    <w:link w:val="162"/>
    <w:autoRedefine/>
    <w:qFormat/>
    <w:uiPriority w:val="0"/>
    <w:rPr>
      <w:rFonts w:hAnsi="Courier New" w:cs="Times New Roman"/>
      <w:kern w:val="2"/>
      <w:sz w:val="21"/>
      <w:szCs w:val="21"/>
      <w:lang w:val="zh-CN" w:eastAsia="zh-CN"/>
    </w:rPr>
  </w:style>
  <w:style w:type="paragraph" w:customStyle="1" w:styleId="165">
    <w:name w:val="标题 3_0"/>
    <w:basedOn w:val="166"/>
    <w:next w:val="167"/>
    <w:link w:val="17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缩进_0"/>
    <w:basedOn w:val="166"/>
    <w:autoRedefine/>
    <w:unhideWhenUsed/>
    <w:qFormat/>
    <w:uiPriority w:val="0"/>
    <w:pPr>
      <w:ind w:firstLine="420" w:firstLineChars="200"/>
    </w:pPr>
    <w:rPr>
      <w:rFonts w:ascii="Calibri" w:hAnsi="Calibri"/>
      <w:bCs/>
      <w:szCs w:val="32"/>
    </w:rPr>
  </w:style>
  <w:style w:type="paragraph" w:customStyle="1" w:styleId="168">
    <w:name w:val="标题 1_0"/>
    <w:basedOn w:val="166"/>
    <w:next w:val="166"/>
    <w:link w:val="16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69">
    <w:name w:val="标题 1 Char_0"/>
    <w:link w:val="168"/>
    <w:autoRedefine/>
    <w:qFormat/>
    <w:uiPriority w:val="0"/>
    <w:rPr>
      <w:rFonts w:ascii="黑体" w:hAnsi="Times New Roman" w:eastAsia="黑体" w:cs="Times New Roman"/>
      <w:sz w:val="52"/>
      <w:lang w:val="zh-CN" w:eastAsia="zh-CN"/>
    </w:rPr>
  </w:style>
  <w:style w:type="paragraph" w:customStyle="1" w:styleId="170">
    <w:name w:val="标题 6_0"/>
    <w:basedOn w:val="166"/>
    <w:next w:val="166"/>
    <w:link w:val="17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1">
    <w:name w:val="标题 6 Char_0"/>
    <w:link w:val="170"/>
    <w:autoRedefine/>
    <w:qFormat/>
    <w:uiPriority w:val="0"/>
    <w:rPr>
      <w:rFonts w:ascii="Arial" w:hAnsi="Arial" w:eastAsia="黑体" w:cs="Times New Roman"/>
      <w:b/>
      <w:bCs/>
      <w:sz w:val="24"/>
      <w:szCs w:val="24"/>
      <w:lang w:val="zh-CN" w:eastAsia="zh-CN"/>
    </w:rPr>
  </w:style>
  <w:style w:type="paragraph" w:customStyle="1" w:styleId="172">
    <w:name w:val="标题 7_0"/>
    <w:basedOn w:val="166"/>
    <w:next w:val="166"/>
    <w:link w:val="17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3">
    <w:name w:val="标题 7 Char_0"/>
    <w:link w:val="172"/>
    <w:autoRedefine/>
    <w:qFormat/>
    <w:uiPriority w:val="0"/>
    <w:rPr>
      <w:rFonts w:ascii="Times New Roman" w:hAnsi="Times New Roman" w:cs="Times New Roman"/>
      <w:b/>
      <w:bCs/>
      <w:sz w:val="24"/>
      <w:szCs w:val="24"/>
      <w:lang w:val="zh-CN" w:eastAsia="zh-CN"/>
    </w:rPr>
  </w:style>
  <w:style w:type="paragraph" w:customStyle="1" w:styleId="174">
    <w:name w:val="标题 8_0"/>
    <w:basedOn w:val="166"/>
    <w:next w:val="166"/>
    <w:link w:val="17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5">
    <w:name w:val="标题 8 Char_0"/>
    <w:link w:val="174"/>
    <w:autoRedefine/>
    <w:qFormat/>
    <w:uiPriority w:val="0"/>
    <w:rPr>
      <w:rFonts w:ascii="Arial" w:hAnsi="Arial" w:eastAsia="黑体" w:cs="Times New Roman"/>
      <w:sz w:val="24"/>
      <w:szCs w:val="24"/>
      <w:lang w:val="zh-CN" w:eastAsia="zh-CN"/>
    </w:rPr>
  </w:style>
  <w:style w:type="paragraph" w:customStyle="1" w:styleId="176">
    <w:name w:val="标题 9_0"/>
    <w:basedOn w:val="166"/>
    <w:next w:val="166"/>
    <w:link w:val="17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7">
    <w:name w:val="标题 9 Char_0"/>
    <w:link w:val="176"/>
    <w:autoRedefine/>
    <w:qFormat/>
    <w:uiPriority w:val="0"/>
    <w:rPr>
      <w:rFonts w:ascii="Arial" w:hAnsi="Arial" w:eastAsia="黑体" w:cs="Times New Roman"/>
      <w:sz w:val="21"/>
      <w:szCs w:val="21"/>
      <w:lang w:val="zh-CN" w:eastAsia="zh-CN"/>
    </w:rPr>
  </w:style>
  <w:style w:type="character" w:customStyle="1" w:styleId="178">
    <w:name w:val="标题 3 Char_0"/>
    <w:link w:val="165"/>
    <w:autoRedefine/>
    <w:qFormat/>
    <w:uiPriority w:val="0"/>
    <w:rPr>
      <w:rFonts w:ascii="Times New Roman" w:hAnsi="Times New Roman" w:cs="Times New Roman"/>
      <w:b/>
      <w:sz w:val="32"/>
      <w:lang w:val="zh-CN" w:eastAsia="zh-CN"/>
    </w:rPr>
  </w:style>
  <w:style w:type="paragraph" w:customStyle="1" w:styleId="179">
    <w:name w:val="Blockquote_0"/>
    <w:basedOn w:val="166"/>
    <w:link w:val="18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0">
    <w:name w:val="Blockquote Char_0"/>
    <w:link w:val="179"/>
    <w:autoRedefine/>
    <w:qFormat/>
    <w:locked/>
    <w:uiPriority w:val="0"/>
    <w:rPr>
      <w:rFonts w:ascii="Times New Roman" w:hAnsi="Times New Roman" w:cs="Times New Roman"/>
      <w:sz w:val="24"/>
      <w:lang w:val="zh-CN" w:eastAsia="zh-CN"/>
    </w:rPr>
  </w:style>
  <w:style w:type="paragraph" w:customStyle="1" w:styleId="181">
    <w:name w:val="标题 4_0"/>
    <w:basedOn w:val="166"/>
    <w:next w:val="166"/>
    <w:link w:val="18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2">
    <w:name w:val="标题 4 Char_0"/>
    <w:link w:val="181"/>
    <w:autoRedefine/>
    <w:qFormat/>
    <w:uiPriority w:val="0"/>
    <w:rPr>
      <w:rFonts w:ascii="Arial" w:hAnsi="Arial" w:eastAsia="黑体" w:cs="Times New Roman"/>
      <w:sz w:val="28"/>
      <w:lang w:val="zh-CN" w:eastAsia="zh-CN"/>
    </w:rPr>
  </w:style>
  <w:style w:type="paragraph" w:customStyle="1" w:styleId="183">
    <w:name w:val="纯文本_2"/>
    <w:basedOn w:val="166"/>
    <w:link w:val="184"/>
    <w:autoRedefine/>
    <w:qFormat/>
    <w:uiPriority w:val="0"/>
    <w:rPr>
      <w:rFonts w:ascii="宋体" w:hAnsi="Courier New"/>
      <w:szCs w:val="21"/>
      <w:lang w:val="zh-CN"/>
    </w:rPr>
  </w:style>
  <w:style w:type="character" w:customStyle="1" w:styleId="184">
    <w:name w:val="纯文本 Char1_1"/>
    <w:link w:val="183"/>
    <w:autoRedefine/>
    <w:qFormat/>
    <w:uiPriority w:val="0"/>
    <w:rPr>
      <w:rFonts w:hAnsi="Courier New" w:cs="Times New Roman"/>
      <w:kern w:val="2"/>
      <w:sz w:val="21"/>
      <w:szCs w:val="21"/>
      <w:lang w:val="zh-CN" w:eastAsia="zh-CN"/>
    </w:rPr>
  </w:style>
  <w:style w:type="paragraph" w:customStyle="1" w:styleId="185">
    <w:name w:val="Blockquote_0_1"/>
    <w:basedOn w:val="186"/>
    <w:link w:val="18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Blockquote Char_0_1"/>
    <w:link w:val="185"/>
    <w:autoRedefine/>
    <w:qFormat/>
    <w:locked/>
    <w:uiPriority w:val="0"/>
    <w:rPr>
      <w:rFonts w:ascii="Times New Roman" w:hAnsi="Times New Roman" w:cs="Times New Roman"/>
      <w:sz w:val="24"/>
      <w:lang w:val="zh-CN" w:eastAsia="zh-CN"/>
    </w:rPr>
  </w:style>
  <w:style w:type="paragraph" w:customStyle="1" w:styleId="188">
    <w:name w:val="正文文本_0"/>
    <w:basedOn w:val="166"/>
    <w:link w:val="189"/>
    <w:autoRedefine/>
    <w:qFormat/>
    <w:uiPriority w:val="0"/>
    <w:pPr>
      <w:spacing w:after="120"/>
    </w:pPr>
    <w:rPr>
      <w:lang w:val="zh-CN"/>
    </w:rPr>
  </w:style>
  <w:style w:type="character" w:customStyle="1" w:styleId="189">
    <w:name w:val="正文文本 Char_0"/>
    <w:link w:val="188"/>
    <w:autoRedefine/>
    <w:qFormat/>
    <w:uiPriority w:val="0"/>
    <w:rPr>
      <w:rFonts w:ascii="Times New Roman" w:hAnsi="Times New Roman" w:cs="Times New Roman"/>
      <w:kern w:val="2"/>
      <w:sz w:val="21"/>
      <w:szCs w:val="24"/>
      <w:lang w:val="zh-CN" w:eastAsia="zh-CN"/>
    </w:rPr>
  </w:style>
  <w:style w:type="paragraph" w:customStyle="1" w:styleId="190">
    <w:name w:val="普通(网站)_0"/>
    <w:basedOn w:val="166"/>
    <w:autoRedefine/>
    <w:qFormat/>
    <w:uiPriority w:val="0"/>
    <w:pPr>
      <w:widowControl/>
      <w:spacing w:before="100" w:beforeAutospacing="1" w:after="100" w:afterAutospacing="1"/>
      <w:jc w:val="left"/>
    </w:pPr>
    <w:rPr>
      <w:rFonts w:ascii="宋体" w:hAnsi="宋体"/>
      <w:kern w:val="0"/>
      <w:sz w:val="24"/>
    </w:rPr>
  </w:style>
  <w:style w:type="paragraph" w:customStyle="1" w:styleId="1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脚注文本_0"/>
    <w:basedOn w:val="115"/>
    <w:link w:val="19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4">
    <w:name w:val="脚注文本 Char_0"/>
    <w:link w:val="193"/>
    <w:autoRedefine/>
    <w:qFormat/>
    <w:uiPriority w:val="0"/>
    <w:rPr>
      <w:rFonts w:ascii="Times New Roman" w:hAnsi="Times New Roman" w:cs="Times New Roman"/>
      <w:sz w:val="18"/>
      <w:lang w:val="zh-CN" w:eastAsia="zh-CN"/>
    </w:rPr>
  </w:style>
  <w:style w:type="paragraph" w:customStyle="1" w:styleId="195">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19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19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0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3">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4">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7">
    <w:name w:val="Char Char Char Char Char"/>
    <w:basedOn w:val="1"/>
    <w:autoRedefine/>
    <w:qFormat/>
    <w:uiPriority w:val="0"/>
    <w:rPr>
      <w:rFonts w:ascii="Tahoma" w:hAnsi="Tahoma" w:cs="Times New Roman"/>
      <w:kern w:val="2"/>
      <w:sz w:val="24"/>
    </w:rPr>
  </w:style>
  <w:style w:type="paragraph" w:customStyle="1" w:styleId="218">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19">
    <w:name w:val="副标题 Char"/>
    <w:basedOn w:val="55"/>
    <w:link w:val="39"/>
    <w:autoRedefine/>
    <w:qFormat/>
    <w:uiPriority w:val="0"/>
    <w:rPr>
      <w:rFonts w:ascii="Arial" w:hAnsi="Arial" w:cs="Times New Roman"/>
      <w:b/>
      <w:bCs/>
      <w:kern w:val="28"/>
      <w:sz w:val="32"/>
      <w:szCs w:val="32"/>
      <w:lang w:val="zh-CN" w:eastAsia="zh-CN"/>
    </w:rPr>
  </w:style>
  <w:style w:type="character" w:customStyle="1" w:styleId="220">
    <w:name w:val="Char Char"/>
    <w:autoRedefine/>
    <w:qFormat/>
    <w:uiPriority w:val="0"/>
    <w:rPr>
      <w:rFonts w:ascii="宋体" w:hAnsi="Courier New" w:eastAsia="宋体" w:cs="Courier New"/>
      <w:kern w:val="2"/>
      <w:sz w:val="21"/>
      <w:szCs w:val="21"/>
      <w:lang w:val="en-US" w:eastAsia="zh-CN" w:bidi="ar-SA"/>
    </w:rPr>
  </w:style>
  <w:style w:type="character" w:customStyle="1" w:styleId="221">
    <w:name w:val="标题4 Char Char"/>
    <w:link w:val="222"/>
    <w:autoRedefine/>
    <w:qFormat/>
    <w:uiPriority w:val="0"/>
    <w:rPr>
      <w:rFonts w:ascii="Arial" w:hAnsi="Arial"/>
      <w:b/>
      <w:bCs/>
      <w:sz w:val="24"/>
      <w:szCs w:val="32"/>
    </w:rPr>
  </w:style>
  <w:style w:type="paragraph" w:customStyle="1" w:styleId="222">
    <w:name w:val="标题4"/>
    <w:basedOn w:val="3"/>
    <w:next w:val="24"/>
    <w:link w:val="221"/>
    <w:autoRedefine/>
    <w:qFormat/>
    <w:uiPriority w:val="0"/>
    <w:pPr>
      <w:spacing w:before="0" w:after="0" w:line="413" w:lineRule="auto"/>
    </w:pPr>
    <w:rPr>
      <w:rFonts w:ascii="Arial" w:hAnsi="Arial" w:cstheme="minorBidi"/>
      <w:kern w:val="0"/>
      <w:sz w:val="24"/>
      <w:lang w:val="en-US"/>
    </w:rPr>
  </w:style>
  <w:style w:type="character" w:customStyle="1" w:styleId="223">
    <w:name w:val="明显引用 Char"/>
    <w:link w:val="224"/>
    <w:autoRedefine/>
    <w:qFormat/>
    <w:uiPriority w:val="0"/>
    <w:rPr>
      <w:b/>
      <w:bCs/>
      <w:i/>
      <w:iCs/>
      <w:color w:val="4F81BD"/>
    </w:rPr>
  </w:style>
  <w:style w:type="paragraph" w:styleId="224">
    <w:name w:val="Intense Quote"/>
    <w:basedOn w:val="1"/>
    <w:next w:val="1"/>
    <w:link w:val="223"/>
    <w:autoRedefine/>
    <w:qFormat/>
    <w:uiPriority w:val="0"/>
    <w:pPr>
      <w:pBdr>
        <w:bottom w:val="single" w:color="4F81BD" w:themeColor="accent1" w:sz="4" w:space="4"/>
      </w:pBdr>
      <w:spacing w:before="200" w:after="280"/>
      <w:ind w:left="936" w:right="936"/>
    </w:pPr>
    <w:rPr>
      <w:b/>
      <w:bCs/>
      <w:i/>
      <w:iCs/>
      <w:color w:val="4F81BD"/>
    </w:rPr>
  </w:style>
  <w:style w:type="paragraph" w:customStyle="1" w:styleId="225">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6">
    <w:name w:val="明显引用 Char1"/>
    <w:basedOn w:val="55"/>
    <w:autoRedefine/>
    <w:qFormat/>
    <w:uiPriority w:val="30"/>
    <w:rPr>
      <w:rFonts w:ascii="Times New Roman" w:hAnsi="Times New Roman" w:eastAsia="宋体" w:cs="Times New Roman"/>
      <w:i/>
      <w:iCs/>
      <w:color w:val="5B9BD5"/>
      <w:szCs w:val="24"/>
    </w:rPr>
  </w:style>
  <w:style w:type="character" w:customStyle="1" w:styleId="227">
    <w:name w:val="标题5 Char Char"/>
    <w:link w:val="228"/>
    <w:autoRedefine/>
    <w:qFormat/>
    <w:uiPriority w:val="0"/>
    <w:rPr>
      <w:rFonts w:ascii="Arial" w:hAnsi="Arial"/>
      <w:b/>
      <w:bCs/>
      <w:sz w:val="24"/>
      <w:szCs w:val="32"/>
    </w:rPr>
  </w:style>
  <w:style w:type="paragraph" w:customStyle="1" w:styleId="228">
    <w:name w:val="标题5"/>
    <w:basedOn w:val="4"/>
    <w:link w:val="227"/>
    <w:autoRedefine/>
    <w:qFormat/>
    <w:uiPriority w:val="0"/>
    <w:pPr>
      <w:spacing w:line="413" w:lineRule="auto"/>
      <w:jc w:val="left"/>
    </w:pPr>
    <w:rPr>
      <w:rFonts w:ascii="Arial" w:hAnsi="Arial"/>
      <w:sz w:val="24"/>
    </w:rPr>
  </w:style>
  <w:style w:type="character" w:customStyle="1" w:styleId="229">
    <w:name w:val="引用 Char"/>
    <w:link w:val="230"/>
    <w:autoRedefine/>
    <w:qFormat/>
    <w:uiPriority w:val="0"/>
    <w:rPr>
      <w:i/>
      <w:iCs/>
      <w:color w:val="000000"/>
    </w:rPr>
  </w:style>
  <w:style w:type="paragraph" w:styleId="230">
    <w:name w:val="Quote"/>
    <w:basedOn w:val="1"/>
    <w:next w:val="1"/>
    <w:link w:val="229"/>
    <w:autoRedefine/>
    <w:qFormat/>
    <w:uiPriority w:val="0"/>
    <w:rPr>
      <w:i/>
      <w:iCs/>
      <w:color w:val="000000"/>
    </w:rPr>
  </w:style>
  <w:style w:type="paragraph" w:customStyle="1" w:styleId="231">
    <w:name w:val="引用1"/>
    <w:basedOn w:val="1"/>
    <w:next w:val="1"/>
    <w:autoRedefine/>
    <w:qFormat/>
    <w:uiPriority w:val="0"/>
    <w:rPr>
      <w:rFonts w:ascii="Calibri" w:hAnsi="Calibri" w:cs="Times New Roman"/>
      <w:i/>
      <w:iCs/>
      <w:color w:val="000000"/>
      <w:kern w:val="2"/>
      <w:sz w:val="21"/>
      <w:szCs w:val="22"/>
    </w:rPr>
  </w:style>
  <w:style w:type="character" w:customStyle="1" w:styleId="232">
    <w:name w:val="引用 Char1"/>
    <w:basedOn w:val="55"/>
    <w:autoRedefine/>
    <w:qFormat/>
    <w:uiPriority w:val="29"/>
    <w:rPr>
      <w:rFonts w:ascii="Times New Roman" w:hAnsi="Times New Roman" w:eastAsia="宋体" w:cs="Times New Roman"/>
      <w:i/>
      <w:iCs/>
      <w:color w:val="404040"/>
      <w:szCs w:val="24"/>
    </w:rPr>
  </w:style>
  <w:style w:type="character" w:customStyle="1" w:styleId="233">
    <w:name w:val="ask-title2"/>
    <w:autoRedefine/>
    <w:qFormat/>
    <w:uiPriority w:val="0"/>
  </w:style>
  <w:style w:type="character" w:customStyle="1" w:styleId="234">
    <w:name w:val="正文文本 Char1"/>
    <w:autoRedefine/>
    <w:qFormat/>
    <w:uiPriority w:val="0"/>
    <w:rPr>
      <w:kern w:val="2"/>
      <w:sz w:val="21"/>
      <w:szCs w:val="22"/>
    </w:rPr>
  </w:style>
  <w:style w:type="character" w:customStyle="1" w:styleId="235">
    <w:name w:val="不明显强调1"/>
    <w:autoRedefine/>
    <w:qFormat/>
    <w:uiPriority w:val="0"/>
    <w:rPr>
      <w:i/>
      <w:iCs/>
      <w:color w:val="808080"/>
    </w:rPr>
  </w:style>
  <w:style w:type="character" w:customStyle="1" w:styleId="236">
    <w:name w:val="明显参考1"/>
    <w:autoRedefine/>
    <w:qFormat/>
    <w:uiPriority w:val="0"/>
    <w:rPr>
      <w:b/>
      <w:bCs/>
      <w:smallCaps/>
      <w:color w:val="C0504D"/>
      <w:spacing w:val="5"/>
      <w:u w:val="single"/>
    </w:rPr>
  </w:style>
  <w:style w:type="character" w:customStyle="1" w:styleId="237">
    <w:name w:val="书籍标题1"/>
    <w:autoRedefine/>
    <w:qFormat/>
    <w:uiPriority w:val="0"/>
    <w:rPr>
      <w:b/>
      <w:bCs/>
      <w:smallCaps/>
      <w:spacing w:val="5"/>
    </w:rPr>
  </w:style>
  <w:style w:type="character" w:customStyle="1" w:styleId="238">
    <w:name w:val="日期 Char1"/>
    <w:autoRedefine/>
    <w:qFormat/>
    <w:uiPriority w:val="0"/>
    <w:rPr>
      <w:kern w:val="2"/>
      <w:sz w:val="21"/>
      <w:szCs w:val="22"/>
    </w:rPr>
  </w:style>
  <w:style w:type="character" w:customStyle="1" w:styleId="239">
    <w:name w:val="明显强调1"/>
    <w:autoRedefine/>
    <w:qFormat/>
    <w:uiPriority w:val="0"/>
    <w:rPr>
      <w:b/>
      <w:bCs/>
      <w:i/>
      <w:iCs/>
      <w:color w:val="4F81BD"/>
    </w:rPr>
  </w:style>
  <w:style w:type="character" w:customStyle="1" w:styleId="240">
    <w:name w:val="textcontents"/>
    <w:autoRedefine/>
    <w:qFormat/>
    <w:uiPriority w:val="0"/>
    <w:rPr>
      <w:rFonts w:cs="Times New Roman"/>
    </w:rPr>
  </w:style>
  <w:style w:type="character" w:customStyle="1" w:styleId="241">
    <w:name w:val="不明显参考1"/>
    <w:autoRedefine/>
    <w:qFormat/>
    <w:uiPriority w:val="0"/>
    <w:rPr>
      <w:smallCaps/>
      <w:color w:val="C0504D"/>
      <w:u w:val="single"/>
    </w:rPr>
  </w:style>
  <w:style w:type="character" w:customStyle="1" w:styleId="242">
    <w:name w:val="批注文字 Char Char"/>
    <w:autoRedefine/>
    <w:qFormat/>
    <w:uiPriority w:val="0"/>
    <w:rPr>
      <w:rFonts w:ascii="宋体" w:hAnsi="Times New Roman" w:eastAsia="宋体" w:cs="Times New Roman"/>
      <w:sz w:val="28"/>
      <w:szCs w:val="20"/>
    </w:rPr>
  </w:style>
  <w:style w:type="character" w:customStyle="1" w:styleId="243">
    <w:name w:val="文档结构图 Char1"/>
    <w:autoRedefine/>
    <w:qFormat/>
    <w:uiPriority w:val="0"/>
    <w:rPr>
      <w:rFonts w:ascii="宋体"/>
      <w:kern w:val="2"/>
      <w:sz w:val="18"/>
      <w:szCs w:val="18"/>
    </w:rPr>
  </w:style>
  <w:style w:type="paragraph" w:customStyle="1" w:styleId="244">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5">
    <w:name w:val="页脚 Char1"/>
    <w:autoRedefine/>
    <w:semiHidden/>
    <w:qFormat/>
    <w:uiPriority w:val="99"/>
    <w:rPr>
      <w:kern w:val="2"/>
      <w:sz w:val="18"/>
      <w:szCs w:val="18"/>
    </w:rPr>
  </w:style>
  <w:style w:type="character" w:customStyle="1" w:styleId="246">
    <w:name w:val="批注框文本 Char2"/>
    <w:autoRedefine/>
    <w:semiHidden/>
    <w:qFormat/>
    <w:uiPriority w:val="99"/>
    <w:rPr>
      <w:kern w:val="2"/>
      <w:sz w:val="18"/>
      <w:szCs w:val="18"/>
    </w:rPr>
  </w:style>
  <w:style w:type="character" w:customStyle="1" w:styleId="247">
    <w:name w:val="批注主题 Char2"/>
    <w:autoRedefine/>
    <w:semiHidden/>
    <w:qFormat/>
    <w:uiPriority w:val="99"/>
    <w:rPr>
      <w:b/>
      <w:bCs/>
      <w:kern w:val="2"/>
      <w:sz w:val="21"/>
      <w:szCs w:val="22"/>
    </w:rPr>
  </w:style>
  <w:style w:type="character" w:customStyle="1" w:styleId="248">
    <w:name w:val="文档结构图 Char2"/>
    <w:autoRedefine/>
    <w:semiHidden/>
    <w:qFormat/>
    <w:uiPriority w:val="99"/>
    <w:rPr>
      <w:rFonts w:ascii="宋体"/>
      <w:kern w:val="2"/>
      <w:sz w:val="18"/>
      <w:szCs w:val="18"/>
    </w:rPr>
  </w:style>
  <w:style w:type="character" w:customStyle="1" w:styleId="249">
    <w:name w:val="页眉 Char1"/>
    <w:autoRedefine/>
    <w:semiHidden/>
    <w:qFormat/>
    <w:uiPriority w:val="99"/>
    <w:rPr>
      <w:kern w:val="2"/>
      <w:sz w:val="18"/>
      <w:szCs w:val="18"/>
    </w:rPr>
  </w:style>
  <w:style w:type="character" w:customStyle="1" w:styleId="250">
    <w:name w:val="日期 Char2"/>
    <w:autoRedefine/>
    <w:semiHidden/>
    <w:qFormat/>
    <w:uiPriority w:val="99"/>
    <w:rPr>
      <w:kern w:val="2"/>
      <w:sz w:val="21"/>
      <w:szCs w:val="22"/>
    </w:rPr>
  </w:style>
  <w:style w:type="character" w:customStyle="1" w:styleId="251">
    <w:name w:val="正文文本 Char2"/>
    <w:autoRedefine/>
    <w:semiHidden/>
    <w:qFormat/>
    <w:uiPriority w:val="99"/>
    <w:rPr>
      <w:kern w:val="2"/>
      <w:sz w:val="21"/>
      <w:szCs w:val="22"/>
    </w:rPr>
  </w:style>
  <w:style w:type="character" w:customStyle="1" w:styleId="252">
    <w:name w:val="标题 Char1"/>
    <w:autoRedefine/>
    <w:qFormat/>
    <w:uiPriority w:val="10"/>
    <w:rPr>
      <w:rFonts w:ascii="Cambria" w:hAnsi="Cambria" w:cs="Times New Roman"/>
      <w:b/>
      <w:bCs/>
      <w:kern w:val="2"/>
      <w:sz w:val="32"/>
      <w:szCs w:val="32"/>
    </w:rPr>
  </w:style>
  <w:style w:type="character" w:customStyle="1" w:styleId="253">
    <w:name w:val="副标题 Char1"/>
    <w:autoRedefine/>
    <w:qFormat/>
    <w:uiPriority w:val="11"/>
    <w:rPr>
      <w:rFonts w:ascii="Cambria" w:hAnsi="Cambria" w:cs="Times New Roman"/>
      <w:b/>
      <w:bCs/>
      <w:kern w:val="28"/>
      <w:sz w:val="32"/>
      <w:szCs w:val="32"/>
    </w:rPr>
  </w:style>
  <w:style w:type="paragraph" w:customStyle="1" w:styleId="25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7">
    <w:name w:val="正文2 Char"/>
    <w:link w:val="258"/>
    <w:autoRedefine/>
    <w:qFormat/>
    <w:uiPriority w:val="0"/>
    <w:rPr>
      <w:rFonts w:ascii="楷体" w:eastAsia="楷体"/>
      <w:b/>
      <w:color w:val="0000FF"/>
    </w:rPr>
  </w:style>
  <w:style w:type="paragraph" w:customStyle="1" w:styleId="258">
    <w:name w:val="正文2"/>
    <w:link w:val="25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59">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0">
    <w:name w:val="正文文本 (2)_"/>
    <w:link w:val="261"/>
    <w:autoRedefine/>
    <w:qFormat/>
    <w:locked/>
    <w:uiPriority w:val="99"/>
    <w:rPr>
      <w:rFonts w:ascii="MingLiU" w:eastAsia="MingLiU" w:cs="MingLiU"/>
      <w:spacing w:val="20"/>
      <w:sz w:val="22"/>
      <w:shd w:val="clear" w:color="auto" w:fill="FFFFFF"/>
    </w:rPr>
  </w:style>
  <w:style w:type="paragraph" w:customStyle="1" w:styleId="261">
    <w:name w:val="正文文本 (2)1"/>
    <w:basedOn w:val="1"/>
    <w:link w:val="260"/>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2">
    <w:name w:val="正文文本 (2) + 间距 0 pt5"/>
    <w:autoRedefine/>
    <w:qFormat/>
    <w:uiPriority w:val="99"/>
    <w:rPr>
      <w:rFonts w:ascii="MingLiU" w:eastAsia="MingLiU" w:cs="MingLiU"/>
      <w:spacing w:val="0"/>
      <w:sz w:val="22"/>
      <w:shd w:val="clear" w:color="auto" w:fill="FFFFFF"/>
    </w:rPr>
  </w:style>
  <w:style w:type="character" w:customStyle="1" w:styleId="263">
    <w:name w:val="访问过的超链接1"/>
    <w:basedOn w:val="55"/>
    <w:autoRedefine/>
    <w:semiHidden/>
    <w:unhideWhenUsed/>
    <w:qFormat/>
    <w:uiPriority w:val="99"/>
    <w:rPr>
      <w:color w:val="954F72"/>
      <w:u w:val="single"/>
    </w:rPr>
  </w:style>
  <w:style w:type="character" w:customStyle="1" w:styleId="264">
    <w:name w:val="明显引用 Char2"/>
    <w:basedOn w:val="55"/>
    <w:autoRedefine/>
    <w:qFormat/>
    <w:uiPriority w:val="30"/>
    <w:rPr>
      <w:b/>
      <w:bCs/>
      <w:i/>
      <w:iCs/>
      <w:color w:val="4F81BD" w:themeColor="accent1"/>
      <w14:textFill>
        <w14:solidFill>
          <w14:schemeClr w14:val="accent1"/>
        </w14:solidFill>
      </w14:textFill>
    </w:rPr>
  </w:style>
  <w:style w:type="character" w:customStyle="1" w:styleId="265">
    <w:name w:val="引用 Char2"/>
    <w:basedOn w:val="55"/>
    <w:autoRedefine/>
    <w:qFormat/>
    <w:uiPriority w:val="29"/>
    <w:rPr>
      <w:i/>
      <w:iCs/>
      <w:color w:val="000000" w:themeColor="text1"/>
      <w14:textFill>
        <w14:solidFill>
          <w14:schemeClr w14:val="tx1"/>
        </w14:solidFill>
      </w14:textFill>
    </w:rPr>
  </w:style>
  <w:style w:type="table" w:customStyle="1" w:styleId="266">
    <w:name w:val="网格型4"/>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Table Normal"/>
    <w:autoRedefine/>
    <w:semiHidden/>
    <w:unhideWhenUsed/>
    <w:qFormat/>
    <w:uiPriority w:val="0"/>
    <w:tblPr>
      <w:tblCellMar>
        <w:top w:w="0" w:type="dxa"/>
        <w:left w:w="0" w:type="dxa"/>
        <w:bottom w:w="0" w:type="dxa"/>
        <w:right w:w="0" w:type="dxa"/>
      </w:tblCellMar>
    </w:tblPr>
  </w:style>
  <w:style w:type="paragraph" w:customStyle="1" w:styleId="268">
    <w:name w:val="Table Text"/>
    <w:basedOn w:val="1"/>
    <w:autoRedefine/>
    <w:semiHidden/>
    <w:qFormat/>
    <w:uiPriority w:val="0"/>
    <w:rPr>
      <w:rFonts w:ascii="Arial" w:hAnsi="Arial" w:eastAsia="Arial" w:cs="Arial"/>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38238-81D5-4DD0-A4CD-BEC1DCF8DC44}">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119</Pages>
  <Words>180</Words>
  <Characters>208</Characters>
  <Lines>427</Lines>
  <Paragraphs>120</Paragraphs>
  <TotalTime>42</TotalTime>
  <ScaleCrop>false</ScaleCrop>
  <LinksUpToDate>false</LinksUpToDate>
  <CharactersWithSpaces>234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2026-05-19T08:36:00Z</dcterms:created>
  <dc:creator>Anakin</dc:creator>
  <cp:lastModifiedBy>省招-周钢</cp:lastModifiedBy>
  <cp:lastPrinted>2019-12-07T15:20:00Z</cp:lastPrinted>
  <dcterms:modified xsi:type="dcterms:W3CDTF">2026-06-10T07:04:59Z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52FA8838A0FA4297BDAD0368AF5477E6_13</vt:lpwstr>
  </property>
  <property fmtid="{D5CDD505-2E9C-101B-9397-08002B2CF9AE}" pid="4" name="KSOTemplateDocerSaveRecord">
    <vt:lpwstr>eyJoZGlkIjoiMjBkMzA5NzBkOTFlMDA4Y2YwMzUxNGQ3Y2JhOWE4NGEiLCJ1c2VySWQiOiIyNjg1OTk4MjEifQ==</vt:lpwstr>
  </property>
</Properties>
</file>