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53EAC">
      <w:pPr>
        <w:widowControl/>
        <w:tabs>
          <w:tab w:val="center" w:pos="4153"/>
        </w:tabs>
        <w:spacing w:line="440" w:lineRule="exact"/>
        <w:jc w:val="center"/>
        <w:rPr>
          <w:rFonts w:hint="eastAsia" w:ascii="宋体" w:hAnsi="宋体" w:eastAsia="仿宋"/>
          <w:sz w:val="36"/>
          <w:szCs w:val="36"/>
        </w:rPr>
      </w:pPr>
    </w:p>
    <w:p w14:paraId="7DA093AE">
      <w:pPr>
        <w:widowControl/>
        <w:tabs>
          <w:tab w:val="center" w:pos="4153"/>
        </w:tabs>
        <w:spacing w:line="440" w:lineRule="exact"/>
        <w:jc w:val="center"/>
        <w:rPr>
          <w:rFonts w:hint="eastAsia" w:ascii="宋体" w:hAnsi="宋体" w:eastAsia="仿宋"/>
          <w:sz w:val="36"/>
          <w:szCs w:val="36"/>
        </w:rPr>
      </w:pPr>
    </w:p>
    <w:p w14:paraId="34F54566">
      <w:pPr>
        <w:widowControl/>
        <w:tabs>
          <w:tab w:val="center" w:pos="4153"/>
        </w:tabs>
        <w:spacing w:line="440" w:lineRule="exact"/>
        <w:jc w:val="center"/>
        <w:rPr>
          <w:rFonts w:hint="eastAsia" w:ascii="宋体" w:hAnsi="宋体" w:eastAsia="仿宋"/>
          <w:sz w:val="36"/>
          <w:szCs w:val="36"/>
        </w:rPr>
      </w:pPr>
    </w:p>
    <w:p w14:paraId="3FA1FB83">
      <w:pPr>
        <w:widowControl/>
        <w:tabs>
          <w:tab w:val="center" w:pos="4153"/>
        </w:tabs>
        <w:spacing w:line="440" w:lineRule="exact"/>
        <w:jc w:val="center"/>
        <w:rPr>
          <w:rFonts w:hint="eastAsia" w:ascii="宋体" w:hAnsi="宋体" w:eastAsia="仿宋"/>
          <w:sz w:val="36"/>
          <w:szCs w:val="36"/>
        </w:rPr>
      </w:pPr>
    </w:p>
    <w:p w14:paraId="2ED0D205">
      <w:pPr>
        <w:widowControl/>
        <w:tabs>
          <w:tab w:val="center" w:pos="4153"/>
        </w:tabs>
        <w:spacing w:line="440" w:lineRule="exact"/>
        <w:jc w:val="center"/>
        <w:rPr>
          <w:rFonts w:hint="eastAsia" w:ascii="宋体" w:hAnsi="宋体" w:eastAsia="仿宋"/>
          <w:sz w:val="36"/>
          <w:szCs w:val="36"/>
        </w:rPr>
      </w:pPr>
    </w:p>
    <w:p w14:paraId="5C6D3FCF">
      <w:pPr>
        <w:widowControl/>
        <w:spacing w:line="360" w:lineRule="auto"/>
        <w:jc w:val="center"/>
        <w:rPr>
          <w:rFonts w:hint="eastAsia" w:ascii="仿宋" w:hAnsi="仿宋" w:eastAsia="仿宋" w:cs="仿宋"/>
          <w:sz w:val="44"/>
          <w:szCs w:val="44"/>
        </w:rPr>
      </w:pPr>
      <w:r>
        <w:rPr>
          <w:rFonts w:hint="eastAsia" w:ascii="仿宋" w:hAnsi="仿宋" w:eastAsia="仿宋" w:cs="仿宋"/>
          <w:sz w:val="44"/>
          <w:szCs w:val="44"/>
        </w:rPr>
        <w:t>安徽医科大学附属口腔医院（安徽省口腔医院）</w:t>
      </w:r>
    </w:p>
    <w:p w14:paraId="33C12150">
      <w:pPr>
        <w:widowControl/>
        <w:spacing w:line="360" w:lineRule="auto"/>
        <w:jc w:val="center"/>
        <w:rPr>
          <w:rFonts w:hint="eastAsia" w:ascii="宋体" w:hAnsi="宋体" w:eastAsia="仿宋" w:cs="宋体"/>
          <w:sz w:val="44"/>
          <w:szCs w:val="44"/>
        </w:rPr>
      </w:pPr>
      <w:r>
        <w:rPr>
          <w:rFonts w:hint="eastAsia" w:ascii="仿宋" w:hAnsi="仿宋" w:eastAsia="仿宋" w:cs="仿宋"/>
          <w:sz w:val="44"/>
          <w:szCs w:val="44"/>
        </w:rPr>
        <w:t>电子咬合测力器、超声骨刀等设备采购项目</w:t>
      </w:r>
    </w:p>
    <w:p w14:paraId="1E48D8A2">
      <w:pPr>
        <w:widowControl/>
        <w:tabs>
          <w:tab w:val="center" w:pos="4878"/>
          <w:tab w:val="left" w:pos="7560"/>
        </w:tabs>
        <w:spacing w:line="360" w:lineRule="auto"/>
        <w:jc w:val="left"/>
        <w:rPr>
          <w:rFonts w:hint="eastAsia" w:ascii="宋体" w:hAnsi="宋体" w:eastAsia="仿宋"/>
          <w:b/>
          <w:sz w:val="72"/>
        </w:rPr>
      </w:pPr>
      <w:r>
        <w:rPr>
          <w:rFonts w:hint="eastAsia" w:ascii="宋体" w:hAnsi="宋体" w:eastAsia="仿宋"/>
          <w:b/>
          <w:sz w:val="72"/>
        </w:rPr>
        <w:tab/>
      </w:r>
      <w:r>
        <w:rPr>
          <w:rFonts w:hint="eastAsia" w:ascii="宋体" w:hAnsi="宋体" w:eastAsia="仿宋"/>
          <w:b/>
          <w:sz w:val="72"/>
        </w:rPr>
        <w:t>招标文件</w:t>
      </w:r>
      <w:r>
        <w:rPr>
          <w:rFonts w:hint="eastAsia" w:ascii="宋体" w:hAnsi="宋体" w:eastAsia="仿宋"/>
          <w:b/>
          <w:sz w:val="72"/>
        </w:rPr>
        <w:tab/>
      </w:r>
    </w:p>
    <w:p w14:paraId="1158DC74">
      <w:pPr>
        <w:widowControl/>
        <w:spacing w:line="360" w:lineRule="auto"/>
        <w:jc w:val="center"/>
        <w:rPr>
          <w:rFonts w:hint="eastAsia" w:ascii="宋体" w:hAnsi="宋体"/>
          <w:b/>
          <w:sz w:val="28"/>
          <w:szCs w:val="28"/>
        </w:rPr>
      </w:pPr>
      <w:r>
        <w:rPr>
          <w:rFonts w:hint="eastAsia" w:ascii="宋体" w:hAnsi="宋体" w:cs="宋体"/>
          <w:b/>
          <w:sz w:val="28"/>
          <w:szCs w:val="28"/>
        </w:rPr>
        <w:t>招标编号：</w:t>
      </w:r>
      <w:r>
        <w:rPr>
          <w:rFonts w:hint="eastAsia" w:ascii="宋体" w:hAnsi="宋体" w:cs="宋体"/>
          <w:b/>
          <w:sz w:val="28"/>
          <w:szCs w:val="28"/>
          <w:lang w:eastAsia="zh-CN"/>
        </w:rPr>
        <w:t>ZF2025-36-1637</w:t>
      </w:r>
      <w:r>
        <w:rPr>
          <w:rFonts w:hint="eastAsia" w:ascii="宋体" w:hAnsi="宋体" w:cs="宋体"/>
          <w:b/>
          <w:sz w:val="28"/>
          <w:szCs w:val="28"/>
        </w:rPr>
        <w:t xml:space="preserve"> </w:t>
      </w:r>
    </w:p>
    <w:p w14:paraId="2A4093FC">
      <w:pPr>
        <w:widowControl/>
        <w:tabs>
          <w:tab w:val="center" w:pos="4153"/>
        </w:tabs>
        <w:spacing w:line="480" w:lineRule="auto"/>
        <w:jc w:val="center"/>
        <w:rPr>
          <w:rFonts w:hint="eastAsia" w:ascii="宋体" w:hAnsi="宋体" w:eastAsia="仿宋"/>
          <w:sz w:val="36"/>
          <w:szCs w:val="36"/>
        </w:rPr>
      </w:pPr>
    </w:p>
    <w:p w14:paraId="214AD8FF">
      <w:pPr>
        <w:widowControl/>
        <w:tabs>
          <w:tab w:val="center" w:pos="4153"/>
        </w:tabs>
        <w:spacing w:line="480" w:lineRule="auto"/>
        <w:jc w:val="center"/>
        <w:rPr>
          <w:rFonts w:hint="eastAsia" w:ascii="宋体" w:hAnsi="宋体" w:eastAsia="仿宋"/>
          <w:sz w:val="36"/>
          <w:szCs w:val="36"/>
        </w:rPr>
      </w:pPr>
    </w:p>
    <w:p w14:paraId="6ED1BA81">
      <w:pPr>
        <w:widowControl/>
        <w:tabs>
          <w:tab w:val="center" w:pos="4153"/>
        </w:tabs>
        <w:spacing w:line="480" w:lineRule="auto"/>
        <w:jc w:val="center"/>
        <w:rPr>
          <w:rFonts w:hint="eastAsia" w:ascii="宋体" w:hAnsi="宋体" w:eastAsia="仿宋"/>
          <w:sz w:val="36"/>
          <w:szCs w:val="36"/>
        </w:rPr>
      </w:pPr>
    </w:p>
    <w:p w14:paraId="3DD432EF">
      <w:pPr>
        <w:widowControl/>
        <w:tabs>
          <w:tab w:val="center" w:pos="4153"/>
        </w:tabs>
        <w:spacing w:line="480" w:lineRule="auto"/>
        <w:jc w:val="center"/>
        <w:rPr>
          <w:rFonts w:hint="eastAsia" w:ascii="宋体" w:hAnsi="宋体" w:eastAsia="仿宋"/>
          <w:sz w:val="36"/>
          <w:szCs w:val="36"/>
        </w:rPr>
      </w:pPr>
    </w:p>
    <w:p w14:paraId="1A72E769">
      <w:pPr>
        <w:widowControl/>
        <w:tabs>
          <w:tab w:val="center" w:pos="4153"/>
        </w:tabs>
        <w:spacing w:line="480" w:lineRule="auto"/>
        <w:jc w:val="center"/>
        <w:rPr>
          <w:rFonts w:hint="eastAsia" w:ascii="宋体" w:hAnsi="宋体" w:eastAsia="仿宋"/>
          <w:sz w:val="36"/>
          <w:szCs w:val="36"/>
        </w:rPr>
      </w:pPr>
    </w:p>
    <w:p w14:paraId="1C1F8773">
      <w:pPr>
        <w:widowControl/>
        <w:tabs>
          <w:tab w:val="center" w:pos="4153"/>
        </w:tabs>
        <w:spacing w:line="480" w:lineRule="auto"/>
        <w:jc w:val="center"/>
        <w:rPr>
          <w:rFonts w:hint="eastAsia" w:ascii="宋体" w:hAnsi="宋体" w:eastAsia="仿宋"/>
          <w:sz w:val="36"/>
          <w:szCs w:val="36"/>
        </w:rPr>
      </w:pPr>
    </w:p>
    <w:p w14:paraId="0F17C594">
      <w:pPr>
        <w:widowControl/>
        <w:tabs>
          <w:tab w:val="center" w:pos="4153"/>
        </w:tabs>
        <w:spacing w:line="480" w:lineRule="auto"/>
        <w:ind w:firstLine="1699" w:firstLineChars="531"/>
        <w:rPr>
          <w:rFonts w:hint="eastAsia" w:ascii="宋体" w:hAnsi="宋体" w:eastAsia="仿宋"/>
          <w:sz w:val="32"/>
          <w:szCs w:val="36"/>
        </w:rPr>
      </w:pPr>
      <w:r>
        <w:rPr>
          <w:rFonts w:hint="eastAsia" w:ascii="宋体" w:hAnsi="宋体" w:eastAsia="仿宋"/>
          <w:sz w:val="32"/>
          <w:szCs w:val="36"/>
        </w:rPr>
        <w:t>采购人：安徽医科大学附属口腔医院（安徽省口腔医院）</w:t>
      </w:r>
    </w:p>
    <w:p w14:paraId="24C85612">
      <w:pPr>
        <w:widowControl/>
        <w:tabs>
          <w:tab w:val="center" w:pos="4153"/>
        </w:tabs>
        <w:spacing w:line="480" w:lineRule="auto"/>
        <w:ind w:firstLine="1699" w:firstLineChars="531"/>
        <w:rPr>
          <w:rFonts w:hint="eastAsia" w:ascii="宋体" w:hAnsi="宋体" w:eastAsia="仿宋"/>
          <w:sz w:val="32"/>
          <w:szCs w:val="36"/>
        </w:rPr>
      </w:pPr>
      <w:r>
        <w:rPr>
          <w:rFonts w:hint="eastAsia" w:ascii="宋体" w:hAnsi="宋体" w:eastAsia="仿宋"/>
          <w:sz w:val="32"/>
          <w:szCs w:val="36"/>
        </w:rPr>
        <w:t>采购代理机构：安徽省招标集团股份有限公司</w:t>
      </w:r>
    </w:p>
    <w:p w14:paraId="33EC9425">
      <w:pPr>
        <w:widowControl/>
        <w:tabs>
          <w:tab w:val="center" w:pos="4153"/>
        </w:tabs>
        <w:spacing w:line="480" w:lineRule="auto"/>
        <w:ind w:firstLine="755" w:firstLineChars="236"/>
        <w:jc w:val="center"/>
        <w:rPr>
          <w:rFonts w:hint="eastAsia" w:ascii="宋体" w:hAnsi="宋体" w:eastAsia="仿宋"/>
          <w:sz w:val="36"/>
          <w:szCs w:val="36"/>
        </w:rPr>
      </w:pPr>
      <w:r>
        <w:rPr>
          <w:rFonts w:hint="eastAsia" w:ascii="宋体" w:hAnsi="宋体" w:eastAsia="仿宋"/>
          <w:sz w:val="32"/>
          <w:szCs w:val="36"/>
          <w:u w:val="single"/>
        </w:rPr>
        <w:t>2025</w:t>
      </w:r>
      <w:r>
        <w:rPr>
          <w:rFonts w:hint="eastAsia" w:ascii="宋体" w:hAnsi="宋体" w:eastAsia="仿宋"/>
          <w:sz w:val="32"/>
          <w:szCs w:val="36"/>
        </w:rPr>
        <w:t>年</w:t>
      </w:r>
      <w:r>
        <w:rPr>
          <w:rFonts w:hint="eastAsia" w:ascii="宋体" w:hAnsi="宋体" w:eastAsia="仿宋"/>
          <w:sz w:val="32"/>
          <w:szCs w:val="36"/>
          <w:u w:val="single"/>
        </w:rPr>
        <w:t>10</w:t>
      </w:r>
      <w:r>
        <w:rPr>
          <w:rFonts w:hint="eastAsia" w:ascii="宋体" w:hAnsi="宋体" w:eastAsia="仿宋"/>
          <w:sz w:val="32"/>
          <w:szCs w:val="36"/>
        </w:rPr>
        <w:t>月</w:t>
      </w:r>
    </w:p>
    <w:p w14:paraId="74742ADA">
      <w:pPr>
        <w:widowControl/>
        <w:tabs>
          <w:tab w:val="center" w:pos="4153"/>
        </w:tabs>
        <w:spacing w:line="480" w:lineRule="auto"/>
        <w:ind w:firstLine="849" w:firstLineChars="236"/>
        <w:rPr>
          <w:rFonts w:ascii="宋体" w:hAnsi="宋体" w:eastAsia="仿宋"/>
          <w:sz w:val="36"/>
          <w:szCs w:val="36"/>
        </w:rPr>
        <w:sectPr>
          <w:footerReference r:id="rId3"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215EA13C">
      <w:pPr>
        <w:widowControl/>
        <w:tabs>
          <w:tab w:val="center" w:pos="4153"/>
        </w:tabs>
        <w:spacing w:line="480" w:lineRule="auto"/>
        <w:jc w:val="center"/>
        <w:rPr>
          <w:rFonts w:hint="eastAsia" w:ascii="宋体" w:hAnsi="宋体" w:eastAsia="仿宋"/>
          <w:sz w:val="44"/>
          <w:szCs w:val="52"/>
        </w:rPr>
      </w:pPr>
      <w:r>
        <w:rPr>
          <w:rFonts w:hint="eastAsia" w:ascii="宋体" w:hAnsi="宋体" w:eastAsia="仿宋"/>
          <w:sz w:val="44"/>
          <w:szCs w:val="52"/>
        </w:rPr>
        <w:t>目  录</w:t>
      </w:r>
    </w:p>
    <w:p w14:paraId="6CE06753">
      <w:pPr>
        <w:pStyle w:val="32"/>
        <w:tabs>
          <w:tab w:val="right" w:leader="dot" w:pos="9628"/>
        </w:tabs>
        <w:spacing w:line="360" w:lineRule="auto"/>
        <w:rPr>
          <w:rFonts w:eastAsia="仿宋"/>
          <w:b w:val="0"/>
          <w:bCs w:val="0"/>
          <w:caps w:val="0"/>
          <w:sz w:val="28"/>
          <w:szCs w:val="28"/>
        </w:rPr>
      </w:pPr>
      <w:r>
        <w:rPr>
          <w:rFonts w:ascii="Times New Roman" w:hAnsi="Times New Roman" w:eastAsia="仿宋"/>
          <w:sz w:val="28"/>
          <w:szCs w:val="28"/>
        </w:rPr>
        <w:fldChar w:fldCharType="begin"/>
      </w:r>
      <w:r>
        <w:rPr>
          <w:rFonts w:ascii="Times New Roman" w:hAnsi="Times New Roman" w:eastAsia="仿宋"/>
          <w:sz w:val="28"/>
          <w:szCs w:val="28"/>
        </w:rPr>
        <w:instrText xml:space="preserve"> TOC \o "1-1" \h \z \u </w:instrText>
      </w:r>
      <w:r>
        <w:rPr>
          <w:rFonts w:ascii="Times New Roman" w:hAnsi="Times New Roman" w:eastAsia="仿宋"/>
          <w:sz w:val="28"/>
          <w:szCs w:val="28"/>
        </w:rPr>
        <w:fldChar w:fldCharType="separate"/>
      </w:r>
      <w:r>
        <w:rPr>
          <w:rStyle w:val="54"/>
          <w:rFonts w:eastAsia="仿宋"/>
          <w:color w:val="auto"/>
          <w:sz w:val="28"/>
          <w:szCs w:val="28"/>
        </w:rPr>
        <w:fldChar w:fldCharType="begin"/>
      </w:r>
      <w:r>
        <w:rPr>
          <w:rStyle w:val="54"/>
          <w:rFonts w:eastAsia="仿宋"/>
          <w:color w:val="auto"/>
          <w:sz w:val="28"/>
          <w:szCs w:val="28"/>
        </w:rPr>
        <w:instrText xml:space="preserve"> </w:instrText>
      </w:r>
      <w:r>
        <w:rPr>
          <w:rFonts w:eastAsia="仿宋"/>
          <w:sz w:val="28"/>
          <w:szCs w:val="28"/>
        </w:rPr>
        <w:instrText xml:space="preserve">HYPERLINK \l "_Toc528760024"</w:instrText>
      </w:r>
      <w:r>
        <w:rPr>
          <w:rStyle w:val="54"/>
          <w:rFonts w:eastAsia="仿宋"/>
          <w:color w:val="auto"/>
          <w:sz w:val="28"/>
          <w:szCs w:val="28"/>
        </w:rPr>
        <w:instrText xml:space="preserve"> </w:instrText>
      </w:r>
      <w:r>
        <w:rPr>
          <w:rStyle w:val="54"/>
          <w:rFonts w:eastAsia="仿宋"/>
          <w:color w:val="auto"/>
          <w:sz w:val="28"/>
          <w:szCs w:val="28"/>
        </w:rPr>
        <w:fldChar w:fldCharType="separate"/>
      </w:r>
      <w:r>
        <w:rPr>
          <w:rStyle w:val="54"/>
          <w:rFonts w:hint="eastAsia" w:ascii="宋体" w:hAnsi="宋体" w:eastAsia="仿宋"/>
          <w:color w:val="auto"/>
          <w:sz w:val="28"/>
          <w:szCs w:val="28"/>
        </w:rPr>
        <w:t>第一章</w:t>
      </w:r>
      <w:r>
        <w:rPr>
          <w:rStyle w:val="54"/>
          <w:rFonts w:ascii="宋体" w:hAnsi="宋体" w:eastAsia="仿宋"/>
          <w:color w:val="auto"/>
          <w:sz w:val="28"/>
          <w:szCs w:val="28"/>
        </w:rPr>
        <w:t xml:space="preserve">  </w:t>
      </w:r>
      <w:r>
        <w:rPr>
          <w:rStyle w:val="54"/>
          <w:rFonts w:hint="eastAsia" w:ascii="宋体" w:hAnsi="宋体" w:eastAsia="仿宋"/>
          <w:color w:val="auto"/>
          <w:sz w:val="28"/>
          <w:szCs w:val="28"/>
        </w:rPr>
        <w:t>招</w:t>
      </w:r>
      <w:bookmarkStart w:id="0" w:name="_Hlt43196238"/>
      <w:bookmarkStart w:id="1" w:name="_Hlt43196237"/>
      <w:r>
        <w:rPr>
          <w:rStyle w:val="54"/>
          <w:rFonts w:hint="eastAsia" w:ascii="宋体" w:hAnsi="宋体" w:eastAsia="仿宋"/>
          <w:color w:val="auto"/>
          <w:sz w:val="28"/>
          <w:szCs w:val="28"/>
        </w:rPr>
        <w:t>标</w:t>
      </w:r>
      <w:bookmarkEnd w:id="0"/>
      <w:bookmarkEnd w:id="1"/>
      <w:r>
        <w:rPr>
          <w:rStyle w:val="54"/>
          <w:rFonts w:hint="eastAsia" w:ascii="宋体" w:hAnsi="宋体" w:eastAsia="仿宋"/>
          <w:color w:val="auto"/>
          <w:sz w:val="28"/>
          <w:szCs w:val="28"/>
        </w:rPr>
        <w:t>公告</w:t>
      </w:r>
      <w:r>
        <w:rPr>
          <w:rFonts w:eastAsia="仿宋"/>
          <w:sz w:val="28"/>
          <w:szCs w:val="28"/>
        </w:rPr>
        <w:tab/>
      </w:r>
      <w:r>
        <w:rPr>
          <w:rFonts w:eastAsia="仿宋"/>
          <w:sz w:val="28"/>
          <w:szCs w:val="28"/>
        </w:rPr>
        <w:fldChar w:fldCharType="begin"/>
      </w:r>
      <w:r>
        <w:rPr>
          <w:rFonts w:eastAsia="仿宋"/>
          <w:sz w:val="28"/>
          <w:szCs w:val="28"/>
        </w:rPr>
        <w:instrText xml:space="preserve"> PAGEREF _Toc528760024 \h </w:instrText>
      </w:r>
      <w:r>
        <w:rPr>
          <w:rFonts w:eastAsia="仿宋"/>
          <w:sz w:val="28"/>
          <w:szCs w:val="28"/>
        </w:rPr>
        <w:fldChar w:fldCharType="separate"/>
      </w:r>
      <w:r>
        <w:rPr>
          <w:rFonts w:eastAsia="仿宋"/>
          <w:sz w:val="28"/>
          <w:szCs w:val="28"/>
        </w:rPr>
        <w:t>2</w:t>
      </w:r>
      <w:r>
        <w:rPr>
          <w:rFonts w:eastAsia="仿宋"/>
          <w:sz w:val="28"/>
          <w:szCs w:val="28"/>
        </w:rPr>
        <w:fldChar w:fldCharType="end"/>
      </w:r>
      <w:r>
        <w:rPr>
          <w:rStyle w:val="54"/>
          <w:rFonts w:eastAsia="仿宋"/>
          <w:color w:val="auto"/>
          <w:sz w:val="28"/>
          <w:szCs w:val="28"/>
        </w:rPr>
        <w:fldChar w:fldCharType="end"/>
      </w:r>
    </w:p>
    <w:p w14:paraId="182284F9">
      <w:pPr>
        <w:pStyle w:val="32"/>
        <w:tabs>
          <w:tab w:val="right" w:leader="dot" w:pos="9628"/>
        </w:tabs>
        <w:spacing w:line="360" w:lineRule="auto"/>
        <w:rPr>
          <w:rFonts w:eastAsia="仿宋"/>
          <w:b w:val="0"/>
          <w:bCs w:val="0"/>
          <w:caps w:val="0"/>
          <w:sz w:val="28"/>
          <w:szCs w:val="28"/>
        </w:rPr>
      </w:pPr>
      <w:r>
        <w:rPr>
          <w:rStyle w:val="54"/>
          <w:rFonts w:eastAsia="仿宋"/>
          <w:color w:val="auto"/>
          <w:sz w:val="28"/>
          <w:szCs w:val="28"/>
        </w:rPr>
        <w:fldChar w:fldCharType="begin"/>
      </w:r>
      <w:r>
        <w:rPr>
          <w:rStyle w:val="54"/>
          <w:rFonts w:eastAsia="仿宋"/>
          <w:color w:val="auto"/>
          <w:sz w:val="28"/>
          <w:szCs w:val="28"/>
        </w:rPr>
        <w:instrText xml:space="preserve"> </w:instrText>
      </w:r>
      <w:r>
        <w:rPr>
          <w:rFonts w:eastAsia="仿宋"/>
          <w:sz w:val="28"/>
          <w:szCs w:val="28"/>
        </w:rPr>
        <w:instrText xml:space="preserve">HYPERLINK \l "_Toc528760025"</w:instrText>
      </w:r>
      <w:r>
        <w:rPr>
          <w:rStyle w:val="54"/>
          <w:rFonts w:eastAsia="仿宋"/>
          <w:color w:val="auto"/>
          <w:sz w:val="28"/>
          <w:szCs w:val="28"/>
        </w:rPr>
        <w:instrText xml:space="preserve"> </w:instrText>
      </w:r>
      <w:r>
        <w:rPr>
          <w:rStyle w:val="54"/>
          <w:rFonts w:eastAsia="仿宋"/>
          <w:color w:val="auto"/>
          <w:sz w:val="28"/>
          <w:szCs w:val="28"/>
        </w:rPr>
        <w:fldChar w:fldCharType="separate"/>
      </w:r>
      <w:r>
        <w:rPr>
          <w:rStyle w:val="54"/>
          <w:rFonts w:hint="eastAsia" w:ascii="宋体" w:hAnsi="宋体" w:eastAsia="仿宋"/>
          <w:color w:val="auto"/>
          <w:sz w:val="28"/>
          <w:szCs w:val="28"/>
        </w:rPr>
        <w:t>第二章</w:t>
      </w:r>
      <w:r>
        <w:rPr>
          <w:rStyle w:val="54"/>
          <w:rFonts w:ascii="宋体" w:hAnsi="宋体" w:eastAsia="仿宋"/>
          <w:color w:val="auto"/>
          <w:sz w:val="28"/>
          <w:szCs w:val="28"/>
        </w:rPr>
        <w:t xml:space="preserve">  </w:t>
      </w:r>
      <w:r>
        <w:rPr>
          <w:rStyle w:val="54"/>
          <w:rFonts w:hint="eastAsia" w:ascii="宋体" w:hAnsi="宋体" w:eastAsia="仿宋"/>
          <w:color w:val="auto"/>
          <w:sz w:val="28"/>
          <w:szCs w:val="28"/>
        </w:rPr>
        <w:t>投标人须知</w:t>
      </w:r>
      <w:r>
        <w:rPr>
          <w:rFonts w:eastAsia="仿宋"/>
          <w:sz w:val="28"/>
          <w:szCs w:val="28"/>
        </w:rPr>
        <w:tab/>
      </w:r>
      <w:r>
        <w:rPr>
          <w:rFonts w:eastAsia="仿宋"/>
          <w:sz w:val="28"/>
          <w:szCs w:val="28"/>
        </w:rPr>
        <w:fldChar w:fldCharType="begin"/>
      </w:r>
      <w:r>
        <w:rPr>
          <w:rFonts w:eastAsia="仿宋"/>
          <w:sz w:val="28"/>
          <w:szCs w:val="28"/>
        </w:rPr>
        <w:instrText xml:space="preserve"> PAGEREF _Toc528760025 \h </w:instrText>
      </w:r>
      <w:r>
        <w:rPr>
          <w:rFonts w:eastAsia="仿宋"/>
          <w:sz w:val="28"/>
          <w:szCs w:val="28"/>
        </w:rPr>
        <w:fldChar w:fldCharType="separate"/>
      </w:r>
      <w:r>
        <w:rPr>
          <w:rFonts w:eastAsia="仿宋"/>
          <w:sz w:val="28"/>
          <w:szCs w:val="28"/>
        </w:rPr>
        <w:t>7</w:t>
      </w:r>
      <w:r>
        <w:rPr>
          <w:rFonts w:eastAsia="仿宋"/>
          <w:sz w:val="28"/>
          <w:szCs w:val="28"/>
        </w:rPr>
        <w:fldChar w:fldCharType="end"/>
      </w:r>
      <w:r>
        <w:rPr>
          <w:rStyle w:val="54"/>
          <w:rFonts w:eastAsia="仿宋"/>
          <w:color w:val="auto"/>
          <w:sz w:val="28"/>
          <w:szCs w:val="28"/>
        </w:rPr>
        <w:fldChar w:fldCharType="end"/>
      </w:r>
    </w:p>
    <w:p w14:paraId="4890C68C">
      <w:pPr>
        <w:pStyle w:val="32"/>
        <w:tabs>
          <w:tab w:val="right" w:leader="dot" w:pos="9628"/>
        </w:tabs>
        <w:spacing w:line="360" w:lineRule="auto"/>
        <w:rPr>
          <w:rFonts w:eastAsia="仿宋"/>
          <w:b w:val="0"/>
          <w:bCs w:val="0"/>
          <w:caps w:val="0"/>
          <w:sz w:val="28"/>
          <w:szCs w:val="28"/>
        </w:rPr>
      </w:pPr>
      <w:r>
        <w:rPr>
          <w:rStyle w:val="54"/>
          <w:rFonts w:eastAsia="仿宋"/>
          <w:color w:val="auto"/>
          <w:sz w:val="28"/>
          <w:szCs w:val="28"/>
        </w:rPr>
        <w:fldChar w:fldCharType="begin"/>
      </w:r>
      <w:r>
        <w:rPr>
          <w:rStyle w:val="54"/>
          <w:rFonts w:eastAsia="仿宋"/>
          <w:color w:val="auto"/>
          <w:sz w:val="28"/>
          <w:szCs w:val="28"/>
        </w:rPr>
        <w:instrText xml:space="preserve"> </w:instrText>
      </w:r>
      <w:r>
        <w:rPr>
          <w:rFonts w:eastAsia="仿宋"/>
          <w:sz w:val="28"/>
          <w:szCs w:val="28"/>
        </w:rPr>
        <w:instrText xml:space="preserve">HYPERLINK \l "_Toc528760026"</w:instrText>
      </w:r>
      <w:r>
        <w:rPr>
          <w:rStyle w:val="54"/>
          <w:rFonts w:eastAsia="仿宋"/>
          <w:color w:val="auto"/>
          <w:sz w:val="28"/>
          <w:szCs w:val="28"/>
        </w:rPr>
        <w:instrText xml:space="preserve"> </w:instrText>
      </w:r>
      <w:r>
        <w:rPr>
          <w:rStyle w:val="54"/>
          <w:rFonts w:eastAsia="仿宋"/>
          <w:color w:val="auto"/>
          <w:sz w:val="28"/>
          <w:szCs w:val="28"/>
        </w:rPr>
        <w:fldChar w:fldCharType="separate"/>
      </w:r>
      <w:r>
        <w:rPr>
          <w:rStyle w:val="54"/>
          <w:rFonts w:hint="eastAsia" w:ascii="宋体" w:hAnsi="宋体" w:eastAsia="仿宋"/>
          <w:color w:val="auto"/>
          <w:sz w:val="28"/>
          <w:szCs w:val="28"/>
        </w:rPr>
        <w:t>第三章</w:t>
      </w:r>
      <w:r>
        <w:rPr>
          <w:rStyle w:val="54"/>
          <w:rFonts w:ascii="宋体" w:hAnsi="宋体" w:eastAsia="仿宋"/>
          <w:color w:val="auto"/>
          <w:sz w:val="28"/>
          <w:szCs w:val="28"/>
        </w:rPr>
        <w:t xml:space="preserve">  </w:t>
      </w:r>
      <w:r>
        <w:rPr>
          <w:rStyle w:val="54"/>
          <w:rFonts w:hint="eastAsia" w:ascii="宋体" w:hAnsi="宋体" w:eastAsia="仿宋"/>
          <w:color w:val="auto"/>
          <w:sz w:val="28"/>
          <w:szCs w:val="28"/>
        </w:rPr>
        <w:t>采购需求</w:t>
      </w:r>
      <w:r>
        <w:rPr>
          <w:rFonts w:eastAsia="仿宋"/>
          <w:sz w:val="28"/>
          <w:szCs w:val="28"/>
        </w:rPr>
        <w:tab/>
      </w:r>
      <w:r>
        <w:rPr>
          <w:rFonts w:eastAsia="仿宋"/>
          <w:sz w:val="28"/>
          <w:szCs w:val="28"/>
        </w:rPr>
        <w:fldChar w:fldCharType="begin"/>
      </w:r>
      <w:r>
        <w:rPr>
          <w:rFonts w:eastAsia="仿宋"/>
          <w:sz w:val="28"/>
          <w:szCs w:val="28"/>
        </w:rPr>
        <w:instrText xml:space="preserve"> PAGEREF _Toc528760026 \h </w:instrText>
      </w:r>
      <w:r>
        <w:rPr>
          <w:rFonts w:eastAsia="仿宋"/>
          <w:sz w:val="28"/>
          <w:szCs w:val="28"/>
        </w:rPr>
        <w:fldChar w:fldCharType="separate"/>
      </w:r>
      <w:r>
        <w:rPr>
          <w:rFonts w:eastAsia="仿宋"/>
          <w:sz w:val="28"/>
          <w:szCs w:val="28"/>
        </w:rPr>
        <w:t>36</w:t>
      </w:r>
      <w:r>
        <w:rPr>
          <w:rFonts w:eastAsia="仿宋"/>
          <w:sz w:val="28"/>
          <w:szCs w:val="28"/>
        </w:rPr>
        <w:fldChar w:fldCharType="end"/>
      </w:r>
      <w:r>
        <w:rPr>
          <w:rStyle w:val="54"/>
          <w:rFonts w:eastAsia="仿宋"/>
          <w:color w:val="auto"/>
          <w:sz w:val="28"/>
          <w:szCs w:val="28"/>
        </w:rPr>
        <w:fldChar w:fldCharType="end"/>
      </w:r>
    </w:p>
    <w:p w14:paraId="2EA658D6">
      <w:pPr>
        <w:pStyle w:val="32"/>
        <w:tabs>
          <w:tab w:val="right" w:leader="dot" w:pos="9628"/>
        </w:tabs>
        <w:spacing w:line="360" w:lineRule="auto"/>
        <w:rPr>
          <w:rFonts w:eastAsia="仿宋"/>
          <w:b w:val="0"/>
          <w:bCs w:val="0"/>
          <w:caps w:val="0"/>
          <w:sz w:val="28"/>
          <w:szCs w:val="28"/>
        </w:rPr>
      </w:pPr>
      <w:r>
        <w:rPr>
          <w:rStyle w:val="54"/>
          <w:rFonts w:eastAsia="仿宋"/>
          <w:color w:val="auto"/>
          <w:sz w:val="28"/>
          <w:szCs w:val="28"/>
        </w:rPr>
        <w:fldChar w:fldCharType="begin"/>
      </w:r>
      <w:r>
        <w:rPr>
          <w:rStyle w:val="54"/>
          <w:rFonts w:eastAsia="仿宋"/>
          <w:color w:val="auto"/>
          <w:sz w:val="28"/>
          <w:szCs w:val="28"/>
        </w:rPr>
        <w:instrText xml:space="preserve"> </w:instrText>
      </w:r>
      <w:r>
        <w:rPr>
          <w:rFonts w:eastAsia="仿宋"/>
          <w:sz w:val="28"/>
          <w:szCs w:val="28"/>
        </w:rPr>
        <w:instrText xml:space="preserve">HYPERLINK \l "_Toc528760027"</w:instrText>
      </w:r>
      <w:r>
        <w:rPr>
          <w:rStyle w:val="54"/>
          <w:rFonts w:eastAsia="仿宋"/>
          <w:color w:val="auto"/>
          <w:sz w:val="28"/>
          <w:szCs w:val="28"/>
        </w:rPr>
        <w:instrText xml:space="preserve"> </w:instrText>
      </w:r>
      <w:r>
        <w:rPr>
          <w:rStyle w:val="54"/>
          <w:rFonts w:eastAsia="仿宋"/>
          <w:color w:val="auto"/>
          <w:sz w:val="28"/>
          <w:szCs w:val="28"/>
        </w:rPr>
        <w:fldChar w:fldCharType="separate"/>
      </w:r>
      <w:r>
        <w:rPr>
          <w:rStyle w:val="54"/>
          <w:rFonts w:hint="eastAsia" w:ascii="宋体" w:hAnsi="宋体" w:eastAsia="仿宋"/>
          <w:color w:val="auto"/>
          <w:sz w:val="28"/>
          <w:szCs w:val="28"/>
        </w:rPr>
        <w:t>第四章</w:t>
      </w:r>
      <w:r>
        <w:rPr>
          <w:rStyle w:val="54"/>
          <w:rFonts w:ascii="宋体" w:hAnsi="宋体" w:eastAsia="仿宋"/>
          <w:color w:val="auto"/>
          <w:sz w:val="28"/>
          <w:szCs w:val="28"/>
        </w:rPr>
        <w:t xml:space="preserve">  </w:t>
      </w:r>
      <w:r>
        <w:rPr>
          <w:rStyle w:val="54"/>
          <w:rFonts w:hint="eastAsia" w:ascii="宋体" w:hAnsi="宋体" w:eastAsia="仿宋"/>
          <w:color w:val="auto"/>
          <w:sz w:val="28"/>
          <w:szCs w:val="28"/>
        </w:rPr>
        <w:t>资格审查和评标办法</w:t>
      </w:r>
      <w:bookmarkStart w:id="2" w:name="_Hlt75440385"/>
      <w:bookmarkStart w:id="3" w:name="_Hlt75440384"/>
      <w:r>
        <w:rPr>
          <w:rStyle w:val="54"/>
          <w:rFonts w:hint="eastAsia" w:ascii="宋体" w:hAnsi="宋体" w:eastAsia="仿宋"/>
          <w:color w:val="auto"/>
          <w:sz w:val="28"/>
          <w:szCs w:val="28"/>
        </w:rPr>
        <w:t>（</w:t>
      </w:r>
      <w:bookmarkEnd w:id="2"/>
      <w:bookmarkEnd w:id="3"/>
      <w:r>
        <w:rPr>
          <w:rStyle w:val="54"/>
          <w:rFonts w:hint="eastAsia" w:ascii="宋体" w:hAnsi="宋体" w:eastAsia="仿宋"/>
          <w:color w:val="auto"/>
          <w:sz w:val="28"/>
          <w:szCs w:val="28"/>
        </w:rPr>
        <w:t>综合评分法）</w:t>
      </w:r>
      <w:r>
        <w:rPr>
          <w:rFonts w:eastAsia="仿宋"/>
          <w:sz w:val="28"/>
          <w:szCs w:val="28"/>
        </w:rPr>
        <w:tab/>
      </w:r>
      <w:r>
        <w:rPr>
          <w:rFonts w:eastAsia="仿宋"/>
          <w:sz w:val="28"/>
          <w:szCs w:val="28"/>
        </w:rPr>
        <w:fldChar w:fldCharType="begin"/>
      </w:r>
      <w:r>
        <w:rPr>
          <w:rFonts w:eastAsia="仿宋"/>
          <w:sz w:val="28"/>
          <w:szCs w:val="28"/>
        </w:rPr>
        <w:instrText xml:space="preserve"> PAGEREF _Toc528760027 \h </w:instrText>
      </w:r>
      <w:r>
        <w:rPr>
          <w:rFonts w:eastAsia="仿宋"/>
          <w:sz w:val="28"/>
          <w:szCs w:val="28"/>
        </w:rPr>
        <w:fldChar w:fldCharType="separate"/>
      </w:r>
      <w:r>
        <w:rPr>
          <w:rFonts w:eastAsia="仿宋"/>
          <w:sz w:val="28"/>
          <w:szCs w:val="28"/>
        </w:rPr>
        <w:t>41</w:t>
      </w:r>
      <w:r>
        <w:rPr>
          <w:rFonts w:eastAsia="仿宋"/>
          <w:sz w:val="28"/>
          <w:szCs w:val="28"/>
        </w:rPr>
        <w:fldChar w:fldCharType="end"/>
      </w:r>
      <w:r>
        <w:rPr>
          <w:rStyle w:val="54"/>
          <w:rFonts w:eastAsia="仿宋"/>
          <w:color w:val="auto"/>
          <w:sz w:val="28"/>
          <w:szCs w:val="28"/>
        </w:rPr>
        <w:fldChar w:fldCharType="end"/>
      </w:r>
    </w:p>
    <w:p w14:paraId="05EAD293">
      <w:pPr>
        <w:pStyle w:val="32"/>
        <w:tabs>
          <w:tab w:val="right" w:leader="dot" w:pos="9628"/>
        </w:tabs>
        <w:spacing w:line="360" w:lineRule="auto"/>
        <w:rPr>
          <w:rFonts w:eastAsia="仿宋"/>
          <w:b w:val="0"/>
          <w:bCs w:val="0"/>
          <w:caps w:val="0"/>
          <w:sz w:val="28"/>
          <w:szCs w:val="28"/>
        </w:rPr>
      </w:pPr>
      <w:r>
        <w:rPr>
          <w:rStyle w:val="54"/>
          <w:rFonts w:eastAsia="仿宋"/>
          <w:color w:val="auto"/>
          <w:sz w:val="28"/>
          <w:szCs w:val="28"/>
        </w:rPr>
        <w:fldChar w:fldCharType="begin"/>
      </w:r>
      <w:r>
        <w:rPr>
          <w:rStyle w:val="54"/>
          <w:rFonts w:eastAsia="仿宋"/>
          <w:color w:val="auto"/>
          <w:sz w:val="28"/>
          <w:szCs w:val="28"/>
        </w:rPr>
        <w:instrText xml:space="preserve"> </w:instrText>
      </w:r>
      <w:r>
        <w:rPr>
          <w:rFonts w:eastAsia="仿宋"/>
          <w:sz w:val="28"/>
          <w:szCs w:val="28"/>
        </w:rPr>
        <w:instrText xml:space="preserve">HYPERLINK \l "_Toc528760029"</w:instrText>
      </w:r>
      <w:r>
        <w:rPr>
          <w:rStyle w:val="54"/>
          <w:rFonts w:eastAsia="仿宋"/>
          <w:color w:val="auto"/>
          <w:sz w:val="28"/>
          <w:szCs w:val="28"/>
        </w:rPr>
        <w:instrText xml:space="preserve"> </w:instrText>
      </w:r>
      <w:r>
        <w:rPr>
          <w:rStyle w:val="54"/>
          <w:rFonts w:eastAsia="仿宋"/>
          <w:color w:val="auto"/>
          <w:sz w:val="28"/>
          <w:szCs w:val="28"/>
        </w:rPr>
        <w:fldChar w:fldCharType="separate"/>
      </w:r>
      <w:r>
        <w:rPr>
          <w:rStyle w:val="54"/>
          <w:rFonts w:hint="eastAsia" w:ascii="宋体" w:hAnsi="宋体" w:eastAsia="仿宋"/>
          <w:color w:val="auto"/>
          <w:sz w:val="28"/>
          <w:szCs w:val="28"/>
        </w:rPr>
        <w:t>第五章</w:t>
      </w:r>
      <w:r>
        <w:rPr>
          <w:rStyle w:val="54"/>
          <w:rFonts w:ascii="宋体" w:hAnsi="宋体" w:eastAsia="仿宋"/>
          <w:color w:val="auto"/>
          <w:sz w:val="28"/>
          <w:szCs w:val="28"/>
        </w:rPr>
        <w:t xml:space="preserve">  </w:t>
      </w:r>
      <w:r>
        <w:rPr>
          <w:rStyle w:val="54"/>
          <w:rFonts w:hint="eastAsia" w:ascii="宋体" w:hAnsi="宋体" w:eastAsia="仿宋"/>
          <w:color w:val="auto"/>
          <w:sz w:val="28"/>
          <w:szCs w:val="28"/>
        </w:rPr>
        <w:t>合同条款及格式</w:t>
      </w:r>
      <w:r>
        <w:rPr>
          <w:rFonts w:eastAsia="仿宋"/>
          <w:sz w:val="28"/>
          <w:szCs w:val="28"/>
        </w:rPr>
        <w:tab/>
      </w:r>
      <w:r>
        <w:rPr>
          <w:rFonts w:eastAsia="仿宋"/>
          <w:sz w:val="28"/>
          <w:szCs w:val="28"/>
        </w:rPr>
        <w:fldChar w:fldCharType="begin"/>
      </w:r>
      <w:r>
        <w:rPr>
          <w:rFonts w:eastAsia="仿宋"/>
          <w:sz w:val="28"/>
          <w:szCs w:val="28"/>
        </w:rPr>
        <w:instrText xml:space="preserve"> PAGEREF _Toc528760029 \h </w:instrText>
      </w:r>
      <w:r>
        <w:rPr>
          <w:rFonts w:eastAsia="仿宋"/>
          <w:sz w:val="28"/>
          <w:szCs w:val="28"/>
        </w:rPr>
        <w:fldChar w:fldCharType="separate"/>
      </w:r>
      <w:r>
        <w:rPr>
          <w:rFonts w:eastAsia="仿宋"/>
          <w:sz w:val="28"/>
          <w:szCs w:val="28"/>
        </w:rPr>
        <w:t>51</w:t>
      </w:r>
      <w:r>
        <w:rPr>
          <w:rFonts w:eastAsia="仿宋"/>
          <w:sz w:val="28"/>
          <w:szCs w:val="28"/>
        </w:rPr>
        <w:fldChar w:fldCharType="end"/>
      </w:r>
      <w:r>
        <w:rPr>
          <w:rStyle w:val="54"/>
          <w:rFonts w:eastAsia="仿宋"/>
          <w:color w:val="auto"/>
          <w:sz w:val="28"/>
          <w:szCs w:val="28"/>
        </w:rPr>
        <w:fldChar w:fldCharType="end"/>
      </w:r>
    </w:p>
    <w:p w14:paraId="07BFF5C4">
      <w:pPr>
        <w:pStyle w:val="32"/>
        <w:tabs>
          <w:tab w:val="right" w:leader="dot" w:pos="9628"/>
        </w:tabs>
        <w:rPr>
          <w:rFonts w:eastAsia="仿宋"/>
          <w:b w:val="0"/>
          <w:bCs w:val="0"/>
          <w:caps w:val="0"/>
          <w:sz w:val="28"/>
          <w:szCs w:val="28"/>
        </w:rPr>
      </w:pPr>
      <w:r>
        <w:rPr>
          <w:rStyle w:val="54"/>
          <w:rFonts w:eastAsia="仿宋"/>
          <w:color w:val="auto"/>
          <w:sz w:val="28"/>
          <w:szCs w:val="28"/>
        </w:rPr>
        <w:fldChar w:fldCharType="begin"/>
      </w:r>
      <w:r>
        <w:rPr>
          <w:rStyle w:val="54"/>
          <w:rFonts w:eastAsia="仿宋"/>
          <w:color w:val="auto"/>
          <w:sz w:val="28"/>
          <w:szCs w:val="28"/>
        </w:rPr>
        <w:instrText xml:space="preserve"> </w:instrText>
      </w:r>
      <w:r>
        <w:rPr>
          <w:rFonts w:eastAsia="仿宋"/>
          <w:sz w:val="28"/>
          <w:szCs w:val="28"/>
        </w:rPr>
        <w:instrText xml:space="preserve">HYPERLINK \l "_Toc528760030"</w:instrText>
      </w:r>
      <w:r>
        <w:rPr>
          <w:rStyle w:val="54"/>
          <w:rFonts w:eastAsia="仿宋"/>
          <w:color w:val="auto"/>
          <w:sz w:val="28"/>
          <w:szCs w:val="28"/>
        </w:rPr>
        <w:instrText xml:space="preserve"> </w:instrText>
      </w:r>
      <w:r>
        <w:rPr>
          <w:rStyle w:val="54"/>
          <w:rFonts w:eastAsia="仿宋"/>
          <w:color w:val="auto"/>
          <w:sz w:val="28"/>
          <w:szCs w:val="28"/>
        </w:rPr>
        <w:fldChar w:fldCharType="separate"/>
      </w:r>
      <w:r>
        <w:rPr>
          <w:rStyle w:val="54"/>
          <w:rFonts w:hint="eastAsia" w:ascii="宋体" w:hAnsi="宋体" w:eastAsia="仿宋"/>
          <w:color w:val="auto"/>
          <w:sz w:val="28"/>
          <w:szCs w:val="28"/>
        </w:rPr>
        <w:t>第六章</w:t>
      </w:r>
      <w:r>
        <w:rPr>
          <w:rStyle w:val="54"/>
          <w:rFonts w:ascii="宋体" w:hAnsi="宋体" w:eastAsia="仿宋"/>
          <w:color w:val="auto"/>
          <w:sz w:val="28"/>
          <w:szCs w:val="28"/>
        </w:rPr>
        <w:t xml:space="preserve">  </w:t>
      </w:r>
      <w:r>
        <w:rPr>
          <w:rStyle w:val="54"/>
          <w:rFonts w:hint="eastAsia" w:ascii="宋体" w:hAnsi="宋体" w:eastAsia="仿宋"/>
          <w:color w:val="auto"/>
          <w:sz w:val="28"/>
          <w:szCs w:val="28"/>
        </w:rPr>
        <w:t>投标文件格式</w:t>
      </w:r>
      <w:r>
        <w:rPr>
          <w:rFonts w:eastAsia="仿宋"/>
          <w:sz w:val="28"/>
          <w:szCs w:val="28"/>
        </w:rPr>
        <w:tab/>
      </w:r>
      <w:r>
        <w:rPr>
          <w:rFonts w:eastAsia="仿宋"/>
          <w:sz w:val="28"/>
          <w:szCs w:val="28"/>
        </w:rPr>
        <w:fldChar w:fldCharType="begin"/>
      </w:r>
      <w:r>
        <w:rPr>
          <w:rFonts w:eastAsia="仿宋"/>
          <w:sz w:val="28"/>
          <w:szCs w:val="28"/>
        </w:rPr>
        <w:instrText xml:space="preserve"> PAGEREF _Toc528760030 \h </w:instrText>
      </w:r>
      <w:r>
        <w:rPr>
          <w:rFonts w:eastAsia="仿宋"/>
          <w:sz w:val="28"/>
          <w:szCs w:val="28"/>
        </w:rPr>
        <w:fldChar w:fldCharType="separate"/>
      </w:r>
      <w:r>
        <w:rPr>
          <w:rFonts w:eastAsia="仿宋"/>
          <w:sz w:val="28"/>
          <w:szCs w:val="28"/>
        </w:rPr>
        <w:t>51</w:t>
      </w:r>
      <w:r>
        <w:rPr>
          <w:rFonts w:eastAsia="仿宋"/>
          <w:sz w:val="28"/>
          <w:szCs w:val="28"/>
        </w:rPr>
        <w:fldChar w:fldCharType="end"/>
      </w:r>
      <w:r>
        <w:rPr>
          <w:rStyle w:val="54"/>
          <w:rFonts w:eastAsia="仿宋"/>
          <w:color w:val="auto"/>
          <w:sz w:val="28"/>
          <w:szCs w:val="28"/>
        </w:rPr>
        <w:fldChar w:fldCharType="end"/>
      </w:r>
    </w:p>
    <w:p w14:paraId="178821B5">
      <w:pPr>
        <w:widowControl/>
        <w:spacing w:line="360" w:lineRule="auto"/>
        <w:rPr>
          <w:rFonts w:hint="eastAsia" w:ascii="宋体" w:hAnsi="宋体" w:eastAsia="仿宋"/>
          <w:sz w:val="52"/>
          <w:szCs w:val="52"/>
        </w:rPr>
      </w:pPr>
      <w:r>
        <w:rPr>
          <w:rFonts w:eastAsia="仿宋"/>
          <w:sz w:val="28"/>
          <w:szCs w:val="28"/>
        </w:rPr>
        <w:fldChar w:fldCharType="end"/>
      </w:r>
    </w:p>
    <w:p w14:paraId="2B207481">
      <w:pPr>
        <w:widowControl/>
        <w:tabs>
          <w:tab w:val="center" w:pos="4153"/>
        </w:tabs>
        <w:spacing w:line="480" w:lineRule="auto"/>
        <w:jc w:val="center"/>
        <w:rPr>
          <w:rFonts w:ascii="宋体" w:hAnsi="宋体" w:eastAsia="仿宋"/>
          <w:sz w:val="52"/>
          <w:szCs w:val="52"/>
        </w:rPr>
        <w:sectPr>
          <w:headerReference r:id="rId4" w:type="first"/>
          <w:footerReference r:id="rId6" w:type="first"/>
          <w:footerReference r:id="rId5"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1B83A297">
      <w:pPr>
        <w:pStyle w:val="2"/>
        <w:widowControl/>
        <w:spacing w:before="0" w:after="0" w:line="240" w:lineRule="auto"/>
        <w:jc w:val="center"/>
        <w:rPr>
          <w:rFonts w:hint="eastAsia" w:ascii="宋体" w:hAnsi="宋体" w:eastAsia="仿宋"/>
        </w:rPr>
      </w:pPr>
      <w:bookmarkStart w:id="4" w:name="_Toc466024489"/>
      <w:bookmarkStart w:id="5" w:name="_Toc528760024"/>
      <w:r>
        <w:rPr>
          <w:rFonts w:hint="eastAsia" w:ascii="宋体" w:hAnsi="宋体" w:eastAsia="仿宋"/>
        </w:rPr>
        <w:t>第一章  招标公告</w:t>
      </w:r>
      <w:bookmarkEnd w:id="4"/>
      <w:bookmarkEnd w:id="5"/>
    </w:p>
    <w:p w14:paraId="45234568">
      <w:pPr>
        <w:widowControl/>
        <w:spacing w:before="120" w:beforeLines="50" w:after="120" w:afterLines="50" w:line="560" w:lineRule="exact"/>
        <w:jc w:val="center"/>
        <w:rPr>
          <w:rFonts w:ascii="华文中宋" w:hAnsi="华文中宋" w:eastAsia="华文中宋"/>
          <w:b/>
          <w:bCs/>
          <w:sz w:val="44"/>
          <w:szCs w:val="44"/>
        </w:rPr>
      </w:pPr>
      <w:bookmarkStart w:id="6" w:name="OLE_LINK1"/>
      <w:bookmarkStart w:id="7" w:name="OLE_LINK2"/>
      <w:r>
        <w:rPr>
          <w:rFonts w:hint="eastAsia" w:ascii="华文中宋" w:hAnsi="华文中宋" w:eastAsia="华文中宋"/>
          <w:b/>
          <w:bCs/>
          <w:sz w:val="44"/>
          <w:szCs w:val="44"/>
        </w:rPr>
        <w:t>安徽医科大学附属口腔医院（安徽省口腔医院）电子咬合测力器、超声骨刀等设备采购项目公开</w:t>
      </w:r>
      <w:r>
        <w:rPr>
          <w:rFonts w:ascii="华文中宋" w:hAnsi="华文中宋" w:eastAsia="华文中宋"/>
          <w:b/>
          <w:bCs/>
          <w:sz w:val="44"/>
          <w:szCs w:val="44"/>
        </w:rPr>
        <w:t>招标公告</w:t>
      </w:r>
    </w:p>
    <w:p w14:paraId="5C4BDB1C">
      <w:pPr>
        <w:pStyle w:val="46"/>
        <w:rPr>
          <w:rFonts w:hint="eastAsia" w:eastAsia="等线"/>
        </w:rPr>
      </w:pPr>
    </w:p>
    <w:p w14:paraId="3C688A47">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项目概况</w:t>
      </w:r>
    </w:p>
    <w:p w14:paraId="6D5AF23B">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安徽医科大学附属口腔医院（安徽省口腔医院）电子咬合测力器、超声骨刀等设备采购项目的潜在投标人应在优质采云采购平台（http://www.youzhicai.com/）获取招标文件，并于2025年</w:t>
      </w:r>
      <w:r>
        <w:rPr>
          <w:rFonts w:hint="eastAsia" w:ascii="仿宋" w:hAnsi="仿宋" w:eastAsia="仿宋"/>
          <w:sz w:val="28"/>
          <w:szCs w:val="28"/>
          <w:lang w:val="en-US" w:eastAsia="zh-CN"/>
        </w:rPr>
        <w:t>11</w:t>
      </w:r>
      <w:r>
        <w:rPr>
          <w:rFonts w:hint="eastAsia" w:ascii="仿宋" w:hAnsi="仿宋" w:eastAsia="仿宋"/>
          <w:sz w:val="28"/>
          <w:szCs w:val="28"/>
        </w:rPr>
        <w:t>月</w:t>
      </w:r>
      <w:r>
        <w:rPr>
          <w:rFonts w:hint="eastAsia" w:ascii="仿宋" w:hAnsi="仿宋" w:eastAsia="仿宋"/>
          <w:sz w:val="28"/>
          <w:szCs w:val="28"/>
          <w:lang w:val="en-US" w:eastAsia="zh-CN"/>
        </w:rPr>
        <w:t>12</w:t>
      </w:r>
      <w:r>
        <w:rPr>
          <w:rFonts w:hint="eastAsia" w:ascii="仿宋" w:hAnsi="仿宋" w:eastAsia="仿宋"/>
          <w:sz w:val="28"/>
          <w:szCs w:val="28"/>
        </w:rPr>
        <w:t>日09点30分（北京时间）前递交投标文件。</w:t>
      </w:r>
    </w:p>
    <w:p w14:paraId="21DD6528">
      <w:pPr>
        <w:pStyle w:val="3"/>
        <w:widowControl/>
        <w:adjustRightInd w:val="0"/>
        <w:snapToGrid w:val="0"/>
        <w:spacing w:before="48" w:beforeLines="20" w:after="48" w:afterLines="20" w:line="560" w:lineRule="exact"/>
        <w:rPr>
          <w:rStyle w:val="98"/>
          <w:rFonts w:hAnsi="宋体"/>
          <w:b w:val="0"/>
          <w:bCs w:val="0"/>
          <w:sz w:val="28"/>
          <w:szCs w:val="28"/>
        </w:rPr>
      </w:pPr>
      <w:bookmarkStart w:id="8" w:name="_Toc28359079"/>
      <w:bookmarkStart w:id="9" w:name="_Toc35393621"/>
      <w:bookmarkStart w:id="10" w:name="_Toc35393790"/>
      <w:bookmarkStart w:id="11" w:name="_Toc28359002"/>
      <w:bookmarkStart w:id="12" w:name="_Hlk24379207"/>
      <w:r>
        <w:rPr>
          <w:rStyle w:val="98"/>
          <w:rFonts w:hint="eastAsia" w:hAnsi="宋体"/>
          <w:b w:val="0"/>
          <w:bCs w:val="0"/>
          <w:sz w:val="28"/>
          <w:szCs w:val="28"/>
        </w:rPr>
        <w:t>一、项目基本情况</w:t>
      </w:r>
      <w:bookmarkEnd w:id="8"/>
      <w:bookmarkEnd w:id="9"/>
      <w:bookmarkEnd w:id="10"/>
      <w:bookmarkEnd w:id="11"/>
    </w:p>
    <w:p w14:paraId="70FA91D1">
      <w:pPr>
        <w:adjustRightInd w:val="0"/>
        <w:snapToGrid w:val="0"/>
        <w:spacing w:line="560" w:lineRule="exact"/>
        <w:ind w:firstLine="560" w:firstLineChars="200"/>
        <w:rPr>
          <w:rFonts w:hint="eastAsia" w:ascii="仿宋" w:hAnsi="仿宋" w:eastAsia="仿宋"/>
          <w:sz w:val="28"/>
          <w:szCs w:val="28"/>
          <w:u w:val="single"/>
        </w:rPr>
      </w:pPr>
      <w:r>
        <w:rPr>
          <w:rFonts w:hint="eastAsia" w:ascii="仿宋" w:hAnsi="仿宋" w:eastAsia="仿宋"/>
          <w:sz w:val="28"/>
          <w:szCs w:val="28"/>
        </w:rPr>
        <w:t>招标编号：</w:t>
      </w:r>
      <w:r>
        <w:rPr>
          <w:rFonts w:hint="eastAsia" w:ascii="仿宋" w:hAnsi="仿宋" w:eastAsia="仿宋"/>
          <w:sz w:val="28"/>
          <w:szCs w:val="28"/>
          <w:lang w:eastAsia="zh-CN"/>
        </w:rPr>
        <w:t>ZF2025-36-1637</w:t>
      </w:r>
      <w:r>
        <w:rPr>
          <w:rFonts w:hint="eastAsia" w:ascii="仿宋" w:hAnsi="仿宋" w:eastAsia="仿宋"/>
          <w:sz w:val="28"/>
          <w:szCs w:val="28"/>
        </w:rPr>
        <w:t xml:space="preserve">  </w:t>
      </w:r>
    </w:p>
    <w:p w14:paraId="3A604C7A">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项目名称：</w:t>
      </w:r>
      <w:bookmarkStart w:id="13" w:name="OLE_LINK3"/>
      <w:r>
        <w:rPr>
          <w:rFonts w:hint="eastAsia" w:ascii="仿宋" w:hAnsi="仿宋" w:eastAsia="仿宋"/>
          <w:sz w:val="28"/>
          <w:szCs w:val="28"/>
        </w:rPr>
        <w:t>安徽医科大学附属口腔医院（安徽省口腔医院）电子咬合测力器、超声骨刀等设备采购项目</w:t>
      </w:r>
    </w:p>
    <w:bookmarkEnd w:id="12"/>
    <w:bookmarkEnd w:id="13"/>
    <w:p w14:paraId="5F55BA35">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 xml:space="preserve">预算金额：01包：35万元,02包：26.7万元；   </w:t>
      </w:r>
    </w:p>
    <w:p w14:paraId="6B14B157">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 xml:space="preserve">最高限价：01包：35万元,02包：26.7万元； </w:t>
      </w:r>
    </w:p>
    <w:p w14:paraId="73CD841F">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 xml:space="preserve">采购需求：安徽医科大学附属口腔医院（安徽省口腔医院）电子咬合测力器、超声骨刀等设备采购项目，01包 电子咬合测力器 1台；02包超声骨刀等设备 1批，具体详见采购文件；    </w:t>
      </w:r>
    </w:p>
    <w:p w14:paraId="24627B95">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 xml:space="preserve">合同履行期限：合同签订之日起接采购人通知后25日历天内将货物送到买方指定的地点，并负责全部的安装调试；    </w:t>
      </w:r>
    </w:p>
    <w:p w14:paraId="368B177A">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本项目不接受联合体投标。</w:t>
      </w:r>
      <w:bookmarkStart w:id="14" w:name="_Toc35393622"/>
      <w:bookmarkStart w:id="15" w:name="_Toc28359003"/>
      <w:bookmarkStart w:id="16" w:name="_Toc28359080"/>
      <w:bookmarkStart w:id="17" w:name="_Toc35393791"/>
    </w:p>
    <w:p w14:paraId="06C4E50E">
      <w:pPr>
        <w:pStyle w:val="3"/>
        <w:widowControl/>
        <w:adjustRightInd w:val="0"/>
        <w:snapToGrid w:val="0"/>
        <w:spacing w:before="48" w:beforeLines="20" w:after="48" w:afterLines="20" w:line="560" w:lineRule="exact"/>
        <w:rPr>
          <w:rStyle w:val="98"/>
          <w:rFonts w:hAnsi="宋体"/>
          <w:b w:val="0"/>
          <w:bCs w:val="0"/>
          <w:sz w:val="28"/>
          <w:szCs w:val="28"/>
        </w:rPr>
      </w:pPr>
      <w:r>
        <w:rPr>
          <w:rStyle w:val="98"/>
          <w:rFonts w:hint="eastAsia" w:hAnsi="宋体"/>
          <w:b w:val="0"/>
          <w:bCs w:val="0"/>
          <w:sz w:val="28"/>
          <w:szCs w:val="28"/>
        </w:rPr>
        <w:t>二、申请人的资格要求：</w:t>
      </w:r>
      <w:bookmarkEnd w:id="14"/>
      <w:bookmarkEnd w:id="15"/>
      <w:bookmarkEnd w:id="16"/>
      <w:bookmarkEnd w:id="17"/>
    </w:p>
    <w:p w14:paraId="63010B8C">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1.满足《中华人民共和国政府采购法》第二十二条规定；</w:t>
      </w:r>
    </w:p>
    <w:p w14:paraId="6E3E95A0">
      <w:pPr>
        <w:adjustRightInd w:val="0"/>
        <w:snapToGrid w:val="0"/>
        <w:spacing w:line="560" w:lineRule="exact"/>
        <w:ind w:firstLine="560" w:firstLineChars="200"/>
        <w:rPr>
          <w:rFonts w:hint="eastAsia" w:ascii="仿宋" w:hAnsi="仿宋" w:eastAsia="仿宋"/>
          <w:sz w:val="28"/>
          <w:szCs w:val="28"/>
        </w:rPr>
      </w:pPr>
      <w:bookmarkStart w:id="18" w:name="_Toc28359004"/>
      <w:bookmarkStart w:id="19" w:name="_Toc28359081"/>
      <w:r>
        <w:rPr>
          <w:rFonts w:hint="eastAsia" w:ascii="仿宋" w:hAnsi="仿宋" w:eastAsia="仿宋"/>
          <w:sz w:val="28"/>
          <w:szCs w:val="28"/>
        </w:rPr>
        <w:t>2.落实政府采购政策需满足的资格要求：</w:t>
      </w:r>
      <w:bookmarkStart w:id="20" w:name="_Toc35393623"/>
      <w:bookmarkStart w:id="21" w:name="_Toc35393792"/>
      <w:r>
        <w:rPr>
          <w:rFonts w:hint="eastAsia" w:ascii="仿宋" w:hAnsi="仿宋" w:eastAsia="仿宋"/>
          <w:sz w:val="28"/>
          <w:szCs w:val="28"/>
        </w:rPr>
        <w:t>/</w:t>
      </w:r>
    </w:p>
    <w:p w14:paraId="232D68B5">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3.本项目的特定资格要求：</w:t>
      </w:r>
    </w:p>
    <w:p w14:paraId="1C708607">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3.1资质要求：依法纳入医疗器械管理的投标产品须满足以下条件：</w:t>
      </w:r>
    </w:p>
    <w:p w14:paraId="5906C961">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①经销/代理商投标时，须具有有效的医疗器械经营许可证(适用第三类医疗器械)。</w:t>
      </w:r>
    </w:p>
    <w:p w14:paraId="5EA697B0">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②投标产品制造商在中国关境内时，须具有有效的医疗器械生产许可证（适用第二类和第三类医疗器械）。</w:t>
      </w:r>
    </w:p>
    <w:p w14:paraId="31A2BFDC">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③投标产品须具有有效的医疗器械注册证（适用第二类和第三类医疗器械）。</w:t>
      </w:r>
    </w:p>
    <w:p w14:paraId="4609E682">
      <w:pPr>
        <w:adjustRightInd w:val="0"/>
        <w:snapToGrid w:val="0"/>
        <w:spacing w:line="560" w:lineRule="exact"/>
        <w:ind w:firstLine="560" w:firstLineChars="200"/>
        <w:rPr>
          <w:rFonts w:ascii="仿宋" w:hAnsi="仿宋" w:eastAsia="仿宋"/>
          <w:sz w:val="28"/>
          <w:szCs w:val="28"/>
        </w:rPr>
      </w:pPr>
      <w:r>
        <w:rPr>
          <w:rFonts w:hint="eastAsia" w:ascii="仿宋" w:hAnsi="仿宋" w:eastAsia="仿宋"/>
          <w:sz w:val="28"/>
          <w:szCs w:val="28"/>
        </w:rPr>
        <w:t>④投标产品纳入备案管理时，须在投标文件中提供备案材料或承诺函，承诺在合同签订前提供所投产品的备案证明材料，若未按规定提供视为自动放弃中标资格。</w:t>
      </w:r>
    </w:p>
    <w:p w14:paraId="64260C5A">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3.2业绩要求：/</w:t>
      </w:r>
    </w:p>
    <w:p w14:paraId="49FA2E9C">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3.3信誉要求</w:t>
      </w:r>
    </w:p>
    <w:p w14:paraId="788E24B5">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截至提交投标文件截止时间，供应商（不含其不具有独立法人资格的分支机构）存在下列有效情形之一的，其投标文件按无效处理。</w:t>
      </w:r>
    </w:p>
    <w:p w14:paraId="16C66286">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（1）被人民法院列入失信被执行人名单的；</w:t>
      </w:r>
    </w:p>
    <w:p w14:paraId="7E382519">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（2）被税务机关列入重大税收违法案件当事人名单的；</w:t>
      </w:r>
    </w:p>
    <w:p w14:paraId="1AB1C8A4">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（3）被财政部门列入政府采购严重违法失信名单的；</w:t>
      </w:r>
    </w:p>
    <w:p w14:paraId="56F630FE">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4）被市场监督管理部门（或工商行政管理部门）列入经营异常名录或者严重违法失信企业名单的（未按照《企业信息公示暂行条例》（国务院令第654号）第八条规定的期限公示年度报告被列入经营异常名录的除外）。</w:t>
      </w:r>
    </w:p>
    <w:p w14:paraId="50AA034E">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注：“有效”是指“情形”规定的程度、起止期间处于有效状态。供应商为联合体的，对供应商的要求视同对联合体成员的要求。</w:t>
      </w:r>
    </w:p>
    <w:p w14:paraId="718779BC">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3.</w:t>
      </w:r>
      <w:r>
        <w:rPr>
          <w:rFonts w:ascii="仿宋" w:hAnsi="仿宋" w:eastAsia="仿宋"/>
          <w:sz w:val="28"/>
          <w:szCs w:val="28"/>
        </w:rPr>
        <w:t>4</w:t>
      </w:r>
      <w:r>
        <w:rPr>
          <w:rFonts w:hint="eastAsia" w:ascii="仿宋" w:hAnsi="仿宋" w:eastAsia="仿宋"/>
          <w:sz w:val="28"/>
          <w:szCs w:val="28"/>
        </w:rPr>
        <w:t>其他要求：/。</w:t>
      </w:r>
    </w:p>
    <w:p w14:paraId="7C8DCA46">
      <w:pPr>
        <w:pStyle w:val="3"/>
        <w:widowControl/>
        <w:adjustRightInd w:val="0"/>
        <w:snapToGrid w:val="0"/>
        <w:spacing w:before="48" w:beforeLines="20" w:after="48" w:afterLines="20" w:line="560" w:lineRule="exact"/>
        <w:rPr>
          <w:rStyle w:val="98"/>
          <w:rFonts w:hAnsi="宋体"/>
          <w:b w:val="0"/>
          <w:bCs w:val="0"/>
          <w:sz w:val="28"/>
          <w:szCs w:val="28"/>
        </w:rPr>
      </w:pPr>
      <w:r>
        <w:rPr>
          <w:rStyle w:val="98"/>
          <w:rFonts w:hint="eastAsia" w:hAnsi="宋体"/>
          <w:b w:val="0"/>
          <w:bCs w:val="0"/>
          <w:sz w:val="28"/>
          <w:szCs w:val="28"/>
        </w:rPr>
        <w:t>三、获取招标文件</w:t>
      </w:r>
      <w:bookmarkEnd w:id="18"/>
      <w:bookmarkEnd w:id="19"/>
      <w:bookmarkEnd w:id="20"/>
      <w:bookmarkEnd w:id="21"/>
    </w:p>
    <w:p w14:paraId="75142DE7">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时间：2025年</w:t>
      </w:r>
      <w:r>
        <w:rPr>
          <w:rFonts w:hint="eastAsia" w:ascii="仿宋" w:hAnsi="仿宋" w:eastAsia="仿宋"/>
          <w:sz w:val="28"/>
          <w:szCs w:val="28"/>
          <w:lang w:val="en-US" w:eastAsia="zh-CN"/>
        </w:rPr>
        <w:t>10</w:t>
      </w:r>
      <w:r>
        <w:rPr>
          <w:rFonts w:hint="eastAsia" w:ascii="仿宋" w:hAnsi="仿宋" w:eastAsia="仿宋"/>
          <w:sz w:val="28"/>
          <w:szCs w:val="28"/>
        </w:rPr>
        <w:t>月</w:t>
      </w:r>
      <w:r>
        <w:rPr>
          <w:rFonts w:hint="eastAsia" w:ascii="仿宋" w:hAnsi="仿宋" w:eastAsia="仿宋"/>
          <w:sz w:val="28"/>
          <w:szCs w:val="28"/>
          <w:lang w:val="en-US" w:eastAsia="zh-CN"/>
        </w:rPr>
        <w:t>23</w:t>
      </w:r>
      <w:r>
        <w:rPr>
          <w:rFonts w:hint="eastAsia" w:ascii="仿宋" w:hAnsi="仿宋" w:eastAsia="仿宋"/>
          <w:sz w:val="28"/>
          <w:szCs w:val="28"/>
        </w:rPr>
        <w:t>日至2025年</w:t>
      </w:r>
      <w:r>
        <w:rPr>
          <w:rFonts w:hint="eastAsia" w:ascii="仿宋" w:hAnsi="仿宋" w:eastAsia="仿宋"/>
          <w:sz w:val="28"/>
          <w:szCs w:val="28"/>
          <w:lang w:val="en-US" w:eastAsia="zh-CN"/>
        </w:rPr>
        <w:t>10</w:t>
      </w:r>
      <w:r>
        <w:rPr>
          <w:rFonts w:hint="eastAsia" w:ascii="仿宋" w:hAnsi="仿宋" w:eastAsia="仿宋"/>
          <w:sz w:val="28"/>
          <w:szCs w:val="28"/>
        </w:rPr>
        <w:t>月</w:t>
      </w:r>
      <w:r>
        <w:rPr>
          <w:rFonts w:hint="eastAsia" w:ascii="仿宋" w:hAnsi="仿宋" w:eastAsia="仿宋"/>
          <w:sz w:val="28"/>
          <w:szCs w:val="28"/>
          <w:lang w:val="en-US" w:eastAsia="zh-CN"/>
        </w:rPr>
        <w:t>30</w:t>
      </w:r>
      <w:r>
        <w:rPr>
          <w:rFonts w:hint="eastAsia" w:ascii="仿宋" w:hAnsi="仿宋" w:eastAsia="仿宋"/>
          <w:sz w:val="28"/>
          <w:szCs w:val="28"/>
        </w:rPr>
        <w:t>日。</w:t>
      </w:r>
    </w:p>
    <w:p w14:paraId="15B1CA8D">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地点：“优质采云采购平台”（http://www.youzhicai.com/）</w:t>
      </w:r>
    </w:p>
    <w:p w14:paraId="47799A13">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方式：在线下载</w:t>
      </w:r>
    </w:p>
    <w:p w14:paraId="080B42F2">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 xml:space="preserve">售价：0元 </w:t>
      </w:r>
    </w:p>
    <w:p w14:paraId="27B2C097">
      <w:pPr>
        <w:pStyle w:val="3"/>
        <w:widowControl/>
        <w:adjustRightInd w:val="0"/>
        <w:snapToGrid w:val="0"/>
        <w:spacing w:before="48" w:beforeLines="20" w:after="48" w:afterLines="20" w:line="560" w:lineRule="exact"/>
        <w:rPr>
          <w:rStyle w:val="98"/>
          <w:rFonts w:hAnsi="宋体"/>
          <w:b w:val="0"/>
          <w:bCs w:val="0"/>
          <w:sz w:val="28"/>
          <w:szCs w:val="28"/>
        </w:rPr>
      </w:pPr>
      <w:bookmarkStart w:id="22" w:name="_Toc35393624"/>
      <w:bookmarkStart w:id="23" w:name="_Toc28359082"/>
      <w:bookmarkStart w:id="24" w:name="_Toc35393793"/>
      <w:bookmarkStart w:id="25" w:name="_Toc28359005"/>
      <w:r>
        <w:rPr>
          <w:rStyle w:val="98"/>
          <w:rFonts w:hint="eastAsia" w:hAnsi="宋体"/>
          <w:b w:val="0"/>
          <w:bCs w:val="0"/>
          <w:sz w:val="28"/>
          <w:szCs w:val="28"/>
        </w:rPr>
        <w:t>四、提交投标文件截止时间、开标时间和地点</w:t>
      </w:r>
      <w:bookmarkEnd w:id="22"/>
      <w:bookmarkEnd w:id="23"/>
      <w:bookmarkEnd w:id="24"/>
      <w:bookmarkEnd w:id="25"/>
    </w:p>
    <w:p w14:paraId="7DA660D3">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时间：2025年</w:t>
      </w:r>
      <w:r>
        <w:rPr>
          <w:rFonts w:hint="eastAsia" w:ascii="仿宋" w:hAnsi="仿宋" w:eastAsia="仿宋"/>
          <w:sz w:val="28"/>
          <w:szCs w:val="28"/>
          <w:lang w:val="en-US" w:eastAsia="zh-CN"/>
        </w:rPr>
        <w:t>11</w:t>
      </w:r>
      <w:r>
        <w:rPr>
          <w:rFonts w:hint="eastAsia" w:ascii="仿宋" w:hAnsi="仿宋" w:eastAsia="仿宋"/>
          <w:sz w:val="28"/>
          <w:szCs w:val="28"/>
        </w:rPr>
        <w:t>月</w:t>
      </w:r>
      <w:r>
        <w:rPr>
          <w:rFonts w:hint="eastAsia" w:ascii="仿宋" w:hAnsi="仿宋" w:eastAsia="仿宋"/>
          <w:sz w:val="28"/>
          <w:szCs w:val="28"/>
          <w:lang w:val="en-US" w:eastAsia="zh-CN"/>
        </w:rPr>
        <w:t>12</w:t>
      </w:r>
      <w:r>
        <w:rPr>
          <w:rFonts w:hint="eastAsia" w:ascii="仿宋" w:hAnsi="仿宋" w:eastAsia="仿宋"/>
          <w:sz w:val="28"/>
          <w:szCs w:val="28"/>
        </w:rPr>
        <w:t>日09点30分（北京时间）</w:t>
      </w:r>
    </w:p>
    <w:p w14:paraId="0AF51151">
      <w:pPr>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地点：</w:t>
      </w:r>
      <w:bookmarkStart w:id="26" w:name="_Hlk44253880"/>
      <w:r>
        <w:rPr>
          <w:rFonts w:hint="eastAsia" w:ascii="仿宋" w:hAnsi="仿宋" w:eastAsia="仿宋"/>
          <w:sz w:val="28"/>
          <w:szCs w:val="28"/>
        </w:rPr>
        <w:t>线上开标：“</w:t>
      </w:r>
      <w:r>
        <w:rPr>
          <w:rFonts w:ascii="仿宋" w:hAnsi="仿宋" w:eastAsia="仿宋" w:cs="仿宋"/>
          <w:sz w:val="28"/>
          <w:szCs w:val="28"/>
        </w:rPr>
        <w:t>优质采招标采购平台</w:t>
      </w:r>
      <w:r>
        <w:rPr>
          <w:rFonts w:hint="eastAsia" w:ascii="仿宋" w:hAnsi="仿宋" w:eastAsia="仿宋"/>
          <w:sz w:val="28"/>
          <w:szCs w:val="28"/>
        </w:rPr>
        <w:t>”（</w:t>
      </w:r>
      <w:r>
        <w:rPr>
          <w:rFonts w:hint="eastAsia" w:ascii="仿宋" w:hAnsi="仿宋" w:eastAsia="仿宋" w:cs="宋体"/>
          <w:sz w:val="28"/>
          <w:szCs w:val="28"/>
        </w:rPr>
        <w:t>www.yzczb.com</w:t>
      </w:r>
      <w:r>
        <w:rPr>
          <w:rFonts w:hint="eastAsia" w:ascii="仿宋" w:hAnsi="仿宋" w:eastAsia="仿宋"/>
          <w:sz w:val="28"/>
          <w:szCs w:val="28"/>
        </w:rPr>
        <w:t>）；</w:t>
      </w:r>
      <w:bookmarkEnd w:id="26"/>
    </w:p>
    <w:p w14:paraId="10D2C5A8">
      <w:pPr>
        <w:pStyle w:val="3"/>
        <w:widowControl/>
        <w:adjustRightInd w:val="0"/>
        <w:snapToGrid w:val="0"/>
        <w:spacing w:before="48" w:beforeLines="20" w:after="48" w:afterLines="20" w:line="560" w:lineRule="exact"/>
        <w:rPr>
          <w:rStyle w:val="98"/>
          <w:rFonts w:hAnsi="宋体"/>
          <w:b w:val="0"/>
          <w:bCs w:val="0"/>
          <w:sz w:val="28"/>
          <w:szCs w:val="28"/>
        </w:rPr>
      </w:pPr>
      <w:bookmarkStart w:id="27" w:name="_Toc35393794"/>
      <w:bookmarkStart w:id="28" w:name="_Toc28359084"/>
      <w:bookmarkStart w:id="29" w:name="_Toc35393625"/>
      <w:bookmarkStart w:id="30" w:name="_Toc28359007"/>
      <w:r>
        <w:rPr>
          <w:rStyle w:val="98"/>
          <w:rFonts w:hint="eastAsia" w:hAnsi="宋体"/>
          <w:b w:val="0"/>
          <w:bCs w:val="0"/>
          <w:sz w:val="28"/>
          <w:szCs w:val="28"/>
        </w:rPr>
        <w:t>五、公告期限</w:t>
      </w:r>
      <w:bookmarkEnd w:id="27"/>
      <w:bookmarkEnd w:id="28"/>
      <w:bookmarkEnd w:id="29"/>
      <w:bookmarkEnd w:id="30"/>
    </w:p>
    <w:p w14:paraId="21919DF4">
      <w:pPr>
        <w:adjustRightInd w:val="0"/>
        <w:snapToGrid w:val="0"/>
        <w:spacing w:line="560" w:lineRule="exact"/>
        <w:ind w:firstLine="560" w:firstLineChars="200"/>
        <w:rPr>
          <w:rFonts w:ascii="仿宋" w:hAnsi="仿宋" w:eastAsia="仿宋" w:cs="宋体"/>
          <w:kern w:val="0"/>
          <w:sz w:val="28"/>
          <w:szCs w:val="28"/>
        </w:rPr>
      </w:pPr>
      <w:r>
        <w:rPr>
          <w:rFonts w:hint="eastAsia" w:ascii="仿宋" w:hAnsi="仿宋" w:eastAsia="仿宋" w:cs="宋体"/>
          <w:kern w:val="0"/>
          <w:sz w:val="28"/>
          <w:szCs w:val="28"/>
        </w:rPr>
        <w:t>自本公告发布之日起5个工作日。</w:t>
      </w:r>
    </w:p>
    <w:p w14:paraId="09622D1B">
      <w:pPr>
        <w:pStyle w:val="3"/>
        <w:widowControl/>
        <w:adjustRightInd w:val="0"/>
        <w:snapToGrid w:val="0"/>
        <w:spacing w:before="48" w:beforeLines="20" w:after="48" w:afterLines="20" w:line="560" w:lineRule="exact"/>
        <w:rPr>
          <w:rStyle w:val="98"/>
          <w:rFonts w:hAnsi="宋体"/>
          <w:b w:val="0"/>
          <w:bCs w:val="0"/>
          <w:sz w:val="28"/>
          <w:szCs w:val="28"/>
        </w:rPr>
      </w:pPr>
      <w:bookmarkStart w:id="31" w:name="_Toc35393626"/>
      <w:bookmarkStart w:id="32" w:name="_Toc35393795"/>
      <w:r>
        <w:rPr>
          <w:rStyle w:val="98"/>
          <w:rFonts w:hint="eastAsia" w:hAnsi="宋体"/>
          <w:b w:val="0"/>
          <w:bCs w:val="0"/>
          <w:sz w:val="28"/>
          <w:szCs w:val="28"/>
        </w:rPr>
        <w:t>六、其他补充事宜</w:t>
      </w:r>
      <w:bookmarkEnd w:id="31"/>
      <w:bookmarkEnd w:id="32"/>
    </w:p>
    <w:p w14:paraId="0EB93029">
      <w:pPr>
        <w:widowControl/>
        <w:topLinePunct/>
        <w:spacing w:line="560" w:lineRule="exact"/>
        <w:ind w:firstLine="560" w:firstLineChars="200"/>
        <w:rPr>
          <w:rFonts w:hint="eastAsia" w:ascii="仿宋" w:hAnsi="仿宋" w:eastAsia="仿宋"/>
          <w:sz w:val="28"/>
          <w:szCs w:val="28"/>
        </w:rPr>
      </w:pPr>
      <w:r>
        <w:rPr>
          <w:rFonts w:hint="eastAsia" w:ascii="仿宋" w:hAnsi="仿宋" w:eastAsia="仿宋"/>
          <w:sz w:val="28"/>
          <w:szCs w:val="28"/>
        </w:rPr>
        <w:t>1.本项目相关信息同时在“安徽省政府采购网、安徽省招标投标信息网、优质采云采购平台、优质采招标采购平台”等媒介上发布；</w:t>
      </w:r>
    </w:p>
    <w:p w14:paraId="1CEA2396">
      <w:pPr>
        <w:widowControl/>
        <w:topLinePunct/>
        <w:spacing w:line="560" w:lineRule="exact"/>
        <w:ind w:firstLine="560" w:firstLineChars="200"/>
        <w:rPr>
          <w:rFonts w:hint="eastAsia" w:ascii="仿宋" w:hAnsi="仿宋" w:eastAsia="仿宋"/>
          <w:sz w:val="28"/>
          <w:szCs w:val="28"/>
        </w:rPr>
      </w:pPr>
      <w:r>
        <w:rPr>
          <w:rFonts w:hint="eastAsia" w:ascii="仿宋" w:hAnsi="仿宋" w:eastAsia="仿宋"/>
          <w:sz w:val="28"/>
          <w:szCs w:val="28"/>
        </w:rPr>
        <w:t>2.本项目需落实的节能环保、中小企业扶持等相关政府采购政策详见招标文件。</w:t>
      </w:r>
    </w:p>
    <w:p w14:paraId="1229C897">
      <w:pPr>
        <w:widowControl/>
        <w:topLinePunct/>
        <w:spacing w:line="560" w:lineRule="exact"/>
        <w:ind w:firstLine="560" w:firstLineChars="200"/>
        <w:rPr>
          <w:rFonts w:hint="eastAsia" w:ascii="仿宋" w:hAnsi="仿宋" w:eastAsia="仿宋"/>
          <w:sz w:val="28"/>
          <w:szCs w:val="28"/>
        </w:rPr>
      </w:pPr>
      <w:r>
        <w:rPr>
          <w:rFonts w:hint="eastAsia" w:ascii="仿宋" w:hAnsi="仿宋" w:eastAsia="仿宋"/>
          <w:sz w:val="28"/>
          <w:szCs w:val="28"/>
        </w:rPr>
        <w:t>3.政府采购电子化交易要求：</w:t>
      </w:r>
    </w:p>
    <w:p w14:paraId="6569EE0A">
      <w:pPr>
        <w:widowControl/>
        <w:topLinePunct/>
        <w:spacing w:line="560" w:lineRule="exact"/>
        <w:ind w:firstLine="560" w:firstLineChars="200"/>
        <w:rPr>
          <w:rFonts w:hint="eastAsia" w:ascii="仿宋" w:hAnsi="仿宋" w:eastAsia="仿宋"/>
          <w:sz w:val="28"/>
          <w:szCs w:val="28"/>
        </w:rPr>
      </w:pPr>
      <w:r>
        <w:rPr>
          <w:rFonts w:hint="eastAsia" w:ascii="仿宋" w:hAnsi="仿宋" w:eastAsia="仿宋"/>
          <w:sz w:val="28"/>
          <w:szCs w:val="28"/>
        </w:rPr>
        <w:t>（1）潜在投标人/供应商须登录“优质采云采购平台”（网址：</w:t>
      </w:r>
      <w:r>
        <w:rPr>
          <w:rFonts w:ascii="仿宋" w:hAnsi="仿宋" w:eastAsia="仿宋"/>
          <w:sz w:val="28"/>
          <w:szCs w:val="28"/>
        </w:rPr>
        <w:fldChar w:fldCharType="begin"/>
      </w:r>
      <w:r>
        <w:rPr>
          <w:rFonts w:ascii="仿宋" w:hAnsi="仿宋" w:eastAsia="仿宋"/>
          <w:sz w:val="28"/>
          <w:szCs w:val="28"/>
        </w:rPr>
        <w:instrText xml:space="preserve"> HYPERLINK "http://www.youzhicai.com" </w:instrText>
      </w:r>
      <w:r>
        <w:rPr>
          <w:rFonts w:ascii="仿宋" w:hAnsi="仿宋" w:eastAsia="仿宋"/>
          <w:sz w:val="28"/>
          <w:szCs w:val="28"/>
        </w:rPr>
        <w:fldChar w:fldCharType="separate"/>
      </w:r>
      <w:r>
        <w:rPr>
          <w:rFonts w:hint="eastAsia" w:ascii="仿宋" w:hAnsi="仿宋" w:eastAsia="仿宋"/>
          <w:sz w:val="28"/>
          <w:szCs w:val="28"/>
        </w:rPr>
        <w:t>www.youzhicai.com</w:t>
      </w:r>
      <w:r>
        <w:rPr>
          <w:rFonts w:ascii="仿宋" w:hAnsi="仿宋" w:eastAsia="仿宋"/>
          <w:sz w:val="28"/>
          <w:szCs w:val="28"/>
        </w:rPr>
        <w:fldChar w:fldCharType="end"/>
      </w:r>
      <w:r>
        <w:rPr>
          <w:rFonts w:hint="eastAsia" w:ascii="仿宋" w:hAnsi="仿宋" w:eastAsia="仿宋"/>
          <w:sz w:val="28"/>
          <w:szCs w:val="28"/>
        </w:rPr>
        <w:t>，以下称“优质采平台”）参与本项目招标采购活动。首次登录须办理注册手续，请务必选择注册为“投标人角色”类型。注册流程见优质采平台“用户注册”栏目，咨询电话：400-0099-555。因未及时办理注册手续影响参加招标采购活动的，责任自负。</w:t>
      </w:r>
    </w:p>
    <w:p w14:paraId="1FA62F31">
      <w:pPr>
        <w:widowControl/>
        <w:topLinePunct/>
        <w:spacing w:line="560" w:lineRule="exact"/>
        <w:ind w:firstLine="560" w:firstLineChars="200"/>
        <w:rPr>
          <w:rFonts w:hint="eastAsia" w:ascii="仿宋" w:hAnsi="仿宋" w:eastAsia="仿宋"/>
          <w:sz w:val="28"/>
          <w:szCs w:val="28"/>
        </w:rPr>
      </w:pPr>
      <w:r>
        <w:rPr>
          <w:rFonts w:hint="eastAsia" w:ascii="仿宋" w:hAnsi="仿宋" w:eastAsia="仿宋"/>
          <w:sz w:val="28"/>
          <w:szCs w:val="28"/>
        </w:rPr>
        <w:t>（2）已注册的潜在投标人/供应商可登录优质采平台获取招标采购文件，本项目的招标采购文件及其他资料（含澄清、答疑及相关补充文件）通过优质采平台发布，招标人/代理机构不再另行书面通知，潜在投标人/供应商应及时关注、查阅优质采平台。因未及时查看导致不利后果的，责任自负。</w:t>
      </w:r>
    </w:p>
    <w:p w14:paraId="640A3C07">
      <w:pPr>
        <w:widowControl/>
        <w:topLinePunct/>
        <w:spacing w:line="560" w:lineRule="exact"/>
        <w:ind w:firstLine="560" w:firstLineChars="200"/>
        <w:rPr>
          <w:rFonts w:ascii="仿宋" w:hAnsi="仿宋" w:eastAsia="仿宋"/>
          <w:sz w:val="28"/>
          <w:szCs w:val="28"/>
        </w:rPr>
      </w:pPr>
      <w:r>
        <w:rPr>
          <w:rFonts w:hint="eastAsia" w:ascii="仿宋" w:hAnsi="仿宋" w:eastAsia="仿宋"/>
          <w:sz w:val="28"/>
          <w:szCs w:val="28"/>
        </w:rPr>
        <w:t>（3）已注册的潜在投标人/供应商若注册信息发生变更（如：与初始注册信息不一致），应及时网上提交变更申请。因未及时变更导致不利后果的，责任自负。</w:t>
      </w:r>
    </w:p>
    <w:p w14:paraId="4E08E7BC">
      <w:pPr>
        <w:widowControl/>
        <w:topLinePunct/>
        <w:spacing w:line="560" w:lineRule="exact"/>
        <w:ind w:firstLine="560" w:firstLineChars="200"/>
        <w:rPr>
          <w:rFonts w:ascii="仿宋" w:hAnsi="仿宋" w:eastAsia="仿宋"/>
          <w:sz w:val="28"/>
          <w:szCs w:val="28"/>
        </w:rPr>
      </w:pPr>
      <w:r>
        <w:rPr>
          <w:rFonts w:hint="eastAsia" w:ascii="仿宋" w:hAnsi="仿宋" w:eastAsia="仿宋"/>
          <w:sz w:val="28"/>
          <w:szCs w:val="28"/>
        </w:rPr>
        <w:t>（4）本项目采用全流程电子化招标采购方式，潜在投标人/供应商须办理CA数字证书（以下简称CA），CA用于电子投标/响应文件的签章及上传（上传投标/响应文件需使用CA进行加密）；CA办理详见《关于优质采平台数字证书办理的须知》（http://www.youzhicai.com/nd/a_8f80a7ec-911f-4c4d-a123-f8849880f045.html）；咨询热线：400-0099-555。</w:t>
      </w:r>
    </w:p>
    <w:p w14:paraId="0236C26D">
      <w:pPr>
        <w:widowControl/>
        <w:topLinePunct/>
        <w:spacing w:line="560" w:lineRule="exact"/>
        <w:ind w:firstLine="560" w:firstLineChars="200"/>
        <w:rPr>
          <w:rFonts w:hint="eastAsia" w:ascii="仿宋" w:hAnsi="仿宋" w:eastAsia="仿宋"/>
          <w:sz w:val="28"/>
          <w:szCs w:val="28"/>
        </w:rPr>
      </w:pPr>
      <w:r>
        <w:rPr>
          <w:rFonts w:hint="eastAsia" w:ascii="仿宋" w:hAnsi="仿宋" w:eastAsia="仿宋"/>
          <w:sz w:val="28"/>
          <w:szCs w:val="28"/>
        </w:rPr>
        <w:t>（5）电子投标/响应文件必须使用“优质采投标文件制作工具”制作生成并上传。下载地址：</w:t>
      </w:r>
      <w:r>
        <w:rPr>
          <w:rFonts w:ascii="仿宋" w:hAnsi="仿宋" w:eastAsia="仿宋"/>
          <w:sz w:val="28"/>
          <w:szCs w:val="28"/>
        </w:rPr>
        <w:t>http://toolcdn.youzhicai.com/tools/BidderTools.zip</w:t>
      </w:r>
      <w:r>
        <w:rPr>
          <w:rFonts w:hint="eastAsia" w:ascii="仿宋" w:hAnsi="仿宋" w:eastAsia="仿宋"/>
          <w:sz w:val="28"/>
          <w:szCs w:val="28"/>
        </w:rPr>
        <w:t>，使用说明书及视频教程下载地址:</w:t>
      </w:r>
      <w:r>
        <w:rPr>
          <w:rFonts w:ascii="仿宋" w:hAnsi="仿宋" w:eastAsia="仿宋"/>
          <w:sz w:val="28"/>
          <w:szCs w:val="28"/>
        </w:rPr>
        <w:t xml:space="preserve"> http://file.youzhicai.com/files/BidderHelp.rar</w:t>
      </w:r>
      <w:r>
        <w:rPr>
          <w:rFonts w:hint="eastAsia" w:ascii="仿宋" w:hAnsi="仿宋" w:eastAsia="仿宋"/>
          <w:sz w:val="28"/>
          <w:szCs w:val="28"/>
        </w:rPr>
        <w:t>。</w:t>
      </w:r>
    </w:p>
    <w:p w14:paraId="24225AC3">
      <w:pPr>
        <w:widowControl/>
        <w:topLinePunct/>
        <w:spacing w:line="560" w:lineRule="exact"/>
        <w:ind w:firstLine="560" w:firstLineChars="200"/>
        <w:rPr>
          <w:rFonts w:hint="eastAsia" w:ascii="仿宋" w:hAnsi="仿宋" w:eastAsia="仿宋"/>
          <w:sz w:val="28"/>
          <w:szCs w:val="28"/>
        </w:rPr>
      </w:pPr>
      <w:bookmarkStart w:id="33" w:name="_Toc28359008"/>
      <w:bookmarkStart w:id="34" w:name="_Toc28359085"/>
      <w:bookmarkStart w:id="35" w:name="_Toc35393627"/>
      <w:bookmarkStart w:id="36" w:name="_Toc35393796"/>
      <w:r>
        <w:rPr>
          <w:rFonts w:hint="eastAsia" w:ascii="仿宋" w:hAnsi="仿宋" w:eastAsia="仿宋"/>
          <w:sz w:val="28"/>
          <w:szCs w:val="28"/>
        </w:rPr>
        <w:t>4.根据《政府采购促进中小企业发展管理办法》（财库〔2020〕46号）第六条规定，本次采购符合不专门面向中小企业预留采购份额的情形：按照本办法规定预留采购份额无法确保充分供应、充分竞争，或者存在可能影响政府采购目标实现的情形。投标人如有异议，可按招标文件约定提出询问或质疑。</w:t>
      </w:r>
    </w:p>
    <w:p w14:paraId="017876F8">
      <w:pPr>
        <w:pStyle w:val="3"/>
        <w:widowControl/>
        <w:adjustRightInd w:val="0"/>
        <w:snapToGrid w:val="0"/>
        <w:spacing w:before="48" w:beforeLines="20" w:after="48" w:afterLines="20" w:line="560" w:lineRule="exact"/>
        <w:rPr>
          <w:rStyle w:val="98"/>
          <w:rFonts w:hAnsi="宋体"/>
          <w:b w:val="0"/>
          <w:bCs w:val="0"/>
          <w:sz w:val="28"/>
          <w:szCs w:val="28"/>
        </w:rPr>
      </w:pPr>
      <w:r>
        <w:rPr>
          <w:rStyle w:val="98"/>
          <w:rFonts w:hint="eastAsia" w:hAnsi="宋体"/>
          <w:b w:val="0"/>
          <w:bCs w:val="0"/>
          <w:sz w:val="28"/>
          <w:szCs w:val="28"/>
        </w:rPr>
        <w:t>七、对本次招标提出询问，请按</w:t>
      </w:r>
      <w:r>
        <w:rPr>
          <w:rStyle w:val="98"/>
          <w:rFonts w:hAnsi="宋体"/>
          <w:b w:val="0"/>
          <w:bCs w:val="0"/>
          <w:sz w:val="28"/>
          <w:szCs w:val="28"/>
        </w:rPr>
        <w:t>以下方式</w:t>
      </w:r>
      <w:r>
        <w:rPr>
          <w:rStyle w:val="98"/>
          <w:rFonts w:hint="eastAsia" w:hAnsi="宋体"/>
          <w:b w:val="0"/>
          <w:bCs w:val="0"/>
          <w:sz w:val="28"/>
          <w:szCs w:val="28"/>
        </w:rPr>
        <w:t>联系。</w:t>
      </w:r>
      <w:bookmarkEnd w:id="33"/>
      <w:bookmarkEnd w:id="34"/>
      <w:bookmarkEnd w:id="35"/>
      <w:bookmarkEnd w:id="36"/>
    </w:p>
    <w:p w14:paraId="2BF0E41D">
      <w:pPr>
        <w:widowControl/>
        <w:adjustRightInd w:val="0"/>
        <w:snapToGrid w:val="0"/>
        <w:spacing w:line="560" w:lineRule="exact"/>
        <w:ind w:firstLine="560" w:firstLineChars="200"/>
        <w:jc w:val="left"/>
        <w:rPr>
          <w:rFonts w:ascii="仿宋" w:hAnsi="仿宋" w:eastAsia="仿宋"/>
          <w:sz w:val="28"/>
          <w:szCs w:val="28"/>
        </w:rPr>
      </w:pPr>
      <w:r>
        <w:rPr>
          <w:rFonts w:hint="eastAsia" w:ascii="仿宋" w:hAnsi="仿宋" w:eastAsia="仿宋" w:cs="宋体"/>
          <w:sz w:val="28"/>
          <w:szCs w:val="28"/>
        </w:rPr>
        <w:t>1.采购人信息</w:t>
      </w:r>
    </w:p>
    <w:p w14:paraId="7F7FDD2D">
      <w:pPr>
        <w:widowControl/>
        <w:adjustRightInd w:val="0"/>
        <w:snapToGrid w:val="0"/>
        <w:spacing w:line="560" w:lineRule="exact"/>
        <w:ind w:firstLine="560" w:firstLineChars="200"/>
        <w:jc w:val="left"/>
        <w:rPr>
          <w:rFonts w:hint="eastAsia" w:ascii="仿宋" w:hAnsi="仿宋" w:eastAsia="仿宋" w:cs="宋体"/>
          <w:sz w:val="28"/>
          <w:szCs w:val="28"/>
        </w:rPr>
      </w:pPr>
      <w:r>
        <w:rPr>
          <w:rFonts w:hint="eastAsia" w:ascii="仿宋" w:hAnsi="仿宋" w:eastAsia="仿宋" w:cs="宋体"/>
          <w:sz w:val="28"/>
          <w:szCs w:val="28"/>
        </w:rPr>
        <w:t>名 称：安徽医科大学附属口腔医院（安徽省口腔医院）</w:t>
      </w:r>
    </w:p>
    <w:p w14:paraId="1B9D60C4">
      <w:pPr>
        <w:widowControl/>
        <w:adjustRightInd w:val="0"/>
        <w:snapToGrid w:val="0"/>
        <w:spacing w:line="560" w:lineRule="exact"/>
        <w:ind w:firstLine="560" w:firstLineChars="200"/>
        <w:jc w:val="left"/>
        <w:rPr>
          <w:rFonts w:hint="eastAsia" w:ascii="仿宋" w:hAnsi="仿宋" w:eastAsia="仿宋" w:cs="宋体"/>
          <w:sz w:val="28"/>
          <w:szCs w:val="28"/>
        </w:rPr>
      </w:pPr>
      <w:r>
        <w:rPr>
          <w:rFonts w:hint="eastAsia" w:ascii="仿宋" w:hAnsi="仿宋" w:eastAsia="仿宋" w:cs="宋体"/>
          <w:sz w:val="28"/>
          <w:szCs w:val="28"/>
        </w:rPr>
        <w:t>地 址：合肥市高新区长江西路2205号</w:t>
      </w:r>
    </w:p>
    <w:p w14:paraId="25703AD7">
      <w:pPr>
        <w:widowControl/>
        <w:adjustRightInd w:val="0"/>
        <w:snapToGrid w:val="0"/>
        <w:spacing w:line="560" w:lineRule="exact"/>
        <w:ind w:firstLine="560" w:firstLineChars="200"/>
        <w:jc w:val="left"/>
        <w:rPr>
          <w:rFonts w:hint="eastAsia" w:ascii="仿宋" w:hAnsi="仿宋" w:eastAsia="仿宋" w:cs="宋体"/>
          <w:sz w:val="28"/>
          <w:szCs w:val="28"/>
        </w:rPr>
      </w:pPr>
      <w:r>
        <w:rPr>
          <w:rFonts w:hint="eastAsia" w:ascii="仿宋" w:hAnsi="仿宋" w:eastAsia="仿宋" w:cs="宋体"/>
          <w:sz w:val="28"/>
          <w:szCs w:val="28"/>
        </w:rPr>
        <w:t>联系方式：</w:t>
      </w:r>
      <w:bookmarkStart w:id="37" w:name="_Toc28359086"/>
      <w:bookmarkStart w:id="38" w:name="_Toc28359009"/>
      <w:r>
        <w:rPr>
          <w:rFonts w:hint="eastAsia" w:ascii="仿宋" w:hAnsi="仿宋" w:eastAsia="仿宋" w:cs="宋体"/>
          <w:sz w:val="28"/>
          <w:szCs w:val="28"/>
        </w:rPr>
        <w:t xml:space="preserve">华老师  樊老师0551-65160286 </w:t>
      </w:r>
    </w:p>
    <w:p w14:paraId="0F51CF99">
      <w:pPr>
        <w:widowControl/>
        <w:adjustRightInd w:val="0"/>
        <w:snapToGrid w:val="0"/>
        <w:spacing w:line="560" w:lineRule="exact"/>
        <w:ind w:firstLine="560" w:firstLineChars="200"/>
        <w:jc w:val="left"/>
        <w:rPr>
          <w:rFonts w:ascii="仿宋" w:hAnsi="仿宋" w:eastAsia="仿宋" w:cs="宋体"/>
          <w:sz w:val="28"/>
          <w:szCs w:val="28"/>
        </w:rPr>
      </w:pPr>
      <w:r>
        <w:rPr>
          <w:rFonts w:hint="eastAsia" w:ascii="仿宋" w:hAnsi="仿宋" w:eastAsia="仿宋" w:cs="宋体"/>
          <w:sz w:val="28"/>
          <w:szCs w:val="28"/>
        </w:rPr>
        <w:t>2.采购代理机构信息</w:t>
      </w:r>
      <w:bookmarkEnd w:id="37"/>
      <w:bookmarkEnd w:id="38"/>
    </w:p>
    <w:p w14:paraId="7408A856">
      <w:pPr>
        <w:widowControl/>
        <w:adjustRightInd w:val="0"/>
        <w:snapToGrid w:val="0"/>
        <w:spacing w:line="560" w:lineRule="exact"/>
        <w:ind w:firstLine="560" w:firstLineChars="200"/>
        <w:jc w:val="left"/>
        <w:rPr>
          <w:rFonts w:hint="eastAsia" w:ascii="仿宋" w:hAnsi="仿宋" w:eastAsia="仿宋" w:cs="宋体"/>
          <w:sz w:val="28"/>
          <w:szCs w:val="28"/>
        </w:rPr>
      </w:pPr>
      <w:r>
        <w:rPr>
          <w:rFonts w:hint="eastAsia" w:ascii="仿宋" w:hAnsi="仿宋" w:eastAsia="仿宋" w:cs="宋体"/>
          <w:sz w:val="28"/>
          <w:szCs w:val="28"/>
        </w:rPr>
        <w:t>名 称：安徽省招标集团股份有限公司　</w:t>
      </w:r>
    </w:p>
    <w:p w14:paraId="0E7EE1AA">
      <w:pPr>
        <w:widowControl/>
        <w:adjustRightInd w:val="0"/>
        <w:snapToGrid w:val="0"/>
        <w:spacing w:line="560" w:lineRule="exact"/>
        <w:ind w:firstLine="560" w:firstLineChars="200"/>
        <w:jc w:val="left"/>
        <w:rPr>
          <w:rFonts w:hint="eastAsia" w:ascii="仿宋" w:hAnsi="仿宋" w:eastAsia="仿宋" w:cs="宋体"/>
          <w:sz w:val="28"/>
          <w:szCs w:val="28"/>
        </w:rPr>
      </w:pPr>
      <w:r>
        <w:rPr>
          <w:rFonts w:hint="eastAsia" w:ascii="仿宋" w:hAnsi="仿宋" w:eastAsia="仿宋" w:cs="宋体"/>
          <w:sz w:val="28"/>
          <w:szCs w:val="28"/>
        </w:rPr>
        <w:t>地 址：安徽省合肥市包河区紫云路888号　</w:t>
      </w:r>
    </w:p>
    <w:p w14:paraId="6D432022">
      <w:pPr>
        <w:widowControl/>
        <w:adjustRightInd w:val="0"/>
        <w:snapToGrid w:val="0"/>
        <w:spacing w:line="560" w:lineRule="exact"/>
        <w:ind w:firstLine="560" w:firstLineChars="200"/>
        <w:jc w:val="left"/>
        <w:rPr>
          <w:rFonts w:hint="eastAsia" w:ascii="仿宋" w:hAnsi="仿宋" w:eastAsia="仿宋" w:cs="宋体"/>
          <w:sz w:val="28"/>
          <w:szCs w:val="28"/>
        </w:rPr>
      </w:pPr>
      <w:r>
        <w:rPr>
          <w:rFonts w:hint="eastAsia" w:ascii="仿宋" w:hAnsi="仿宋" w:eastAsia="仿宋" w:cs="宋体"/>
          <w:sz w:val="28"/>
          <w:szCs w:val="28"/>
        </w:rPr>
        <w:t>联系方式：</w:t>
      </w:r>
      <w:bookmarkStart w:id="39" w:name="_Toc28359010"/>
      <w:bookmarkStart w:id="40" w:name="_Toc28359087"/>
      <w:r>
        <w:rPr>
          <w:rFonts w:hint="eastAsia" w:ascii="仿宋" w:hAnsi="仿宋" w:eastAsia="仿宋" w:cs="宋体"/>
          <w:sz w:val="28"/>
          <w:szCs w:val="28"/>
        </w:rPr>
        <w:t>应急客服电话：0551-62220153（接听时间：8:30-12:00,13:30-17:30，节假日除外。潜在投标人应优先拨打项目联系人联系电话，无人接听时再拨打该“应急客服电话”）</w:t>
      </w:r>
    </w:p>
    <w:p w14:paraId="607BD1C0">
      <w:pPr>
        <w:widowControl/>
        <w:adjustRightInd w:val="0"/>
        <w:snapToGrid w:val="0"/>
        <w:spacing w:line="560" w:lineRule="exact"/>
        <w:ind w:firstLine="560" w:firstLineChars="200"/>
        <w:jc w:val="left"/>
        <w:rPr>
          <w:rFonts w:ascii="仿宋" w:hAnsi="仿宋" w:eastAsia="仿宋" w:cs="宋体"/>
          <w:sz w:val="28"/>
          <w:szCs w:val="28"/>
        </w:rPr>
      </w:pPr>
      <w:r>
        <w:rPr>
          <w:rFonts w:hint="eastAsia" w:ascii="仿宋" w:hAnsi="仿宋" w:eastAsia="仿宋" w:cs="宋体"/>
          <w:sz w:val="28"/>
          <w:szCs w:val="28"/>
        </w:rPr>
        <w:t>3.项目</w:t>
      </w:r>
      <w:r>
        <w:rPr>
          <w:rFonts w:ascii="仿宋" w:hAnsi="仿宋" w:eastAsia="仿宋" w:cs="宋体"/>
          <w:sz w:val="28"/>
          <w:szCs w:val="28"/>
        </w:rPr>
        <w:t>联系方式</w:t>
      </w:r>
      <w:bookmarkEnd w:id="39"/>
      <w:bookmarkEnd w:id="40"/>
    </w:p>
    <w:p w14:paraId="05E29597">
      <w:pPr>
        <w:pStyle w:val="24"/>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cs="宋体"/>
          <w:sz w:val="28"/>
          <w:szCs w:val="28"/>
        </w:rPr>
        <w:t>项目联系人</w:t>
      </w:r>
      <w:r>
        <w:rPr>
          <w:rFonts w:hint="eastAsia" w:ascii="仿宋" w:hAnsi="仿宋" w:eastAsia="仿宋"/>
          <w:sz w:val="28"/>
          <w:szCs w:val="28"/>
        </w:rPr>
        <w:t>：杨光</w:t>
      </w:r>
    </w:p>
    <w:p w14:paraId="54F6C9DD">
      <w:pPr>
        <w:pStyle w:val="24"/>
        <w:adjustRightInd w:val="0"/>
        <w:snapToGrid w:val="0"/>
        <w:spacing w:line="560" w:lineRule="exact"/>
        <w:ind w:firstLine="560" w:firstLineChars="200"/>
        <w:rPr>
          <w:rFonts w:hint="eastAsia" w:ascii="仿宋" w:hAnsi="仿宋" w:eastAsia="仿宋"/>
          <w:sz w:val="28"/>
          <w:szCs w:val="28"/>
        </w:rPr>
      </w:pPr>
      <w:r>
        <w:rPr>
          <w:rFonts w:hint="eastAsia" w:ascii="仿宋" w:hAnsi="仿宋" w:eastAsia="仿宋"/>
          <w:sz w:val="28"/>
          <w:szCs w:val="28"/>
        </w:rPr>
        <w:t>电　话：0551-66061352、18805513868（无人接听可短信留言）</w:t>
      </w:r>
    </w:p>
    <w:p w14:paraId="4BEA7B74">
      <w:pPr>
        <w:widowControl/>
        <w:adjustRightInd w:val="0"/>
        <w:snapToGrid w:val="0"/>
        <w:spacing w:line="560" w:lineRule="exact"/>
        <w:ind w:firstLine="560" w:firstLineChars="200"/>
        <w:jc w:val="left"/>
        <w:rPr>
          <w:rFonts w:ascii="仿宋" w:hAnsi="仿宋" w:eastAsia="仿宋"/>
          <w:i/>
          <w:sz w:val="28"/>
          <w:szCs w:val="28"/>
        </w:rPr>
      </w:pPr>
      <w:r>
        <w:rPr>
          <w:rFonts w:hint="eastAsia" w:ascii="仿宋" w:hAnsi="仿宋" w:eastAsia="仿宋" w:cs="宋体"/>
          <w:sz w:val="28"/>
          <w:szCs w:val="28"/>
        </w:rPr>
        <w:t>附件：</w:t>
      </w:r>
      <w:r>
        <w:rPr>
          <w:rFonts w:hint="eastAsia" w:ascii="仿宋" w:hAnsi="仿宋" w:eastAsia="仿宋"/>
          <w:sz w:val="28"/>
          <w:szCs w:val="28"/>
        </w:rPr>
        <w:t>采购需求</w:t>
      </w:r>
    </w:p>
    <w:bookmarkEnd w:id="6"/>
    <w:bookmarkEnd w:id="7"/>
    <w:p w14:paraId="33238A15">
      <w:pPr>
        <w:pStyle w:val="2"/>
        <w:widowControl/>
        <w:spacing w:before="0" w:after="0" w:line="240" w:lineRule="auto"/>
        <w:jc w:val="center"/>
        <w:rPr>
          <w:rFonts w:ascii="宋体" w:hAnsi="宋体" w:eastAsia="仿宋"/>
        </w:rPr>
      </w:pPr>
      <w:bookmarkStart w:id="41" w:name="_Toc528760025"/>
      <w:bookmarkStart w:id="42" w:name="_Toc466024497"/>
      <w:bookmarkStart w:id="43" w:name="_Toc445554685"/>
      <w:bookmarkStart w:id="44" w:name="_Toc241459614"/>
      <w:bookmarkStart w:id="45" w:name="_Toc333587477"/>
      <w:bookmarkStart w:id="46" w:name="_Toc342297617"/>
      <w:bookmarkStart w:id="47" w:name="_Toc371415919"/>
      <w:bookmarkStart w:id="48" w:name="_Toc342296160"/>
      <w:r>
        <w:rPr>
          <w:rFonts w:ascii="仿宋" w:hAnsi="仿宋" w:eastAsia="仿宋"/>
          <w:sz w:val="24"/>
          <w:szCs w:val="24"/>
        </w:rPr>
        <w:br w:type="page"/>
      </w:r>
      <w:r>
        <w:rPr>
          <w:rFonts w:hint="eastAsia" w:ascii="宋体" w:hAnsi="宋体" w:eastAsia="仿宋"/>
        </w:rPr>
        <w:t>第二章</w:t>
      </w:r>
      <w:r>
        <w:rPr>
          <w:rFonts w:ascii="宋体" w:hAnsi="宋体" w:eastAsia="仿宋"/>
        </w:rPr>
        <w:t xml:space="preserve"> </w:t>
      </w:r>
      <w:r>
        <w:rPr>
          <w:rFonts w:hint="eastAsia" w:ascii="宋体" w:hAnsi="宋体" w:eastAsia="仿宋"/>
        </w:rPr>
        <w:t xml:space="preserve"> 投标人须知</w:t>
      </w:r>
      <w:bookmarkEnd w:id="41"/>
      <w:bookmarkEnd w:id="42"/>
      <w:bookmarkEnd w:id="43"/>
      <w:bookmarkEnd w:id="44"/>
    </w:p>
    <w:p w14:paraId="2719C62D">
      <w:pPr>
        <w:pStyle w:val="3"/>
        <w:widowControl/>
        <w:spacing w:before="120" w:after="120" w:line="240" w:lineRule="auto"/>
        <w:jc w:val="center"/>
        <w:rPr>
          <w:rStyle w:val="98"/>
          <w:rFonts w:hint="eastAsia" w:ascii="仿宋" w:hAnsi="仿宋" w:eastAsia="仿宋" w:cs="仿宋"/>
          <w:b/>
          <w:bCs w:val="0"/>
          <w:sz w:val="28"/>
          <w:szCs w:val="28"/>
        </w:rPr>
      </w:pPr>
      <w:bookmarkStart w:id="49" w:name="_Toc445554686"/>
      <w:bookmarkStart w:id="50" w:name="_Toc466024498"/>
      <w:r>
        <w:rPr>
          <w:rStyle w:val="98"/>
          <w:rFonts w:hint="eastAsia" w:ascii="仿宋" w:hAnsi="仿宋" w:eastAsia="仿宋" w:cs="仿宋"/>
          <w:b/>
          <w:bCs w:val="0"/>
          <w:sz w:val="28"/>
          <w:szCs w:val="28"/>
        </w:rPr>
        <w:t>投标人须知前附表</w:t>
      </w:r>
      <w:bookmarkEnd w:id="49"/>
      <w:bookmarkEnd w:id="50"/>
    </w:p>
    <w:p w14:paraId="0F0E830C">
      <w:pPr>
        <w:widowControl/>
        <w:adjustRightInd w:val="0"/>
        <w:snapToGrid w:val="0"/>
        <w:spacing w:before="240" w:beforeLines="100" w:after="120" w:afterLines="50" w:line="360" w:lineRule="auto"/>
        <w:ind w:firstLine="482" w:firstLineChars="200"/>
        <w:rPr>
          <w:rFonts w:hint="eastAsia" w:ascii="宋体" w:hAnsi="宋体" w:eastAsia="仿宋"/>
          <w:b/>
          <w:bCs/>
          <w:sz w:val="24"/>
        </w:rPr>
      </w:pPr>
      <w:r>
        <w:rPr>
          <w:rFonts w:hint="eastAsia" w:ascii="宋体" w:hAnsi="宋体" w:eastAsia="仿宋"/>
          <w:b/>
          <w:bCs/>
          <w:sz w:val="24"/>
        </w:rPr>
        <w:t>本《投标人须知前附表》是对本章《投标人须知》的具体补充和修改，如有不一致，以本《投标人须知前附表》为准。</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5B9F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blHeader/>
        </w:trPr>
        <w:tc>
          <w:tcPr>
            <w:tcW w:w="857" w:type="dxa"/>
            <w:noWrap w:val="0"/>
            <w:vAlign w:val="center"/>
          </w:tcPr>
          <w:p w14:paraId="1D80711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sz w:val="24"/>
              </w:rPr>
            </w:pPr>
            <w:r>
              <w:rPr>
                <w:rFonts w:hint="eastAsia" w:ascii="宋体" w:hAnsi="宋体" w:eastAsia="仿宋" w:cs="Calibri"/>
                <w:b/>
                <w:sz w:val="24"/>
              </w:rPr>
              <w:t>条款号</w:t>
            </w:r>
          </w:p>
        </w:tc>
        <w:tc>
          <w:tcPr>
            <w:tcW w:w="1581" w:type="dxa"/>
            <w:noWrap w:val="0"/>
            <w:vAlign w:val="center"/>
          </w:tcPr>
          <w:p w14:paraId="12C1B41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sz w:val="24"/>
              </w:rPr>
            </w:pPr>
            <w:r>
              <w:rPr>
                <w:rFonts w:hint="eastAsia" w:ascii="宋体" w:hAnsi="宋体" w:eastAsia="仿宋" w:cs="Calibri"/>
                <w:b/>
                <w:sz w:val="24"/>
              </w:rPr>
              <w:t>条款名称</w:t>
            </w:r>
          </w:p>
        </w:tc>
        <w:tc>
          <w:tcPr>
            <w:tcW w:w="7229" w:type="dxa"/>
            <w:noWrap w:val="0"/>
            <w:vAlign w:val="center"/>
          </w:tcPr>
          <w:p w14:paraId="4987DF8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sz w:val="24"/>
              </w:rPr>
            </w:pPr>
            <w:r>
              <w:rPr>
                <w:rFonts w:hint="eastAsia" w:ascii="宋体" w:hAnsi="宋体" w:eastAsia="仿宋" w:cs="Calibri"/>
                <w:b/>
                <w:sz w:val="24"/>
              </w:rPr>
              <w:t>编</w:t>
            </w:r>
            <w:r>
              <w:rPr>
                <w:rFonts w:hint="default" w:ascii="宋体" w:hAnsi="宋体" w:eastAsia="仿宋" w:cs="Calibri"/>
                <w:b/>
                <w:sz w:val="24"/>
              </w:rPr>
              <w:t xml:space="preserve">  </w:t>
            </w:r>
            <w:r>
              <w:rPr>
                <w:rFonts w:hint="eastAsia" w:ascii="宋体" w:hAnsi="宋体" w:eastAsia="仿宋" w:cs="Calibri"/>
                <w:b/>
                <w:sz w:val="24"/>
              </w:rPr>
              <w:t>列</w:t>
            </w:r>
            <w:r>
              <w:rPr>
                <w:rFonts w:hint="default" w:ascii="宋体" w:hAnsi="宋体" w:eastAsia="仿宋" w:cs="Calibri"/>
                <w:b/>
                <w:sz w:val="24"/>
              </w:rPr>
              <w:t xml:space="preserve">  </w:t>
            </w:r>
            <w:r>
              <w:rPr>
                <w:rFonts w:hint="eastAsia" w:ascii="宋体" w:hAnsi="宋体" w:eastAsia="仿宋" w:cs="Calibri"/>
                <w:b/>
                <w:sz w:val="24"/>
              </w:rPr>
              <w:t>内</w:t>
            </w:r>
            <w:r>
              <w:rPr>
                <w:rFonts w:hint="default" w:ascii="宋体" w:hAnsi="宋体" w:eastAsia="仿宋" w:cs="Calibri"/>
                <w:b/>
                <w:sz w:val="24"/>
              </w:rPr>
              <w:t xml:space="preserve">  </w:t>
            </w:r>
            <w:r>
              <w:rPr>
                <w:rFonts w:hint="eastAsia" w:ascii="宋体" w:hAnsi="宋体" w:eastAsia="仿宋" w:cs="Calibri"/>
                <w:b/>
                <w:sz w:val="24"/>
              </w:rPr>
              <w:t>容</w:t>
            </w:r>
          </w:p>
        </w:tc>
      </w:tr>
      <w:tr w14:paraId="55501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44A8BB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1.1.2</w:t>
            </w:r>
          </w:p>
        </w:tc>
        <w:tc>
          <w:tcPr>
            <w:tcW w:w="1581" w:type="dxa"/>
            <w:noWrap w:val="0"/>
            <w:vAlign w:val="center"/>
          </w:tcPr>
          <w:p w14:paraId="3F15424A">
            <w:pPr>
              <w:keepNext w:val="0"/>
              <w:keepLines w:val="0"/>
              <w:suppressLineNumbers w:val="0"/>
              <w:adjustRightInd w:val="0"/>
              <w:snapToGrid w:val="0"/>
              <w:spacing w:before="0" w:beforeAutospacing="0" w:after="0" w:afterAutospacing="0" w:line="288" w:lineRule="auto"/>
              <w:ind w:left="0" w:right="0"/>
              <w:jc w:val="center"/>
              <w:rPr>
                <w:rFonts w:hint="eastAsia" w:ascii="宋体" w:hAnsi="宋体" w:cs="Times New Roman"/>
                <w:sz w:val="24"/>
              </w:rPr>
            </w:pPr>
            <w:r>
              <w:rPr>
                <w:rFonts w:hint="eastAsia" w:ascii="宋体" w:hAnsi="宋体" w:eastAsia="仿宋" w:cs="Times New Roman"/>
                <w:sz w:val="24"/>
              </w:rPr>
              <w:t>采购人</w:t>
            </w:r>
          </w:p>
        </w:tc>
        <w:tc>
          <w:tcPr>
            <w:tcW w:w="7229" w:type="dxa"/>
            <w:noWrap w:val="0"/>
            <w:vAlign w:val="center"/>
          </w:tcPr>
          <w:p w14:paraId="68197D73">
            <w:pPr>
              <w:keepNext w:val="0"/>
              <w:keepLines w:val="0"/>
              <w:suppressLineNumbers w:val="0"/>
              <w:adjustRightInd w:val="0"/>
              <w:snapToGrid w:val="0"/>
              <w:spacing w:before="0" w:beforeAutospacing="0" w:after="0" w:afterAutospacing="0" w:line="288" w:lineRule="auto"/>
              <w:ind w:left="0" w:right="0"/>
              <w:rPr>
                <w:rFonts w:hint="default" w:ascii="宋体" w:hAnsi="宋体" w:cs="Times New Roman"/>
                <w:sz w:val="24"/>
              </w:rPr>
            </w:pPr>
            <w:r>
              <w:rPr>
                <w:rFonts w:hint="eastAsia" w:ascii="宋体" w:hAnsi="宋体" w:eastAsia="仿宋" w:cs="Times New Roman"/>
                <w:sz w:val="24"/>
              </w:rPr>
              <w:t>见招标公告</w:t>
            </w:r>
          </w:p>
        </w:tc>
      </w:tr>
      <w:tr w14:paraId="1CAD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CC4AAA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1.1.3</w:t>
            </w:r>
          </w:p>
        </w:tc>
        <w:tc>
          <w:tcPr>
            <w:tcW w:w="1581" w:type="dxa"/>
            <w:noWrap w:val="0"/>
            <w:vAlign w:val="center"/>
          </w:tcPr>
          <w:p w14:paraId="41F7A1A2">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sz w:val="24"/>
              </w:rPr>
            </w:pPr>
            <w:r>
              <w:rPr>
                <w:rFonts w:hint="eastAsia" w:ascii="宋体" w:hAnsi="宋体" w:eastAsia="仿宋" w:cs="Times New Roman"/>
                <w:sz w:val="24"/>
              </w:rPr>
              <w:t>采购代理机构</w:t>
            </w:r>
          </w:p>
        </w:tc>
        <w:tc>
          <w:tcPr>
            <w:tcW w:w="7229" w:type="dxa"/>
            <w:noWrap w:val="0"/>
            <w:vAlign w:val="center"/>
          </w:tcPr>
          <w:p w14:paraId="69F67996">
            <w:pPr>
              <w:keepNext w:val="0"/>
              <w:keepLines w:val="0"/>
              <w:suppressLineNumbers w:val="0"/>
              <w:adjustRightInd w:val="0"/>
              <w:snapToGrid w:val="0"/>
              <w:spacing w:before="0" w:beforeAutospacing="0" w:after="0" w:afterAutospacing="0" w:line="288" w:lineRule="auto"/>
              <w:ind w:left="0" w:right="0"/>
              <w:rPr>
                <w:rFonts w:hint="eastAsia" w:ascii="宋体" w:hAnsi="宋体" w:cs="Times New Roman"/>
                <w:sz w:val="24"/>
              </w:rPr>
            </w:pPr>
            <w:r>
              <w:rPr>
                <w:rFonts w:hint="eastAsia" w:ascii="宋体" w:hAnsi="宋体" w:eastAsia="仿宋" w:cs="Times New Roman"/>
                <w:sz w:val="24"/>
              </w:rPr>
              <w:t>见招标公告</w:t>
            </w:r>
          </w:p>
        </w:tc>
      </w:tr>
      <w:tr w14:paraId="68887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06F4EF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1.1.4</w:t>
            </w:r>
          </w:p>
        </w:tc>
        <w:tc>
          <w:tcPr>
            <w:tcW w:w="1581" w:type="dxa"/>
            <w:noWrap w:val="0"/>
            <w:vAlign w:val="center"/>
          </w:tcPr>
          <w:p w14:paraId="20F8F7B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采购项目名称</w:t>
            </w:r>
          </w:p>
        </w:tc>
        <w:tc>
          <w:tcPr>
            <w:tcW w:w="7229" w:type="dxa"/>
            <w:noWrap w:val="0"/>
            <w:vAlign w:val="center"/>
          </w:tcPr>
          <w:p w14:paraId="6B849FF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见招标公告</w:t>
            </w:r>
          </w:p>
        </w:tc>
      </w:tr>
      <w:tr w14:paraId="667F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1C2C44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1.1.5</w:t>
            </w:r>
          </w:p>
        </w:tc>
        <w:tc>
          <w:tcPr>
            <w:tcW w:w="1581" w:type="dxa"/>
            <w:noWrap w:val="0"/>
            <w:vAlign w:val="center"/>
          </w:tcPr>
          <w:p w14:paraId="3C612A0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标段（包别）划分</w:t>
            </w:r>
          </w:p>
        </w:tc>
        <w:tc>
          <w:tcPr>
            <w:tcW w:w="7229" w:type="dxa"/>
            <w:noWrap w:val="0"/>
            <w:vAlign w:val="center"/>
          </w:tcPr>
          <w:p w14:paraId="26345A4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sz w:val="24"/>
              </w:rPr>
            </w:pPr>
            <w:r>
              <w:rPr>
                <w:rFonts w:hint="default" w:ascii="宋体" w:hAnsi="宋体" w:eastAsia="仿宋" w:cs="Times New Roman"/>
                <w:sz w:val="24"/>
              </w:rPr>
              <w:t>本项目共分为</w:t>
            </w:r>
            <w:r>
              <w:rPr>
                <w:rFonts w:hint="eastAsia" w:ascii="宋体" w:hAnsi="宋体" w:eastAsia="仿宋" w:cs="Times New Roman"/>
                <w:sz w:val="24"/>
              </w:rPr>
              <w:t>2</w:t>
            </w:r>
            <w:r>
              <w:rPr>
                <w:rFonts w:hint="default" w:ascii="宋体" w:hAnsi="宋体" w:eastAsia="仿宋" w:cs="Times New Roman"/>
                <w:sz w:val="24"/>
              </w:rPr>
              <w:t>个包</w:t>
            </w:r>
          </w:p>
        </w:tc>
      </w:tr>
      <w:tr w14:paraId="235E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BA5679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1.1.6</w:t>
            </w:r>
          </w:p>
        </w:tc>
        <w:tc>
          <w:tcPr>
            <w:tcW w:w="1581" w:type="dxa"/>
            <w:noWrap w:val="0"/>
            <w:vAlign w:val="center"/>
          </w:tcPr>
          <w:p w14:paraId="5F32BEF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采购预算</w:t>
            </w:r>
          </w:p>
        </w:tc>
        <w:tc>
          <w:tcPr>
            <w:tcW w:w="7229" w:type="dxa"/>
            <w:noWrap w:val="0"/>
            <w:vAlign w:val="center"/>
          </w:tcPr>
          <w:p w14:paraId="6D82B29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见招标公告</w:t>
            </w:r>
          </w:p>
        </w:tc>
      </w:tr>
      <w:tr w14:paraId="483C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BFB28A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1.1.7</w:t>
            </w:r>
          </w:p>
        </w:tc>
        <w:tc>
          <w:tcPr>
            <w:tcW w:w="1581" w:type="dxa"/>
            <w:noWrap w:val="0"/>
            <w:vAlign w:val="center"/>
          </w:tcPr>
          <w:p w14:paraId="6860309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专门面向中小企业采购</w:t>
            </w:r>
          </w:p>
        </w:tc>
        <w:tc>
          <w:tcPr>
            <w:tcW w:w="7229" w:type="dxa"/>
            <w:noWrap w:val="0"/>
            <w:vAlign w:val="center"/>
          </w:tcPr>
          <w:p w14:paraId="0BE0936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见招标公告</w:t>
            </w:r>
          </w:p>
        </w:tc>
      </w:tr>
      <w:tr w14:paraId="6FDF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35813B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1.2.1</w:t>
            </w:r>
          </w:p>
        </w:tc>
        <w:tc>
          <w:tcPr>
            <w:tcW w:w="1581" w:type="dxa"/>
            <w:noWrap w:val="0"/>
            <w:vAlign w:val="center"/>
          </w:tcPr>
          <w:p w14:paraId="6FB8FDE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资金来源及比例</w:t>
            </w:r>
          </w:p>
        </w:tc>
        <w:tc>
          <w:tcPr>
            <w:tcW w:w="7229" w:type="dxa"/>
            <w:noWrap w:val="0"/>
            <w:vAlign w:val="center"/>
          </w:tcPr>
          <w:p w14:paraId="721C0EF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财政拨款+自筹资金</w:t>
            </w:r>
          </w:p>
        </w:tc>
      </w:tr>
      <w:tr w14:paraId="22D2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A725BE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1.2.2</w:t>
            </w:r>
          </w:p>
        </w:tc>
        <w:tc>
          <w:tcPr>
            <w:tcW w:w="1581" w:type="dxa"/>
            <w:noWrap w:val="0"/>
            <w:vAlign w:val="center"/>
          </w:tcPr>
          <w:p w14:paraId="3FFF54E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资金落实情况</w:t>
            </w:r>
          </w:p>
        </w:tc>
        <w:tc>
          <w:tcPr>
            <w:tcW w:w="7229" w:type="dxa"/>
            <w:noWrap w:val="0"/>
            <w:vAlign w:val="center"/>
          </w:tcPr>
          <w:p w14:paraId="000E0F2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已落实</w:t>
            </w:r>
          </w:p>
        </w:tc>
      </w:tr>
      <w:tr w14:paraId="7D7C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8" w:hRule="atLeast"/>
        </w:trPr>
        <w:tc>
          <w:tcPr>
            <w:tcW w:w="857" w:type="dxa"/>
            <w:noWrap w:val="0"/>
            <w:vAlign w:val="center"/>
          </w:tcPr>
          <w:p w14:paraId="4C10EFA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1.3.1</w:t>
            </w:r>
          </w:p>
        </w:tc>
        <w:tc>
          <w:tcPr>
            <w:tcW w:w="1581" w:type="dxa"/>
            <w:noWrap w:val="0"/>
            <w:vAlign w:val="center"/>
          </w:tcPr>
          <w:p w14:paraId="01FB9FE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采购需求</w:t>
            </w:r>
          </w:p>
        </w:tc>
        <w:tc>
          <w:tcPr>
            <w:tcW w:w="7229" w:type="dxa"/>
            <w:noWrap w:val="0"/>
            <w:vAlign w:val="center"/>
          </w:tcPr>
          <w:p w14:paraId="7DD9CF6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安徽医科大学附属口腔医院（安徽省口腔医院）电子咬合测力器、超声骨刀等设备采购项目，具体采购需求详见第三章采购需求。</w:t>
            </w:r>
          </w:p>
        </w:tc>
      </w:tr>
      <w:tr w14:paraId="1B08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D11DA4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1.3.2</w:t>
            </w:r>
          </w:p>
        </w:tc>
        <w:tc>
          <w:tcPr>
            <w:tcW w:w="1581" w:type="dxa"/>
            <w:noWrap w:val="0"/>
            <w:vAlign w:val="center"/>
          </w:tcPr>
          <w:p w14:paraId="36CFAA1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进口产品采购</w:t>
            </w:r>
          </w:p>
        </w:tc>
        <w:tc>
          <w:tcPr>
            <w:tcW w:w="7229" w:type="dxa"/>
            <w:noWrap w:val="0"/>
            <w:vAlign w:val="center"/>
          </w:tcPr>
          <w:p w14:paraId="33007647">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☑本项目不采购进口产品，拒绝进口产品参加投标</w:t>
            </w:r>
          </w:p>
          <w:p w14:paraId="773EC59D">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□本采购项目已经财政部门审核同意购买进口产品，同时不限制满足招标文件要求的国内产品参与投标</w:t>
            </w:r>
          </w:p>
          <w:p w14:paraId="23EDE45A">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本项目为科研仪器设备采购，接受进口产品投标，同时不限制满足招标文件要求的国内产品参与投标进口产品按照财政部文件《关于政府采购进口产品管理有关问题的通知》（财办库[2008]248号）认定，整机设备内元器件不做限制。</w:t>
            </w:r>
          </w:p>
        </w:tc>
      </w:tr>
      <w:tr w14:paraId="26171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CDF04B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1.3.3</w:t>
            </w:r>
          </w:p>
        </w:tc>
        <w:tc>
          <w:tcPr>
            <w:tcW w:w="1581" w:type="dxa"/>
            <w:noWrap w:val="0"/>
            <w:vAlign w:val="center"/>
          </w:tcPr>
          <w:p w14:paraId="5A594C5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交货期</w:t>
            </w:r>
          </w:p>
        </w:tc>
        <w:tc>
          <w:tcPr>
            <w:tcW w:w="7229" w:type="dxa"/>
            <w:noWrap w:val="0"/>
            <w:vAlign w:val="center"/>
          </w:tcPr>
          <w:p w14:paraId="228019F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交货期：</w:t>
            </w:r>
          </w:p>
          <w:p w14:paraId="2130E6A3">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sym w:font="Wingdings 2" w:char="0052"/>
            </w:r>
            <w:r>
              <w:rPr>
                <w:rFonts w:hint="eastAsia" w:ascii="楷体" w:hAnsi="楷体" w:eastAsia="仿宋" w:cs="Calibri"/>
                <w:sz w:val="24"/>
              </w:rPr>
              <w:t>国产设备：合同签订之日起接采购人通知后25日历天内将货物送到买方指定的地点，并负责全部的安装调试。</w:t>
            </w:r>
          </w:p>
          <w:p w14:paraId="09D07615">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t>□合同签订之日起</w:t>
            </w:r>
            <w:r>
              <w:rPr>
                <w:rFonts w:hint="default" w:ascii="楷体" w:hAnsi="楷体" w:eastAsia="仿宋" w:cs="Calibri"/>
                <w:sz w:val="24"/>
                <w:u w:val="single"/>
              </w:rPr>
              <w:t xml:space="preserve">     </w:t>
            </w:r>
            <w:r>
              <w:rPr>
                <w:rFonts w:hint="eastAsia" w:ascii="楷体" w:hAnsi="楷体" w:eastAsia="仿宋" w:cs="Calibri"/>
                <w:sz w:val="24"/>
              </w:rPr>
              <w:t>日历天货到现场，货到验收合格之日起</w:t>
            </w:r>
            <w:r>
              <w:rPr>
                <w:rFonts w:hint="eastAsia" w:ascii="楷体" w:hAnsi="楷体" w:eastAsia="仿宋" w:cs="Calibri"/>
                <w:sz w:val="24"/>
                <w:u w:val="single"/>
              </w:rPr>
              <w:t xml:space="preserve">    </w:t>
            </w:r>
            <w:r>
              <w:rPr>
                <w:rFonts w:hint="eastAsia" w:ascii="楷体" w:hAnsi="楷体" w:eastAsia="仿宋" w:cs="Calibri"/>
                <w:sz w:val="24"/>
              </w:rPr>
              <w:t>日历天完成安装调试。</w:t>
            </w:r>
          </w:p>
          <w:p w14:paraId="7A359073">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宋体" w:hAnsi="宋体" w:eastAsia="仿宋" w:cs="Calibri"/>
                <w:sz w:val="24"/>
              </w:rPr>
              <w:t>是否接受负偏离：</w:t>
            </w:r>
            <w:r>
              <w:rPr>
                <w:rFonts w:hint="eastAsia" w:ascii="楷体" w:hAnsi="楷体" w:eastAsia="仿宋" w:cs="Calibri"/>
                <w:sz w:val="24"/>
              </w:rPr>
              <w:sym w:font="Wingdings 2" w:char="0052"/>
            </w:r>
            <w:r>
              <w:rPr>
                <w:rFonts w:hint="eastAsia" w:ascii="楷体" w:hAnsi="楷体" w:eastAsia="仿宋" w:cs="Calibri"/>
                <w:sz w:val="24"/>
              </w:rPr>
              <w:t xml:space="preserve">不接受  </w:t>
            </w:r>
          </w:p>
          <w:p w14:paraId="2FFE346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rPr>
            </w:pPr>
            <w:r>
              <w:rPr>
                <w:rFonts w:hint="eastAsia" w:ascii="楷体" w:hAnsi="楷体" w:eastAsia="仿宋" w:cs="Calibri"/>
                <w:sz w:val="24"/>
              </w:rPr>
              <w:t xml:space="preserve">                □接受：允许偏离的幅度：</w:t>
            </w:r>
          </w:p>
        </w:tc>
      </w:tr>
      <w:tr w14:paraId="30E2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7603D7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1.3.4</w:t>
            </w:r>
          </w:p>
        </w:tc>
        <w:tc>
          <w:tcPr>
            <w:tcW w:w="1581" w:type="dxa"/>
            <w:noWrap w:val="0"/>
            <w:vAlign w:val="center"/>
          </w:tcPr>
          <w:p w14:paraId="727B9A1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交货地点</w:t>
            </w:r>
          </w:p>
        </w:tc>
        <w:tc>
          <w:tcPr>
            <w:tcW w:w="7229" w:type="dxa"/>
            <w:noWrap w:val="0"/>
            <w:vAlign w:val="center"/>
          </w:tcPr>
          <w:p w14:paraId="1115CEF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安徽医科大学附属口腔医院（安徽省口腔医院），采购人指定地点</w:t>
            </w:r>
          </w:p>
        </w:tc>
      </w:tr>
      <w:tr w14:paraId="58CD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4C6D06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1.3.5</w:t>
            </w:r>
          </w:p>
        </w:tc>
        <w:tc>
          <w:tcPr>
            <w:tcW w:w="1581" w:type="dxa"/>
            <w:noWrap w:val="0"/>
            <w:vAlign w:val="center"/>
          </w:tcPr>
          <w:p w14:paraId="26E9F00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质量要求</w:t>
            </w:r>
          </w:p>
        </w:tc>
        <w:tc>
          <w:tcPr>
            <w:tcW w:w="7229" w:type="dxa"/>
            <w:noWrap w:val="0"/>
            <w:vAlign w:val="center"/>
          </w:tcPr>
          <w:p w14:paraId="3B28A37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sz w:val="24"/>
              </w:rPr>
              <w:t>合格</w:t>
            </w:r>
          </w:p>
        </w:tc>
      </w:tr>
      <w:tr w14:paraId="25E6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ED7AF9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1.3.6</w:t>
            </w:r>
          </w:p>
        </w:tc>
        <w:tc>
          <w:tcPr>
            <w:tcW w:w="1581" w:type="dxa"/>
            <w:noWrap w:val="0"/>
            <w:vAlign w:val="center"/>
          </w:tcPr>
          <w:p w14:paraId="49A24BC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质量保证期</w:t>
            </w:r>
          </w:p>
        </w:tc>
        <w:tc>
          <w:tcPr>
            <w:tcW w:w="7229" w:type="dxa"/>
            <w:noWrap w:val="0"/>
            <w:vAlign w:val="center"/>
          </w:tcPr>
          <w:p w14:paraId="492F5F7C">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宋体" w:hAnsi="宋体" w:eastAsia="仿宋" w:cs="Calibri"/>
                <w:sz w:val="24"/>
              </w:rPr>
              <w:t>质量保证期：合同货物正式验收双方签字确认日起须提供不少于36个月的质保，质保期内卖方须负责零配件的更换（所有费用如零配件、上门服务费、安装费等含在投标总价中）。配套软件免费升级更新，无其他费用。是否接受负偏离：</w:t>
            </w:r>
            <w:r>
              <w:rPr>
                <w:rFonts w:hint="eastAsia" w:ascii="楷体" w:hAnsi="楷体" w:eastAsia="仿宋" w:cs="Calibri"/>
                <w:sz w:val="24"/>
              </w:rPr>
              <w:sym w:font="Wingdings 2" w:char="0052"/>
            </w:r>
            <w:r>
              <w:rPr>
                <w:rFonts w:hint="eastAsia" w:ascii="楷体" w:hAnsi="楷体" w:eastAsia="仿宋" w:cs="Calibri"/>
                <w:sz w:val="24"/>
              </w:rPr>
              <w:t xml:space="preserve">不接受  </w:t>
            </w:r>
          </w:p>
          <w:p w14:paraId="5B7034B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rPr>
            </w:pPr>
            <w:r>
              <w:rPr>
                <w:rFonts w:hint="eastAsia" w:ascii="楷体" w:hAnsi="楷体" w:eastAsia="仿宋" w:cs="Calibri"/>
                <w:sz w:val="24"/>
              </w:rPr>
              <w:t xml:space="preserve">                □接受：允许偏离的幅度：</w:t>
            </w:r>
          </w:p>
        </w:tc>
      </w:tr>
      <w:tr w14:paraId="7638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771E66A">
            <w:pPr>
              <w:keepNext w:val="0"/>
              <w:keepLines w:val="0"/>
              <w:widowControl/>
              <w:suppressLineNumbers w:val="0"/>
              <w:spacing w:before="0" w:beforeAutospacing="0" w:after="0" w:afterAutospacing="0"/>
              <w:ind w:left="0" w:right="0"/>
              <w:jc w:val="left"/>
              <w:rPr>
                <w:rFonts w:hint="default" w:ascii="宋体" w:hAnsi="宋体" w:cs="宋体"/>
                <w:kern w:val="0"/>
                <w:sz w:val="24"/>
              </w:rPr>
            </w:pPr>
            <w:r>
              <w:rPr>
                <w:rFonts w:hint="eastAsia" w:ascii="宋体" w:hAnsi="宋体" w:eastAsia="仿宋" w:cs="Calibri"/>
                <w:sz w:val="24"/>
              </w:rPr>
              <w:t>1.3.7</w:t>
            </w:r>
          </w:p>
        </w:tc>
        <w:tc>
          <w:tcPr>
            <w:tcW w:w="1581" w:type="dxa"/>
            <w:noWrap w:val="0"/>
            <w:vAlign w:val="center"/>
          </w:tcPr>
          <w:p w14:paraId="75F4C69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highlight w:val="none"/>
              </w:rPr>
            </w:pPr>
            <w:r>
              <w:rPr>
                <w:rFonts w:hint="eastAsia" w:ascii="宋体" w:hAnsi="宋体" w:eastAsia="仿宋" w:cs="Calibri"/>
                <w:sz w:val="24"/>
                <w:highlight w:val="none"/>
              </w:rPr>
              <w:t>付款方式</w:t>
            </w:r>
          </w:p>
        </w:tc>
        <w:tc>
          <w:tcPr>
            <w:tcW w:w="7229" w:type="dxa"/>
            <w:noWrap w:val="0"/>
            <w:vAlign w:val="center"/>
          </w:tcPr>
          <w:p w14:paraId="4FAEF5A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b/>
                <w:bCs/>
                <w:sz w:val="24"/>
                <w:highlight w:val="none"/>
              </w:rPr>
              <w:t>01包</w:t>
            </w:r>
            <w:r>
              <w:rPr>
                <w:rFonts w:hint="eastAsia" w:ascii="宋体" w:hAnsi="宋体" w:eastAsia="仿宋" w:cs="Calibri"/>
                <w:sz w:val="24"/>
                <w:highlight w:val="none"/>
              </w:rPr>
              <w:t>付款方式：1、合同签订生效之日前，乙方须向甲方缴纳合同价款的2.5%作为合同履约保证金，验收完成免费质保期开始后三十个日历天内，甲方办理履约保证金退还手续；</w:t>
            </w:r>
          </w:p>
          <w:p w14:paraId="32E3408F">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2、合同签订生效后，十五个日历天内中标人须向招标人提供合同价款的70%的不可撤销预付款保函（预付款保函时限不得低于一年）；如果乙方未在约定期限内向甲方提供预付款保函和履约保证金，则乙方须按中国人民银行公布的同期同类贷款利率向甲方支付逾期利息，逾期利息=甲方已支付给乙方的定金和预付款合计金额×中国人民银行公布的同期同类贷款利率。收到乙方预付款保函后5个工作日内甲方向乙方支付合同价款的70%作为预付款；</w:t>
            </w:r>
          </w:p>
          <w:p w14:paraId="62BA0B8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3、乙方完成本项目供货并验收合格，且开具增值税发票后7个工作日内，甲方支付至100%合同价款；</w:t>
            </w:r>
          </w:p>
          <w:p w14:paraId="262DAA4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4、乙方向甲方提供的预付款保函，在货物经双方最终验收合格后方可向甲方书面提出保函退还申请，并经甲方审批同意后退还。</w:t>
            </w:r>
          </w:p>
          <w:p w14:paraId="122C9AA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b/>
                <w:bCs/>
                <w:sz w:val="24"/>
                <w:highlight w:val="none"/>
              </w:rPr>
              <w:t>02包</w:t>
            </w:r>
            <w:r>
              <w:rPr>
                <w:rFonts w:hint="eastAsia" w:ascii="宋体" w:hAnsi="宋体" w:eastAsia="仿宋" w:cs="Calibri"/>
                <w:sz w:val="24"/>
                <w:highlight w:val="none"/>
              </w:rPr>
              <w:t>付款方式：</w:t>
            </w:r>
            <w:r>
              <w:rPr>
                <w:rFonts w:hint="eastAsia" w:ascii="宋体" w:hAnsi="宋体" w:eastAsia="仿宋" w:cs="Calibri"/>
                <w:sz w:val="24"/>
                <w:highlight w:val="none"/>
                <w:lang w:val="en-US" w:eastAsia="zh-CN"/>
              </w:rPr>
              <w:t>1</w:t>
            </w:r>
            <w:r>
              <w:rPr>
                <w:rFonts w:hint="eastAsia" w:ascii="宋体" w:hAnsi="宋体" w:eastAsia="仿宋" w:cs="Calibri"/>
                <w:sz w:val="24"/>
                <w:highlight w:val="none"/>
              </w:rPr>
              <w:t>、合同签订生效后，十五个日历天内中标人须向招标人提供合同价款的40%的不可撤销预付款保函（预付款保函时限不得低于一年）；如果乙方未在约定期限内向甲方提供预付款保函，则乙方须按中国人民银</w:t>
            </w:r>
            <w:bookmarkStart w:id="860" w:name="_GoBack"/>
            <w:bookmarkEnd w:id="860"/>
            <w:r>
              <w:rPr>
                <w:rFonts w:hint="eastAsia" w:ascii="宋体" w:hAnsi="宋体" w:eastAsia="仿宋" w:cs="Calibri"/>
                <w:sz w:val="24"/>
                <w:highlight w:val="none"/>
              </w:rPr>
              <w:t>行公布的同期同类贷款利率向甲方支付逾期利息，逾期利息=甲方已支付给乙方的定金和预付款合计金额×中国人民银行公布的同期同类贷款利率。收到乙方预付款保函后5个工作日内甲方向乙方支付合同价款的40%作为预付款；</w:t>
            </w:r>
          </w:p>
          <w:p w14:paraId="10660D4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lang w:val="en-US" w:eastAsia="zh-CN"/>
              </w:rPr>
              <w:t>2</w:t>
            </w:r>
            <w:r>
              <w:rPr>
                <w:rFonts w:hint="eastAsia" w:ascii="宋体" w:hAnsi="宋体" w:eastAsia="仿宋" w:cs="Calibri"/>
                <w:sz w:val="24"/>
                <w:highlight w:val="none"/>
              </w:rPr>
              <w:t>、乙方完成本项目供货并验收合格，且开具增值税发票后7个工作日内，甲方支付至100%合同价款；</w:t>
            </w:r>
          </w:p>
          <w:p w14:paraId="13C80C8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lang w:val="en-US" w:eastAsia="zh-CN"/>
              </w:rPr>
              <w:t>3</w:t>
            </w:r>
            <w:r>
              <w:rPr>
                <w:rFonts w:hint="eastAsia" w:ascii="宋体" w:hAnsi="宋体" w:eastAsia="仿宋" w:cs="Calibri"/>
                <w:sz w:val="24"/>
                <w:highlight w:val="none"/>
              </w:rPr>
              <w:t>、乙方向甲方提供的预付款保函，在货物经双方最终验收合格后方可向甲方书面提出保函退还申请，并经甲方审批同意后退还。</w:t>
            </w:r>
          </w:p>
          <w:p w14:paraId="3262B60C">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备注：</w:t>
            </w:r>
          </w:p>
          <w:p w14:paraId="766AD80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1.所有款项均以人民币支付。</w:t>
            </w:r>
          </w:p>
          <w:p w14:paraId="35F620D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2.乙方向甲方提交下列文件材料，经甲方审核无误后退还担保函：</w:t>
            </w:r>
          </w:p>
          <w:p w14:paraId="1A37169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（1）经甲方确认的发票；</w:t>
            </w:r>
          </w:p>
          <w:p w14:paraId="293BA76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highlight w:val="none"/>
              </w:rPr>
            </w:pPr>
            <w:r>
              <w:rPr>
                <w:rFonts w:hint="eastAsia" w:ascii="宋体" w:hAnsi="宋体" w:eastAsia="仿宋" w:cs="Calibri"/>
                <w:sz w:val="24"/>
                <w:highlight w:val="none"/>
              </w:rPr>
              <w:t>（2）经甲乙双方确认签订的《验收报告》（或按项目进度阶段性《验收报告》）；</w:t>
            </w:r>
          </w:p>
          <w:p w14:paraId="28114FF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sz w:val="24"/>
                <w:highlight w:val="none"/>
              </w:rPr>
            </w:pPr>
            <w:r>
              <w:rPr>
                <w:rFonts w:hint="eastAsia" w:ascii="宋体" w:hAnsi="宋体" w:eastAsia="仿宋" w:cs="Calibri"/>
                <w:sz w:val="24"/>
                <w:highlight w:val="none"/>
              </w:rPr>
              <w:t>（3）采购人要求的其他材料。</w:t>
            </w:r>
          </w:p>
          <w:p w14:paraId="5D511E75">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highlight w:val="none"/>
              </w:rPr>
            </w:pPr>
            <w:r>
              <w:rPr>
                <w:rFonts w:hint="eastAsia" w:ascii="宋体" w:hAnsi="宋体" w:eastAsia="仿宋" w:cs="Calibri"/>
                <w:sz w:val="24"/>
                <w:highlight w:val="none"/>
              </w:rPr>
              <w:t>是否接受负偏离：</w:t>
            </w:r>
            <w:r>
              <w:rPr>
                <w:rFonts w:hint="eastAsia" w:ascii="楷体" w:hAnsi="楷体" w:eastAsia="仿宋" w:cs="Calibri"/>
                <w:sz w:val="24"/>
                <w:highlight w:val="none"/>
              </w:rPr>
              <w:sym w:font="Wingdings 2" w:char="0052"/>
            </w:r>
            <w:r>
              <w:rPr>
                <w:rFonts w:hint="eastAsia" w:ascii="楷体" w:hAnsi="楷体" w:eastAsia="仿宋" w:cs="Calibri"/>
                <w:sz w:val="24"/>
                <w:highlight w:val="none"/>
              </w:rPr>
              <w:t xml:space="preserve">不接受  </w:t>
            </w:r>
          </w:p>
          <w:p w14:paraId="7291E31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highlight w:val="none"/>
                <w:u w:val="single"/>
              </w:rPr>
            </w:pPr>
            <w:r>
              <w:rPr>
                <w:rFonts w:hint="eastAsia" w:ascii="楷体" w:hAnsi="楷体" w:eastAsia="仿宋" w:cs="Calibri"/>
                <w:sz w:val="24"/>
                <w:highlight w:val="none"/>
              </w:rPr>
              <w:t xml:space="preserve">                □接受：允许偏离的幅度：</w:t>
            </w:r>
          </w:p>
        </w:tc>
      </w:tr>
      <w:tr w14:paraId="246F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B52A73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1.4.1</w:t>
            </w:r>
          </w:p>
        </w:tc>
        <w:tc>
          <w:tcPr>
            <w:tcW w:w="1581" w:type="dxa"/>
            <w:noWrap w:val="0"/>
            <w:vAlign w:val="center"/>
          </w:tcPr>
          <w:p w14:paraId="06D62BB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投标人资格条件、能力和信誉</w:t>
            </w:r>
          </w:p>
        </w:tc>
        <w:tc>
          <w:tcPr>
            <w:tcW w:w="7229" w:type="dxa"/>
            <w:noWrap w:val="0"/>
            <w:vAlign w:val="center"/>
          </w:tcPr>
          <w:p w14:paraId="17022D3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方正仿宋_GB2312" w:cs="Calibri"/>
                <w:sz w:val="24"/>
              </w:rPr>
            </w:pPr>
            <w:r>
              <w:rPr>
                <w:rFonts w:hint="eastAsia" w:ascii="宋体" w:hAnsi="宋体" w:eastAsia="仿宋" w:cs="Calibri"/>
                <w:sz w:val="24"/>
              </w:rPr>
              <w:t>见招标公告</w:t>
            </w:r>
            <w:r>
              <w:rPr>
                <w:rFonts w:hint="default" w:ascii="宋体" w:hAnsi="宋体" w:eastAsia="方正仿宋_GB2312" w:cs="Calibri"/>
                <w:sz w:val="24"/>
              </w:rPr>
              <w:t xml:space="preserve"> </w:t>
            </w:r>
          </w:p>
        </w:tc>
      </w:tr>
      <w:tr w14:paraId="12F0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E37F4E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1.4.2</w:t>
            </w:r>
          </w:p>
        </w:tc>
        <w:tc>
          <w:tcPr>
            <w:tcW w:w="1581" w:type="dxa"/>
            <w:noWrap w:val="0"/>
            <w:vAlign w:val="center"/>
          </w:tcPr>
          <w:p w14:paraId="50B0AD8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是否接受联合体投标</w:t>
            </w:r>
          </w:p>
        </w:tc>
        <w:tc>
          <w:tcPr>
            <w:tcW w:w="7229" w:type="dxa"/>
            <w:noWrap w:val="0"/>
            <w:vAlign w:val="center"/>
          </w:tcPr>
          <w:p w14:paraId="226CBD4B">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sz w:val="24"/>
              </w:rPr>
            </w:pPr>
            <w:r>
              <w:rPr>
                <w:rFonts w:hint="eastAsia" w:ascii="宋体" w:hAnsi="宋体" w:eastAsia="仿宋" w:cs="Calibri"/>
                <w:sz w:val="24"/>
              </w:rPr>
              <w:sym w:font="Wingdings 2" w:char="0052"/>
            </w:r>
            <w:r>
              <w:rPr>
                <w:rFonts w:hint="eastAsia" w:ascii="宋体" w:hAnsi="宋体" w:eastAsia="仿宋" w:cs="Calibri"/>
                <w:sz w:val="24"/>
              </w:rPr>
              <w:t>不接受</w:t>
            </w:r>
          </w:p>
          <w:p w14:paraId="3DE81C0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u w:val="single"/>
              </w:rPr>
            </w:pPr>
            <w:r>
              <w:rPr>
                <w:rFonts w:hint="eastAsia" w:ascii="宋体" w:hAnsi="宋体" w:eastAsia="仿宋" w:cs="Calibri"/>
                <w:sz w:val="24"/>
              </w:rPr>
              <w:t>□接受，应当满足下列要求：</w:t>
            </w:r>
          </w:p>
        </w:tc>
      </w:tr>
      <w:tr w14:paraId="60D2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B2C83F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1.4.3</w:t>
            </w:r>
          </w:p>
        </w:tc>
        <w:tc>
          <w:tcPr>
            <w:tcW w:w="1581" w:type="dxa"/>
            <w:noWrap w:val="0"/>
            <w:vAlign w:val="center"/>
          </w:tcPr>
          <w:p w14:paraId="0444DEF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Times New Roman"/>
                <w:sz w:val="24"/>
              </w:rPr>
              <w:t>投标人不得存在的其他情形</w:t>
            </w:r>
          </w:p>
        </w:tc>
        <w:tc>
          <w:tcPr>
            <w:tcW w:w="7229" w:type="dxa"/>
            <w:noWrap w:val="0"/>
            <w:vAlign w:val="center"/>
          </w:tcPr>
          <w:p w14:paraId="1E4B2F99">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Times New Roman"/>
                <w:b/>
                <w:bCs/>
                <w:sz w:val="24"/>
              </w:rPr>
            </w:pPr>
            <w:r>
              <w:rPr>
                <w:rFonts w:hint="eastAsia" w:ascii="楷体" w:hAnsi="楷体" w:eastAsia="楷体" w:cs="Times New Roman"/>
                <w:i/>
                <w:sz w:val="24"/>
              </w:rPr>
              <w:t>/</w:t>
            </w:r>
          </w:p>
        </w:tc>
      </w:tr>
      <w:tr w14:paraId="440D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F55AAB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1.4.4</w:t>
            </w:r>
          </w:p>
        </w:tc>
        <w:tc>
          <w:tcPr>
            <w:tcW w:w="1581" w:type="dxa"/>
            <w:noWrap w:val="0"/>
            <w:vAlign w:val="center"/>
          </w:tcPr>
          <w:p w14:paraId="2547707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Times New Roman"/>
                <w:sz w:val="24"/>
              </w:rPr>
              <w:t>核心产品</w:t>
            </w:r>
          </w:p>
        </w:tc>
        <w:tc>
          <w:tcPr>
            <w:tcW w:w="7229" w:type="dxa"/>
            <w:noWrap w:val="0"/>
            <w:vAlign w:val="center"/>
          </w:tcPr>
          <w:p w14:paraId="05BD2CB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方正仿宋_GB2312" w:cs="Calibri"/>
                <w:sz w:val="24"/>
              </w:rPr>
            </w:pPr>
            <w:r>
              <w:rPr>
                <w:rFonts w:hint="eastAsia" w:ascii="宋体" w:hAnsi="宋体" w:eastAsia="仿宋" w:cs="Calibri"/>
                <w:sz w:val="24"/>
              </w:rPr>
              <w:t>详见第三章采购需求各标包“▲”号项设备</w:t>
            </w:r>
          </w:p>
        </w:tc>
      </w:tr>
      <w:tr w14:paraId="6BDE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290EDC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1.9.1</w:t>
            </w:r>
          </w:p>
        </w:tc>
        <w:tc>
          <w:tcPr>
            <w:tcW w:w="1581" w:type="dxa"/>
            <w:noWrap w:val="0"/>
            <w:vAlign w:val="center"/>
          </w:tcPr>
          <w:p w14:paraId="37C1260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是否组织现场考察</w:t>
            </w:r>
          </w:p>
        </w:tc>
        <w:tc>
          <w:tcPr>
            <w:tcW w:w="7229" w:type="dxa"/>
            <w:noWrap w:val="0"/>
            <w:vAlign w:val="center"/>
          </w:tcPr>
          <w:p w14:paraId="0D46792E">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sz w:val="24"/>
              </w:rPr>
            </w:pPr>
            <w:r>
              <w:rPr>
                <w:rFonts w:hint="eastAsia" w:ascii="宋体" w:hAnsi="宋体" w:eastAsia="仿宋" w:cs="Times New Roman"/>
                <w:bCs/>
                <w:sz w:val="24"/>
              </w:rPr>
              <w:sym w:font="Wingdings" w:char="F0FE"/>
            </w:r>
            <w:r>
              <w:rPr>
                <w:rFonts w:hint="eastAsia" w:ascii="宋体" w:hAnsi="宋体" w:eastAsia="仿宋" w:cs="Calibri"/>
                <w:sz w:val="24"/>
              </w:rPr>
              <w:t>不组织，</w:t>
            </w:r>
            <w:r>
              <w:rPr>
                <w:rFonts w:hint="eastAsia" w:ascii="宋体" w:hAnsi="宋体" w:eastAsia="仿宋" w:cs="Times New Roman"/>
                <w:sz w:val="24"/>
              </w:rPr>
              <w:t>由投标人自行考察现场并取得现场勘查确认表。</w:t>
            </w:r>
          </w:p>
          <w:p w14:paraId="51BFEF9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sz w:val="24"/>
              </w:rPr>
            </w:pPr>
            <w:r>
              <w:rPr>
                <w:rFonts w:hint="eastAsia" w:ascii="宋体" w:hAnsi="宋体" w:eastAsia="仿宋" w:cs="Calibri"/>
                <w:sz w:val="24"/>
              </w:rPr>
              <w:t>□组织，时间：</w:t>
            </w:r>
          </w:p>
          <w:p w14:paraId="21F56003">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eastAsia" w:ascii="宋体" w:hAnsi="宋体" w:eastAsia="仿宋" w:cs="Calibri"/>
                <w:sz w:val="24"/>
                <w:u w:val="single"/>
              </w:rPr>
            </w:pPr>
            <w:r>
              <w:rPr>
                <w:rFonts w:hint="eastAsia" w:ascii="宋体" w:hAnsi="宋体" w:eastAsia="仿宋" w:cs="Calibri"/>
                <w:sz w:val="24"/>
              </w:rPr>
              <w:t xml:space="preserve"> 集中地点：</w:t>
            </w:r>
          </w:p>
          <w:p w14:paraId="7AB79F72">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cs="Calibri"/>
                <w:sz w:val="24"/>
              </w:rPr>
            </w:pPr>
            <w:r>
              <w:rPr>
                <w:rFonts w:hint="eastAsia" w:ascii="宋体" w:hAnsi="宋体" w:eastAsia="仿宋" w:cs="Calibri"/>
                <w:sz w:val="24"/>
              </w:rPr>
              <w:t xml:space="preserve"> 联系方式：</w:t>
            </w:r>
          </w:p>
        </w:tc>
      </w:tr>
      <w:tr w14:paraId="3B59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CCF951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1.10.1</w:t>
            </w:r>
          </w:p>
        </w:tc>
        <w:tc>
          <w:tcPr>
            <w:tcW w:w="1581" w:type="dxa"/>
            <w:noWrap w:val="0"/>
            <w:vAlign w:val="center"/>
          </w:tcPr>
          <w:p w14:paraId="2773A6E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开标前答疑会</w:t>
            </w:r>
          </w:p>
        </w:tc>
        <w:tc>
          <w:tcPr>
            <w:tcW w:w="7229" w:type="dxa"/>
            <w:noWrap w:val="0"/>
            <w:vAlign w:val="center"/>
          </w:tcPr>
          <w:p w14:paraId="5114D652">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sz w:val="24"/>
              </w:rPr>
            </w:pPr>
            <w:r>
              <w:rPr>
                <w:rFonts w:hint="eastAsia" w:ascii="宋体" w:hAnsi="宋体" w:eastAsia="仿宋" w:cs="Times New Roman"/>
                <w:bCs/>
                <w:sz w:val="24"/>
              </w:rPr>
              <w:sym w:font="Wingdings" w:char="F0FE"/>
            </w:r>
            <w:r>
              <w:rPr>
                <w:rFonts w:hint="eastAsia" w:ascii="宋体" w:hAnsi="宋体" w:eastAsia="仿宋" w:cs="Calibri"/>
                <w:sz w:val="24"/>
              </w:rPr>
              <w:t>不召开</w:t>
            </w:r>
          </w:p>
          <w:p w14:paraId="548D88F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sz w:val="24"/>
              </w:rPr>
            </w:pPr>
            <w:r>
              <w:rPr>
                <w:rFonts w:hint="eastAsia" w:ascii="宋体" w:hAnsi="宋体" w:eastAsia="仿宋" w:cs="Calibri"/>
                <w:sz w:val="24"/>
              </w:rPr>
              <w:t>□召开，召开时间：</w:t>
            </w:r>
          </w:p>
          <w:p w14:paraId="4B509322">
            <w:pPr>
              <w:keepNext w:val="0"/>
              <w:keepLines w:val="0"/>
              <w:widowControl/>
              <w:suppressLineNumbers w:val="0"/>
              <w:adjustRightInd w:val="0"/>
              <w:snapToGrid w:val="0"/>
              <w:spacing w:before="0" w:beforeAutospacing="0" w:after="0" w:afterAutospacing="0" w:line="288" w:lineRule="auto"/>
              <w:ind w:left="0" w:right="0" w:firstLine="960" w:firstLineChars="400"/>
              <w:rPr>
                <w:rFonts w:hint="eastAsia" w:ascii="宋体" w:hAnsi="宋体" w:eastAsia="仿宋" w:cs="Calibri"/>
                <w:sz w:val="24"/>
                <w:u w:val="single"/>
              </w:rPr>
            </w:pPr>
            <w:r>
              <w:rPr>
                <w:rFonts w:hint="eastAsia" w:ascii="宋体" w:hAnsi="宋体" w:eastAsia="仿宋" w:cs="Calibri"/>
                <w:sz w:val="24"/>
              </w:rPr>
              <w:t>召开地点：</w:t>
            </w:r>
          </w:p>
          <w:p w14:paraId="333C71DE">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cs="Calibri"/>
                <w:sz w:val="24"/>
              </w:rPr>
            </w:pPr>
            <w:r>
              <w:rPr>
                <w:rFonts w:hint="eastAsia" w:ascii="宋体" w:hAnsi="宋体" w:eastAsia="仿宋" w:cs="Calibri"/>
                <w:sz w:val="24"/>
              </w:rPr>
              <w:t>联系方式：</w:t>
            </w:r>
          </w:p>
        </w:tc>
      </w:tr>
      <w:tr w14:paraId="5205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9BAB05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1.10.2</w:t>
            </w:r>
          </w:p>
        </w:tc>
        <w:tc>
          <w:tcPr>
            <w:tcW w:w="1581" w:type="dxa"/>
            <w:noWrap w:val="0"/>
            <w:vAlign w:val="center"/>
          </w:tcPr>
          <w:p w14:paraId="1FAB152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sz w:val="24"/>
              </w:rPr>
            </w:pPr>
            <w:r>
              <w:rPr>
                <w:rFonts w:hint="eastAsia" w:ascii="宋体" w:hAnsi="宋体" w:eastAsia="仿宋" w:cs="Calibri"/>
                <w:sz w:val="24"/>
              </w:rPr>
              <w:t>投标人在答疑会前提出问题（本项目不适用）</w:t>
            </w:r>
          </w:p>
        </w:tc>
        <w:tc>
          <w:tcPr>
            <w:tcW w:w="7229" w:type="dxa"/>
            <w:noWrap w:val="0"/>
            <w:vAlign w:val="center"/>
          </w:tcPr>
          <w:p w14:paraId="2F690279">
            <w:pPr>
              <w:keepNext w:val="0"/>
              <w:keepLines w:val="0"/>
              <w:widowControl/>
              <w:suppressLineNumbers w:val="0"/>
              <w:adjustRightInd w:val="0"/>
              <w:snapToGrid w:val="0"/>
              <w:spacing w:before="0" w:beforeAutospacing="0" w:after="0" w:afterAutospacing="0" w:line="288" w:lineRule="auto"/>
              <w:ind w:left="0" w:right="0"/>
              <w:rPr>
                <w:rFonts w:hint="eastAsia" w:ascii="Calibri" w:hAnsi="Calibri" w:eastAsia="仿宋" w:cs="Times New Roman"/>
                <w:sz w:val="24"/>
                <w:u w:val="single"/>
              </w:rPr>
            </w:pPr>
            <w:r>
              <w:rPr>
                <w:rFonts w:hint="eastAsia" w:ascii="Calibri" w:hAnsi="Calibri" w:eastAsia="仿宋" w:cs="Times New Roman"/>
                <w:sz w:val="24"/>
              </w:rPr>
              <w:t>时间：</w:t>
            </w:r>
            <w:r>
              <w:rPr>
                <w:rFonts w:hint="default" w:ascii="楷体" w:hAnsi="楷体" w:eastAsia="仿宋" w:cs="Times New Roman"/>
                <w:sz w:val="24"/>
                <w:u w:val="single"/>
              </w:rPr>
              <w:t>在</w:t>
            </w:r>
            <w:r>
              <w:rPr>
                <w:rFonts w:hint="eastAsia" w:ascii="楷体" w:hAnsi="楷体" w:eastAsia="仿宋" w:cs="Times New Roman"/>
                <w:sz w:val="24"/>
                <w:u w:val="single"/>
              </w:rPr>
              <w:t>答疑会召开前/</w:t>
            </w:r>
            <w:r>
              <w:rPr>
                <w:rFonts w:hint="default" w:ascii="楷体" w:hAnsi="楷体" w:eastAsia="仿宋" w:cs="Times New Roman"/>
                <w:sz w:val="24"/>
                <w:u w:val="single"/>
              </w:rPr>
              <w:t>天前（以收到日期为准）</w:t>
            </w:r>
          </w:p>
          <w:p w14:paraId="76C5D3C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u w:val="single"/>
              </w:rPr>
            </w:pPr>
            <w:r>
              <w:rPr>
                <w:rFonts w:hint="eastAsia" w:ascii="Calibri" w:hAnsi="Calibri" w:eastAsia="仿宋" w:cs="Times New Roman"/>
                <w:sz w:val="24"/>
              </w:rPr>
              <w:t>形式：</w:t>
            </w:r>
            <w:r>
              <w:rPr>
                <w:rFonts w:hint="default" w:ascii="楷体" w:hAnsi="楷体" w:eastAsia="仿宋" w:cs="Times New Roman"/>
                <w:sz w:val="24"/>
                <w:u w:val="single"/>
              </w:rPr>
              <w:t>在</w:t>
            </w:r>
            <w:r>
              <w:rPr>
                <w:rFonts w:hint="eastAsia" w:ascii="楷体" w:hAnsi="楷体" w:eastAsia="仿宋" w:cs="Times New Roman"/>
                <w:sz w:val="24"/>
                <w:u w:val="single"/>
              </w:rPr>
              <w:t xml:space="preserve">优质采云采购平台提交疑问 </w:t>
            </w:r>
          </w:p>
        </w:tc>
      </w:tr>
      <w:tr w14:paraId="62A0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33051E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1.10.3</w:t>
            </w:r>
          </w:p>
        </w:tc>
        <w:tc>
          <w:tcPr>
            <w:tcW w:w="1581" w:type="dxa"/>
            <w:noWrap w:val="0"/>
            <w:vAlign w:val="center"/>
          </w:tcPr>
          <w:p w14:paraId="7846EFD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招标文件澄清发出的形式</w:t>
            </w:r>
          </w:p>
        </w:tc>
        <w:tc>
          <w:tcPr>
            <w:tcW w:w="7229" w:type="dxa"/>
            <w:noWrap w:val="0"/>
            <w:vAlign w:val="center"/>
          </w:tcPr>
          <w:p w14:paraId="1CF1EEB2">
            <w:pPr>
              <w:keepNext w:val="0"/>
              <w:keepLines w:val="0"/>
              <w:widowControl/>
              <w:suppressLineNumbers w:val="0"/>
              <w:adjustRightInd w:val="0"/>
              <w:snapToGrid w:val="0"/>
              <w:spacing w:before="0" w:beforeAutospacing="0" w:after="0" w:afterAutospacing="0" w:line="288" w:lineRule="auto"/>
              <w:ind w:left="0" w:right="0"/>
              <w:rPr>
                <w:rFonts w:hint="eastAsia" w:ascii="Calibri" w:hAnsi="宋体" w:eastAsia="仿宋" w:cs="Times New Roman"/>
                <w:sz w:val="24"/>
                <w:u w:val="single"/>
              </w:rPr>
            </w:pPr>
            <w:r>
              <w:rPr>
                <w:rFonts w:hint="eastAsia" w:ascii="Calibri" w:hAnsi="宋体" w:eastAsia="仿宋" w:cs="Times New Roman"/>
                <w:sz w:val="24"/>
              </w:rPr>
              <w:t>发出时间：</w:t>
            </w:r>
            <w:r>
              <w:rPr>
                <w:rFonts w:hint="eastAsia" w:ascii="楷体" w:hAnsi="楷体" w:eastAsia="仿宋" w:cs="Times New Roman"/>
                <w:sz w:val="24"/>
                <w:u w:val="single"/>
              </w:rPr>
              <w:t>如澄清或修改的内容可能影响投标文件编制的，</w:t>
            </w:r>
            <w:r>
              <w:rPr>
                <w:rFonts w:hint="default" w:ascii="楷体" w:hAnsi="楷体" w:eastAsia="仿宋" w:cs="Times New Roman"/>
                <w:sz w:val="24"/>
                <w:u w:val="single"/>
              </w:rPr>
              <w:t>应当在投标截止时间至少15日前</w:t>
            </w:r>
            <w:r>
              <w:rPr>
                <w:rFonts w:hint="eastAsia" w:ascii="楷体" w:hAnsi="楷体" w:eastAsia="仿宋" w:cs="Times New Roman"/>
                <w:sz w:val="24"/>
                <w:u w:val="single"/>
              </w:rPr>
              <w:t>发布澄清或修改；</w:t>
            </w:r>
          </w:p>
          <w:p w14:paraId="17EA5D5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发出形式：</w:t>
            </w:r>
            <w:r>
              <w:rPr>
                <w:rFonts w:hint="default" w:ascii="楷体" w:hAnsi="楷体" w:eastAsia="仿宋" w:cs="Times New Roman"/>
                <w:sz w:val="24"/>
                <w:u w:val="single"/>
              </w:rPr>
              <w:t>在</w:t>
            </w:r>
            <w:r>
              <w:rPr>
                <w:rFonts w:hint="eastAsia" w:ascii="楷体" w:hAnsi="楷体" w:eastAsia="仿宋" w:cs="Times New Roman"/>
                <w:sz w:val="24"/>
                <w:u w:val="single"/>
              </w:rPr>
              <w:t>优质采云采购平台</w:t>
            </w:r>
            <w:r>
              <w:rPr>
                <w:rFonts w:hint="default" w:ascii="楷体" w:hAnsi="楷体" w:eastAsia="仿宋" w:cs="Times New Roman"/>
                <w:sz w:val="24"/>
                <w:u w:val="single"/>
              </w:rPr>
              <w:t>发布</w:t>
            </w:r>
            <w:r>
              <w:rPr>
                <w:rFonts w:hint="eastAsia" w:ascii="楷体" w:hAnsi="楷体" w:eastAsia="仿宋" w:cs="Times New Roman"/>
                <w:sz w:val="24"/>
                <w:u w:val="single"/>
              </w:rPr>
              <w:t>，投标人自行查看、下载，无需确认。其他方式发布的，投标人应书面确认。</w:t>
            </w:r>
          </w:p>
        </w:tc>
      </w:tr>
      <w:tr w14:paraId="7AC7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7CFA96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1.11.1</w:t>
            </w:r>
          </w:p>
        </w:tc>
        <w:tc>
          <w:tcPr>
            <w:tcW w:w="1581" w:type="dxa"/>
            <w:noWrap w:val="0"/>
            <w:vAlign w:val="center"/>
          </w:tcPr>
          <w:p w14:paraId="7EC8317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分包</w:t>
            </w:r>
          </w:p>
        </w:tc>
        <w:tc>
          <w:tcPr>
            <w:tcW w:w="7229" w:type="dxa"/>
            <w:noWrap w:val="0"/>
            <w:vAlign w:val="center"/>
          </w:tcPr>
          <w:p w14:paraId="70D13E6B">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sz w:val="24"/>
              </w:rPr>
            </w:pPr>
            <w:r>
              <w:rPr>
                <w:rFonts w:hint="eastAsia" w:ascii="宋体" w:hAnsi="宋体" w:eastAsia="仿宋" w:cs="Times New Roman"/>
                <w:bCs/>
                <w:sz w:val="24"/>
              </w:rPr>
              <w:sym w:font="Wingdings 2" w:char="0052"/>
            </w:r>
            <w:r>
              <w:rPr>
                <w:rFonts w:hint="eastAsia" w:ascii="宋体" w:hAnsi="宋体" w:eastAsia="仿宋" w:cs="Calibri"/>
                <w:sz w:val="24"/>
              </w:rPr>
              <w:t>不允许</w:t>
            </w:r>
          </w:p>
          <w:p w14:paraId="212B1DBB">
            <w:pPr>
              <w:keepNext w:val="0"/>
              <w:keepLines w:val="0"/>
              <w:widowControl/>
              <w:suppressLineNumbers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Calibri"/>
                <w:sz w:val="24"/>
              </w:rPr>
              <w:t>□允许：</w:t>
            </w:r>
          </w:p>
          <w:p w14:paraId="441B2F16">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sz w:val="24"/>
                <w:u w:val="single"/>
              </w:rPr>
            </w:pPr>
            <w:r>
              <w:rPr>
                <w:rFonts w:hint="eastAsia" w:ascii="楷体" w:hAnsi="楷体" w:eastAsia="仿宋" w:cs="Times New Roman"/>
                <w:sz w:val="24"/>
              </w:rPr>
              <w:t>（1）允许分包的范围和内容：</w:t>
            </w:r>
          </w:p>
          <w:p w14:paraId="22B92A9F">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sz w:val="24"/>
              </w:rPr>
            </w:pPr>
            <w:r>
              <w:rPr>
                <w:rFonts w:hint="eastAsia" w:ascii="楷体" w:hAnsi="楷体" w:eastAsia="仿宋" w:cs="Times New Roman"/>
                <w:sz w:val="24"/>
              </w:rPr>
              <w:t>（2）分包的金额和对分包人资质要求：</w:t>
            </w:r>
          </w:p>
          <w:p w14:paraId="32E3E76A">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sz w:val="24"/>
              </w:rPr>
            </w:pPr>
            <w:r>
              <w:rPr>
                <w:rFonts w:hint="eastAsia" w:ascii="楷体" w:hAnsi="楷体" w:eastAsia="仿宋" w:cs="Times New Roman"/>
                <w:sz w:val="24"/>
              </w:rPr>
              <w:t>（3）根据政府采购支持中小企业发展政策规定，经采购人同意，获得政府采购合同的大型企业可根据招标文件和投标文件向中小企业分包。</w:t>
            </w:r>
          </w:p>
          <w:p w14:paraId="7F59D878">
            <w:pPr>
              <w:keepNext w:val="0"/>
              <w:keepLines w:val="0"/>
              <w:widowControl/>
              <w:suppressLineNumbers w:val="0"/>
              <w:snapToGrid w:val="0"/>
              <w:spacing w:before="0" w:beforeAutospacing="0" w:after="0" w:afterAutospacing="0" w:line="288" w:lineRule="auto"/>
              <w:ind w:left="0" w:right="0"/>
              <w:rPr>
                <w:rFonts w:hint="eastAsia" w:ascii="宋体" w:hAnsi="宋体" w:cs="Times New Roman"/>
                <w:sz w:val="24"/>
              </w:rPr>
            </w:pPr>
            <w:r>
              <w:rPr>
                <w:rFonts w:hint="eastAsia" w:ascii="楷体" w:hAnsi="楷体" w:eastAsia="仿宋" w:cs="Times New Roman"/>
                <w:sz w:val="24"/>
              </w:rPr>
              <w:t>（4）除上述情形外，本项目不允许分包。</w:t>
            </w:r>
          </w:p>
        </w:tc>
      </w:tr>
      <w:tr w14:paraId="6754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460F60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2.1</w:t>
            </w:r>
          </w:p>
        </w:tc>
        <w:tc>
          <w:tcPr>
            <w:tcW w:w="1581" w:type="dxa"/>
            <w:noWrap w:val="0"/>
            <w:vAlign w:val="center"/>
          </w:tcPr>
          <w:p w14:paraId="69E5F81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构成招标文件的其他材料</w:t>
            </w:r>
          </w:p>
        </w:tc>
        <w:tc>
          <w:tcPr>
            <w:tcW w:w="7229" w:type="dxa"/>
            <w:noWrap w:val="0"/>
            <w:vAlign w:val="center"/>
          </w:tcPr>
          <w:p w14:paraId="40861C4F">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sz w:val="24"/>
              </w:rPr>
            </w:pPr>
            <w:r>
              <w:rPr>
                <w:rFonts w:hint="eastAsia" w:ascii="楷体" w:hAnsi="楷体" w:eastAsia="仿宋" w:cs="Times New Roman"/>
                <w:sz w:val="24"/>
              </w:rPr>
              <w:t>图纸，另行发放（如有）。</w:t>
            </w:r>
          </w:p>
        </w:tc>
      </w:tr>
      <w:tr w14:paraId="4028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FB6E0A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2.2.1</w:t>
            </w:r>
          </w:p>
        </w:tc>
        <w:tc>
          <w:tcPr>
            <w:tcW w:w="1581" w:type="dxa"/>
            <w:noWrap w:val="0"/>
            <w:vAlign w:val="center"/>
          </w:tcPr>
          <w:p w14:paraId="710F022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default" w:ascii="Calibri" w:hAnsi="Calibri" w:eastAsia="仿宋" w:cs="Times New Roman"/>
                <w:sz w:val="24"/>
              </w:rPr>
              <w:t>投标人要求澄清招标文件</w:t>
            </w:r>
          </w:p>
        </w:tc>
        <w:tc>
          <w:tcPr>
            <w:tcW w:w="7229" w:type="dxa"/>
            <w:noWrap w:val="0"/>
            <w:vAlign w:val="center"/>
          </w:tcPr>
          <w:p w14:paraId="4D8DF9F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时间：</w:t>
            </w:r>
            <w:r>
              <w:rPr>
                <w:rFonts w:hint="default" w:ascii="楷体" w:hAnsi="楷体" w:eastAsia="仿宋" w:cs="Times New Roman"/>
                <w:sz w:val="24"/>
                <w:u w:val="single"/>
              </w:rPr>
              <w:t>在</w:t>
            </w:r>
            <w:r>
              <w:rPr>
                <w:rFonts w:hint="eastAsia" w:ascii="楷体" w:hAnsi="楷体" w:eastAsia="仿宋" w:cs="Times New Roman"/>
                <w:sz w:val="24"/>
                <w:u w:val="single"/>
              </w:rPr>
              <w:t>投标截止时间15日</w:t>
            </w:r>
            <w:r>
              <w:rPr>
                <w:rFonts w:hint="default" w:ascii="楷体" w:hAnsi="楷体" w:eastAsia="仿宋" w:cs="Times New Roman"/>
                <w:sz w:val="24"/>
                <w:u w:val="single"/>
              </w:rPr>
              <w:t>前（以收到日期为准）</w:t>
            </w:r>
          </w:p>
          <w:p w14:paraId="0E59548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形式：</w:t>
            </w:r>
            <w:r>
              <w:rPr>
                <w:rFonts w:hint="default" w:ascii="楷体" w:hAnsi="楷体" w:eastAsia="仿宋" w:cs="Times New Roman"/>
                <w:sz w:val="24"/>
                <w:u w:val="single"/>
              </w:rPr>
              <w:t>在</w:t>
            </w:r>
            <w:r>
              <w:rPr>
                <w:rFonts w:hint="eastAsia" w:ascii="楷体" w:hAnsi="楷体" w:eastAsia="仿宋" w:cs="Times New Roman"/>
                <w:sz w:val="24"/>
                <w:u w:val="single"/>
              </w:rPr>
              <w:t xml:space="preserve">优质采云采购平台提交疑问 </w:t>
            </w:r>
          </w:p>
        </w:tc>
      </w:tr>
      <w:tr w14:paraId="7783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030EFE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2.2.2</w:t>
            </w:r>
          </w:p>
        </w:tc>
        <w:tc>
          <w:tcPr>
            <w:tcW w:w="1581" w:type="dxa"/>
            <w:noWrap w:val="0"/>
            <w:vAlign w:val="center"/>
          </w:tcPr>
          <w:p w14:paraId="5A0211E1">
            <w:pPr>
              <w:keepNext w:val="0"/>
              <w:keepLines w:val="0"/>
              <w:widowControl/>
              <w:suppressLineNumbers w:val="0"/>
              <w:adjustRightInd w:val="0"/>
              <w:snapToGrid w:val="0"/>
              <w:spacing w:before="0" w:beforeAutospacing="0" w:after="0" w:afterAutospacing="0" w:line="288" w:lineRule="auto"/>
              <w:ind w:left="0" w:right="0"/>
              <w:jc w:val="center"/>
              <w:rPr>
                <w:rFonts w:hint="default" w:ascii="Calibri" w:hAnsi="Calibri" w:cs="Times New Roman"/>
                <w:sz w:val="24"/>
              </w:rPr>
            </w:pPr>
            <w:r>
              <w:rPr>
                <w:rFonts w:hint="eastAsia" w:ascii="宋体" w:hAnsi="宋体" w:eastAsia="仿宋" w:cs="Calibri"/>
                <w:sz w:val="24"/>
              </w:rPr>
              <w:t>招标文件澄清发出的形式</w:t>
            </w:r>
          </w:p>
        </w:tc>
        <w:tc>
          <w:tcPr>
            <w:tcW w:w="7229" w:type="dxa"/>
            <w:noWrap w:val="0"/>
            <w:vAlign w:val="center"/>
          </w:tcPr>
          <w:p w14:paraId="57D1495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形式：</w:t>
            </w:r>
            <w:r>
              <w:rPr>
                <w:rFonts w:hint="eastAsia" w:ascii="楷体" w:hAnsi="楷体" w:eastAsia="仿宋" w:cs="Times New Roman"/>
                <w:sz w:val="24"/>
                <w:u w:val="single"/>
              </w:rPr>
              <w:t xml:space="preserve"> 对招标文件进行的澄清、修改或答疑，将在优质采云采购平台会员系统发布  </w:t>
            </w:r>
          </w:p>
        </w:tc>
      </w:tr>
      <w:tr w14:paraId="1DD7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2244D7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2.2.3</w:t>
            </w:r>
          </w:p>
        </w:tc>
        <w:tc>
          <w:tcPr>
            <w:tcW w:w="1581" w:type="dxa"/>
            <w:noWrap w:val="0"/>
            <w:vAlign w:val="center"/>
          </w:tcPr>
          <w:p w14:paraId="4AC4454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投标人确认收到招标文件澄清</w:t>
            </w:r>
          </w:p>
        </w:tc>
        <w:tc>
          <w:tcPr>
            <w:tcW w:w="7229" w:type="dxa"/>
            <w:noWrap w:val="0"/>
            <w:vAlign w:val="center"/>
          </w:tcPr>
          <w:p w14:paraId="375AA2DD">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rPr>
            </w:pPr>
            <w:r>
              <w:rPr>
                <w:rFonts w:hint="default" w:ascii="楷体" w:hAnsi="楷体" w:eastAsia="仿宋" w:cs="Calibri"/>
                <w:sz w:val="24"/>
              </w:rPr>
              <w:t>在</w:t>
            </w:r>
            <w:r>
              <w:rPr>
                <w:rFonts w:hint="eastAsia" w:ascii="楷体" w:hAnsi="楷体" w:eastAsia="仿宋" w:cs="Calibri"/>
                <w:sz w:val="24"/>
              </w:rPr>
              <w:t>优质采云采购平台</w:t>
            </w:r>
            <w:r>
              <w:rPr>
                <w:rFonts w:hint="default" w:ascii="楷体" w:hAnsi="楷体" w:eastAsia="仿宋" w:cs="Calibri"/>
                <w:sz w:val="24"/>
              </w:rPr>
              <w:t>发布</w:t>
            </w:r>
            <w:r>
              <w:rPr>
                <w:rFonts w:hint="eastAsia" w:ascii="楷体" w:hAnsi="楷体" w:eastAsia="仿宋" w:cs="Calibri"/>
                <w:sz w:val="24"/>
              </w:rPr>
              <w:t>，投标人应主动上网查询，无需投标人书面确认。投标人未及时关注相关信息的，其责任自负。</w:t>
            </w:r>
          </w:p>
          <w:p w14:paraId="4CE1DA4F">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楷体" w:hAnsi="楷体" w:eastAsia="仿宋" w:cs="Calibri"/>
                <w:sz w:val="24"/>
              </w:rPr>
              <w:t>对招标文件进行的澄清或修改，通过其他方式发布的，投标人收到澄清、修改通知后</w:t>
            </w:r>
            <w:r>
              <w:rPr>
                <w:rFonts w:hint="eastAsia" w:ascii="楷体" w:hAnsi="楷体" w:eastAsia="仿宋" w:cs="Calibri"/>
                <w:sz w:val="24"/>
                <w:u w:val="single"/>
              </w:rPr>
              <w:t xml:space="preserve"> 24小时 </w:t>
            </w:r>
            <w:r>
              <w:rPr>
                <w:rFonts w:hint="eastAsia" w:ascii="楷体" w:hAnsi="楷体" w:eastAsia="仿宋" w:cs="Calibri"/>
                <w:sz w:val="24"/>
              </w:rPr>
              <w:t>内书面确认（以发出时间为准），逾期未确认的，视为投标人完整收到。</w:t>
            </w:r>
          </w:p>
        </w:tc>
      </w:tr>
      <w:tr w14:paraId="6985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D4B04E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2.3.1</w:t>
            </w:r>
          </w:p>
        </w:tc>
        <w:tc>
          <w:tcPr>
            <w:tcW w:w="1581" w:type="dxa"/>
            <w:noWrap w:val="0"/>
            <w:vAlign w:val="center"/>
          </w:tcPr>
          <w:p w14:paraId="3F23AB1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招标文件修改发出的形式</w:t>
            </w:r>
          </w:p>
        </w:tc>
        <w:tc>
          <w:tcPr>
            <w:tcW w:w="7229" w:type="dxa"/>
            <w:noWrap w:val="0"/>
            <w:vAlign w:val="center"/>
          </w:tcPr>
          <w:p w14:paraId="25B240C2">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Calibri"/>
                <w:sz w:val="24"/>
              </w:rPr>
            </w:pPr>
            <w:r>
              <w:rPr>
                <w:rFonts w:hint="eastAsia" w:ascii="楷体" w:hAnsi="楷体" w:eastAsia="仿宋" w:cs="Calibri"/>
                <w:sz w:val="24"/>
              </w:rPr>
              <w:t>同澄清发出形式的规定</w:t>
            </w:r>
          </w:p>
        </w:tc>
      </w:tr>
      <w:tr w14:paraId="0E6E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0B9B61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2.3.2</w:t>
            </w:r>
          </w:p>
        </w:tc>
        <w:tc>
          <w:tcPr>
            <w:tcW w:w="1581" w:type="dxa"/>
            <w:noWrap w:val="0"/>
            <w:vAlign w:val="center"/>
          </w:tcPr>
          <w:p w14:paraId="2EFA315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投标人确认收到招标文件修改</w:t>
            </w:r>
          </w:p>
        </w:tc>
        <w:tc>
          <w:tcPr>
            <w:tcW w:w="7229" w:type="dxa"/>
            <w:noWrap w:val="0"/>
            <w:vAlign w:val="center"/>
          </w:tcPr>
          <w:p w14:paraId="774FA8F1">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Calibri"/>
                <w:sz w:val="24"/>
              </w:rPr>
            </w:pPr>
            <w:r>
              <w:rPr>
                <w:rFonts w:hint="eastAsia" w:ascii="楷体" w:hAnsi="楷体" w:eastAsia="仿宋" w:cs="Calibri"/>
                <w:sz w:val="24"/>
              </w:rPr>
              <w:t>同确认收到澄清的规定</w:t>
            </w:r>
          </w:p>
        </w:tc>
      </w:tr>
      <w:tr w14:paraId="241B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B2C33E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2.4.1</w:t>
            </w:r>
          </w:p>
        </w:tc>
        <w:tc>
          <w:tcPr>
            <w:tcW w:w="1581" w:type="dxa"/>
            <w:noWrap w:val="0"/>
            <w:vAlign w:val="center"/>
          </w:tcPr>
          <w:p w14:paraId="44E1EE2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投标人对招标文件提出质疑的时间和形式</w:t>
            </w:r>
          </w:p>
        </w:tc>
        <w:tc>
          <w:tcPr>
            <w:tcW w:w="7229" w:type="dxa"/>
            <w:noWrap w:val="0"/>
            <w:vAlign w:val="center"/>
          </w:tcPr>
          <w:p w14:paraId="3D64CDC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u w:val="single"/>
              </w:rPr>
            </w:pPr>
            <w:r>
              <w:rPr>
                <w:rFonts w:hint="eastAsia" w:ascii="宋体" w:hAnsi="宋体" w:eastAsia="仿宋" w:cs="Calibri"/>
                <w:sz w:val="24"/>
              </w:rPr>
              <w:t>时间：</w:t>
            </w:r>
            <w:r>
              <w:rPr>
                <w:rFonts w:hint="eastAsia" w:ascii="楷体" w:hAnsi="楷体" w:eastAsia="仿宋" w:cs="Calibri"/>
                <w:sz w:val="24"/>
                <w:u w:val="single"/>
              </w:rPr>
              <w:t>收到招标文件之日或者招标文件公告期限届满之日起7个工作日内</w:t>
            </w:r>
          </w:p>
          <w:p w14:paraId="0AF24A6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形式：</w:t>
            </w:r>
            <w:r>
              <w:rPr>
                <w:rFonts w:hint="eastAsia" w:ascii="楷体" w:hAnsi="楷体" w:eastAsia="仿宋" w:cs="Calibri"/>
                <w:sz w:val="24"/>
                <w:u w:val="single"/>
              </w:rPr>
              <w:t>见本章第9.2款规定</w:t>
            </w:r>
          </w:p>
        </w:tc>
      </w:tr>
      <w:tr w14:paraId="4CE9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2097D2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3.1.1</w:t>
            </w:r>
          </w:p>
        </w:tc>
        <w:tc>
          <w:tcPr>
            <w:tcW w:w="1581" w:type="dxa"/>
            <w:noWrap w:val="0"/>
            <w:vAlign w:val="center"/>
          </w:tcPr>
          <w:p w14:paraId="18C6988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构成投标文件的其他资料</w:t>
            </w:r>
          </w:p>
        </w:tc>
        <w:tc>
          <w:tcPr>
            <w:tcW w:w="7229" w:type="dxa"/>
            <w:noWrap w:val="0"/>
            <w:vAlign w:val="center"/>
          </w:tcPr>
          <w:p w14:paraId="1CE1FBEA">
            <w:pPr>
              <w:keepNext w:val="0"/>
              <w:keepLines w:val="0"/>
              <w:suppressLineNumbers w:val="0"/>
              <w:adjustRightInd w:val="0"/>
              <w:snapToGrid w:val="0"/>
              <w:spacing w:before="0" w:beforeAutospacing="0" w:after="0" w:afterAutospacing="0" w:line="288" w:lineRule="auto"/>
              <w:ind w:left="0" w:right="0"/>
              <w:rPr>
                <w:rFonts w:hint="eastAsia" w:ascii="Calibri" w:hAnsi="Calibri" w:cs="Times New Roman"/>
                <w:sz w:val="24"/>
              </w:rPr>
            </w:pPr>
            <w:r>
              <w:rPr>
                <w:rFonts w:hint="eastAsia" w:ascii="楷体" w:hAnsi="楷体" w:eastAsia="楷体" w:cs="Times New Roman"/>
                <w:i/>
                <w:sz w:val="24"/>
              </w:rPr>
              <w:t>/</w:t>
            </w:r>
          </w:p>
        </w:tc>
      </w:tr>
      <w:tr w14:paraId="1B9D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09" w:hRule="atLeast"/>
        </w:trPr>
        <w:tc>
          <w:tcPr>
            <w:tcW w:w="857" w:type="dxa"/>
            <w:noWrap w:val="0"/>
            <w:vAlign w:val="center"/>
          </w:tcPr>
          <w:p w14:paraId="0EF610A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3.1.4</w:t>
            </w:r>
          </w:p>
        </w:tc>
        <w:tc>
          <w:tcPr>
            <w:tcW w:w="1581" w:type="dxa"/>
            <w:noWrap w:val="0"/>
            <w:vAlign w:val="center"/>
          </w:tcPr>
          <w:p w14:paraId="628BC37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样品</w:t>
            </w:r>
          </w:p>
        </w:tc>
        <w:tc>
          <w:tcPr>
            <w:tcW w:w="7229" w:type="dxa"/>
            <w:noWrap w:val="0"/>
            <w:vAlign w:val="center"/>
          </w:tcPr>
          <w:p w14:paraId="741EADE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sz w:val="24"/>
              </w:rPr>
            </w:pPr>
            <w:r>
              <w:rPr>
                <w:rFonts w:hint="eastAsia" w:ascii="宋体" w:hAnsi="宋体" w:eastAsia="仿宋" w:cs="Times New Roman"/>
                <w:b/>
                <w:bCs/>
                <w:sz w:val="24"/>
              </w:rPr>
              <w:t>是否要求投标人提交样品：</w:t>
            </w:r>
          </w:p>
          <w:p w14:paraId="74DA2029">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sz w:val="24"/>
              </w:rPr>
            </w:pPr>
            <w:r>
              <w:rPr>
                <w:rFonts w:hint="eastAsia" w:ascii="宋体" w:hAnsi="宋体" w:eastAsia="仿宋" w:cs="Calibri"/>
                <w:sz w:val="24"/>
              </w:rPr>
              <w:sym w:font="Wingdings 2" w:char="0052"/>
            </w:r>
            <w:r>
              <w:rPr>
                <w:rFonts w:hint="eastAsia" w:ascii="宋体" w:hAnsi="宋体" w:eastAsia="仿宋" w:cs="Calibri"/>
                <w:sz w:val="24"/>
              </w:rPr>
              <w:t>否</w:t>
            </w:r>
          </w:p>
          <w:p w14:paraId="3B9DB8C0">
            <w:pPr>
              <w:keepNext w:val="0"/>
              <w:keepLines w:val="0"/>
              <w:widowControl/>
              <w:suppressLineNumbers w:val="0"/>
              <w:adjustRightInd w:val="0"/>
              <w:snapToGrid w:val="0"/>
              <w:spacing w:before="0" w:beforeAutospacing="0" w:after="0" w:afterAutospacing="0" w:line="288" w:lineRule="auto"/>
              <w:ind w:left="0" w:right="0"/>
              <w:rPr>
                <w:rFonts w:hint="default" w:ascii="仿宋" w:hAnsi="仿宋" w:eastAsia="仿宋" w:cs="仿宋"/>
                <w:sz w:val="24"/>
                <w:lang w:bidi="ar"/>
              </w:rPr>
            </w:pPr>
            <w:r>
              <w:rPr>
                <w:rFonts w:hint="eastAsia" w:ascii="宋体" w:hAnsi="宋体" w:eastAsia="仿宋" w:cs="Calibri"/>
                <w:sz w:val="24"/>
              </w:rPr>
              <w:t>□是，提交样品的具体要求：</w:t>
            </w:r>
          </w:p>
        </w:tc>
      </w:tr>
      <w:tr w14:paraId="35F1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5A77DE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3.2.1</w:t>
            </w:r>
          </w:p>
        </w:tc>
        <w:tc>
          <w:tcPr>
            <w:tcW w:w="1581" w:type="dxa"/>
            <w:noWrap w:val="0"/>
            <w:vAlign w:val="center"/>
          </w:tcPr>
          <w:p w14:paraId="10DAB56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投标报价包括的内容</w:t>
            </w:r>
          </w:p>
        </w:tc>
        <w:tc>
          <w:tcPr>
            <w:tcW w:w="7229" w:type="dxa"/>
            <w:noWrap w:val="0"/>
            <w:vAlign w:val="center"/>
          </w:tcPr>
          <w:p w14:paraId="24D3AE88">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bCs/>
                <w:sz w:val="24"/>
              </w:rPr>
            </w:pPr>
            <w:r>
              <w:rPr>
                <w:rFonts w:hint="eastAsia" w:ascii="楷体" w:hAnsi="楷体" w:eastAsia="仿宋" w:cs="Calibri"/>
                <w:sz w:val="24"/>
              </w:rPr>
              <w:t>投标报价</w:t>
            </w:r>
            <w:r>
              <w:rPr>
                <w:rFonts w:hint="default" w:ascii="楷体" w:hAnsi="楷体" w:eastAsia="仿宋" w:cs="Times New Roman"/>
                <w:sz w:val="24"/>
              </w:rPr>
              <w:t>包括货物从设计、采购、制造、交货（包括运输至采购人指定地点卸车就位）至验收和售后服务的一切费用（如设计费、采购费、制造费、试验检测费、包装费、运输保险费、运输费、装卸费、验收费、其他技术服务及质保期服务费等）、管理费、利润和税金，以及</w:t>
            </w:r>
            <w:r>
              <w:rPr>
                <w:rFonts w:hint="eastAsia" w:ascii="楷体" w:hAnsi="楷体" w:eastAsia="仿宋" w:cs="Times New Roman"/>
                <w:sz w:val="24"/>
              </w:rPr>
              <w:t>采购</w:t>
            </w:r>
            <w:r>
              <w:rPr>
                <w:rFonts w:hint="default" w:ascii="楷体" w:hAnsi="楷体" w:eastAsia="仿宋" w:cs="Times New Roman"/>
                <w:sz w:val="24"/>
              </w:rPr>
              <w:t>合同中明示或暗示的所有责任、义务和风险。</w:t>
            </w:r>
          </w:p>
        </w:tc>
      </w:tr>
      <w:tr w14:paraId="391C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887F3A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3.2.5</w:t>
            </w:r>
          </w:p>
        </w:tc>
        <w:tc>
          <w:tcPr>
            <w:tcW w:w="1581" w:type="dxa"/>
            <w:noWrap w:val="0"/>
            <w:vAlign w:val="center"/>
          </w:tcPr>
          <w:p w14:paraId="564B1B0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最高限价</w:t>
            </w:r>
          </w:p>
        </w:tc>
        <w:tc>
          <w:tcPr>
            <w:tcW w:w="7229" w:type="dxa"/>
            <w:noWrap w:val="0"/>
            <w:vAlign w:val="center"/>
          </w:tcPr>
          <w:p w14:paraId="00C6D549">
            <w:pPr>
              <w:keepNext w:val="0"/>
              <w:keepLines w:val="0"/>
              <w:suppressLineNumbers w:val="0"/>
              <w:snapToGrid w:val="0"/>
              <w:spacing w:before="0" w:beforeAutospacing="0" w:after="0" w:afterAutospacing="0" w:line="288" w:lineRule="auto"/>
              <w:ind w:left="0" w:right="0"/>
              <w:rPr>
                <w:rFonts w:hint="default" w:ascii="宋体" w:hAnsi="宋体" w:eastAsia="仿宋" w:cs="Calibri"/>
                <w:sz w:val="24"/>
              </w:rPr>
            </w:pPr>
            <w:r>
              <w:rPr>
                <w:rFonts w:hint="default" w:ascii="宋体" w:hAnsi="宋体" w:eastAsia="仿宋" w:cs="Times New Roman"/>
                <w:sz w:val="24"/>
              </w:rPr>
              <w:t>采购包最高限价：</w:t>
            </w:r>
            <w:r>
              <w:rPr>
                <w:rFonts w:hint="eastAsia" w:ascii="宋体" w:hAnsi="宋体" w:eastAsia="仿宋" w:cs="Times New Roman"/>
                <w:sz w:val="24"/>
              </w:rPr>
              <w:t xml:space="preserve">01包：35万元,02包：26.7万元，具体详见采购需求；    </w:t>
            </w:r>
          </w:p>
        </w:tc>
      </w:tr>
      <w:tr w14:paraId="426E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4F1EC9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3.2.6</w:t>
            </w:r>
          </w:p>
        </w:tc>
        <w:tc>
          <w:tcPr>
            <w:tcW w:w="1581" w:type="dxa"/>
            <w:noWrap w:val="0"/>
            <w:vAlign w:val="center"/>
          </w:tcPr>
          <w:p w14:paraId="6F61CF3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投标报价的其他要求</w:t>
            </w:r>
          </w:p>
        </w:tc>
        <w:tc>
          <w:tcPr>
            <w:tcW w:w="7229" w:type="dxa"/>
            <w:noWrap w:val="0"/>
            <w:vAlign w:val="center"/>
          </w:tcPr>
          <w:p w14:paraId="1A21115C">
            <w:pPr>
              <w:pStyle w:val="170"/>
              <w:keepNext w:val="0"/>
              <w:keepLines w:val="0"/>
              <w:suppressLineNumbers w:val="0"/>
              <w:snapToGrid w:val="0"/>
              <w:spacing w:before="0" w:beforeAutospacing="0" w:after="0" w:afterAutospacing="0" w:line="240" w:lineRule="auto"/>
              <w:ind w:left="0" w:right="0"/>
              <w:rPr>
                <w:rFonts w:hint="eastAsia" w:ascii="楷体" w:hAnsi="楷体" w:eastAsia="仿宋" w:cs="Times New Roman"/>
                <w:b w:val="0"/>
                <w:color w:val="auto"/>
                <w:sz w:val="24"/>
                <w:szCs w:val="24"/>
              </w:rPr>
            </w:pPr>
            <w:r>
              <w:rPr>
                <w:rFonts w:hint="eastAsia" w:ascii="楷体" w:hAnsi="楷体" w:eastAsia="仿宋" w:cs="Times New Roman"/>
                <w:b w:val="0"/>
                <w:color w:val="auto"/>
                <w:sz w:val="24"/>
                <w:szCs w:val="24"/>
              </w:rPr>
              <w:sym w:font="Wingdings 2" w:char="0052"/>
            </w:r>
            <w:r>
              <w:rPr>
                <w:rFonts w:hint="eastAsia" w:ascii="楷体" w:hAnsi="楷体" w:eastAsia="仿宋" w:cs="Times New Roman"/>
                <w:b w:val="0"/>
                <w:color w:val="auto"/>
                <w:sz w:val="24"/>
                <w:szCs w:val="24"/>
              </w:rPr>
              <w:t>除招标文件另有规定外，投标人所报的价格在合同执行过程中固定不变,不得以任何理由予以变更。</w:t>
            </w:r>
          </w:p>
          <w:p w14:paraId="3CD5A6BE">
            <w:pPr>
              <w:pStyle w:val="170"/>
              <w:keepNext w:val="0"/>
              <w:keepLines w:val="0"/>
              <w:suppressLineNumbers w:val="0"/>
              <w:tabs>
                <w:tab w:val="left" w:pos="2149"/>
              </w:tabs>
              <w:snapToGrid w:val="0"/>
              <w:spacing w:before="0" w:beforeAutospacing="0" w:after="0" w:afterAutospacing="0" w:line="240" w:lineRule="auto"/>
              <w:ind w:left="0" w:right="0"/>
              <w:rPr>
                <w:rFonts w:hint="eastAsia" w:hAnsi="宋体" w:cs="Times New Roman"/>
                <w:bCs/>
                <w:color w:val="auto"/>
                <w:sz w:val="24"/>
                <w:szCs w:val="24"/>
              </w:rPr>
            </w:pPr>
            <w:r>
              <w:rPr>
                <w:rFonts w:hint="eastAsia" w:ascii="楷体" w:hAnsi="楷体" w:eastAsia="仿宋" w:cs="Times New Roman"/>
                <w:b w:val="0"/>
                <w:color w:val="auto"/>
                <w:sz w:val="24"/>
                <w:szCs w:val="24"/>
              </w:rPr>
              <w:t>□采购</w:t>
            </w:r>
            <w:r>
              <w:rPr>
                <w:rFonts w:hint="default" w:ascii="楷体" w:hAnsi="楷体" w:eastAsia="仿宋" w:cs="Times New Roman"/>
                <w:b w:val="0"/>
                <w:color w:val="auto"/>
                <w:sz w:val="24"/>
                <w:szCs w:val="24"/>
              </w:rPr>
              <w:t>人在“</w:t>
            </w:r>
            <w:r>
              <w:rPr>
                <w:rFonts w:hint="eastAsia" w:ascii="楷体" w:hAnsi="楷体" w:eastAsia="仿宋" w:cs="Times New Roman"/>
                <w:b w:val="0"/>
                <w:color w:val="auto"/>
                <w:sz w:val="24"/>
                <w:szCs w:val="24"/>
              </w:rPr>
              <w:t>采购需求</w:t>
            </w:r>
            <w:r>
              <w:rPr>
                <w:rFonts w:hint="default" w:ascii="楷体" w:hAnsi="楷体" w:eastAsia="仿宋" w:cs="Times New Roman"/>
                <w:b w:val="0"/>
                <w:color w:val="auto"/>
                <w:sz w:val="24"/>
                <w:szCs w:val="24"/>
              </w:rPr>
              <w:t>”中所提供的各种货物的数量是计划采购数量，仅作为投标报价的依据，不作为最终结算与支付的依据。在合同实施期间，</w:t>
            </w:r>
            <w:r>
              <w:rPr>
                <w:rFonts w:hint="eastAsia" w:ascii="楷体" w:hAnsi="楷体" w:eastAsia="仿宋" w:cs="Times New Roman"/>
                <w:b w:val="0"/>
                <w:color w:val="auto"/>
                <w:sz w:val="24"/>
                <w:szCs w:val="24"/>
              </w:rPr>
              <w:t>采购人可以按照政府采购政策规定对</w:t>
            </w:r>
            <w:r>
              <w:rPr>
                <w:rFonts w:hint="default" w:ascii="楷体" w:hAnsi="楷体" w:eastAsia="仿宋" w:cs="Times New Roman"/>
                <w:b w:val="0"/>
                <w:color w:val="auto"/>
                <w:sz w:val="24"/>
                <w:szCs w:val="24"/>
              </w:rPr>
              <w:t>货物数量适当增减。投标人不得以货物的实际供货数量有变化为理由</w:t>
            </w:r>
            <w:r>
              <w:rPr>
                <w:rFonts w:hint="eastAsia" w:ascii="楷体" w:hAnsi="楷体" w:eastAsia="仿宋" w:cs="Times New Roman"/>
                <w:b w:val="0"/>
                <w:color w:val="auto"/>
                <w:sz w:val="24"/>
                <w:szCs w:val="24"/>
              </w:rPr>
              <w:t>要求</w:t>
            </w:r>
            <w:r>
              <w:rPr>
                <w:rFonts w:hint="default" w:ascii="楷体" w:hAnsi="楷体" w:eastAsia="仿宋" w:cs="Times New Roman"/>
                <w:b w:val="0"/>
                <w:color w:val="auto"/>
                <w:sz w:val="24"/>
                <w:szCs w:val="24"/>
              </w:rPr>
              <w:t>对各种货物的单价进行变更。</w:t>
            </w:r>
          </w:p>
        </w:tc>
      </w:tr>
      <w:tr w14:paraId="56C9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1C6A21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3.3.1</w:t>
            </w:r>
          </w:p>
        </w:tc>
        <w:tc>
          <w:tcPr>
            <w:tcW w:w="1581" w:type="dxa"/>
            <w:noWrap w:val="0"/>
            <w:vAlign w:val="center"/>
          </w:tcPr>
          <w:p w14:paraId="00E7E63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投标有效期</w:t>
            </w:r>
          </w:p>
        </w:tc>
        <w:tc>
          <w:tcPr>
            <w:tcW w:w="7229" w:type="dxa"/>
            <w:noWrap w:val="0"/>
            <w:vAlign w:val="center"/>
          </w:tcPr>
          <w:p w14:paraId="53B0AE83">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rPr>
            </w:pPr>
            <w:r>
              <w:rPr>
                <w:rFonts w:hint="default" w:ascii="宋体" w:hAnsi="宋体" w:eastAsia="仿宋" w:cs="Calibri"/>
                <w:sz w:val="24"/>
                <w:u w:val="single"/>
              </w:rPr>
              <w:t xml:space="preserve">  </w:t>
            </w:r>
            <w:r>
              <w:rPr>
                <w:rFonts w:hint="eastAsia" w:ascii="宋体" w:hAnsi="宋体" w:eastAsia="仿宋" w:cs="Calibri"/>
                <w:sz w:val="24"/>
                <w:u w:val="single"/>
              </w:rPr>
              <w:t>90</w:t>
            </w:r>
            <w:r>
              <w:rPr>
                <w:rFonts w:hint="default" w:ascii="宋体" w:hAnsi="宋体" w:eastAsia="仿宋" w:cs="Calibri"/>
                <w:sz w:val="24"/>
                <w:u w:val="single"/>
              </w:rPr>
              <w:t xml:space="preserve">  </w:t>
            </w:r>
            <w:r>
              <w:rPr>
                <w:rFonts w:hint="eastAsia" w:ascii="宋体" w:hAnsi="宋体" w:eastAsia="仿宋" w:cs="Calibri"/>
                <w:sz w:val="24"/>
              </w:rPr>
              <w:t>日历天</w:t>
            </w:r>
            <w:r>
              <w:rPr>
                <w:rFonts w:hint="eastAsia" w:ascii="宋体" w:hAnsi="宋体" w:eastAsia="仿宋" w:cs="Times New Roman"/>
                <w:sz w:val="24"/>
              </w:rPr>
              <w:t>（从投标截止之日算起）</w:t>
            </w:r>
          </w:p>
        </w:tc>
      </w:tr>
      <w:tr w14:paraId="7F29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CC2BE4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3.4.1</w:t>
            </w:r>
          </w:p>
        </w:tc>
        <w:tc>
          <w:tcPr>
            <w:tcW w:w="1581" w:type="dxa"/>
            <w:noWrap w:val="0"/>
            <w:vAlign w:val="center"/>
          </w:tcPr>
          <w:p w14:paraId="479C974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投标保证金</w:t>
            </w:r>
          </w:p>
        </w:tc>
        <w:tc>
          <w:tcPr>
            <w:tcW w:w="7229" w:type="dxa"/>
            <w:noWrap w:val="0"/>
            <w:vAlign w:val="center"/>
          </w:tcPr>
          <w:p w14:paraId="487B716E">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default" w:ascii="宋体" w:hAnsi="宋体" w:eastAsia="方正仿宋_GB2312" w:cs="Times New Roman"/>
                <w:i/>
                <w:sz w:val="24"/>
              </w:rPr>
            </w:pPr>
            <w:r>
              <w:rPr>
                <w:rFonts w:hint="eastAsia" w:ascii="Calibri" w:hAnsi="Calibri" w:eastAsia="仿宋" w:cs="Times New Roman"/>
                <w:sz w:val="24"/>
              </w:rPr>
              <w:t>是否要求投标人提交投标保证金：不要求。</w:t>
            </w:r>
          </w:p>
        </w:tc>
      </w:tr>
      <w:tr w14:paraId="3E20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936BD2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3.4.5</w:t>
            </w:r>
          </w:p>
        </w:tc>
        <w:tc>
          <w:tcPr>
            <w:tcW w:w="1581" w:type="dxa"/>
            <w:noWrap w:val="0"/>
            <w:vAlign w:val="center"/>
          </w:tcPr>
          <w:p w14:paraId="261F318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其他可以不予退还投标保证金的情形</w:t>
            </w:r>
          </w:p>
        </w:tc>
        <w:tc>
          <w:tcPr>
            <w:tcW w:w="7229" w:type="dxa"/>
            <w:noWrap w:val="0"/>
            <w:vAlign w:val="center"/>
          </w:tcPr>
          <w:p w14:paraId="4765C91F">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Calibri" w:hAnsi="Calibri" w:cs="Times New Roman"/>
                <w:sz w:val="24"/>
              </w:rPr>
            </w:pPr>
            <w:r>
              <w:rPr>
                <w:rFonts w:hint="eastAsia" w:ascii="楷体" w:hAnsi="楷体" w:eastAsia="楷体" w:cs="Times New Roman"/>
                <w:i/>
                <w:sz w:val="24"/>
              </w:rPr>
              <w:t>/</w:t>
            </w:r>
          </w:p>
        </w:tc>
      </w:tr>
      <w:tr w14:paraId="5C68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CFE03B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3.5.2</w:t>
            </w:r>
          </w:p>
        </w:tc>
        <w:tc>
          <w:tcPr>
            <w:tcW w:w="1581" w:type="dxa"/>
            <w:noWrap w:val="0"/>
            <w:vAlign w:val="center"/>
          </w:tcPr>
          <w:p w14:paraId="3A6F600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近年财务状况的要求</w:t>
            </w:r>
          </w:p>
        </w:tc>
        <w:tc>
          <w:tcPr>
            <w:tcW w:w="7229" w:type="dxa"/>
            <w:noWrap w:val="0"/>
            <w:vAlign w:val="center"/>
          </w:tcPr>
          <w:p w14:paraId="066D16D6">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Calibri"/>
                <w:sz w:val="24"/>
              </w:rPr>
            </w:pPr>
            <w:r>
              <w:rPr>
                <w:rFonts w:hint="eastAsia" w:ascii="楷体" w:hAnsi="楷体" w:eastAsia="仿宋" w:cs="Arial"/>
                <w:sz w:val="24"/>
              </w:rPr>
              <w:t>按第四章资格审查和评标办法规定</w:t>
            </w:r>
          </w:p>
        </w:tc>
      </w:tr>
      <w:tr w14:paraId="04BD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D0EF23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3.5.3</w:t>
            </w:r>
          </w:p>
        </w:tc>
        <w:tc>
          <w:tcPr>
            <w:tcW w:w="1581" w:type="dxa"/>
            <w:noWrap w:val="0"/>
            <w:vAlign w:val="center"/>
          </w:tcPr>
          <w:p w14:paraId="6C1C880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Arial"/>
                <w:sz w:val="24"/>
              </w:rPr>
              <w:t>近年类似项目的要求</w:t>
            </w:r>
          </w:p>
        </w:tc>
        <w:tc>
          <w:tcPr>
            <w:tcW w:w="7229" w:type="dxa"/>
            <w:noWrap w:val="0"/>
            <w:vAlign w:val="center"/>
          </w:tcPr>
          <w:p w14:paraId="168E696F">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Calibri"/>
                <w:sz w:val="24"/>
              </w:rPr>
            </w:pPr>
            <w:r>
              <w:rPr>
                <w:rFonts w:hint="eastAsia" w:ascii="楷体" w:hAnsi="楷体" w:eastAsia="仿宋" w:cs="Arial"/>
                <w:sz w:val="24"/>
              </w:rPr>
              <w:t>按第四章资格审查和评标办法规定</w:t>
            </w:r>
          </w:p>
        </w:tc>
      </w:tr>
      <w:tr w14:paraId="6009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CAAE2A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3.6.1</w:t>
            </w:r>
          </w:p>
        </w:tc>
        <w:tc>
          <w:tcPr>
            <w:tcW w:w="1581" w:type="dxa"/>
            <w:noWrap w:val="0"/>
            <w:vAlign w:val="center"/>
          </w:tcPr>
          <w:p w14:paraId="17F199D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是否允许递交备选投标方案</w:t>
            </w:r>
          </w:p>
        </w:tc>
        <w:tc>
          <w:tcPr>
            <w:tcW w:w="7229" w:type="dxa"/>
            <w:noWrap w:val="0"/>
            <w:vAlign w:val="center"/>
          </w:tcPr>
          <w:p w14:paraId="735EBD4B">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sz w:val="24"/>
              </w:rPr>
            </w:pPr>
            <w:r>
              <w:rPr>
                <w:rFonts w:hint="eastAsia" w:ascii="宋体" w:hAnsi="宋体" w:eastAsia="仿宋" w:cs="Calibri"/>
                <w:sz w:val="24"/>
              </w:rPr>
              <w:sym w:font="Wingdings 2" w:char="0052"/>
            </w:r>
            <w:r>
              <w:rPr>
                <w:rFonts w:hint="eastAsia" w:ascii="宋体" w:hAnsi="宋体" w:eastAsia="仿宋" w:cs="Calibri"/>
                <w:sz w:val="24"/>
              </w:rPr>
              <w:t>不允许</w:t>
            </w:r>
          </w:p>
          <w:p w14:paraId="4434FBD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u w:val="single"/>
              </w:rPr>
            </w:pPr>
            <w:r>
              <w:rPr>
                <w:rFonts w:hint="eastAsia" w:ascii="宋体" w:hAnsi="宋体" w:eastAsia="仿宋" w:cs="Calibri"/>
                <w:sz w:val="24"/>
              </w:rPr>
              <w:t>□允许，并满足以下条件：</w:t>
            </w:r>
          </w:p>
        </w:tc>
      </w:tr>
      <w:tr w14:paraId="12C4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739901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3.7.4（1）</w:t>
            </w:r>
          </w:p>
        </w:tc>
        <w:tc>
          <w:tcPr>
            <w:tcW w:w="1581" w:type="dxa"/>
            <w:noWrap w:val="0"/>
            <w:vAlign w:val="center"/>
          </w:tcPr>
          <w:p w14:paraId="094D423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投标文件编制</w:t>
            </w:r>
          </w:p>
        </w:tc>
        <w:tc>
          <w:tcPr>
            <w:tcW w:w="7229" w:type="dxa"/>
            <w:noWrap w:val="0"/>
            <w:vAlign w:val="center"/>
          </w:tcPr>
          <w:p w14:paraId="2C5A535B">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t>本招标项目采用全流程电子化招投标方式，须投标人制作电子投标文件；投标文件制作工具下载地址：</w:t>
            </w:r>
          </w:p>
          <w:p w14:paraId="36EC7832">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仿宋" w:cs="Calibri"/>
                <w:sz w:val="24"/>
              </w:rPr>
            </w:pPr>
            <w:r>
              <w:rPr>
                <w:rFonts w:hint="default" w:ascii="楷体" w:hAnsi="楷体" w:eastAsia="仿宋" w:cs="Calibri"/>
                <w:sz w:val="24"/>
              </w:rPr>
              <w:t>http://toolcdn.youzhicai.com/tools/BidderTools.zip</w:t>
            </w:r>
            <w:r>
              <w:rPr>
                <w:rFonts w:hint="eastAsia" w:ascii="楷体" w:hAnsi="楷体" w:eastAsia="仿宋" w:cs="Calibri"/>
                <w:sz w:val="24"/>
              </w:rPr>
              <w:t>，</w:t>
            </w:r>
          </w:p>
          <w:p w14:paraId="13E973A0">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t>投标文件制作工具使用说明书及视频教程下载地址:</w:t>
            </w:r>
          </w:p>
          <w:p w14:paraId="43762BCA">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sz w:val="24"/>
              </w:rPr>
            </w:pPr>
            <w:r>
              <w:rPr>
                <w:rFonts w:hint="eastAsia" w:ascii="楷体" w:hAnsi="楷体" w:eastAsia="仿宋" w:cs="Calibri"/>
                <w:sz w:val="24"/>
              </w:rPr>
              <w:t>http://file.youzhicai.com/files/BidderHelp.rar。</w:t>
            </w:r>
          </w:p>
        </w:tc>
      </w:tr>
      <w:tr w14:paraId="701D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A16D3C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3.7.4（3）</w:t>
            </w:r>
          </w:p>
        </w:tc>
        <w:tc>
          <w:tcPr>
            <w:tcW w:w="1581" w:type="dxa"/>
            <w:noWrap w:val="0"/>
            <w:vAlign w:val="center"/>
          </w:tcPr>
          <w:p w14:paraId="2611147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投标文件所附证书证件要求</w:t>
            </w:r>
          </w:p>
        </w:tc>
        <w:tc>
          <w:tcPr>
            <w:tcW w:w="7229" w:type="dxa"/>
            <w:noWrap w:val="0"/>
            <w:vAlign w:val="center"/>
          </w:tcPr>
          <w:p w14:paraId="76FC59AC">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Times New Roman"/>
                <w:bCs/>
                <w:sz w:val="24"/>
              </w:rPr>
            </w:pPr>
            <w:r>
              <w:rPr>
                <w:rFonts w:hint="eastAsia" w:ascii="楷体" w:hAnsi="楷体" w:eastAsia="仿宋" w:cs="Calibri"/>
                <w:sz w:val="24"/>
              </w:rPr>
              <w:t>电子投标文件所附证书证件均应为投标人证书证件的原件扫描件</w:t>
            </w:r>
          </w:p>
        </w:tc>
      </w:tr>
      <w:tr w14:paraId="2130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01FE8E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3.7.4（5）</w:t>
            </w:r>
          </w:p>
        </w:tc>
        <w:tc>
          <w:tcPr>
            <w:tcW w:w="1581" w:type="dxa"/>
            <w:noWrap w:val="0"/>
            <w:vAlign w:val="center"/>
          </w:tcPr>
          <w:p w14:paraId="69ACFCE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投标文件份数及其他要求</w:t>
            </w:r>
          </w:p>
        </w:tc>
        <w:tc>
          <w:tcPr>
            <w:tcW w:w="7229" w:type="dxa"/>
            <w:noWrap w:val="0"/>
            <w:vAlign w:val="center"/>
          </w:tcPr>
          <w:p w14:paraId="21D9091E">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投标人应提交的投标文件：</w:t>
            </w:r>
          </w:p>
          <w:p w14:paraId="08C51CD7">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t>（1）加密的电子投标文件：使用优质采云采购平台电子标书制作工具制作生成的加密投标文件，应在投标截止时间前通过</w:t>
            </w:r>
            <w:r>
              <w:rPr>
                <w:rFonts w:hint="eastAsia" w:ascii="楷体" w:hAnsi="楷体" w:eastAsia="仿宋" w:cs="Microsoft JhengHei"/>
                <w:kern w:val="0"/>
                <w:sz w:val="24"/>
              </w:rPr>
              <w:t>优质采云采购平台</w:t>
            </w:r>
            <w:r>
              <w:rPr>
                <w:rFonts w:hint="eastAsia" w:ascii="楷体" w:hAnsi="楷体" w:eastAsia="仿宋" w:cs="Calibri"/>
                <w:sz w:val="24"/>
              </w:rPr>
              <w:t>会员系统上传；</w:t>
            </w:r>
          </w:p>
          <w:p w14:paraId="3371C977">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t>（2）未加密的电子投标文件：生成加密投标文件时同时生成的版本，提供1份（光盘或U盘介质，格式为bzc格式），可密封提交（投标人自行确定是否提交）；</w:t>
            </w:r>
          </w:p>
          <w:p w14:paraId="63F95EE4">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eastAsia="仿宋" w:cs="Calibri"/>
                <w:sz w:val="24"/>
              </w:rPr>
            </w:pPr>
            <w:r>
              <w:rPr>
                <w:rFonts w:hint="eastAsia" w:ascii="宋体" w:hAnsi="宋体" w:eastAsia="仿宋" w:cs="Calibri"/>
                <w:sz w:val="24"/>
              </w:rPr>
              <w:t>投标文件如不一致时，按以下顺序确定其投标文件效力：</w:t>
            </w:r>
          </w:p>
          <w:p w14:paraId="468F7EFD">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仿宋" w:cs="Calibri"/>
                <w:sz w:val="24"/>
              </w:rPr>
            </w:pPr>
            <w:r>
              <w:rPr>
                <w:rFonts w:hint="eastAsia" w:ascii="楷体" w:hAnsi="楷体" w:eastAsia="仿宋" w:cs="Calibri"/>
                <w:sz w:val="24"/>
              </w:rPr>
              <w:t>（1）加密的电子投标文件；</w:t>
            </w:r>
          </w:p>
          <w:p w14:paraId="38983231">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Calibri"/>
                <w:sz w:val="24"/>
              </w:rPr>
            </w:pPr>
            <w:r>
              <w:rPr>
                <w:rFonts w:hint="eastAsia" w:ascii="楷体" w:hAnsi="楷体" w:eastAsia="仿宋" w:cs="Calibri"/>
                <w:sz w:val="24"/>
              </w:rPr>
              <w:t>（2）未加密的电子投标文件；</w:t>
            </w:r>
          </w:p>
        </w:tc>
      </w:tr>
      <w:tr w14:paraId="316E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1556AB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4.1.1</w:t>
            </w:r>
          </w:p>
        </w:tc>
        <w:tc>
          <w:tcPr>
            <w:tcW w:w="1581" w:type="dxa"/>
            <w:noWrap w:val="0"/>
            <w:vAlign w:val="center"/>
          </w:tcPr>
          <w:p w14:paraId="513EF9B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投标文件加密要求</w:t>
            </w:r>
          </w:p>
        </w:tc>
        <w:tc>
          <w:tcPr>
            <w:tcW w:w="7229" w:type="dxa"/>
            <w:noWrap w:val="0"/>
            <w:vAlign w:val="center"/>
          </w:tcPr>
          <w:p w14:paraId="69092526">
            <w:pPr>
              <w:keepNext w:val="0"/>
              <w:keepLines w:val="0"/>
              <w:widowControl/>
              <w:suppressLineNumbers w:val="0"/>
              <w:wordWrap w:val="0"/>
              <w:adjustRightInd w:val="0"/>
              <w:snapToGrid w:val="0"/>
              <w:spacing w:before="0" w:beforeAutospacing="0" w:after="0" w:afterAutospacing="0" w:line="288" w:lineRule="auto"/>
              <w:ind w:left="0" w:right="0"/>
              <w:rPr>
                <w:rFonts w:hint="eastAsia" w:ascii="楷体" w:hAnsi="楷体" w:eastAsia="楷体" w:cs="Calibri"/>
                <w:sz w:val="24"/>
              </w:rPr>
            </w:pPr>
            <w:r>
              <w:rPr>
                <w:rFonts w:hint="eastAsia" w:ascii="楷体" w:hAnsi="楷体" w:eastAsia="仿宋" w:cs="Calibri"/>
                <w:sz w:val="24"/>
              </w:rPr>
              <w:t>加密的电子投标文件需使用数字证书进行加密，详见</w:t>
            </w:r>
            <w:r>
              <w:rPr>
                <w:rFonts w:hint="default" w:ascii="楷体" w:hAnsi="楷体" w:eastAsia="仿宋" w:cs="Calibri"/>
                <w:sz w:val="24"/>
              </w:rPr>
              <w:t>http://www.youzhicai.com/HelpCenter/HelpCenterIndex</w:t>
            </w:r>
          </w:p>
        </w:tc>
      </w:tr>
      <w:tr w14:paraId="4C56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BA4742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4.1.2</w:t>
            </w:r>
          </w:p>
        </w:tc>
        <w:tc>
          <w:tcPr>
            <w:tcW w:w="1581" w:type="dxa"/>
            <w:noWrap w:val="0"/>
            <w:vAlign w:val="center"/>
          </w:tcPr>
          <w:p w14:paraId="451F0F8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投标文件封套应载明的信息</w:t>
            </w:r>
          </w:p>
        </w:tc>
        <w:tc>
          <w:tcPr>
            <w:tcW w:w="7229" w:type="dxa"/>
            <w:noWrap w:val="0"/>
            <w:vAlign w:val="center"/>
          </w:tcPr>
          <w:p w14:paraId="200EA3E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Arial"/>
                <w:sz w:val="24"/>
              </w:rPr>
            </w:pPr>
            <w:r>
              <w:rPr>
                <w:rFonts w:hint="eastAsia" w:ascii="宋体" w:hAnsi="宋体" w:eastAsia="仿宋" w:cs="Arial"/>
                <w:sz w:val="24"/>
              </w:rPr>
              <w:t>项目名称：</w:t>
            </w:r>
            <w:r>
              <w:rPr>
                <w:rFonts w:hint="eastAsia" w:ascii="宋体" w:hAnsi="宋体" w:eastAsia="仿宋" w:cs="Arial"/>
                <w:sz w:val="24"/>
                <w:u w:val="single"/>
              </w:rPr>
              <w:t xml:space="preserve">         </w:t>
            </w:r>
            <w:r>
              <w:rPr>
                <w:rFonts w:hint="eastAsia" w:ascii="宋体" w:hAnsi="宋体" w:eastAsia="仿宋" w:cs="Arial"/>
                <w:sz w:val="24"/>
              </w:rPr>
              <w:t>（多包投标的，还应注明包名称及包号）</w:t>
            </w:r>
          </w:p>
          <w:p w14:paraId="2ABCE1C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Arial"/>
                <w:sz w:val="24"/>
              </w:rPr>
            </w:pPr>
            <w:r>
              <w:rPr>
                <w:rFonts w:hint="eastAsia" w:ascii="宋体" w:hAnsi="宋体" w:eastAsia="仿宋" w:cs="Arial"/>
                <w:sz w:val="24"/>
              </w:rPr>
              <w:t>投标人名称：</w:t>
            </w:r>
            <w:r>
              <w:rPr>
                <w:rFonts w:hint="eastAsia" w:ascii="宋体" w:hAnsi="宋体" w:eastAsia="仿宋" w:cs="Arial"/>
                <w:sz w:val="24"/>
                <w:u w:val="single"/>
              </w:rPr>
              <w:t xml:space="preserve">       </w:t>
            </w:r>
            <w:r>
              <w:rPr>
                <w:rFonts w:hint="eastAsia" w:ascii="宋体" w:hAnsi="宋体" w:eastAsia="仿宋" w:cs="Arial"/>
                <w:sz w:val="24"/>
              </w:rPr>
              <w:t>（联合体投标的，注明牵头人名称）</w:t>
            </w:r>
          </w:p>
        </w:tc>
      </w:tr>
      <w:tr w14:paraId="2DAC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D64352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4.2.1</w:t>
            </w:r>
          </w:p>
        </w:tc>
        <w:tc>
          <w:tcPr>
            <w:tcW w:w="1581" w:type="dxa"/>
            <w:noWrap w:val="0"/>
            <w:vAlign w:val="center"/>
          </w:tcPr>
          <w:p w14:paraId="0D8F628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投标截止时间</w:t>
            </w:r>
          </w:p>
        </w:tc>
        <w:tc>
          <w:tcPr>
            <w:tcW w:w="7229" w:type="dxa"/>
            <w:noWrap w:val="0"/>
            <w:vAlign w:val="center"/>
          </w:tcPr>
          <w:p w14:paraId="23CF8B6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rPr>
            </w:pPr>
            <w:r>
              <w:rPr>
                <w:rFonts w:hint="eastAsia" w:ascii="宋体" w:hAnsi="宋体" w:eastAsia="仿宋" w:cs="Calibri"/>
                <w:sz w:val="24"/>
                <w:u w:val="single"/>
              </w:rPr>
              <w:t>2025</w:t>
            </w:r>
            <w:r>
              <w:rPr>
                <w:rFonts w:hint="eastAsia" w:ascii="宋体" w:hAnsi="宋体" w:eastAsia="仿宋" w:cs="Calibri"/>
                <w:sz w:val="24"/>
              </w:rPr>
              <w:t>年</w:t>
            </w:r>
            <w:r>
              <w:rPr>
                <w:rFonts w:hint="eastAsia" w:ascii="宋体" w:hAnsi="宋体" w:eastAsia="仿宋" w:cs="Calibri"/>
                <w:sz w:val="24"/>
                <w:u w:val="single"/>
              </w:rPr>
              <w:t xml:space="preserve">  </w:t>
            </w:r>
            <w:r>
              <w:rPr>
                <w:rFonts w:hint="eastAsia" w:ascii="宋体" w:hAnsi="宋体" w:eastAsia="仿宋" w:cs="Calibri"/>
                <w:sz w:val="24"/>
              </w:rPr>
              <w:t>月</w:t>
            </w:r>
            <w:r>
              <w:rPr>
                <w:rFonts w:hint="eastAsia" w:ascii="宋体" w:hAnsi="宋体" w:eastAsia="仿宋" w:cs="Calibri"/>
                <w:sz w:val="24"/>
                <w:u w:val="single"/>
              </w:rPr>
              <w:t xml:space="preserve">  </w:t>
            </w:r>
            <w:r>
              <w:rPr>
                <w:rFonts w:hint="eastAsia" w:ascii="宋体" w:hAnsi="宋体" w:eastAsia="仿宋" w:cs="Calibri"/>
                <w:sz w:val="24"/>
              </w:rPr>
              <w:t>日</w:t>
            </w:r>
            <w:r>
              <w:rPr>
                <w:rFonts w:hint="eastAsia" w:ascii="宋体" w:hAnsi="宋体" w:eastAsia="仿宋" w:cs="Calibri"/>
                <w:sz w:val="24"/>
                <w:u w:val="single"/>
              </w:rPr>
              <w:t>09</w:t>
            </w:r>
            <w:r>
              <w:rPr>
                <w:rFonts w:hint="eastAsia" w:ascii="宋体" w:hAnsi="宋体" w:eastAsia="仿宋" w:cs="Calibri"/>
                <w:sz w:val="24"/>
              </w:rPr>
              <w:t>时</w:t>
            </w:r>
            <w:r>
              <w:rPr>
                <w:rFonts w:hint="eastAsia" w:ascii="宋体" w:hAnsi="宋体" w:eastAsia="仿宋" w:cs="Calibri"/>
                <w:sz w:val="24"/>
                <w:u w:val="single"/>
              </w:rPr>
              <w:t>30</w:t>
            </w:r>
            <w:r>
              <w:rPr>
                <w:rFonts w:hint="eastAsia" w:ascii="宋体" w:hAnsi="宋体" w:eastAsia="仿宋" w:cs="Calibri"/>
                <w:sz w:val="24"/>
              </w:rPr>
              <w:t>分</w:t>
            </w:r>
          </w:p>
        </w:tc>
      </w:tr>
      <w:tr w14:paraId="4DFC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EAEAE1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4.2.2</w:t>
            </w:r>
          </w:p>
        </w:tc>
        <w:tc>
          <w:tcPr>
            <w:tcW w:w="1581" w:type="dxa"/>
            <w:noWrap w:val="0"/>
            <w:vAlign w:val="center"/>
          </w:tcPr>
          <w:p w14:paraId="374E886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递交投标文件的电子交易平台</w:t>
            </w:r>
          </w:p>
        </w:tc>
        <w:tc>
          <w:tcPr>
            <w:tcW w:w="7229" w:type="dxa"/>
            <w:noWrap w:val="0"/>
            <w:vAlign w:val="center"/>
          </w:tcPr>
          <w:p w14:paraId="046AC091">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Microsoft JhengHei"/>
                <w:kern w:val="0"/>
                <w:sz w:val="24"/>
              </w:rPr>
            </w:pPr>
            <w:r>
              <w:rPr>
                <w:rFonts w:hint="eastAsia" w:ascii="楷体" w:hAnsi="楷体" w:eastAsia="仿宋" w:cs="Microsoft JhengHei"/>
                <w:kern w:val="0"/>
                <w:sz w:val="24"/>
              </w:rPr>
              <w:t>优质采云采购平台（网址：https://www.youzhicai.com/）</w:t>
            </w:r>
          </w:p>
          <w:p w14:paraId="39E7EEEC">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sz w:val="24"/>
              </w:rPr>
            </w:pPr>
            <w:r>
              <w:rPr>
                <w:rFonts w:hint="eastAsia" w:ascii="楷体" w:hAnsi="楷体" w:eastAsia="仿宋" w:cs="Times New Roman"/>
                <w:sz w:val="24"/>
              </w:rPr>
              <w:t>投标截止时间前没有提交未加密的电子投标文件，视同放弃使用未加密的电子投标文件；投标截止时间前未提交纸质投标文件的，视同放弃使用纸质投标文件。</w:t>
            </w:r>
          </w:p>
          <w:p w14:paraId="4C0F7C6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iCs/>
                <w:sz w:val="24"/>
              </w:rPr>
            </w:pPr>
            <w:r>
              <w:rPr>
                <w:rFonts w:hint="eastAsia" w:ascii="楷体" w:hAnsi="楷体" w:eastAsia="仿宋" w:cs="Times New Roman"/>
                <w:sz w:val="24"/>
              </w:rPr>
              <w:t>如未在招标文件规定的投标时间截止前网上上传加密的电子投标文件，而只递交了未加密的电子投标文件或纸质投标文件的，投标无效。</w:t>
            </w:r>
          </w:p>
        </w:tc>
      </w:tr>
      <w:tr w14:paraId="25B6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074038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4.2.3</w:t>
            </w:r>
          </w:p>
        </w:tc>
        <w:tc>
          <w:tcPr>
            <w:tcW w:w="1581" w:type="dxa"/>
            <w:noWrap w:val="0"/>
            <w:vAlign w:val="center"/>
          </w:tcPr>
          <w:p w14:paraId="7D520A7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是否退还投标文件</w:t>
            </w:r>
          </w:p>
        </w:tc>
        <w:tc>
          <w:tcPr>
            <w:tcW w:w="7229" w:type="dxa"/>
            <w:noWrap w:val="0"/>
            <w:vAlign w:val="center"/>
          </w:tcPr>
          <w:p w14:paraId="326C95F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sz w:val="24"/>
              </w:rPr>
            </w:pPr>
            <w:r>
              <w:rPr>
                <w:rFonts w:hint="eastAsia" w:ascii="宋体" w:hAnsi="宋体" w:eastAsia="仿宋" w:cs="Times New Roman"/>
                <w:b/>
                <w:bCs/>
                <w:sz w:val="24"/>
              </w:rPr>
              <w:sym w:font="Wingdings" w:char="F0FE"/>
            </w:r>
            <w:r>
              <w:rPr>
                <w:rFonts w:hint="eastAsia" w:ascii="宋体" w:hAnsi="宋体" w:eastAsia="仿宋" w:cs="Calibri"/>
                <w:sz w:val="24"/>
              </w:rPr>
              <w:t>否，其中样品的退还规定按招标文件</w:t>
            </w:r>
          </w:p>
          <w:p w14:paraId="2244CA7C">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rPr>
            </w:pPr>
            <w:r>
              <w:rPr>
                <w:rFonts w:hint="eastAsia" w:ascii="宋体" w:hAnsi="宋体" w:eastAsia="仿宋" w:cs="Calibri"/>
                <w:sz w:val="24"/>
              </w:rPr>
              <w:t>□是，退还安排：</w:t>
            </w:r>
            <w:r>
              <w:rPr>
                <w:rFonts w:hint="default" w:ascii="宋体" w:hAnsi="宋体" w:eastAsia="仿宋" w:cs="Calibri"/>
                <w:sz w:val="24"/>
                <w:u w:val="single"/>
              </w:rPr>
              <w:t xml:space="preserve">                         </w:t>
            </w:r>
          </w:p>
        </w:tc>
      </w:tr>
      <w:tr w14:paraId="1490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20D085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5.1</w:t>
            </w:r>
          </w:p>
        </w:tc>
        <w:tc>
          <w:tcPr>
            <w:tcW w:w="1581" w:type="dxa"/>
            <w:noWrap w:val="0"/>
            <w:vAlign w:val="center"/>
          </w:tcPr>
          <w:p w14:paraId="65507F6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开标时间和地点</w:t>
            </w:r>
          </w:p>
        </w:tc>
        <w:tc>
          <w:tcPr>
            <w:tcW w:w="7229" w:type="dxa"/>
            <w:noWrap w:val="0"/>
            <w:vAlign w:val="center"/>
          </w:tcPr>
          <w:p w14:paraId="50AD9E1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sz w:val="24"/>
                <w:u w:val="single"/>
              </w:rPr>
            </w:pPr>
            <w:r>
              <w:rPr>
                <w:rFonts w:hint="eastAsia" w:ascii="宋体" w:hAnsi="宋体" w:eastAsia="仿宋" w:cs="Calibri"/>
                <w:sz w:val="24"/>
              </w:rPr>
              <w:t>开标时间：</w:t>
            </w:r>
            <w:r>
              <w:rPr>
                <w:rFonts w:hint="eastAsia" w:ascii="宋体" w:hAnsi="宋体" w:eastAsia="仿宋" w:cs="Calibri"/>
                <w:sz w:val="24"/>
                <w:u w:val="single"/>
              </w:rPr>
              <w:t>同投标截止时间</w:t>
            </w:r>
          </w:p>
          <w:p w14:paraId="6F58377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rPr>
            </w:pPr>
            <w:r>
              <w:rPr>
                <w:rFonts w:hint="eastAsia" w:ascii="宋体" w:hAnsi="宋体" w:eastAsia="仿宋" w:cs="Calibri"/>
                <w:sz w:val="24"/>
              </w:rPr>
              <w:t>开标地点：</w:t>
            </w:r>
            <w:r>
              <w:rPr>
                <w:rFonts w:hint="eastAsia" w:ascii="宋体" w:hAnsi="宋体" w:eastAsia="仿宋" w:cs="Calibri"/>
                <w:sz w:val="24"/>
                <w:u w:val="single"/>
              </w:rPr>
              <w:t>同投标文件递交地点</w:t>
            </w:r>
          </w:p>
        </w:tc>
      </w:tr>
      <w:tr w14:paraId="042E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00A9C8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5.2（4）</w:t>
            </w:r>
          </w:p>
        </w:tc>
        <w:tc>
          <w:tcPr>
            <w:tcW w:w="1581" w:type="dxa"/>
            <w:noWrap w:val="0"/>
            <w:vAlign w:val="center"/>
          </w:tcPr>
          <w:p w14:paraId="1ACDE02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开标程序</w:t>
            </w:r>
          </w:p>
        </w:tc>
        <w:tc>
          <w:tcPr>
            <w:tcW w:w="7229" w:type="dxa"/>
            <w:noWrap w:val="0"/>
            <w:vAlign w:val="center"/>
          </w:tcPr>
          <w:p w14:paraId="67593BB4">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sz w:val="24"/>
                <w:u w:val="single"/>
              </w:rPr>
            </w:pPr>
            <w:r>
              <w:rPr>
                <w:rFonts w:hint="eastAsia" w:ascii="宋体" w:hAnsi="宋体" w:eastAsia="仿宋" w:cs="Calibri"/>
                <w:sz w:val="24"/>
              </w:rPr>
              <w:t>解密时间要求：</w:t>
            </w:r>
            <w:r>
              <w:rPr>
                <w:rFonts w:hint="eastAsia" w:ascii="楷体" w:hAnsi="楷体" w:eastAsia="仿宋" w:cs="Calibri"/>
                <w:sz w:val="24"/>
                <w:u w:val="single"/>
              </w:rPr>
              <w:t xml:space="preserve"> 30分钟以内，以电子交易平台时间为准           </w:t>
            </w:r>
          </w:p>
          <w:p w14:paraId="46F2060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其他要求：</w:t>
            </w:r>
            <w:r>
              <w:rPr>
                <w:rFonts w:hint="eastAsia" w:ascii="楷体" w:hAnsi="楷体" w:eastAsia="仿宋" w:cs="Calibri"/>
                <w:sz w:val="24"/>
                <w:u w:val="single"/>
              </w:rPr>
              <w:t xml:space="preserve">  投标文件解密可以采用网上远程方式，无需到开标现场进行解密。解密的CA锁必须与投标文件加密的CA锁一致，否则造成的后果由投标人自行承担  </w:t>
            </w:r>
          </w:p>
        </w:tc>
      </w:tr>
      <w:tr w14:paraId="50F8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863866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6.1.1</w:t>
            </w:r>
          </w:p>
        </w:tc>
        <w:tc>
          <w:tcPr>
            <w:tcW w:w="1581" w:type="dxa"/>
            <w:noWrap w:val="0"/>
            <w:vAlign w:val="center"/>
          </w:tcPr>
          <w:p w14:paraId="19F79FB3">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评标委员会的组建</w:t>
            </w:r>
          </w:p>
        </w:tc>
        <w:tc>
          <w:tcPr>
            <w:tcW w:w="7229" w:type="dxa"/>
            <w:noWrap w:val="0"/>
            <w:vAlign w:val="center"/>
          </w:tcPr>
          <w:p w14:paraId="44A7249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sz w:val="24"/>
                <w:u w:val="single"/>
              </w:rPr>
            </w:pPr>
            <w:r>
              <w:rPr>
                <w:rFonts w:hint="eastAsia" w:ascii="宋体" w:hAnsi="宋体" w:eastAsia="仿宋" w:cs="Calibri"/>
                <w:sz w:val="24"/>
              </w:rPr>
              <w:t>评标委员会的组成：</w:t>
            </w:r>
            <w:r>
              <w:rPr>
                <w:rFonts w:hint="eastAsia" w:ascii="宋体" w:hAnsi="宋体" w:eastAsia="仿宋" w:cs="Times New Roman"/>
                <w:sz w:val="24"/>
                <w:u w:val="single"/>
              </w:rPr>
              <w:t>评标委员会由</w:t>
            </w:r>
            <w:r>
              <w:rPr>
                <w:rFonts w:hint="eastAsia" w:ascii="宋体" w:hAnsi="宋体" w:eastAsia="仿宋" w:cs="Calibri"/>
                <w:sz w:val="24"/>
                <w:u w:val="single"/>
              </w:rPr>
              <w:t>采购人代表及专家库中抽取的专家组成</w:t>
            </w:r>
          </w:p>
          <w:p w14:paraId="5B9199F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评标委员会的人数：</w:t>
            </w:r>
            <w:r>
              <w:rPr>
                <w:rFonts w:hint="eastAsia" w:ascii="宋体" w:hAnsi="宋体" w:eastAsia="仿宋" w:cs="Calibri"/>
                <w:sz w:val="24"/>
                <w:u w:val="single"/>
              </w:rPr>
              <w:t>5人及以上。</w:t>
            </w:r>
          </w:p>
        </w:tc>
      </w:tr>
      <w:tr w14:paraId="69D3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6590A2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6.3.2</w:t>
            </w:r>
          </w:p>
        </w:tc>
        <w:tc>
          <w:tcPr>
            <w:tcW w:w="1581" w:type="dxa"/>
            <w:noWrap w:val="0"/>
            <w:vAlign w:val="center"/>
          </w:tcPr>
          <w:p w14:paraId="3BEA3B9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评标委员会推荐中标候选人的人数</w:t>
            </w:r>
          </w:p>
        </w:tc>
        <w:tc>
          <w:tcPr>
            <w:tcW w:w="7229" w:type="dxa"/>
            <w:noWrap w:val="0"/>
            <w:vAlign w:val="center"/>
          </w:tcPr>
          <w:p w14:paraId="5249627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sz w:val="24"/>
                <w:u w:val="single"/>
              </w:rPr>
            </w:pPr>
            <w:r>
              <w:rPr>
                <w:rFonts w:hint="eastAsia" w:ascii="宋体" w:hAnsi="宋体" w:eastAsia="仿宋" w:cs="Calibri"/>
                <w:sz w:val="24"/>
              </w:rPr>
              <w:t>评标委员会推荐的中标候选人数量：</w:t>
            </w:r>
            <w:r>
              <w:rPr>
                <w:rFonts w:hint="eastAsia" w:ascii="宋体" w:hAnsi="宋体" w:eastAsia="仿宋" w:cs="Calibri"/>
                <w:sz w:val="24"/>
                <w:u w:val="single"/>
              </w:rPr>
              <w:t xml:space="preserve"> 1名</w:t>
            </w:r>
            <w:r>
              <w:rPr>
                <w:rFonts w:hint="default" w:ascii="宋体" w:hAnsi="宋体" w:eastAsia="仿宋" w:cs="Calibri"/>
                <w:sz w:val="24"/>
                <w:u w:val="single"/>
              </w:rPr>
              <w:t xml:space="preserve"> </w:t>
            </w:r>
          </w:p>
        </w:tc>
      </w:tr>
      <w:tr w14:paraId="677F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314151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7.1.1</w:t>
            </w:r>
          </w:p>
        </w:tc>
        <w:tc>
          <w:tcPr>
            <w:tcW w:w="1581" w:type="dxa"/>
            <w:noWrap w:val="0"/>
            <w:vAlign w:val="center"/>
          </w:tcPr>
          <w:p w14:paraId="15F217F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是否授权评标委员会确定中标人</w:t>
            </w:r>
          </w:p>
        </w:tc>
        <w:tc>
          <w:tcPr>
            <w:tcW w:w="7229" w:type="dxa"/>
            <w:noWrap w:val="0"/>
            <w:vAlign w:val="center"/>
          </w:tcPr>
          <w:p w14:paraId="25B609F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sym w:font="Wingdings 2" w:char="0052"/>
            </w:r>
            <w:r>
              <w:rPr>
                <w:rFonts w:hint="eastAsia" w:ascii="宋体" w:hAnsi="宋体" w:eastAsia="仿宋" w:cs="Calibri"/>
                <w:sz w:val="24"/>
              </w:rPr>
              <w:t>否    □是</w:t>
            </w:r>
          </w:p>
        </w:tc>
      </w:tr>
      <w:tr w14:paraId="68233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733EA3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7.1.2</w:t>
            </w:r>
          </w:p>
        </w:tc>
        <w:tc>
          <w:tcPr>
            <w:tcW w:w="1581" w:type="dxa"/>
            <w:noWrap w:val="0"/>
            <w:vAlign w:val="center"/>
          </w:tcPr>
          <w:p w14:paraId="4CAD637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中标结果公告</w:t>
            </w:r>
          </w:p>
        </w:tc>
        <w:tc>
          <w:tcPr>
            <w:tcW w:w="7229" w:type="dxa"/>
            <w:noWrap w:val="0"/>
            <w:vAlign w:val="center"/>
          </w:tcPr>
          <w:p w14:paraId="4D45779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u w:val="single"/>
              </w:rPr>
            </w:pPr>
            <w:r>
              <w:rPr>
                <w:rFonts w:hint="eastAsia" w:ascii="宋体" w:hAnsi="宋体" w:eastAsia="仿宋" w:cs="Times New Roman"/>
                <w:sz w:val="24"/>
              </w:rPr>
              <w:t>公告方式：</w:t>
            </w:r>
            <w:r>
              <w:rPr>
                <w:rFonts w:hint="eastAsia" w:ascii="宋体" w:hAnsi="宋体" w:eastAsia="仿宋" w:cs="Times New Roman"/>
                <w:sz w:val="24"/>
                <w:u w:val="single"/>
              </w:rPr>
              <w:t>在发布招标公告的媒介上发布本项目中标结果公告</w:t>
            </w:r>
          </w:p>
          <w:p w14:paraId="31D0A98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u w:val="single"/>
              </w:rPr>
            </w:pPr>
            <w:r>
              <w:rPr>
                <w:rFonts w:hint="eastAsia" w:ascii="宋体" w:hAnsi="宋体" w:eastAsia="仿宋" w:cs="Times New Roman"/>
                <w:sz w:val="24"/>
              </w:rPr>
              <w:t>公告内容：</w:t>
            </w:r>
            <w:r>
              <w:rPr>
                <w:rFonts w:hint="eastAsia" w:ascii="宋体" w:hAnsi="宋体" w:eastAsia="仿宋" w:cs="Times New Roman"/>
                <w:sz w:val="24"/>
                <w:u w:val="single"/>
              </w:rPr>
              <w:t>按照财政部《政府采购公告和公示信息格式规范（2020年版）》中的“中标（成交）结果公告”格式及内容编制。</w:t>
            </w:r>
          </w:p>
        </w:tc>
      </w:tr>
      <w:tr w14:paraId="411D7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B0F2C6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7.2</w:t>
            </w:r>
          </w:p>
        </w:tc>
        <w:tc>
          <w:tcPr>
            <w:tcW w:w="1581" w:type="dxa"/>
            <w:noWrap w:val="0"/>
            <w:vAlign w:val="center"/>
          </w:tcPr>
          <w:p w14:paraId="069B634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中标结果质疑</w:t>
            </w:r>
          </w:p>
        </w:tc>
        <w:tc>
          <w:tcPr>
            <w:tcW w:w="7229" w:type="dxa"/>
            <w:noWrap w:val="0"/>
            <w:vAlign w:val="center"/>
          </w:tcPr>
          <w:p w14:paraId="64304783">
            <w:pPr>
              <w:keepNext w:val="0"/>
              <w:keepLines w:val="0"/>
              <w:widowControl/>
              <w:suppressLineNumbers w:val="0"/>
              <w:adjustRightInd w:val="0"/>
              <w:snapToGrid w:val="0"/>
              <w:spacing w:before="0" w:beforeAutospacing="0" w:after="0" w:afterAutospacing="0" w:line="288" w:lineRule="auto"/>
              <w:ind w:left="0" w:right="0"/>
              <w:rPr>
                <w:rFonts w:hint="default" w:ascii="Times New Roman" w:hAnsi="Times New Roman" w:eastAsia="仿宋" w:cs="Times New Roman"/>
                <w:sz w:val="24"/>
              </w:rPr>
            </w:pPr>
            <w:r>
              <w:rPr>
                <w:rFonts w:hint="eastAsia" w:ascii="宋体" w:hAnsi="宋体" w:eastAsia="仿宋" w:cs="Calibri"/>
                <w:sz w:val="24"/>
              </w:rPr>
              <w:t>时间：</w:t>
            </w:r>
            <w:r>
              <w:rPr>
                <w:rFonts w:hint="default" w:ascii="Times New Roman" w:hAnsi="Times New Roman" w:eastAsia="仿宋" w:cs="Times New Roman"/>
                <w:sz w:val="24"/>
              </w:rPr>
              <w:t>中标结果公告期满之日起7个工作日内</w:t>
            </w:r>
          </w:p>
          <w:p w14:paraId="0745793D">
            <w:pPr>
              <w:keepNext w:val="0"/>
              <w:keepLines w:val="0"/>
              <w:widowControl/>
              <w:suppressLineNumbers w:val="0"/>
              <w:adjustRightInd w:val="0"/>
              <w:snapToGrid w:val="0"/>
              <w:spacing w:before="0" w:beforeAutospacing="0" w:after="0" w:afterAutospacing="0" w:line="288" w:lineRule="auto"/>
              <w:ind w:left="0" w:right="0"/>
              <w:rPr>
                <w:rFonts w:hint="default" w:ascii="Times New Roman" w:hAnsi="Times New Roman" w:eastAsia="仿宋" w:cs="Times New Roman"/>
                <w:sz w:val="24"/>
              </w:rPr>
            </w:pPr>
            <w:r>
              <w:rPr>
                <w:rFonts w:hint="default" w:ascii="Times New Roman" w:hAnsi="Times New Roman" w:eastAsia="仿宋" w:cs="Times New Roman"/>
                <w:sz w:val="24"/>
              </w:rPr>
              <w:t>形式：见本章第9.2款规定</w:t>
            </w:r>
          </w:p>
          <w:p w14:paraId="053047AD">
            <w:pPr>
              <w:keepNext w:val="0"/>
              <w:keepLines w:val="0"/>
              <w:widowControl/>
              <w:suppressLineNumbers w:val="0"/>
              <w:adjustRightInd w:val="0"/>
              <w:snapToGrid w:val="0"/>
              <w:spacing w:before="0" w:beforeAutospacing="0" w:after="0" w:afterAutospacing="0" w:line="288" w:lineRule="auto"/>
              <w:ind w:left="0" w:right="0"/>
              <w:rPr>
                <w:rFonts w:hint="default" w:ascii="Times New Roman" w:hAnsi="Times New Roman" w:eastAsia="仿宋" w:cs="Times New Roman"/>
                <w:sz w:val="24"/>
              </w:rPr>
            </w:pPr>
            <w:r>
              <w:rPr>
                <w:rFonts w:hint="default" w:ascii="Times New Roman" w:hAnsi="Times New Roman" w:eastAsia="仿宋" w:cs="Times New Roman"/>
                <w:sz w:val="24"/>
              </w:rPr>
              <w:t>联系方式：</w:t>
            </w:r>
          </w:p>
          <w:p w14:paraId="345DC773">
            <w:pPr>
              <w:keepNext w:val="0"/>
              <w:keepLines w:val="0"/>
              <w:widowControl/>
              <w:suppressLineNumbers w:val="0"/>
              <w:adjustRightInd w:val="0"/>
              <w:snapToGrid w:val="0"/>
              <w:spacing w:before="0" w:beforeAutospacing="0" w:after="0" w:afterAutospacing="0" w:line="288" w:lineRule="auto"/>
              <w:ind w:left="0" w:right="0"/>
              <w:rPr>
                <w:rFonts w:hint="default" w:ascii="Times New Roman" w:hAnsi="Times New Roman" w:eastAsia="仿宋" w:cs="Times New Roman"/>
                <w:sz w:val="24"/>
              </w:rPr>
            </w:pPr>
            <w:r>
              <w:rPr>
                <w:rFonts w:hint="default" w:ascii="Times New Roman" w:hAnsi="Times New Roman" w:eastAsia="仿宋" w:cs="Times New Roman"/>
                <w:sz w:val="24"/>
              </w:rPr>
              <w:t>采购代理机构：安徽省招标集团股份有限公司</w:t>
            </w:r>
          </w:p>
          <w:p w14:paraId="1ED63314">
            <w:pPr>
              <w:keepNext w:val="0"/>
              <w:keepLines w:val="0"/>
              <w:widowControl/>
              <w:suppressLineNumbers w:val="0"/>
              <w:adjustRightInd w:val="0"/>
              <w:snapToGrid w:val="0"/>
              <w:spacing w:before="0" w:beforeAutospacing="0" w:after="0" w:afterAutospacing="0" w:line="288" w:lineRule="auto"/>
              <w:ind w:left="0" w:right="0"/>
              <w:rPr>
                <w:rFonts w:hint="default" w:ascii="Times New Roman" w:hAnsi="Times New Roman" w:eastAsia="仿宋" w:cs="Times New Roman"/>
                <w:sz w:val="24"/>
              </w:rPr>
            </w:pPr>
            <w:r>
              <w:rPr>
                <w:rFonts w:hint="default" w:ascii="Times New Roman" w:hAnsi="Times New Roman" w:eastAsia="仿宋" w:cs="Times New Roman"/>
                <w:sz w:val="24"/>
              </w:rPr>
              <w:t>地址：安徽省招标集团大厦10楼（法务办公室）</w:t>
            </w:r>
          </w:p>
          <w:p w14:paraId="770C03BD">
            <w:pPr>
              <w:keepNext w:val="0"/>
              <w:keepLines w:val="0"/>
              <w:widowControl/>
              <w:suppressLineNumbers w:val="0"/>
              <w:adjustRightInd w:val="0"/>
              <w:snapToGrid w:val="0"/>
              <w:spacing w:before="0" w:beforeAutospacing="0" w:after="0" w:afterAutospacing="0" w:line="288" w:lineRule="auto"/>
              <w:ind w:left="0" w:right="0"/>
              <w:rPr>
                <w:rFonts w:hint="default" w:ascii="Times New Roman" w:hAnsi="Times New Roman" w:eastAsia="仿宋" w:cs="Times New Roman"/>
                <w:sz w:val="24"/>
              </w:rPr>
            </w:pPr>
            <w:r>
              <w:rPr>
                <w:rFonts w:hint="default" w:ascii="Times New Roman" w:hAnsi="Times New Roman" w:eastAsia="仿宋" w:cs="Times New Roman"/>
                <w:sz w:val="24"/>
              </w:rPr>
              <w:t>联系电话：0551-62220155</w:t>
            </w:r>
          </w:p>
          <w:p w14:paraId="789249CE">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sz w:val="24"/>
              </w:rPr>
            </w:pPr>
            <w:r>
              <w:rPr>
                <w:rFonts w:hint="eastAsia" w:ascii="宋体" w:hAnsi="宋体" w:eastAsia="仿宋" w:cs="Calibri"/>
                <w:sz w:val="24"/>
              </w:rPr>
              <w:t>联系人：张怀远</w:t>
            </w:r>
          </w:p>
        </w:tc>
      </w:tr>
      <w:tr w14:paraId="24A8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43EFE0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7.3.2</w:t>
            </w:r>
          </w:p>
        </w:tc>
        <w:tc>
          <w:tcPr>
            <w:tcW w:w="1581" w:type="dxa"/>
            <w:noWrap w:val="0"/>
            <w:vAlign w:val="center"/>
          </w:tcPr>
          <w:p w14:paraId="71D7B88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招标代理服务费</w:t>
            </w:r>
          </w:p>
        </w:tc>
        <w:tc>
          <w:tcPr>
            <w:tcW w:w="7229" w:type="dxa"/>
            <w:noWrap w:val="0"/>
            <w:vAlign w:val="center"/>
          </w:tcPr>
          <w:p w14:paraId="3A730E9F">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Calibri"/>
                <w:i/>
                <w:sz w:val="24"/>
              </w:rPr>
            </w:pPr>
            <w:r>
              <w:rPr>
                <w:rFonts w:hint="eastAsia" w:ascii="楷体" w:hAnsi="楷体" w:eastAsia="仿宋" w:cs="Calibri"/>
                <w:sz w:val="24"/>
              </w:rPr>
              <w:t>参照国家发展改革委发改价格[2011]534号文件、发改办价格[2003]857号文件、计价格[2002]1980号文件规定收费标准60%的计取，由中标人在领取中标通知书时，向采购代理机构支付。</w:t>
            </w:r>
          </w:p>
        </w:tc>
      </w:tr>
      <w:tr w14:paraId="25FE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57" w:type="dxa"/>
            <w:noWrap w:val="0"/>
            <w:vAlign w:val="center"/>
          </w:tcPr>
          <w:p w14:paraId="46E5B33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7.4.1</w:t>
            </w:r>
          </w:p>
        </w:tc>
        <w:tc>
          <w:tcPr>
            <w:tcW w:w="1581" w:type="dxa"/>
            <w:noWrap w:val="0"/>
            <w:vAlign w:val="center"/>
          </w:tcPr>
          <w:p w14:paraId="142151C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履约保证金</w:t>
            </w:r>
          </w:p>
        </w:tc>
        <w:tc>
          <w:tcPr>
            <w:tcW w:w="7229" w:type="dxa"/>
            <w:noWrap w:val="0"/>
            <w:vAlign w:val="top"/>
          </w:tcPr>
          <w:p w14:paraId="5215F3B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sz w:val="24"/>
                <w:u w:val="single"/>
              </w:rPr>
            </w:pPr>
            <w:r>
              <w:rPr>
                <w:rFonts w:hint="default" w:ascii="宋体" w:hAnsi="宋体" w:eastAsia="仿宋" w:cs="Times New Roman"/>
                <w:sz w:val="24"/>
              </w:rPr>
              <w:t>履约保证金的形式：</w:t>
            </w:r>
            <w:r>
              <w:rPr>
                <w:rFonts w:hint="eastAsia" w:ascii="楷体" w:hAnsi="楷体" w:eastAsia="仿宋" w:cs="Times New Roman"/>
                <w:sz w:val="24"/>
                <w:u w:val="single"/>
              </w:rPr>
              <w:t>保函（格式：见本招标文件）、转账/电汇、支票、汇票、本票、保险</w:t>
            </w:r>
          </w:p>
          <w:p w14:paraId="06AE811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sz w:val="24"/>
                <w:u w:val="single"/>
                <w:lang w:val="en-US" w:eastAsia="zh-CN"/>
              </w:rPr>
            </w:pPr>
            <w:r>
              <w:rPr>
                <w:rFonts w:hint="default" w:ascii="宋体" w:hAnsi="宋体" w:eastAsia="仿宋" w:cs="Times New Roman"/>
                <w:sz w:val="24"/>
              </w:rPr>
              <w:t>履约保证金的金额：</w:t>
            </w:r>
            <w:r>
              <w:rPr>
                <w:rFonts w:hint="eastAsia" w:ascii="楷体" w:hAnsi="楷体" w:eastAsia="仿宋" w:cs="Times New Roman"/>
                <w:sz w:val="24"/>
                <w:u w:val="single"/>
                <w:lang w:val="en-US" w:eastAsia="zh-CN"/>
              </w:rPr>
              <w:t>01包：</w:t>
            </w:r>
            <w:r>
              <w:rPr>
                <w:rFonts w:hint="eastAsia" w:ascii="楷体" w:hAnsi="楷体" w:eastAsia="仿宋" w:cs="Times New Roman"/>
                <w:sz w:val="24"/>
                <w:u w:val="single"/>
              </w:rPr>
              <w:t>合同金额的2.5%</w:t>
            </w:r>
            <w:r>
              <w:rPr>
                <w:rFonts w:hint="eastAsia" w:ascii="楷体" w:hAnsi="楷体" w:eastAsia="仿宋" w:cs="Times New Roman"/>
                <w:sz w:val="24"/>
                <w:u w:val="single"/>
                <w:lang w:eastAsia="zh-CN"/>
              </w:rPr>
              <w:t>，</w:t>
            </w:r>
            <w:r>
              <w:rPr>
                <w:rFonts w:hint="eastAsia" w:ascii="楷体" w:hAnsi="楷体" w:eastAsia="仿宋" w:cs="Times New Roman"/>
                <w:sz w:val="24"/>
                <w:u w:val="single"/>
                <w:lang w:val="en-US" w:eastAsia="zh-CN"/>
              </w:rPr>
              <w:t>02包：不收取</w:t>
            </w:r>
          </w:p>
          <w:p w14:paraId="66470EBD">
            <w:pPr>
              <w:pStyle w:val="24"/>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sz w:val="24"/>
                <w:szCs w:val="24"/>
                <w:u w:val="single"/>
              </w:rPr>
            </w:pPr>
            <w:r>
              <w:rPr>
                <w:rFonts w:hint="eastAsia" w:hAnsi="宋体" w:eastAsia="仿宋" w:cs="Times New Roman"/>
                <w:sz w:val="24"/>
                <w:szCs w:val="24"/>
              </w:rPr>
              <w:t>履约保证金提交时间：</w:t>
            </w:r>
            <w:r>
              <w:rPr>
                <w:rFonts w:hint="eastAsia" w:ascii="楷体" w:hAnsi="楷体" w:eastAsia="仿宋" w:cs="Times New Roman"/>
                <w:sz w:val="24"/>
                <w:szCs w:val="24"/>
                <w:u w:val="single"/>
              </w:rPr>
              <w:t>中标通知书发出之日起7个工作日内。</w:t>
            </w:r>
          </w:p>
          <w:p w14:paraId="04BE8897">
            <w:pPr>
              <w:pStyle w:val="24"/>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sz w:val="24"/>
                <w:szCs w:val="24"/>
                <w:u w:val="single"/>
              </w:rPr>
            </w:pPr>
            <w:r>
              <w:rPr>
                <w:rFonts w:hint="eastAsia" w:hAnsi="宋体" w:eastAsia="仿宋" w:cs="Times New Roman"/>
                <w:sz w:val="24"/>
                <w:szCs w:val="24"/>
              </w:rPr>
              <w:t>履约保证金退还时间：</w:t>
            </w:r>
            <w:r>
              <w:rPr>
                <w:rFonts w:hint="eastAsia" w:hAnsi="宋体" w:eastAsia="仿宋" w:cs="Calibri"/>
                <w:sz w:val="24"/>
              </w:rPr>
              <w:t>验收完成免费质保期开始后三十个日历天内</w:t>
            </w:r>
          </w:p>
          <w:p w14:paraId="716D4932">
            <w:pPr>
              <w:pStyle w:val="24"/>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sz w:val="24"/>
                <w:szCs w:val="24"/>
              </w:rPr>
            </w:pPr>
            <w:r>
              <w:rPr>
                <w:rFonts w:hint="eastAsia" w:hAnsi="宋体" w:eastAsia="仿宋" w:cs="Times New Roman"/>
                <w:sz w:val="24"/>
                <w:szCs w:val="24"/>
              </w:rPr>
              <w:t>未按规定提交履约保证金，采购人可取消其中标资格，并按评标委员会推荐的次序依次确定中标人，或者重新开展采购活动。</w:t>
            </w:r>
          </w:p>
        </w:tc>
      </w:tr>
      <w:tr w14:paraId="6E29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745A3B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sz w:val="24"/>
              </w:rPr>
            </w:pPr>
            <w:r>
              <w:rPr>
                <w:rFonts w:hint="eastAsia" w:ascii="宋体" w:hAnsi="宋体" w:eastAsia="仿宋" w:cs="Calibri"/>
                <w:sz w:val="24"/>
              </w:rPr>
              <w:t>7.5.1</w:t>
            </w:r>
          </w:p>
        </w:tc>
        <w:tc>
          <w:tcPr>
            <w:tcW w:w="1581" w:type="dxa"/>
            <w:noWrap w:val="0"/>
            <w:vAlign w:val="center"/>
          </w:tcPr>
          <w:p w14:paraId="4D7B0BE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合同签订时间</w:t>
            </w:r>
          </w:p>
        </w:tc>
        <w:tc>
          <w:tcPr>
            <w:tcW w:w="7229" w:type="dxa"/>
            <w:noWrap w:val="0"/>
            <w:vAlign w:val="center"/>
          </w:tcPr>
          <w:p w14:paraId="1C41805E">
            <w:pPr>
              <w:pStyle w:val="24"/>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sz w:val="24"/>
                <w:szCs w:val="24"/>
              </w:rPr>
            </w:pPr>
            <w:r>
              <w:rPr>
                <w:rFonts w:hint="eastAsia" w:ascii="楷体" w:hAnsi="楷体" w:eastAsia="仿宋" w:cs="楷体"/>
                <w:sz w:val="24"/>
                <w:szCs w:val="24"/>
              </w:rPr>
              <w:t>中标通知书发出之日起7个工作日内</w:t>
            </w:r>
          </w:p>
        </w:tc>
      </w:tr>
      <w:tr w14:paraId="4E06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4C83AA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11.1.1</w:t>
            </w:r>
          </w:p>
        </w:tc>
        <w:tc>
          <w:tcPr>
            <w:tcW w:w="1581" w:type="dxa"/>
            <w:noWrap w:val="0"/>
            <w:vAlign w:val="center"/>
          </w:tcPr>
          <w:p w14:paraId="0063203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Times New Roman"/>
                <w:sz w:val="24"/>
              </w:rPr>
              <w:t>是否有强制采购节能产品</w:t>
            </w:r>
          </w:p>
        </w:tc>
        <w:tc>
          <w:tcPr>
            <w:tcW w:w="7229" w:type="dxa"/>
            <w:noWrap w:val="0"/>
            <w:vAlign w:val="top"/>
          </w:tcPr>
          <w:p w14:paraId="475DDA9B">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rPr>
            </w:pPr>
            <w:r>
              <w:rPr>
                <w:rFonts w:hint="default" w:ascii="Times New Roman" w:hAnsi="Times New Roman" w:eastAsia="仿宋" w:cs="Times New Roman"/>
                <w:sz w:val="24"/>
              </w:rPr>
              <w:sym w:font="Wingdings 2" w:char="0052"/>
            </w:r>
            <w:r>
              <w:rPr>
                <w:rFonts w:hint="default" w:ascii="Times New Roman" w:hAnsi="Times New Roman" w:eastAsia="仿宋" w:cs="Times New Roman"/>
                <w:sz w:val="24"/>
              </w:rPr>
              <w:t>没有</w:t>
            </w:r>
          </w:p>
          <w:p w14:paraId="5E3A14CD">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u w:val="single"/>
              </w:rPr>
            </w:pPr>
            <w:r>
              <w:rPr>
                <w:rFonts w:hint="default" w:ascii="Times New Roman" w:hAnsi="Times New Roman" w:eastAsia="仿宋" w:cs="Times New Roman"/>
                <w:sz w:val="24"/>
              </w:rPr>
              <w:t>□有，具体要求强制采购的节能产品指</w:t>
            </w:r>
            <w:r>
              <w:rPr>
                <w:rFonts w:hint="default" w:ascii="Times New Roman" w:hAnsi="Times New Roman" w:eastAsia="仿宋" w:cs="Times New Roman"/>
                <w:sz w:val="24"/>
                <w:u w:val="single"/>
              </w:rPr>
              <w:t>：  。</w:t>
            </w:r>
          </w:p>
          <w:p w14:paraId="5AF803CE">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cs="Times New Roman"/>
                <w:sz w:val="24"/>
              </w:rPr>
            </w:pPr>
            <w:r>
              <w:rPr>
                <w:rFonts w:hint="default" w:ascii="Times New Roman" w:hAnsi="Times New Roman" w:eastAsia="仿宋" w:cs="Times New Roman"/>
                <w:sz w:val="24"/>
              </w:rPr>
              <w:t>根据《关于印发节能产品政府采购品目清单的通知》财库〔2019〕19号、《关于发布参与实施政府采购节能产品、环境标志产品认证机构名录的公告》（市场监管总局2019年第16号），投标人提供拟投产品在规定认证机构范围内的节字标志认证证书，方予以认定其所投产品为节能产品。</w:t>
            </w:r>
          </w:p>
        </w:tc>
      </w:tr>
      <w:tr w14:paraId="1B99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F19438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11.1.2</w:t>
            </w:r>
          </w:p>
        </w:tc>
        <w:tc>
          <w:tcPr>
            <w:tcW w:w="1581" w:type="dxa"/>
            <w:noWrap w:val="0"/>
            <w:vAlign w:val="center"/>
          </w:tcPr>
          <w:p w14:paraId="4A74565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Times New Roman"/>
                <w:sz w:val="24"/>
              </w:rPr>
            </w:pPr>
            <w:r>
              <w:rPr>
                <w:rFonts w:hint="eastAsia" w:ascii="Calibri" w:hAnsi="Calibri" w:eastAsia="仿宋" w:cs="Times New Roman"/>
                <w:sz w:val="24"/>
                <w:lang w:bidi="en-US"/>
              </w:rPr>
              <w:t>环境标志产品政府采购清单</w:t>
            </w:r>
          </w:p>
        </w:tc>
        <w:tc>
          <w:tcPr>
            <w:tcW w:w="7229" w:type="dxa"/>
            <w:noWrap w:val="0"/>
            <w:vAlign w:val="top"/>
          </w:tcPr>
          <w:p w14:paraId="4E8C8F1D">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cs="Times New Roman"/>
                <w:sz w:val="24"/>
              </w:rPr>
            </w:pPr>
            <w:r>
              <w:rPr>
                <w:rFonts w:hint="default" w:ascii="Times New Roman" w:hAnsi="Times New Roman" w:eastAsia="仿宋" w:cs="Times New Roman"/>
                <w:sz w:val="24"/>
              </w:rPr>
              <w:t>根据《关于印发环境标志产品政府采购品目清单的通知》（财库〔2019〕18号）、《关于发布参与实施政府采购节能产品、环境标志产品认证机构名录的公告》（市场监管总局2019年第16号），在规定的认证机构范围内，投标人提供拟投产品环境标志认证证书的，方予以认定其所投产品为环境标志产品。</w:t>
            </w:r>
          </w:p>
        </w:tc>
      </w:tr>
      <w:tr w14:paraId="0A6C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2A129F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sz w:val="24"/>
              </w:rPr>
            </w:pPr>
            <w:r>
              <w:rPr>
                <w:rFonts w:hint="eastAsia" w:ascii="宋体" w:hAnsi="宋体" w:eastAsia="仿宋" w:cs="Calibri"/>
                <w:sz w:val="24"/>
              </w:rPr>
              <w:t>11.2.1</w:t>
            </w:r>
          </w:p>
        </w:tc>
        <w:tc>
          <w:tcPr>
            <w:tcW w:w="1581" w:type="dxa"/>
            <w:noWrap w:val="0"/>
            <w:vAlign w:val="center"/>
          </w:tcPr>
          <w:p w14:paraId="33D1B543">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sz w:val="24"/>
                <w:lang w:bidi="en-US"/>
              </w:rPr>
            </w:pPr>
            <w:r>
              <w:rPr>
                <w:rFonts w:hint="eastAsia" w:ascii="Calibri" w:hAnsi="Calibri" w:eastAsia="仿宋" w:cs="Times New Roman"/>
                <w:sz w:val="24"/>
                <w:lang w:bidi="en-US"/>
              </w:rPr>
              <w:t>中小企业认定标准</w:t>
            </w:r>
          </w:p>
        </w:tc>
        <w:tc>
          <w:tcPr>
            <w:tcW w:w="7229" w:type="dxa"/>
            <w:noWrap w:val="0"/>
            <w:vAlign w:val="top"/>
          </w:tcPr>
          <w:p w14:paraId="3997C0E4">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rPr>
            </w:pPr>
            <w:r>
              <w:rPr>
                <w:rFonts w:hint="default" w:ascii="Times New Roman" w:hAnsi="Times New Roman" w:eastAsia="仿宋" w:cs="Times New Roman"/>
                <w:sz w:val="24"/>
              </w:rPr>
              <w:t>根据工业和信息化部、国家统计局、国家发展和改革委员会、财政部《关于印发中小企业划型标准规定的通知》（工信部联企业〔2011〕300号），按照</w:t>
            </w:r>
            <w:r>
              <w:rPr>
                <w:rFonts w:hint="default" w:ascii="Times New Roman" w:hAnsi="Times New Roman" w:eastAsia="仿宋" w:cs="Times New Roman"/>
                <w:sz w:val="24"/>
                <w:u w:val="single"/>
              </w:rPr>
              <w:t xml:space="preserve">  工业 </w:t>
            </w:r>
            <w:r>
              <w:rPr>
                <w:rFonts w:hint="default" w:ascii="Times New Roman" w:hAnsi="Times New Roman" w:eastAsia="仿宋" w:cs="Times New Roman"/>
                <w:sz w:val="24"/>
              </w:rPr>
              <w:t>行业认定企业类型标准。</w:t>
            </w:r>
          </w:p>
        </w:tc>
      </w:tr>
      <w:tr w14:paraId="4B35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F04385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11.2.3</w:t>
            </w:r>
          </w:p>
        </w:tc>
        <w:tc>
          <w:tcPr>
            <w:tcW w:w="1581" w:type="dxa"/>
            <w:noWrap w:val="0"/>
            <w:vAlign w:val="center"/>
          </w:tcPr>
          <w:p w14:paraId="7FA7610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价格扣除标准</w:t>
            </w:r>
          </w:p>
        </w:tc>
        <w:tc>
          <w:tcPr>
            <w:tcW w:w="7229" w:type="dxa"/>
            <w:noWrap w:val="0"/>
            <w:vAlign w:val="center"/>
          </w:tcPr>
          <w:p w14:paraId="5FED977E">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rPr>
            </w:pPr>
            <w:r>
              <w:rPr>
                <w:rFonts w:hint="default" w:ascii="Times New Roman" w:hAnsi="Times New Roman" w:eastAsia="仿宋" w:cs="Times New Roman"/>
                <w:sz w:val="24"/>
              </w:rPr>
              <w:t>未预留份额专门面向中小企业采购的采购项目，以及预留份额项目中的非预留部分采购包采购时，小微企业报价扣除比例：</w:t>
            </w:r>
          </w:p>
          <w:p w14:paraId="03B68F75">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rPr>
            </w:pPr>
            <w:r>
              <w:rPr>
                <w:rFonts w:hint="default" w:ascii="Times New Roman" w:hAnsi="Times New Roman" w:eastAsia="仿宋" w:cs="Times New Roman"/>
                <w:sz w:val="24"/>
              </w:rPr>
              <w:t>（1）小型和微型企业：</w:t>
            </w:r>
            <w:r>
              <w:rPr>
                <w:rFonts w:hint="default" w:ascii="Times New Roman" w:hAnsi="Times New Roman" w:eastAsia="仿宋" w:cs="Times New Roman"/>
                <w:sz w:val="24"/>
                <w:u w:val="single"/>
              </w:rPr>
              <w:t xml:space="preserve"> 10 </w:t>
            </w:r>
            <w:r>
              <w:rPr>
                <w:rFonts w:hint="default" w:ascii="Times New Roman" w:hAnsi="Times New Roman" w:eastAsia="仿宋" w:cs="Times New Roman"/>
                <w:sz w:val="24"/>
              </w:rPr>
              <w:t>%（10%-20%）</w:t>
            </w:r>
          </w:p>
          <w:p w14:paraId="68D9EA04">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rPr>
            </w:pPr>
            <w:r>
              <w:rPr>
                <w:rFonts w:hint="default" w:ascii="Times New Roman" w:hAnsi="Times New Roman" w:eastAsia="仿宋" w:cs="Times New Roman"/>
                <w:sz w:val="24"/>
              </w:rPr>
              <w:t>（2）对于联合协议或者分包意向协议约定小微企业的合同份额占到合同总金额30%时，对联合体或者大中型企业的报价的扣除比例</w:t>
            </w:r>
            <w:r>
              <w:rPr>
                <w:rFonts w:hint="default" w:ascii="Times New Roman" w:hAnsi="Times New Roman" w:eastAsia="仿宋" w:cs="Times New Roman"/>
                <w:sz w:val="24"/>
                <w:u w:val="single"/>
              </w:rPr>
              <w:t xml:space="preserve"> / </w:t>
            </w:r>
            <w:r>
              <w:rPr>
                <w:rFonts w:hint="default" w:ascii="Times New Roman" w:hAnsi="Times New Roman" w:eastAsia="仿宋" w:cs="Times New Roman"/>
                <w:sz w:val="24"/>
              </w:rPr>
              <w:t>%（4%-6%）</w:t>
            </w:r>
          </w:p>
          <w:p w14:paraId="2EAEAE2A">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eastAsia="仿宋" w:cs="Times New Roman"/>
                <w:sz w:val="24"/>
              </w:rPr>
            </w:pPr>
            <w:r>
              <w:rPr>
                <w:rFonts w:hint="default" w:ascii="Times New Roman" w:hAnsi="Times New Roman" w:eastAsia="仿宋" w:cs="Times New Roman"/>
                <w:sz w:val="24"/>
              </w:rPr>
              <w:t xml:space="preserve">注：1.价格扣除举例说明：某残疾人福利单位符合财库〔2017〕141号规定的政策支持单位，属于小微企业，其投标报价为100万元，“扣除后的价格”为：100万元-100万元×扣除比例，用扣除后的价格参与评审。 </w:t>
            </w:r>
          </w:p>
          <w:p w14:paraId="45CE99E0">
            <w:pPr>
              <w:keepNext w:val="0"/>
              <w:keepLines w:val="0"/>
              <w:widowControl/>
              <w:suppressLineNumbers w:val="0"/>
              <w:snapToGrid w:val="0"/>
              <w:spacing w:before="0" w:beforeAutospacing="0" w:after="0" w:afterAutospacing="0" w:line="288" w:lineRule="auto"/>
              <w:ind w:left="0" w:right="0"/>
              <w:jc w:val="left"/>
              <w:rPr>
                <w:rFonts w:hint="default" w:ascii="Times New Roman" w:hAnsi="Times New Roman" w:cs="Times New Roman"/>
                <w:sz w:val="24"/>
                <w:lang w:bidi="en-US"/>
              </w:rPr>
            </w:pPr>
            <w:r>
              <w:rPr>
                <w:rFonts w:hint="default" w:ascii="Times New Roman" w:hAnsi="Times New Roman" w:eastAsia="仿宋" w:cs="Times New Roman"/>
                <w:b/>
                <w:sz w:val="24"/>
              </w:rPr>
              <w:t>2.本项目将对中标人提供的《中小企业声明函》，随中标结果一并公布。如提供虚假材料，将取消中标资格并报相关部门按有关规定处理，并计入不良记录。</w:t>
            </w:r>
          </w:p>
        </w:tc>
      </w:tr>
      <w:tr w14:paraId="41A0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1CC034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sz w:val="24"/>
              </w:rPr>
            </w:pPr>
            <w:r>
              <w:rPr>
                <w:rFonts w:hint="eastAsia" w:ascii="宋体" w:hAnsi="宋体" w:eastAsia="仿宋" w:cs="Calibri"/>
                <w:b/>
                <w:sz w:val="24"/>
              </w:rPr>
              <w:t>12</w:t>
            </w:r>
          </w:p>
        </w:tc>
        <w:tc>
          <w:tcPr>
            <w:tcW w:w="1581" w:type="dxa"/>
            <w:noWrap w:val="0"/>
            <w:vAlign w:val="center"/>
          </w:tcPr>
          <w:p w14:paraId="33A44BA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sz w:val="24"/>
              </w:rPr>
            </w:pPr>
          </w:p>
        </w:tc>
        <w:tc>
          <w:tcPr>
            <w:tcW w:w="7229" w:type="dxa"/>
            <w:noWrap w:val="0"/>
            <w:vAlign w:val="center"/>
          </w:tcPr>
          <w:p w14:paraId="23F196B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Times New Roman"/>
                <w:b/>
                <w:sz w:val="24"/>
              </w:rPr>
            </w:pPr>
            <w:r>
              <w:rPr>
                <w:rFonts w:hint="eastAsia" w:ascii="宋体" w:hAnsi="宋体" w:eastAsia="仿宋" w:cs="Calibri"/>
                <w:b/>
                <w:sz w:val="24"/>
              </w:rPr>
              <w:t>需要补充的其他内容</w:t>
            </w:r>
          </w:p>
        </w:tc>
      </w:tr>
      <w:tr w14:paraId="62FA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1131FC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12.1</w:t>
            </w:r>
          </w:p>
        </w:tc>
        <w:tc>
          <w:tcPr>
            <w:tcW w:w="1581" w:type="dxa"/>
            <w:noWrap w:val="0"/>
            <w:vAlign w:val="center"/>
          </w:tcPr>
          <w:p w14:paraId="26323C4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电子招标投标</w:t>
            </w:r>
          </w:p>
        </w:tc>
        <w:tc>
          <w:tcPr>
            <w:tcW w:w="7229" w:type="dxa"/>
            <w:noWrap w:val="0"/>
            <w:vAlign w:val="top"/>
          </w:tcPr>
          <w:p w14:paraId="4382078F">
            <w:pPr>
              <w:keepNext w:val="0"/>
              <w:keepLines w:val="0"/>
              <w:widowControl/>
              <w:suppressLineNumbers w:val="0"/>
              <w:adjustRightInd w:val="0"/>
              <w:snapToGrid w:val="0"/>
              <w:spacing w:before="0" w:beforeAutospacing="0" w:after="0" w:afterAutospacing="0" w:line="288" w:lineRule="auto"/>
              <w:ind w:left="0" w:right="0"/>
              <w:rPr>
                <w:rFonts w:hint="eastAsia" w:ascii="Calibri" w:hAnsi="Calibri" w:eastAsia="仿宋" w:cs="Times New Roman"/>
                <w:sz w:val="24"/>
              </w:rPr>
            </w:pPr>
            <w:r>
              <w:rPr>
                <w:rFonts w:hint="eastAsia" w:ascii="宋体" w:hAnsi="宋体" w:eastAsia="仿宋" w:cs="Times New Roman"/>
                <w:sz w:val="24"/>
              </w:rPr>
              <w:t>□</w:t>
            </w:r>
            <w:r>
              <w:rPr>
                <w:rFonts w:hint="eastAsia" w:ascii="Calibri" w:hAnsi="Calibri" w:eastAsia="仿宋" w:cs="Times New Roman"/>
                <w:sz w:val="24"/>
              </w:rPr>
              <w:t>不采用电子招标投标</w:t>
            </w:r>
          </w:p>
          <w:p w14:paraId="4D3C0695">
            <w:pPr>
              <w:keepNext w:val="0"/>
              <w:keepLines w:val="0"/>
              <w:widowControl/>
              <w:suppressLineNumbers w:val="0"/>
              <w:snapToGrid w:val="0"/>
              <w:spacing w:before="0" w:beforeAutospacing="0" w:after="0" w:afterAutospacing="0" w:line="288" w:lineRule="auto"/>
              <w:ind w:left="0" w:right="0"/>
              <w:jc w:val="left"/>
              <w:rPr>
                <w:rFonts w:hint="eastAsia" w:ascii="宋体" w:hAnsi="宋体" w:cs="Calibri"/>
                <w:b/>
                <w:sz w:val="24"/>
              </w:rPr>
            </w:pPr>
            <w:r>
              <w:rPr>
                <w:rFonts w:hint="eastAsia" w:ascii="宋体" w:hAnsi="宋体" w:eastAsia="仿宋" w:cs="Times New Roman"/>
                <w:sz w:val="24"/>
              </w:rPr>
              <w:sym w:font="Wingdings 2" w:char="0052"/>
            </w:r>
            <w:r>
              <w:rPr>
                <w:rFonts w:hint="eastAsia" w:ascii="宋体" w:hAnsi="宋体" w:eastAsia="仿宋" w:cs="Times New Roman"/>
                <w:sz w:val="24"/>
              </w:rPr>
              <w:t>采用电子招标投标，</w:t>
            </w:r>
            <w:r>
              <w:rPr>
                <w:rFonts w:hint="default" w:ascii="Calibri" w:hAnsi="Calibri" w:eastAsia="仿宋" w:cs="Times New Roman"/>
                <w:bCs/>
                <w:snapToGrid w:val="0"/>
                <w:kern w:val="0"/>
                <w:sz w:val="24"/>
              </w:rPr>
              <w:t>除招标文件另有规定外，电子招标投标操作要求详见本章附件《</w:t>
            </w:r>
            <w:r>
              <w:rPr>
                <w:rFonts w:hint="eastAsia" w:ascii="Calibri" w:hAnsi="Calibri" w:eastAsia="仿宋" w:cs="Times New Roman"/>
                <w:bCs/>
                <w:snapToGrid w:val="0"/>
                <w:kern w:val="0"/>
                <w:sz w:val="24"/>
              </w:rPr>
              <w:t>全流程电子招标采购具体要求</w:t>
            </w:r>
            <w:r>
              <w:rPr>
                <w:rFonts w:hint="default" w:ascii="Calibri" w:hAnsi="Calibri" w:eastAsia="仿宋" w:cs="Times New Roman"/>
                <w:bCs/>
                <w:snapToGrid w:val="0"/>
                <w:kern w:val="0"/>
                <w:sz w:val="24"/>
              </w:rPr>
              <w:t>》</w:t>
            </w:r>
            <w:r>
              <w:rPr>
                <w:rFonts w:hint="eastAsia" w:ascii="Calibri" w:hAnsi="Calibri" w:eastAsia="仿宋" w:cs="Times New Roman"/>
                <w:bCs/>
                <w:snapToGrid w:val="0"/>
                <w:kern w:val="0"/>
                <w:sz w:val="24"/>
              </w:rPr>
              <w:t>。</w:t>
            </w:r>
          </w:p>
        </w:tc>
      </w:tr>
      <w:tr w14:paraId="7B48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CA381B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12.2</w:t>
            </w:r>
          </w:p>
        </w:tc>
        <w:tc>
          <w:tcPr>
            <w:tcW w:w="1581" w:type="dxa"/>
            <w:noWrap w:val="0"/>
            <w:vAlign w:val="center"/>
          </w:tcPr>
          <w:p w14:paraId="470F1AFB">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sz w:val="24"/>
              </w:rPr>
            </w:pPr>
            <w:r>
              <w:rPr>
                <w:rFonts w:hint="eastAsia" w:ascii="宋体" w:hAnsi="宋体" w:eastAsia="仿宋" w:cs="Times New Roman"/>
                <w:sz w:val="24"/>
              </w:rPr>
              <w:t>原则规定与定义</w:t>
            </w:r>
          </w:p>
        </w:tc>
        <w:tc>
          <w:tcPr>
            <w:tcW w:w="7229" w:type="dxa"/>
            <w:noWrap w:val="0"/>
            <w:vAlign w:val="center"/>
          </w:tcPr>
          <w:p w14:paraId="1D728502">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sz w:val="24"/>
              </w:rPr>
            </w:pPr>
            <w:r>
              <w:rPr>
                <w:rFonts w:hint="eastAsia" w:ascii="宋体" w:hAnsi="宋体" w:eastAsia="仿宋" w:cs="Times New Roman"/>
                <w:sz w:val="24"/>
              </w:rPr>
              <w:t>（1）投标人</w:t>
            </w:r>
            <w:r>
              <w:rPr>
                <w:rFonts w:hint="default" w:ascii="宋体" w:hAnsi="宋体" w:eastAsia="仿宋" w:cs="Times New Roman"/>
                <w:sz w:val="24"/>
              </w:rPr>
              <w:t>须知前附表是对</w:t>
            </w:r>
            <w:r>
              <w:rPr>
                <w:rFonts w:hint="eastAsia" w:ascii="宋体" w:hAnsi="宋体" w:eastAsia="仿宋" w:cs="Times New Roman"/>
                <w:sz w:val="24"/>
              </w:rPr>
              <w:t>投标人</w:t>
            </w:r>
            <w:r>
              <w:rPr>
                <w:rFonts w:hint="default" w:ascii="宋体" w:hAnsi="宋体" w:eastAsia="仿宋" w:cs="Times New Roman"/>
                <w:sz w:val="24"/>
              </w:rPr>
              <w:t>须知正文部分对应条款的补充、细化，</w:t>
            </w:r>
            <w:r>
              <w:rPr>
                <w:rFonts w:hint="eastAsia" w:ascii="宋体" w:hAnsi="宋体" w:eastAsia="仿宋" w:cs="Times New Roman"/>
                <w:sz w:val="24"/>
              </w:rPr>
              <w:t>投标人</w:t>
            </w:r>
            <w:r>
              <w:rPr>
                <w:rFonts w:hint="default" w:ascii="宋体" w:hAnsi="宋体" w:eastAsia="仿宋" w:cs="Times New Roman"/>
                <w:sz w:val="24"/>
              </w:rPr>
              <w:t>阅读时应与正文部分一并阅读，</w:t>
            </w:r>
            <w:r>
              <w:rPr>
                <w:rFonts w:hint="eastAsia" w:ascii="宋体" w:hAnsi="宋体" w:eastAsia="仿宋" w:cs="Times New Roman"/>
                <w:sz w:val="24"/>
              </w:rPr>
              <w:t>投标人</w:t>
            </w:r>
            <w:r>
              <w:rPr>
                <w:rFonts w:hint="default" w:ascii="宋体" w:hAnsi="宋体" w:eastAsia="仿宋" w:cs="Times New Roman"/>
                <w:sz w:val="24"/>
              </w:rPr>
              <w:t>须知前附表与正文部分不一致处，应以</w:t>
            </w:r>
            <w:r>
              <w:rPr>
                <w:rFonts w:hint="eastAsia" w:ascii="宋体" w:hAnsi="宋体" w:eastAsia="仿宋" w:cs="Times New Roman"/>
                <w:sz w:val="24"/>
              </w:rPr>
              <w:t>投标人</w:t>
            </w:r>
            <w:r>
              <w:rPr>
                <w:rFonts w:hint="default" w:ascii="宋体" w:hAnsi="宋体" w:eastAsia="仿宋" w:cs="Times New Roman"/>
                <w:sz w:val="24"/>
              </w:rPr>
              <w:t>须知前附表为准。</w:t>
            </w:r>
          </w:p>
          <w:p w14:paraId="2ADDB165">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sz w:val="24"/>
              </w:rPr>
            </w:pPr>
            <w:r>
              <w:rPr>
                <w:rFonts w:hint="eastAsia" w:ascii="宋体" w:hAnsi="宋体" w:eastAsia="仿宋" w:cs="Times New Roman"/>
                <w:sz w:val="24"/>
              </w:rPr>
              <w:t>（2）</w:t>
            </w:r>
            <w:r>
              <w:rPr>
                <w:rFonts w:hint="default" w:ascii="宋体" w:hAnsi="宋体" w:eastAsia="仿宋" w:cs="Times New Roman"/>
                <w:sz w:val="24"/>
              </w:rPr>
              <w:t>“</w:t>
            </w:r>
            <w:r>
              <w:rPr>
                <w:rFonts w:hint="default" w:ascii="宋体" w:hAnsi="宋体" w:eastAsia="仿宋" w:cs="Times New Roman"/>
                <w:sz w:val="24"/>
              </w:rPr>
              <w:sym w:font="Wingdings" w:char="F0FE"/>
            </w:r>
            <w:r>
              <w:rPr>
                <w:rFonts w:hint="default" w:ascii="宋体" w:hAnsi="宋体" w:eastAsia="仿宋" w:cs="Times New Roman"/>
                <w:sz w:val="24"/>
              </w:rPr>
              <w:t>”符号表示本招标文件选定的内容；“</w:t>
            </w:r>
            <w:r>
              <w:rPr>
                <w:rFonts w:hint="eastAsia" w:ascii="宋体" w:hAnsi="宋体" w:eastAsia="仿宋" w:cs="Times New Roman"/>
                <w:sz w:val="24"/>
              </w:rPr>
              <w:t>□</w:t>
            </w:r>
            <w:r>
              <w:rPr>
                <w:rFonts w:hint="default" w:ascii="宋体" w:hAnsi="宋体" w:eastAsia="仿宋" w:cs="Times New Roman"/>
                <w:sz w:val="24"/>
              </w:rPr>
              <w:t>”符号表示本招标文件未选定的内容；空格中的“/”表示没有具体内容。投标人投标时请按“</w:t>
            </w:r>
            <w:r>
              <w:rPr>
                <w:rFonts w:hint="default" w:ascii="宋体" w:hAnsi="宋体" w:eastAsia="仿宋" w:cs="Times New Roman"/>
                <w:sz w:val="24"/>
              </w:rPr>
              <w:sym w:font="Wingdings" w:char="F0FE"/>
            </w:r>
            <w:r>
              <w:rPr>
                <w:rFonts w:hint="default" w:ascii="宋体" w:hAnsi="宋体" w:eastAsia="仿宋" w:cs="Times New Roman"/>
                <w:sz w:val="24"/>
              </w:rPr>
              <w:t>符号”选定的内容和要求参加投标。</w:t>
            </w:r>
          </w:p>
          <w:p w14:paraId="446DB2B9">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cs="Times New Roman"/>
                <w:sz w:val="24"/>
              </w:rPr>
            </w:pPr>
            <w:r>
              <w:rPr>
                <w:rFonts w:hint="eastAsia" w:ascii="宋体" w:hAnsi="宋体" w:eastAsia="仿宋" w:cs="Times New Roman"/>
                <w:sz w:val="24"/>
              </w:rPr>
              <w:t>（3）与合同履行有关条款中注明的“甲方”、“买方”，在招标投标阶段按“采购人”理解；注明的“乙方”、“卖方”，按“投标人”理解。</w:t>
            </w:r>
          </w:p>
        </w:tc>
      </w:tr>
      <w:tr w14:paraId="7A03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79F35E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12.3</w:t>
            </w:r>
          </w:p>
        </w:tc>
        <w:tc>
          <w:tcPr>
            <w:tcW w:w="1581" w:type="dxa"/>
            <w:noWrap w:val="0"/>
            <w:vAlign w:val="center"/>
          </w:tcPr>
          <w:p w14:paraId="2DEDC12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知识产权</w:t>
            </w:r>
          </w:p>
        </w:tc>
        <w:tc>
          <w:tcPr>
            <w:tcW w:w="7229" w:type="dxa"/>
            <w:noWrap w:val="0"/>
            <w:vAlign w:val="top"/>
          </w:tcPr>
          <w:p w14:paraId="56F3A481">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sz w:val="24"/>
              </w:rPr>
            </w:pPr>
            <w:r>
              <w:rPr>
                <w:rFonts w:hint="eastAsia" w:ascii="宋体" w:hAnsi="宋体" w:eastAsia="仿宋" w:cs="Times New Roman"/>
                <w:sz w:val="24"/>
              </w:rPr>
              <w:t>（1）构成本招标文件各个组成部分的文件，未经采购人书面同意，投标人不得擅自复印和用于非本招标项目所需的其他目的。</w:t>
            </w:r>
            <w:r>
              <w:rPr>
                <w:rFonts w:hint="default" w:ascii="宋体" w:hAnsi="宋体" w:eastAsia="仿宋" w:cs="Times New Roman"/>
                <w:sz w:val="24"/>
              </w:rPr>
              <w:t>如因此导致</w:t>
            </w:r>
            <w:r>
              <w:rPr>
                <w:rFonts w:hint="eastAsia" w:ascii="宋体" w:hAnsi="宋体" w:eastAsia="仿宋" w:cs="Times New Roman"/>
                <w:sz w:val="24"/>
              </w:rPr>
              <w:t>采购人</w:t>
            </w:r>
            <w:r>
              <w:rPr>
                <w:rFonts w:hint="default" w:ascii="宋体" w:hAnsi="宋体" w:eastAsia="仿宋" w:cs="Times New Roman"/>
                <w:sz w:val="24"/>
              </w:rPr>
              <w:t>损失的，投标人须承担全部赔偿责任。</w:t>
            </w:r>
          </w:p>
          <w:p w14:paraId="132F915B">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cs="Times New Roman"/>
                <w:sz w:val="24"/>
              </w:rPr>
            </w:pPr>
            <w:r>
              <w:rPr>
                <w:rFonts w:hint="eastAsia" w:ascii="宋体" w:hAnsi="宋体" w:eastAsia="仿宋" w:cs="Times New Roman"/>
                <w:sz w:val="24"/>
              </w:rPr>
              <w:t>（2）采购人</w:t>
            </w:r>
            <w:r>
              <w:rPr>
                <w:rFonts w:hint="default" w:ascii="宋体" w:hAnsi="宋体" w:eastAsia="仿宋" w:cs="Times New Roman"/>
                <w:sz w:val="24"/>
              </w:rPr>
              <w:t>在中华人民共和国境内使用</w:t>
            </w:r>
            <w:r>
              <w:rPr>
                <w:rFonts w:hint="eastAsia" w:ascii="宋体" w:hAnsi="宋体" w:eastAsia="仿宋" w:cs="Times New Roman"/>
                <w:sz w:val="24"/>
              </w:rPr>
              <w:t>中</w:t>
            </w:r>
            <w:r>
              <w:rPr>
                <w:rFonts w:hint="default" w:ascii="宋体" w:hAnsi="宋体" w:eastAsia="仿宋" w:cs="Times New Roman"/>
                <w:sz w:val="24"/>
              </w:rPr>
              <w:t>标货物</w:t>
            </w:r>
            <w:r>
              <w:rPr>
                <w:rFonts w:hint="eastAsia" w:ascii="宋体" w:hAnsi="宋体" w:eastAsia="仿宋" w:cs="Times New Roman"/>
                <w:sz w:val="24"/>
              </w:rPr>
              <w:t>（服务）</w:t>
            </w:r>
            <w:r>
              <w:rPr>
                <w:rFonts w:hint="default" w:ascii="宋体" w:hAnsi="宋体" w:eastAsia="仿宋" w:cs="Times New Roman"/>
                <w:sz w:val="24"/>
              </w:rPr>
              <w:t>、资料、技术、服务或其任何一部分时</w:t>
            </w:r>
            <w:r>
              <w:rPr>
                <w:rFonts w:hint="eastAsia" w:ascii="宋体" w:hAnsi="宋体" w:eastAsia="仿宋" w:cs="Times New Roman"/>
                <w:sz w:val="24"/>
              </w:rPr>
              <w:t>，履行合同义务后</w:t>
            </w:r>
            <w:r>
              <w:rPr>
                <w:rFonts w:hint="default" w:ascii="宋体" w:hAnsi="宋体" w:eastAsia="仿宋" w:cs="Times New Roman"/>
                <w:sz w:val="24"/>
              </w:rPr>
              <w:t>，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w:t>
            </w:r>
            <w:r>
              <w:rPr>
                <w:rFonts w:hint="eastAsia" w:ascii="宋体" w:hAnsi="宋体" w:eastAsia="仿宋" w:cs="Times New Roman"/>
                <w:sz w:val="24"/>
              </w:rPr>
              <w:t>采购人</w:t>
            </w:r>
            <w:r>
              <w:rPr>
                <w:rFonts w:hint="default" w:ascii="宋体" w:hAnsi="宋体" w:eastAsia="仿宋" w:cs="Times New Roman"/>
                <w:sz w:val="24"/>
              </w:rPr>
              <w:t>损失的，投标人须承担全部赔偿责任。</w:t>
            </w:r>
          </w:p>
        </w:tc>
      </w:tr>
      <w:tr w14:paraId="1C48A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FEE6AA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12.4</w:t>
            </w:r>
          </w:p>
        </w:tc>
        <w:tc>
          <w:tcPr>
            <w:tcW w:w="1581" w:type="dxa"/>
            <w:noWrap w:val="0"/>
            <w:vAlign w:val="center"/>
          </w:tcPr>
          <w:p w14:paraId="5CD35E4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Times New Roman"/>
                <w:sz w:val="24"/>
              </w:rPr>
              <w:t>投标专用章、业务专用章等效力规定</w:t>
            </w:r>
          </w:p>
        </w:tc>
        <w:tc>
          <w:tcPr>
            <w:tcW w:w="7229" w:type="dxa"/>
            <w:noWrap w:val="0"/>
            <w:vAlign w:val="center"/>
          </w:tcPr>
          <w:p w14:paraId="52EE7C2F">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sz w:val="24"/>
              </w:rPr>
            </w:pPr>
            <w:r>
              <w:rPr>
                <w:rFonts w:hint="eastAsia" w:ascii="宋体" w:hAnsi="宋体" w:eastAsia="仿宋" w:cs="Times New Roman"/>
                <w:sz w:val="24"/>
              </w:rPr>
              <w:t>招标文件中明确要求加盖公章的，投标人必须加盖投标人公章。在有授权文件(原件)表明投标专用章、业务专用章等法律效力等同于投标人公章的情况下，可以加盖投标专用章或业务专用章，否则将导致投标无效。</w:t>
            </w:r>
          </w:p>
        </w:tc>
      </w:tr>
      <w:tr w14:paraId="54ADE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F8812D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12.5</w:t>
            </w:r>
          </w:p>
        </w:tc>
        <w:tc>
          <w:tcPr>
            <w:tcW w:w="1581" w:type="dxa"/>
            <w:noWrap w:val="0"/>
            <w:vAlign w:val="center"/>
          </w:tcPr>
          <w:p w14:paraId="7AE4581C">
            <w:pPr>
              <w:keepNext w:val="0"/>
              <w:keepLines w:val="0"/>
              <w:widowControl/>
              <w:suppressLineNumbers w:val="0"/>
              <w:snapToGrid w:val="0"/>
              <w:spacing w:before="0" w:beforeAutospacing="0" w:after="0" w:afterAutospacing="0" w:line="288" w:lineRule="auto"/>
              <w:ind w:left="0" w:right="0"/>
              <w:jc w:val="center"/>
              <w:rPr>
                <w:rFonts w:hint="eastAsia" w:ascii="宋体" w:hAnsi="宋体" w:cs="Calibri"/>
                <w:b/>
                <w:sz w:val="24"/>
              </w:rPr>
            </w:pPr>
            <w:r>
              <w:rPr>
                <w:rFonts w:hint="eastAsia" w:ascii="宋体" w:hAnsi="宋体" w:eastAsia="仿宋" w:cs="Times New Roman"/>
                <w:sz w:val="24"/>
              </w:rPr>
              <w:t>多包投标、多包中标的规定</w:t>
            </w:r>
          </w:p>
        </w:tc>
        <w:tc>
          <w:tcPr>
            <w:tcW w:w="7229" w:type="dxa"/>
            <w:noWrap w:val="0"/>
            <w:vAlign w:val="center"/>
          </w:tcPr>
          <w:p w14:paraId="4DC964AA">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sz w:val="24"/>
              </w:rPr>
            </w:pPr>
            <w:r>
              <w:rPr>
                <w:rFonts w:hint="eastAsia" w:ascii="宋体" w:hAnsi="宋体" w:eastAsia="仿宋" w:cs="Times New Roman"/>
                <w:sz w:val="24"/>
              </w:rPr>
              <w:sym w:font="Wingdings 2" w:char="0052"/>
            </w:r>
            <w:r>
              <w:rPr>
                <w:rFonts w:hint="eastAsia" w:ascii="宋体" w:hAnsi="宋体" w:eastAsia="仿宋" w:cs="Times New Roman"/>
                <w:sz w:val="24"/>
              </w:rPr>
              <w:t>投标人可对本项目一个或多个包进行投标，也可中多个包。</w:t>
            </w:r>
          </w:p>
          <w:p w14:paraId="15306AA1">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sz w:val="24"/>
              </w:rPr>
            </w:pPr>
            <w:r>
              <w:rPr>
                <w:rFonts w:hint="eastAsia" w:ascii="宋体" w:hAnsi="宋体" w:eastAsia="仿宋" w:cs="Times New Roman"/>
                <w:sz w:val="24"/>
              </w:rPr>
              <w:t>□投标人可对本项目一个或多个包进行投标，但只能中一个包。如一个投标人在多个包评审中均排序第一，</w:t>
            </w:r>
            <w:r>
              <w:rPr>
                <w:rFonts w:hint="default" w:ascii="Calibri" w:hAnsi="Calibri" w:eastAsia="仿宋" w:cs="Times New Roman"/>
                <w:sz w:val="24"/>
              </w:rPr>
              <w:t>则</w:t>
            </w:r>
            <w:r>
              <w:rPr>
                <w:rFonts w:hint="eastAsia" w:ascii="Calibri" w:hAnsi="Calibri" w:eastAsia="仿宋" w:cs="Times New Roman"/>
                <w:sz w:val="24"/>
              </w:rPr>
              <w:t>以投标人在投标函中自行选择优先顺序确定中标标包。</w:t>
            </w:r>
          </w:p>
        </w:tc>
      </w:tr>
      <w:tr w14:paraId="0F40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424180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12.6</w:t>
            </w:r>
          </w:p>
        </w:tc>
        <w:tc>
          <w:tcPr>
            <w:tcW w:w="1581" w:type="dxa"/>
            <w:noWrap w:val="0"/>
            <w:vAlign w:val="center"/>
          </w:tcPr>
          <w:p w14:paraId="796B4C9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相关提示</w:t>
            </w:r>
          </w:p>
        </w:tc>
        <w:tc>
          <w:tcPr>
            <w:tcW w:w="7229" w:type="dxa"/>
            <w:noWrap w:val="0"/>
            <w:vAlign w:val="center"/>
          </w:tcPr>
          <w:p w14:paraId="289563D9">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sz w:val="24"/>
              </w:rPr>
            </w:pPr>
            <w:r>
              <w:rPr>
                <w:rFonts w:hint="eastAsia" w:ascii="宋体" w:hAnsi="宋体" w:eastAsia="仿宋" w:cs="Times New Roman"/>
                <w:sz w:val="24"/>
              </w:rPr>
              <w:t>（1）招标文件中所称时间均指北京时间，采用电子招标投标时，以交易平台时间为准。</w:t>
            </w:r>
          </w:p>
          <w:p w14:paraId="1AFB36EC">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sz w:val="24"/>
              </w:rPr>
            </w:pPr>
            <w:r>
              <w:rPr>
                <w:rFonts w:hint="eastAsia" w:ascii="宋体" w:hAnsi="宋体" w:eastAsia="仿宋" w:cs="Times New Roman"/>
                <w:sz w:val="24"/>
              </w:rPr>
              <w:t>（2）投标人应注意规定的开标地点和投标截止时间，为了使招标投标工作有条不紊进行，避免标投文件迟交的情况发生，建议投标人提前30分钟到达开标现场，做好投标文件递交和其它准备工作。</w:t>
            </w:r>
          </w:p>
          <w:p w14:paraId="7BBC7927">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sz w:val="24"/>
              </w:rPr>
            </w:pPr>
            <w:r>
              <w:rPr>
                <w:rFonts w:hint="eastAsia" w:ascii="宋体" w:hAnsi="宋体" w:eastAsia="仿宋" w:cs="Times New Roman"/>
                <w:sz w:val="24"/>
              </w:rPr>
              <w:t>（3）本项目保证金账户采用虚拟账号，每个项目均不同，同一个项目不同标包也不同。投标标包应与投标保证金相匹配。如项目招标失败再次招标时，保证金账号也会发生变化。请投标人仔细核对账户信息。</w:t>
            </w:r>
          </w:p>
        </w:tc>
      </w:tr>
      <w:tr w14:paraId="104F3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B2CA46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12.7</w:t>
            </w:r>
          </w:p>
        </w:tc>
        <w:tc>
          <w:tcPr>
            <w:tcW w:w="1581" w:type="dxa"/>
            <w:noWrap w:val="0"/>
            <w:vAlign w:val="center"/>
          </w:tcPr>
          <w:p w14:paraId="6362B9B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sz w:val="24"/>
              </w:rPr>
            </w:pPr>
            <w:r>
              <w:rPr>
                <w:rFonts w:hint="eastAsia" w:ascii="宋体" w:hAnsi="宋体" w:eastAsia="仿宋" w:cs="Calibri"/>
                <w:sz w:val="24"/>
              </w:rPr>
              <w:t>招标文件的解释</w:t>
            </w:r>
          </w:p>
        </w:tc>
        <w:tc>
          <w:tcPr>
            <w:tcW w:w="7229" w:type="dxa"/>
            <w:noWrap w:val="0"/>
            <w:vAlign w:val="top"/>
          </w:tcPr>
          <w:p w14:paraId="3B8033D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sz w:val="24"/>
              </w:rPr>
            </w:pPr>
            <w:r>
              <w:rPr>
                <w:rFonts w:hint="eastAsia" w:ascii="宋体" w:hAnsi="宋体" w:eastAsia="仿宋" w:cs="Times New Roman"/>
                <w:sz w:val="24"/>
              </w:rPr>
              <w:t>构成本招标文件的各个组成文件应互为解释，互为说明；如有不明确或不一致，除招标文件中有特别规定外，仅适用于招标投标阶段规定的，按招标公告、投标人须知、评标办法、投标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宋体" w:hAnsi="宋体" w:eastAsia="仿宋" w:cs="Times New Roman"/>
                <w:bCs/>
                <w:sz w:val="24"/>
              </w:rPr>
              <w:t>由采购人和采购代理机构负责解释。</w:t>
            </w:r>
          </w:p>
        </w:tc>
      </w:tr>
      <w:tr w14:paraId="764B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2F0B9F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sz w:val="24"/>
              </w:rPr>
            </w:pPr>
            <w:r>
              <w:rPr>
                <w:rFonts w:hint="eastAsia" w:ascii="宋体" w:hAnsi="宋体" w:eastAsia="仿宋" w:cs="Calibri"/>
                <w:sz w:val="24"/>
              </w:rPr>
              <w:t>12.8</w:t>
            </w:r>
          </w:p>
        </w:tc>
        <w:tc>
          <w:tcPr>
            <w:tcW w:w="1581" w:type="dxa"/>
            <w:noWrap w:val="0"/>
            <w:vAlign w:val="center"/>
          </w:tcPr>
          <w:p w14:paraId="44E39E9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sz w:val="24"/>
              </w:rPr>
            </w:pPr>
            <w:r>
              <w:rPr>
                <w:rFonts w:hint="eastAsia" w:ascii="宋体" w:hAnsi="宋体" w:eastAsia="仿宋" w:cs="Calibri"/>
                <w:sz w:val="24"/>
              </w:rPr>
              <w:t>相关说明</w:t>
            </w:r>
          </w:p>
        </w:tc>
        <w:tc>
          <w:tcPr>
            <w:tcW w:w="7229" w:type="dxa"/>
            <w:noWrap w:val="0"/>
            <w:vAlign w:val="top"/>
          </w:tcPr>
          <w:p w14:paraId="351E884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sz w:val="24"/>
              </w:rPr>
            </w:pPr>
            <w:r>
              <w:rPr>
                <w:rFonts w:hint="eastAsia" w:ascii="宋体" w:hAnsi="宋体" w:eastAsia="仿宋" w:cs="Times New Roman"/>
                <w:b/>
                <w:bCs/>
                <w:sz w:val="24"/>
              </w:rPr>
              <w:t>1、投标产品纳入医疗器械备案管理的，投标人须承诺自中标通知书发出之日起7个工作日内提供所投产品的备案证明材料，若未按规定提供视为自动放弃中标资格。</w:t>
            </w:r>
          </w:p>
          <w:p w14:paraId="6D182A2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sz w:val="24"/>
              </w:rPr>
            </w:pPr>
            <w:r>
              <w:rPr>
                <w:rFonts w:hint="eastAsia" w:ascii="宋体" w:hAnsi="宋体" w:eastAsia="仿宋" w:cs="Times New Roman"/>
                <w:b/>
                <w:bCs/>
                <w:sz w:val="24"/>
              </w:rPr>
              <w:t>2、投标人为代理商时须承诺自中标通知书发出之日起7个工作日内提供投标产品授权书，若未按规定提供视为自动放弃中标资格。产品授权书是指产品制造商（也可由制造商的中国销售公司或产品全国总代理公司或区域代理公司出具，但须同时提供能证明出具授权的单位具有相应合法代理身份的有效证明）针对本次项目投标出具的有效授权（函）。</w:t>
            </w:r>
          </w:p>
          <w:p w14:paraId="2E5C1EF8">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sz w:val="24"/>
              </w:rPr>
            </w:pPr>
            <w:r>
              <w:rPr>
                <w:rFonts w:hint="eastAsia" w:ascii="宋体" w:hAnsi="宋体" w:eastAsia="仿宋" w:cs="Times New Roman"/>
                <w:b/>
                <w:bCs/>
                <w:sz w:val="24"/>
              </w:rPr>
              <w:t>注：以上承诺在投标函中体现。</w:t>
            </w:r>
          </w:p>
        </w:tc>
      </w:tr>
      <w:tr w14:paraId="558E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DD703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sz w:val="24"/>
              </w:rPr>
            </w:pPr>
            <w:r>
              <w:rPr>
                <w:rFonts w:hint="eastAsia" w:ascii="宋体" w:hAnsi="宋体" w:eastAsia="仿宋" w:cs="Calibri"/>
                <w:sz w:val="24"/>
              </w:rPr>
              <w:t>12.9</w:t>
            </w:r>
          </w:p>
        </w:tc>
        <w:tc>
          <w:tcPr>
            <w:tcW w:w="1581" w:type="dxa"/>
            <w:noWrap w:val="0"/>
            <w:vAlign w:val="center"/>
          </w:tcPr>
          <w:p w14:paraId="7A2687C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sz w:val="24"/>
              </w:rPr>
            </w:pPr>
            <w:r>
              <w:rPr>
                <w:rFonts w:hint="eastAsia" w:ascii="宋体" w:hAnsi="宋体" w:eastAsia="仿宋" w:cs="Calibri"/>
                <w:sz w:val="24"/>
              </w:rPr>
              <w:t>政府采购监管部门</w:t>
            </w:r>
          </w:p>
        </w:tc>
        <w:tc>
          <w:tcPr>
            <w:tcW w:w="7229" w:type="dxa"/>
            <w:noWrap w:val="0"/>
            <w:vAlign w:val="center"/>
          </w:tcPr>
          <w:p w14:paraId="1BA1CF2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sz w:val="24"/>
              </w:rPr>
            </w:pPr>
            <w:r>
              <w:rPr>
                <w:rFonts w:hint="eastAsia" w:ascii="宋体" w:hAnsi="宋体" w:eastAsia="仿宋" w:cs="Calibri"/>
                <w:b/>
                <w:bCs/>
                <w:sz w:val="24"/>
              </w:rPr>
              <w:t>本项目的监管部门：安徽省财政厅</w:t>
            </w:r>
          </w:p>
        </w:tc>
      </w:tr>
    </w:tbl>
    <w:p w14:paraId="72F6AF24">
      <w:pPr>
        <w:widowControl/>
        <w:spacing w:line="360" w:lineRule="auto"/>
        <w:rPr>
          <w:rFonts w:ascii="宋体" w:hAnsi="宋体" w:eastAsia="仿宋" w:cs="Calibri"/>
          <w:b/>
          <w:bCs/>
          <w:sz w:val="24"/>
        </w:rPr>
      </w:pPr>
    </w:p>
    <w:p w14:paraId="70744C7C">
      <w:pPr>
        <w:widowControl/>
        <w:rPr>
          <w:rStyle w:val="98"/>
          <w:rFonts w:ascii="宋体" w:hAnsi="宋体" w:eastAsia="仿宋"/>
          <w:bCs w:val="0"/>
          <w:sz w:val="24"/>
          <w:szCs w:val="24"/>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bookmarkEnd w:id="45"/>
    <w:bookmarkEnd w:id="46"/>
    <w:bookmarkEnd w:id="47"/>
    <w:bookmarkEnd w:id="48"/>
    <w:p w14:paraId="28F03ACD">
      <w:pPr>
        <w:pStyle w:val="3"/>
        <w:rPr>
          <w:rStyle w:val="98"/>
          <w:rFonts w:ascii="宋体" w:hAnsi="宋体" w:eastAsia="仿宋"/>
          <w:b/>
          <w:bCs/>
          <w:sz w:val="24"/>
          <w:szCs w:val="24"/>
        </w:rPr>
      </w:pPr>
      <w:bookmarkStart w:id="51" w:name="_Toc371415920"/>
      <w:bookmarkStart w:id="52" w:name="_Toc445554688"/>
      <w:bookmarkStart w:id="53" w:name="_Toc338943699"/>
      <w:bookmarkStart w:id="54" w:name="_Toc342297618"/>
      <w:bookmarkStart w:id="55" w:name="_Toc152042305"/>
      <w:bookmarkStart w:id="56" w:name="_Toc455587032"/>
      <w:bookmarkStart w:id="57" w:name="_Toc144974497"/>
      <w:bookmarkStart w:id="58" w:name="_Toc333600682"/>
      <w:bookmarkStart w:id="59" w:name="_Toc333599658"/>
      <w:bookmarkStart w:id="60" w:name="_Toc338944604"/>
      <w:bookmarkStart w:id="61" w:name="_Toc455587216"/>
      <w:bookmarkStart w:id="62" w:name="_Toc152045529"/>
      <w:bookmarkStart w:id="63" w:name="_Toc458504818"/>
      <w:bookmarkStart w:id="64" w:name="_Toc466024500"/>
      <w:bookmarkStart w:id="65" w:name="_Toc342294713"/>
      <w:bookmarkStart w:id="66" w:name="_Toc179632546"/>
      <w:bookmarkStart w:id="67" w:name="_Toc342296161"/>
      <w:r>
        <w:rPr>
          <w:rStyle w:val="98"/>
          <w:rFonts w:hint="eastAsia" w:ascii="宋体" w:hAnsi="宋体" w:eastAsia="仿宋"/>
          <w:b/>
          <w:bCs/>
          <w:sz w:val="24"/>
          <w:szCs w:val="24"/>
        </w:rPr>
        <w:t>1. 总则</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5674E72">
      <w:pPr>
        <w:pStyle w:val="4"/>
        <w:adjustRightInd w:val="0"/>
        <w:ind w:firstLine="482" w:firstLineChars="200"/>
        <w:rPr>
          <w:rFonts w:eastAsia="仿宋"/>
          <w:sz w:val="24"/>
          <w:lang w:eastAsia="zh-CN"/>
        </w:rPr>
      </w:pPr>
      <w:bookmarkStart w:id="68" w:name="_Toc455587033"/>
      <w:bookmarkStart w:id="69" w:name="_Toc342294714"/>
      <w:bookmarkStart w:id="70" w:name="_Toc342297619"/>
      <w:bookmarkStart w:id="71" w:name="_Toc333599659"/>
      <w:bookmarkStart w:id="72" w:name="_Toc333587853"/>
      <w:bookmarkStart w:id="73" w:name="_Toc466024501"/>
      <w:bookmarkStart w:id="74" w:name="_Toc445554689"/>
      <w:bookmarkStart w:id="75" w:name="_Toc338944605"/>
      <w:bookmarkStart w:id="76" w:name="_Toc152042306"/>
      <w:bookmarkStart w:id="77" w:name="_Toc342296162"/>
      <w:bookmarkStart w:id="78" w:name="_Toc144974498"/>
      <w:bookmarkStart w:id="79" w:name="_Toc152045530"/>
      <w:bookmarkStart w:id="80" w:name="_Toc371415921"/>
      <w:bookmarkStart w:id="81" w:name="_Toc455587217"/>
      <w:bookmarkStart w:id="82" w:name="_Toc458504819"/>
      <w:bookmarkStart w:id="83" w:name="_Toc179632547"/>
      <w:bookmarkStart w:id="84" w:name="_Toc333600683"/>
      <w:bookmarkStart w:id="85" w:name="_Toc338943700"/>
      <w:r>
        <w:rPr>
          <w:rFonts w:eastAsia="仿宋"/>
          <w:sz w:val="24"/>
          <w:lang w:eastAsia="zh-CN"/>
        </w:rPr>
        <w:t>1</w:t>
      </w:r>
      <w:r>
        <w:rPr>
          <w:rFonts w:hint="eastAsia" w:eastAsia="仿宋"/>
          <w:sz w:val="24"/>
          <w:lang w:eastAsia="zh-CN"/>
        </w:rPr>
        <w:t>.1 项目概况</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02549BF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1.1.1 根据《中华人民共和国政府采购法》《中华人民共和国政府采购法实施条例》《政府采购货物和服务招标投标管理办法》等有关法律、法规和规章的规定，本项目已具备政府采购条件，现以招标方式进行政府采购。</w:t>
      </w:r>
    </w:p>
    <w:p w14:paraId="2E9D704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1.1.2 采购人：见投标人须知前附表。</w:t>
      </w:r>
    </w:p>
    <w:p w14:paraId="08015AB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1.1.3 采购代理机构：见投标人须知前附表。</w:t>
      </w:r>
    </w:p>
    <w:p w14:paraId="16D04CD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1.1.4 采购项目名称：见投标人须知前附表。</w:t>
      </w:r>
    </w:p>
    <w:p w14:paraId="62DBDE8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1.1.5 标段（包别）划分：见投标人须知前附表。</w:t>
      </w:r>
    </w:p>
    <w:p w14:paraId="7E82648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1.1.6 采购预算：见投标人须知前附表。</w:t>
      </w:r>
    </w:p>
    <w:p w14:paraId="6036085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1.1.7 专门面向中小企业采购：见投标人须知前附表。</w:t>
      </w:r>
    </w:p>
    <w:p w14:paraId="510CF449">
      <w:pPr>
        <w:pStyle w:val="4"/>
        <w:adjustRightInd w:val="0"/>
        <w:ind w:firstLine="482" w:firstLineChars="200"/>
        <w:rPr>
          <w:rFonts w:hint="eastAsia" w:eastAsia="仿宋"/>
          <w:sz w:val="24"/>
          <w:lang w:eastAsia="zh-CN"/>
        </w:rPr>
      </w:pPr>
      <w:bookmarkStart w:id="86" w:name="_Toc458504820"/>
      <w:bookmarkStart w:id="87" w:name="_Toc466024502"/>
      <w:bookmarkStart w:id="88" w:name="_Toc445554690"/>
      <w:bookmarkStart w:id="89" w:name="_Toc455587218"/>
      <w:bookmarkStart w:id="90" w:name="_Toc455587034"/>
      <w:r>
        <w:rPr>
          <w:rFonts w:hint="eastAsia" w:eastAsia="仿宋"/>
          <w:sz w:val="24"/>
          <w:lang w:eastAsia="zh-CN"/>
        </w:rPr>
        <w:t>1.2 资金来源和落实情况</w:t>
      </w:r>
    </w:p>
    <w:p w14:paraId="746B6BB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1.2.1 资金来源及比例：见投标人须知前附表。</w:t>
      </w:r>
    </w:p>
    <w:p w14:paraId="29BE5BA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1.2.2 资金落实情况：见投标人须知前附表。</w:t>
      </w:r>
    </w:p>
    <w:p w14:paraId="289FFA0E">
      <w:pPr>
        <w:pStyle w:val="4"/>
        <w:adjustRightInd w:val="0"/>
        <w:ind w:firstLine="482" w:firstLineChars="200"/>
        <w:rPr>
          <w:rFonts w:eastAsia="仿宋"/>
          <w:sz w:val="24"/>
          <w:lang w:eastAsia="zh-CN"/>
        </w:rPr>
      </w:pPr>
      <w:r>
        <w:rPr>
          <w:rFonts w:hint="eastAsia" w:eastAsia="仿宋"/>
          <w:sz w:val="24"/>
          <w:lang w:eastAsia="zh-CN"/>
        </w:rPr>
        <w:t>1.3 采购需求、交货地点、交货期和质量要求</w:t>
      </w:r>
      <w:bookmarkEnd w:id="86"/>
      <w:bookmarkEnd w:id="87"/>
      <w:bookmarkEnd w:id="88"/>
      <w:bookmarkEnd w:id="89"/>
      <w:bookmarkEnd w:id="90"/>
      <w:r>
        <w:rPr>
          <w:rFonts w:hint="eastAsia" w:eastAsia="仿宋"/>
          <w:sz w:val="24"/>
          <w:lang w:eastAsia="zh-CN"/>
        </w:rPr>
        <w:t>等</w:t>
      </w:r>
    </w:p>
    <w:p w14:paraId="75755C1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1.3.1 采购需求：见投标人须知前附表。</w:t>
      </w:r>
    </w:p>
    <w:p w14:paraId="766BE84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1.3.2 进口产品采购：见投标人须知前附表。</w:t>
      </w:r>
    </w:p>
    <w:p w14:paraId="3A4D9AAF">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1.3.3 交货期：见投标人须知前附表。</w:t>
      </w:r>
    </w:p>
    <w:p w14:paraId="664A923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1.3.4 交货地点：见投标人须知前附表。</w:t>
      </w:r>
    </w:p>
    <w:p w14:paraId="696EBCE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1.3.5 质量要求：见投标人须知前附表。</w:t>
      </w:r>
    </w:p>
    <w:p w14:paraId="4AE12C4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1.3.6 质量保证期：见投标人须知前附表。</w:t>
      </w:r>
    </w:p>
    <w:p w14:paraId="1C6B425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1.3.7 付款方式：见投标人须知前附表。</w:t>
      </w:r>
    </w:p>
    <w:p w14:paraId="754BC8AA">
      <w:pPr>
        <w:pStyle w:val="4"/>
        <w:adjustRightInd w:val="0"/>
        <w:ind w:firstLine="482" w:firstLineChars="200"/>
        <w:rPr>
          <w:rFonts w:eastAsia="仿宋"/>
          <w:sz w:val="24"/>
          <w:lang w:eastAsia="zh-CN"/>
        </w:rPr>
      </w:pPr>
      <w:bookmarkStart w:id="91" w:name="_Toc455587035"/>
      <w:bookmarkStart w:id="92" w:name="_Toc179632551"/>
      <w:bookmarkStart w:id="93" w:name="_Toc338944609"/>
      <w:bookmarkStart w:id="94" w:name="_Toc333599663"/>
      <w:bookmarkStart w:id="95" w:name="_Toc371415924"/>
      <w:bookmarkStart w:id="96" w:name="_Toc144974502"/>
      <w:bookmarkStart w:id="97" w:name="_Toc333587857"/>
      <w:bookmarkStart w:id="98" w:name="_Toc455587219"/>
      <w:bookmarkStart w:id="99" w:name="_Toc466024503"/>
      <w:bookmarkStart w:id="100" w:name="_Toc458504821"/>
      <w:bookmarkStart w:id="101" w:name="_Toc342296166"/>
      <w:bookmarkStart w:id="102" w:name="_Toc338943704"/>
      <w:bookmarkStart w:id="103" w:name="_Toc445554692"/>
      <w:bookmarkStart w:id="104" w:name="_Toc342297623"/>
      <w:bookmarkStart w:id="105" w:name="_Toc333600687"/>
      <w:bookmarkStart w:id="106" w:name="_Toc152042310"/>
      <w:bookmarkStart w:id="107" w:name="_Toc152045534"/>
      <w:bookmarkStart w:id="108" w:name="_Toc342294718"/>
      <w:r>
        <w:rPr>
          <w:rFonts w:hint="eastAsia" w:eastAsia="仿宋"/>
          <w:sz w:val="24"/>
          <w:lang w:eastAsia="zh-CN"/>
        </w:rPr>
        <w:t>1.4 投标人资格要求</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5D9C39C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1.4.1 投标人应具备承担本采购项目的资质条件、能力和信誉：</w:t>
      </w:r>
    </w:p>
    <w:p w14:paraId="22BD86F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1</w:t>
      </w:r>
      <w:r>
        <w:rPr>
          <w:rFonts w:hint="eastAsia" w:ascii="宋体" w:hAnsi="宋体" w:eastAsia="仿宋"/>
          <w:sz w:val="24"/>
        </w:rPr>
        <w:t>）资质要求：见投标人须知前附表；</w:t>
      </w:r>
    </w:p>
    <w:p w14:paraId="60E0B22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2</w:t>
      </w:r>
      <w:r>
        <w:rPr>
          <w:rFonts w:hint="eastAsia" w:ascii="宋体" w:hAnsi="宋体" w:eastAsia="仿宋"/>
          <w:sz w:val="24"/>
        </w:rPr>
        <w:t>）财务要求：见投标人须知前附表；</w:t>
      </w:r>
    </w:p>
    <w:p w14:paraId="1B894A4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（3）业绩要求：见投标人须知前附表；</w:t>
      </w:r>
    </w:p>
    <w:p w14:paraId="3267079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（4）信誉要求：见投标人须知前附表；</w:t>
      </w:r>
    </w:p>
    <w:p w14:paraId="6BD914C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（5）其他要求：见投标人须知前附表。</w:t>
      </w:r>
    </w:p>
    <w:p w14:paraId="4F11D44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1.4.2 投标人须知前附表规定接受联合体投标的，除应符合本章第1.4</w:t>
      </w:r>
      <w:r>
        <w:rPr>
          <w:rFonts w:ascii="宋体" w:hAnsi="宋体" w:eastAsia="仿宋"/>
          <w:sz w:val="24"/>
        </w:rPr>
        <w:t>.1</w:t>
      </w:r>
      <w:r>
        <w:rPr>
          <w:rFonts w:hint="eastAsia" w:ascii="宋体" w:hAnsi="宋体" w:eastAsia="仿宋"/>
          <w:sz w:val="24"/>
        </w:rPr>
        <w:t>项和投标人须知前附表的要求外，还应遵守以下规定：</w:t>
      </w:r>
    </w:p>
    <w:p w14:paraId="69E7529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1</w:t>
      </w:r>
      <w:r>
        <w:rPr>
          <w:rFonts w:hint="eastAsia" w:ascii="宋体" w:hAnsi="宋体" w:eastAsia="仿宋"/>
          <w:sz w:val="24"/>
        </w:rPr>
        <w:t>）联合体各方应按招标文件提供的格式签订联合体协议书，明确联合体牵头人和各方权利义务，并承诺就中标项目向采购人承担连带责任；</w:t>
      </w:r>
    </w:p>
    <w:p w14:paraId="3A4DFA4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（2）由同一专业的单位组成的联合体，按照资质等级较低的单位确定资质等级；</w:t>
      </w:r>
    </w:p>
    <w:p w14:paraId="763B068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（3）联合体各方不得再以自己名义单独或参加其他联合体在本项目中投标，否则各相关投标均无效；</w:t>
      </w:r>
    </w:p>
    <w:p w14:paraId="3A5E6E2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4）联合体各方应分别按照本招标文件的要求，填写投标文件中的相应表格，并由联合体牵头人负责对联合体各成员的资料进行统一汇总后一并提交给</w:t>
      </w:r>
      <w:r>
        <w:rPr>
          <w:rFonts w:hint="eastAsia" w:ascii="宋体" w:hAnsi="宋体" w:eastAsia="仿宋"/>
          <w:sz w:val="24"/>
        </w:rPr>
        <w:t>采购</w:t>
      </w:r>
      <w:r>
        <w:rPr>
          <w:rFonts w:ascii="宋体" w:hAnsi="宋体" w:eastAsia="仿宋"/>
          <w:sz w:val="24"/>
        </w:rPr>
        <w:t>人；联合体牵头人所提交的投标文件应认为已代表了联合体各成员的真实情况；</w:t>
      </w:r>
    </w:p>
    <w:p w14:paraId="7367AD6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5）尽管委任了联合体牵头人，但联合体各成员在投标、签订合同与履行合同过程中，仍负有连带的和各自的法律责任。</w:t>
      </w:r>
    </w:p>
    <w:p w14:paraId="7640C0E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1.4.3 投标人</w:t>
      </w:r>
      <w:r>
        <w:rPr>
          <w:rFonts w:hAnsi="宋体" w:eastAsia="仿宋"/>
          <w:sz w:val="24"/>
        </w:rPr>
        <w:t>（包括联合体各成员）</w:t>
      </w:r>
      <w:r>
        <w:rPr>
          <w:rFonts w:hint="eastAsia" w:ascii="宋体" w:hAnsi="宋体" w:eastAsia="仿宋"/>
          <w:sz w:val="24"/>
        </w:rPr>
        <w:t>不得存在下列情形之一：</w:t>
      </w:r>
    </w:p>
    <w:p w14:paraId="7ADA977A">
      <w:pPr>
        <w:widowControl/>
        <w:adjustRightInd w:val="0"/>
        <w:snapToGrid w:val="0"/>
        <w:spacing w:line="360" w:lineRule="auto"/>
        <w:ind w:firstLine="480" w:firstLineChars="200"/>
        <w:rPr>
          <w:rFonts w:hint="eastAsia" w:ascii="宋体" w:hAnsi="宋体" w:eastAsia="仿宋"/>
          <w:sz w:val="24"/>
        </w:rPr>
      </w:pPr>
      <w:bookmarkStart w:id="109" w:name="_Toc342296167"/>
      <w:bookmarkStart w:id="110" w:name="_Toc333600688"/>
      <w:bookmarkStart w:id="111" w:name="_Toc342294719"/>
      <w:bookmarkStart w:id="112" w:name="_Toc333587858"/>
      <w:bookmarkStart w:id="113" w:name="_Toc342297624"/>
      <w:bookmarkStart w:id="114" w:name="_Toc179632552"/>
      <w:bookmarkStart w:id="115" w:name="_Toc333599664"/>
      <w:bookmarkStart w:id="116" w:name="_Toc338944610"/>
      <w:bookmarkStart w:id="117" w:name="_Toc338943705"/>
      <w:bookmarkStart w:id="118" w:name="_Toc152045535"/>
      <w:bookmarkStart w:id="119" w:name="_Toc144974503"/>
      <w:bookmarkStart w:id="120" w:name="_Toc152042311"/>
      <w:r>
        <w:rPr>
          <w:rFonts w:hint="eastAsia" w:ascii="宋体" w:hAnsi="宋体" w:eastAsia="仿宋"/>
          <w:sz w:val="24"/>
        </w:rPr>
        <w:t>（1）</w:t>
      </w:r>
      <w:r>
        <w:rPr>
          <w:rFonts w:ascii="宋体" w:hAnsi="宋体" w:eastAsia="仿宋"/>
          <w:sz w:val="24"/>
        </w:rPr>
        <w:t>为本采购项目的采购代理机构的；</w:t>
      </w:r>
    </w:p>
    <w:p w14:paraId="3D20C57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w:t>
      </w:r>
      <w:r>
        <w:rPr>
          <w:rFonts w:ascii="宋体" w:hAnsi="宋体" w:eastAsia="仿宋"/>
          <w:sz w:val="24"/>
        </w:rPr>
        <w:t>为采购人</w:t>
      </w:r>
      <w:r>
        <w:rPr>
          <w:rFonts w:hint="eastAsia" w:ascii="宋体" w:hAnsi="宋体" w:eastAsia="仿宋"/>
          <w:sz w:val="24"/>
        </w:rPr>
        <w:t>不具有独立承担民事责任能力的</w:t>
      </w:r>
      <w:r>
        <w:rPr>
          <w:rFonts w:ascii="宋体" w:hAnsi="宋体" w:eastAsia="仿宋"/>
          <w:sz w:val="24"/>
        </w:rPr>
        <w:t>附属机构的</w:t>
      </w:r>
      <w:r>
        <w:rPr>
          <w:rFonts w:hint="eastAsia" w:ascii="宋体" w:hAnsi="宋体" w:eastAsia="仿宋"/>
          <w:sz w:val="24"/>
        </w:rPr>
        <w:t>；</w:t>
      </w:r>
    </w:p>
    <w:p w14:paraId="33993FB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w:t>
      </w:r>
      <w:r>
        <w:rPr>
          <w:rFonts w:ascii="宋体" w:hAnsi="宋体" w:eastAsia="仿宋"/>
          <w:sz w:val="24"/>
        </w:rPr>
        <w:t>与采购人存在利害关系且可能影响采购公正性的；</w:t>
      </w:r>
    </w:p>
    <w:p w14:paraId="2C5BB3F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w:t>
      </w:r>
      <w:r>
        <w:rPr>
          <w:rFonts w:ascii="宋体" w:hAnsi="宋体" w:eastAsia="仿宋"/>
          <w:sz w:val="24"/>
        </w:rPr>
        <w:t>由本</w:t>
      </w:r>
      <w:r>
        <w:rPr>
          <w:rFonts w:hint="eastAsia" w:ascii="宋体" w:hAnsi="宋体" w:eastAsia="仿宋"/>
          <w:sz w:val="24"/>
        </w:rPr>
        <w:t>采购项目</w:t>
      </w:r>
      <w:r>
        <w:rPr>
          <w:rFonts w:ascii="宋体" w:hAnsi="宋体" w:eastAsia="仿宋"/>
          <w:sz w:val="24"/>
        </w:rPr>
        <w:t>采购代理机构代理</w:t>
      </w:r>
      <w:r>
        <w:rPr>
          <w:rFonts w:hint="eastAsia" w:ascii="宋体" w:hAnsi="宋体" w:eastAsia="仿宋"/>
          <w:sz w:val="24"/>
        </w:rPr>
        <w:t>投标</w:t>
      </w:r>
      <w:r>
        <w:rPr>
          <w:rFonts w:ascii="宋体" w:hAnsi="宋体" w:eastAsia="仿宋"/>
          <w:sz w:val="24"/>
        </w:rPr>
        <w:t>，或者接受过本</w:t>
      </w:r>
      <w:r>
        <w:rPr>
          <w:rFonts w:hint="eastAsia" w:ascii="宋体" w:hAnsi="宋体" w:eastAsia="仿宋"/>
          <w:sz w:val="24"/>
        </w:rPr>
        <w:t>采购项目</w:t>
      </w:r>
      <w:r>
        <w:rPr>
          <w:rFonts w:ascii="宋体" w:hAnsi="宋体" w:eastAsia="仿宋"/>
          <w:sz w:val="24"/>
        </w:rPr>
        <w:t>的采购代理机构为本</w:t>
      </w:r>
      <w:r>
        <w:rPr>
          <w:rFonts w:hint="eastAsia" w:ascii="宋体" w:hAnsi="宋体" w:eastAsia="仿宋"/>
          <w:sz w:val="24"/>
        </w:rPr>
        <w:t>采购项目</w:t>
      </w:r>
      <w:r>
        <w:rPr>
          <w:rFonts w:ascii="宋体" w:hAnsi="宋体" w:eastAsia="仿宋"/>
          <w:sz w:val="24"/>
        </w:rPr>
        <w:t>提供咨询</w:t>
      </w:r>
      <w:r>
        <w:rPr>
          <w:rFonts w:hint="eastAsia" w:ascii="宋体" w:hAnsi="宋体" w:eastAsia="仿宋"/>
          <w:sz w:val="24"/>
        </w:rPr>
        <w:t>的；</w:t>
      </w:r>
    </w:p>
    <w:p w14:paraId="2E40E5D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（5）</w:t>
      </w:r>
      <w:r>
        <w:rPr>
          <w:rFonts w:ascii="宋体" w:hAnsi="宋体" w:eastAsia="仿宋"/>
          <w:sz w:val="24"/>
        </w:rPr>
        <w:t>被责令停产停业、暂扣或者吊销许可证、暂扣或者吊销执照的；</w:t>
      </w:r>
    </w:p>
    <w:p w14:paraId="33B6FB0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w:t>
      </w:r>
      <w:r>
        <w:rPr>
          <w:rFonts w:ascii="宋体" w:hAnsi="宋体" w:eastAsia="仿宋"/>
          <w:sz w:val="24"/>
        </w:rPr>
        <w:t>进入清算程序，或被宣告破产，或其他丧失履约能力的情形的；</w:t>
      </w:r>
    </w:p>
    <w:p w14:paraId="572E1EC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（7）与本项目其他投标人的</w:t>
      </w:r>
      <w:r>
        <w:rPr>
          <w:rFonts w:ascii="宋体" w:hAnsi="宋体" w:eastAsia="仿宋"/>
          <w:sz w:val="24"/>
        </w:rPr>
        <w:t>单位负责人为同一人或者存在直接控股、管理关系的不同投标人的</w:t>
      </w:r>
      <w:r>
        <w:rPr>
          <w:rFonts w:hint="eastAsia" w:ascii="宋体" w:hAnsi="宋体" w:eastAsia="仿宋"/>
          <w:sz w:val="24"/>
        </w:rPr>
        <w:t>；</w:t>
      </w:r>
    </w:p>
    <w:p w14:paraId="31332D3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（8）被依法禁止参加政府采购活动并在有效期内的；</w:t>
      </w:r>
    </w:p>
    <w:p w14:paraId="19271CA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（9）为采购项目提供整体设计、规范编制或者项目管理、监理、检测等服务的投标人，不得再参加该采购项目的其他采购活动，具体按财政部财办库〔2015〕295号文件规定；</w:t>
      </w:r>
    </w:p>
    <w:p w14:paraId="2505B90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（10）截至投标截止时间，</w:t>
      </w:r>
      <w:r>
        <w:rPr>
          <w:rFonts w:ascii="宋体" w:hAnsi="宋体" w:eastAsia="仿宋"/>
          <w:sz w:val="24"/>
        </w:rPr>
        <w:t>被人民法院列入失信被执行人名单</w:t>
      </w:r>
      <w:r>
        <w:rPr>
          <w:rFonts w:hint="eastAsia" w:ascii="宋体" w:hAnsi="宋体" w:eastAsia="仿宋"/>
          <w:sz w:val="24"/>
        </w:rPr>
        <w:t>的（以信用中国</w:t>
      </w:r>
      <w:r>
        <w:rPr>
          <w:rFonts w:ascii="宋体" w:hAnsi="宋体" w:eastAsia="仿宋"/>
          <w:sz w:val="24"/>
        </w:rPr>
        <w:t>www.creditchina.gov.cn</w:t>
      </w:r>
      <w:r>
        <w:rPr>
          <w:rFonts w:hint="eastAsia" w:ascii="宋体" w:hAnsi="宋体" w:eastAsia="仿宋"/>
          <w:sz w:val="24"/>
        </w:rPr>
        <w:t>、中国执行信息公开网</w:t>
      </w:r>
      <w:r>
        <w:rPr>
          <w:rFonts w:ascii="宋体" w:hAnsi="宋体" w:eastAsia="仿宋"/>
          <w:sz w:val="24"/>
        </w:rPr>
        <w:t>http://zxgk.court.gov.cn/</w:t>
      </w:r>
      <w:r>
        <w:rPr>
          <w:rFonts w:hint="eastAsia" w:ascii="宋体" w:hAnsi="宋体" w:eastAsia="仿宋"/>
          <w:sz w:val="24"/>
        </w:rPr>
        <w:t>查询为准）</w:t>
      </w:r>
      <w:r>
        <w:rPr>
          <w:rFonts w:ascii="宋体" w:hAnsi="宋体" w:eastAsia="仿宋"/>
          <w:sz w:val="24"/>
        </w:rPr>
        <w:t>；</w:t>
      </w:r>
    </w:p>
    <w:p w14:paraId="25D529A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（11）截至投标截止时间，被列入重大税收违法案件当事人名单的（以信用中国网站</w:t>
      </w:r>
      <w:r>
        <w:rPr>
          <w:rFonts w:ascii="宋体" w:hAnsi="宋体" w:eastAsia="仿宋"/>
          <w:sz w:val="24"/>
        </w:rPr>
        <w:t>www.creditchina.gov.cn</w:t>
      </w:r>
      <w:r>
        <w:rPr>
          <w:rFonts w:hint="eastAsia" w:ascii="宋体" w:hAnsi="宋体" w:eastAsia="仿宋"/>
          <w:sz w:val="24"/>
        </w:rPr>
        <w:t>查询为准）；</w:t>
      </w:r>
    </w:p>
    <w:p w14:paraId="5D09C5F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（12）截至投标截止时间，被列入政府采购严重违法失信名单的（以信用中国网站</w:t>
      </w:r>
      <w:r>
        <w:rPr>
          <w:rFonts w:ascii="宋体" w:hAnsi="宋体" w:eastAsia="仿宋"/>
          <w:sz w:val="24"/>
        </w:rPr>
        <w:t>www.creditchina.gov.cn</w:t>
      </w:r>
      <w:r>
        <w:rPr>
          <w:rFonts w:hint="eastAsia" w:ascii="宋体" w:hAnsi="宋体" w:eastAsia="仿宋"/>
          <w:sz w:val="24"/>
        </w:rPr>
        <w:t>、中国政府采购网</w:t>
      </w:r>
      <w:r>
        <w:rPr>
          <w:rFonts w:ascii="宋体" w:hAnsi="宋体" w:eastAsia="仿宋"/>
          <w:sz w:val="24"/>
        </w:rPr>
        <w:t>http://www.ccgp.gov.cn/</w:t>
      </w:r>
      <w:r>
        <w:rPr>
          <w:rFonts w:hint="eastAsia" w:ascii="宋体" w:hAnsi="宋体" w:eastAsia="仿宋"/>
          <w:sz w:val="24"/>
        </w:rPr>
        <w:t>查询为准）；</w:t>
      </w:r>
    </w:p>
    <w:p w14:paraId="43A74FD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截至投标截止时间，被市场监督管理部门（或工商行政管理部门）列入经营异常名录或者严重违法失信企业名单的（未按照《企业信息公示暂行条例》（国务院令第654号）第八条规定的期限公示年度报告被列入经营异常名录的除外）（以国家企业信用信息公示系统http://www.gsxt.gov.cn/查询为准）；</w:t>
      </w:r>
    </w:p>
    <w:p w14:paraId="1C431A6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（14）</w:t>
      </w:r>
      <w:r>
        <w:rPr>
          <w:rFonts w:ascii="宋体" w:hAnsi="宋体" w:eastAsia="仿宋"/>
          <w:sz w:val="24"/>
        </w:rPr>
        <w:t>法律法规</w:t>
      </w:r>
      <w:r>
        <w:rPr>
          <w:rFonts w:hint="eastAsia" w:ascii="宋体" w:hAnsi="宋体" w:eastAsia="仿宋"/>
          <w:sz w:val="24"/>
        </w:rPr>
        <w:t>规定的其他情形；</w:t>
      </w:r>
    </w:p>
    <w:p w14:paraId="4A1E17D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（15）</w:t>
      </w:r>
      <w:r>
        <w:rPr>
          <w:rFonts w:ascii="宋体" w:hAnsi="宋体" w:eastAsia="仿宋"/>
          <w:sz w:val="24"/>
        </w:rPr>
        <w:t>投标人须知前附表规定的其他情形。</w:t>
      </w:r>
    </w:p>
    <w:p w14:paraId="16AE37EC">
      <w:pPr>
        <w:widowControl/>
        <w:adjustRightInd w:val="0"/>
        <w:snapToGrid w:val="0"/>
        <w:spacing w:line="360" w:lineRule="auto"/>
        <w:ind w:firstLine="480" w:firstLineChars="200"/>
        <w:rPr>
          <w:rFonts w:hint="eastAsia" w:ascii="宋体" w:hAnsi="宋体" w:eastAsia="仿宋" w:cs="宋体"/>
          <w:sz w:val="24"/>
        </w:rPr>
      </w:pPr>
      <w:r>
        <w:rPr>
          <w:rFonts w:hint="eastAsia" w:ascii="宋体" w:hAnsi="宋体" w:eastAsia="仿宋"/>
          <w:sz w:val="24"/>
        </w:rPr>
        <w:t>以联合体方式参加采购活动的，联合体任一成员不得存在以上情形</w:t>
      </w:r>
      <w:r>
        <w:rPr>
          <w:rFonts w:hint="eastAsia" w:ascii="宋体" w:hAnsi="宋体" w:eastAsia="仿宋" w:cs="宋体"/>
          <w:sz w:val="24"/>
        </w:rPr>
        <w:t>。</w:t>
      </w:r>
    </w:p>
    <w:p w14:paraId="418EE26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1.4.4 相同品牌产品参加投标时，按以下要求确定投标人投标资格和中标人推荐资格：</w:t>
      </w:r>
    </w:p>
    <w:p w14:paraId="62E7B41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（1）采用最低评标价法时：</w:t>
      </w:r>
    </w:p>
    <w:p w14:paraId="4B0AC77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单一产品采购项目，提供相同品牌产品的不同投标人参加同一合同项下投标的，以其中通过资格审查、符合性审查且报价最低的参加评标；报价相同的，由投标人抽签确定；其他投标无效。</w:t>
      </w:r>
    </w:p>
    <w:p w14:paraId="4D44AB7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非单一产品采购项目，核心产品提供相同品牌产品的不同投标人参加同一合同项下投标的，以其中通过资格审查、符合性审查且报价最低的参加评标；报价相同的，由投标人抽签确定；其他投标无效。</w:t>
      </w:r>
    </w:p>
    <w:p w14:paraId="089C00D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（2）采用综合评分法时：</w:t>
      </w:r>
    </w:p>
    <w:p w14:paraId="106A43E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单一产品采购项目，提供相同品牌产品且通过资格审查、符合性审查的不同投标人参加同一合同项下投标的，按一家投标人计算，评审后得分最高的同品牌投标人获得中标人推荐资格；评审得分相同的，由投标人抽签确定；其他同品牌投标人不作为中标候选人。</w:t>
      </w:r>
    </w:p>
    <w:p w14:paraId="3CA664E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非单一产品采购项目，核心产品提供相同品牌产品且通过资格审查、符合性审查的不同投标人参加同一合同项下投标的，按一家投标人计算，评审后得分最高的同品牌投标人获得中标人推荐资格；评审得分相同的，由投标人抽签确定；其他同品牌投标人不作为中标候选人。</w:t>
      </w:r>
    </w:p>
    <w:p w14:paraId="5F02641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（3）核心产品：见投标人须知前附表。</w:t>
      </w:r>
    </w:p>
    <w:p w14:paraId="09D43D63">
      <w:pPr>
        <w:pStyle w:val="4"/>
        <w:adjustRightInd w:val="0"/>
        <w:ind w:firstLine="482" w:firstLineChars="200"/>
        <w:rPr>
          <w:rFonts w:eastAsia="仿宋"/>
          <w:sz w:val="24"/>
          <w:lang w:eastAsia="zh-CN"/>
        </w:rPr>
      </w:pPr>
      <w:bookmarkStart w:id="121" w:name="_Toc466024504"/>
      <w:bookmarkStart w:id="122" w:name="_Toc371415925"/>
      <w:bookmarkStart w:id="123" w:name="_Toc455587220"/>
      <w:bookmarkStart w:id="124" w:name="_Toc445554693"/>
      <w:bookmarkStart w:id="125" w:name="_Toc458504822"/>
      <w:bookmarkStart w:id="126" w:name="_Toc455587036"/>
      <w:r>
        <w:rPr>
          <w:rFonts w:hint="eastAsia" w:eastAsia="仿宋"/>
          <w:sz w:val="24"/>
          <w:lang w:eastAsia="zh-CN"/>
        </w:rPr>
        <w:t>1.5 费用承担</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203F86CD">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投标人准备和参加投标活动发生的费用自理。</w:t>
      </w:r>
    </w:p>
    <w:p w14:paraId="190C6791">
      <w:pPr>
        <w:pStyle w:val="4"/>
        <w:adjustRightInd w:val="0"/>
        <w:ind w:firstLine="482" w:firstLineChars="200"/>
        <w:rPr>
          <w:rFonts w:eastAsia="仿宋"/>
          <w:sz w:val="24"/>
          <w:lang w:eastAsia="zh-CN"/>
        </w:rPr>
      </w:pPr>
      <w:bookmarkStart w:id="127" w:name="_Toc458504823"/>
      <w:bookmarkStart w:id="128" w:name="_Toc466024505"/>
      <w:bookmarkStart w:id="129" w:name="_Toc445554694"/>
      <w:bookmarkStart w:id="130" w:name="_Toc455587221"/>
      <w:bookmarkStart w:id="131" w:name="_Toc455587037"/>
      <w:bookmarkStart w:id="132" w:name="_Toc152045536"/>
      <w:bookmarkStart w:id="133" w:name="_Toc247527560"/>
      <w:bookmarkStart w:id="134" w:name="_Toc247513959"/>
      <w:bookmarkStart w:id="135" w:name="_Toc300834956"/>
      <w:bookmarkStart w:id="136" w:name="_Toc144974504"/>
      <w:bookmarkStart w:id="137" w:name="_Toc152042312"/>
      <w:r>
        <w:rPr>
          <w:rFonts w:hint="eastAsia" w:eastAsia="仿宋"/>
          <w:sz w:val="24"/>
          <w:lang w:eastAsia="zh-CN"/>
        </w:rPr>
        <w:t>1.6 保密</w:t>
      </w:r>
      <w:bookmarkEnd w:id="127"/>
      <w:bookmarkEnd w:id="128"/>
      <w:bookmarkEnd w:id="129"/>
      <w:bookmarkEnd w:id="130"/>
      <w:bookmarkEnd w:id="131"/>
    </w:p>
    <w:p w14:paraId="1CBDD7E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参与招标投标活动的各方应当对招标文件和投标文件中的商业和技术等秘密保密，否则应当承担相应的法律责任。</w:t>
      </w:r>
    </w:p>
    <w:p w14:paraId="1D8D2BE5">
      <w:pPr>
        <w:pStyle w:val="4"/>
        <w:adjustRightInd w:val="0"/>
        <w:ind w:firstLine="482" w:firstLineChars="200"/>
        <w:rPr>
          <w:rFonts w:eastAsia="仿宋"/>
          <w:sz w:val="24"/>
          <w:lang w:eastAsia="zh-CN"/>
        </w:rPr>
      </w:pPr>
      <w:bookmarkStart w:id="138" w:name="_Toc445554695"/>
      <w:bookmarkStart w:id="139" w:name="_Toc466024506"/>
      <w:bookmarkStart w:id="140" w:name="_Toc455587038"/>
      <w:bookmarkStart w:id="141" w:name="_Toc455587222"/>
      <w:bookmarkStart w:id="142" w:name="_Toc458504824"/>
      <w:r>
        <w:rPr>
          <w:rFonts w:hint="eastAsia" w:eastAsia="仿宋"/>
          <w:sz w:val="24"/>
          <w:lang w:eastAsia="zh-CN"/>
        </w:rPr>
        <w:t>1.7 语言文字</w:t>
      </w:r>
      <w:bookmarkEnd w:id="132"/>
      <w:bookmarkEnd w:id="133"/>
      <w:bookmarkEnd w:id="134"/>
      <w:bookmarkEnd w:id="135"/>
      <w:bookmarkEnd w:id="136"/>
      <w:bookmarkEnd w:id="137"/>
      <w:bookmarkEnd w:id="138"/>
      <w:bookmarkEnd w:id="139"/>
      <w:bookmarkEnd w:id="140"/>
      <w:bookmarkEnd w:id="141"/>
      <w:bookmarkEnd w:id="142"/>
    </w:p>
    <w:p w14:paraId="3F1926D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除专用术语外，与招标投标有关的语言均应当使用中文。必要时专用术语应附有中文注释。</w:t>
      </w:r>
    </w:p>
    <w:p w14:paraId="4CB46172">
      <w:pPr>
        <w:pStyle w:val="4"/>
        <w:adjustRightInd w:val="0"/>
        <w:ind w:firstLine="482" w:firstLineChars="200"/>
        <w:rPr>
          <w:rFonts w:eastAsia="仿宋"/>
          <w:sz w:val="24"/>
          <w:lang w:eastAsia="zh-CN"/>
        </w:rPr>
      </w:pPr>
      <w:bookmarkStart w:id="143" w:name="_Toc445554696"/>
      <w:bookmarkStart w:id="144" w:name="_Toc455587039"/>
      <w:bookmarkStart w:id="145" w:name="_Toc152042314"/>
      <w:bookmarkStart w:id="146" w:name="_Toc338943708"/>
      <w:bookmarkStart w:id="147" w:name="_Toc144974506"/>
      <w:bookmarkStart w:id="148" w:name="_Toc342297627"/>
      <w:bookmarkStart w:id="149" w:name="_Toc466024507"/>
      <w:bookmarkStart w:id="150" w:name="_Toc371415926"/>
      <w:bookmarkStart w:id="151" w:name="_Toc333600691"/>
      <w:bookmarkStart w:id="152" w:name="_Toc333587861"/>
      <w:bookmarkStart w:id="153" w:name="_Toc179632555"/>
      <w:bookmarkStart w:id="154" w:name="_Toc342294722"/>
      <w:bookmarkStart w:id="155" w:name="_Toc338944613"/>
      <w:bookmarkStart w:id="156" w:name="_Toc455587223"/>
      <w:bookmarkStart w:id="157" w:name="_Toc333599667"/>
      <w:bookmarkStart w:id="158" w:name="_Toc152045538"/>
      <w:bookmarkStart w:id="159" w:name="_Toc342296170"/>
      <w:bookmarkStart w:id="160" w:name="_Toc458504825"/>
      <w:r>
        <w:rPr>
          <w:rFonts w:hint="eastAsia" w:eastAsia="仿宋"/>
          <w:sz w:val="24"/>
          <w:lang w:eastAsia="zh-CN"/>
        </w:rPr>
        <w:t>1.8 计量单位</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75A96C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除招标文件另有规定外，所有计量均采用中华人民共和国法定计量单位。</w:t>
      </w:r>
    </w:p>
    <w:p w14:paraId="57E864D6">
      <w:pPr>
        <w:pStyle w:val="4"/>
        <w:adjustRightInd w:val="0"/>
        <w:ind w:firstLine="482" w:firstLineChars="200"/>
        <w:rPr>
          <w:rFonts w:eastAsia="仿宋"/>
          <w:sz w:val="24"/>
          <w:lang w:eastAsia="zh-CN"/>
        </w:rPr>
      </w:pPr>
      <w:bookmarkStart w:id="161" w:name="_Toc455587040"/>
      <w:bookmarkStart w:id="162" w:name="_Toc455587224"/>
      <w:bookmarkStart w:id="163" w:name="_Toc445554697"/>
      <w:bookmarkStart w:id="164" w:name="_Toc458504826"/>
      <w:bookmarkStart w:id="165" w:name="_Toc371415927"/>
      <w:bookmarkStart w:id="166" w:name="_Toc466024508"/>
      <w:bookmarkStart w:id="167" w:name="_Toc333599669"/>
      <w:bookmarkStart w:id="168" w:name="_Toc144974508"/>
      <w:bookmarkStart w:id="169" w:name="_Toc179632557"/>
      <w:bookmarkStart w:id="170" w:name="_Toc338943710"/>
      <w:bookmarkStart w:id="171" w:name="_Toc333587863"/>
      <w:bookmarkStart w:id="172" w:name="_Toc342297629"/>
      <w:bookmarkStart w:id="173" w:name="_Toc152042316"/>
      <w:bookmarkStart w:id="174" w:name="_Toc152045540"/>
      <w:bookmarkStart w:id="175" w:name="_Toc333600693"/>
      <w:bookmarkStart w:id="176" w:name="_Toc342296172"/>
      <w:bookmarkStart w:id="177" w:name="_Toc342294724"/>
      <w:bookmarkStart w:id="178" w:name="_Toc338944615"/>
      <w:r>
        <w:rPr>
          <w:rFonts w:hint="eastAsia" w:eastAsia="仿宋"/>
          <w:sz w:val="24"/>
          <w:lang w:eastAsia="zh-CN"/>
        </w:rPr>
        <w:t>1.9</w:t>
      </w:r>
      <w:bookmarkEnd w:id="161"/>
      <w:bookmarkEnd w:id="162"/>
      <w:bookmarkEnd w:id="163"/>
      <w:bookmarkEnd w:id="164"/>
      <w:bookmarkEnd w:id="165"/>
      <w:r>
        <w:rPr>
          <w:rFonts w:hint="eastAsia" w:eastAsia="仿宋"/>
          <w:sz w:val="24"/>
          <w:lang w:eastAsia="zh-CN"/>
        </w:rPr>
        <w:t xml:space="preserve"> 现场考察</w:t>
      </w:r>
      <w:bookmarkEnd w:id="166"/>
    </w:p>
    <w:p w14:paraId="01C338F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1.9</w:t>
      </w:r>
      <w:r>
        <w:rPr>
          <w:rFonts w:ascii="宋体" w:hAnsi="宋体" w:eastAsia="仿宋"/>
          <w:sz w:val="24"/>
        </w:rPr>
        <w:t>.1</w:t>
      </w:r>
      <w:r>
        <w:rPr>
          <w:rFonts w:hint="eastAsia" w:ascii="宋体" w:hAnsi="宋体" w:eastAsia="仿宋"/>
          <w:sz w:val="24"/>
        </w:rPr>
        <w:t xml:space="preserve"> 投标人须知前附表规定组织现场考察的，采购人按投标人须知前附表规定的时间、地点组织投标人现场考察。采购人不组织统一现场考察的，由投标人自行考察现场。</w:t>
      </w:r>
    </w:p>
    <w:p w14:paraId="4AF4DD3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1.9.</w:t>
      </w:r>
      <w:r>
        <w:rPr>
          <w:rFonts w:ascii="宋体" w:hAnsi="宋体" w:eastAsia="仿宋"/>
          <w:sz w:val="24"/>
        </w:rPr>
        <w:t>2</w:t>
      </w:r>
      <w:r>
        <w:rPr>
          <w:rFonts w:hint="eastAsia" w:ascii="宋体" w:hAnsi="宋体" w:eastAsia="仿宋"/>
          <w:sz w:val="24"/>
        </w:rPr>
        <w:t xml:space="preserve"> 投标人现场考察发生的费用自理。</w:t>
      </w:r>
    </w:p>
    <w:p w14:paraId="511E645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1.9</w:t>
      </w:r>
      <w:r>
        <w:rPr>
          <w:rFonts w:ascii="宋体" w:hAnsi="宋体" w:eastAsia="仿宋"/>
          <w:sz w:val="24"/>
        </w:rPr>
        <w:t>.3</w:t>
      </w:r>
      <w:r>
        <w:rPr>
          <w:rFonts w:hint="eastAsia" w:ascii="宋体" w:hAnsi="宋体" w:eastAsia="仿宋"/>
          <w:sz w:val="24"/>
        </w:rPr>
        <w:t xml:space="preserve"> 除采购人的原因外，投标人自行负责在现场考察中所发生的人员伤亡和财产损失。</w:t>
      </w:r>
    </w:p>
    <w:p w14:paraId="66A1359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1.9</w:t>
      </w:r>
      <w:r>
        <w:rPr>
          <w:rFonts w:ascii="宋体" w:hAnsi="宋体" w:eastAsia="仿宋"/>
          <w:sz w:val="24"/>
        </w:rPr>
        <w:t>.4</w:t>
      </w:r>
      <w:r>
        <w:rPr>
          <w:rFonts w:hint="eastAsia" w:ascii="宋体" w:hAnsi="宋体" w:eastAsia="仿宋"/>
          <w:sz w:val="24"/>
        </w:rPr>
        <w:t xml:space="preserve"> 采购人在现场考察中介绍的现场情况和周边相关的环境情况，仅作为投标人在编制投标文件时参考，采购人不对投标人据此作出的判断和决策负责。</w:t>
      </w:r>
    </w:p>
    <w:p w14:paraId="34591A4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1.9.5 除非有特殊要求，招标文件不单独提供供货使用地的自然环境、气候条件、公用设施等情况，投标人被视为熟悉上述与履行合同有关的一切情况。</w:t>
      </w:r>
    </w:p>
    <w:p w14:paraId="0320C7A1">
      <w:pPr>
        <w:pStyle w:val="4"/>
        <w:adjustRightInd w:val="0"/>
        <w:ind w:firstLine="482" w:firstLineChars="200"/>
        <w:rPr>
          <w:rFonts w:eastAsia="仿宋"/>
          <w:sz w:val="24"/>
          <w:lang w:eastAsia="zh-CN"/>
        </w:rPr>
      </w:pPr>
      <w:bookmarkStart w:id="179" w:name="_Toc455587225"/>
      <w:bookmarkStart w:id="180" w:name="_Toc445554698"/>
      <w:bookmarkStart w:id="181" w:name="_Toc458504827"/>
      <w:bookmarkStart w:id="182" w:name="_Toc455587041"/>
      <w:bookmarkStart w:id="183" w:name="_Toc466024509"/>
      <w:r>
        <w:rPr>
          <w:rFonts w:hint="eastAsia" w:eastAsia="仿宋"/>
          <w:sz w:val="24"/>
          <w:lang w:eastAsia="zh-CN"/>
        </w:rPr>
        <w:t>1.10</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hint="eastAsia" w:eastAsia="仿宋"/>
          <w:sz w:val="24"/>
          <w:lang w:eastAsia="zh-CN"/>
        </w:rPr>
        <w:t xml:space="preserve"> 开标前答疑会</w:t>
      </w:r>
      <w:bookmarkEnd w:id="183"/>
    </w:p>
    <w:p w14:paraId="006A1E32">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1.10</w:t>
      </w:r>
      <w:r>
        <w:rPr>
          <w:rFonts w:ascii="宋体" w:hAnsi="宋体" w:eastAsia="仿宋"/>
          <w:sz w:val="24"/>
        </w:rPr>
        <w:t>.1</w:t>
      </w:r>
      <w:r>
        <w:rPr>
          <w:rFonts w:hint="eastAsia" w:ascii="宋体" w:hAnsi="宋体" w:eastAsia="仿宋"/>
          <w:sz w:val="24"/>
        </w:rPr>
        <w:t xml:space="preserve"> 投标人须知前附表规定召开开标前答疑会（以下简称答疑会）的，采购人按照投标人须知前附表规定的时间和地点召开答疑会，澄清投标人提出的问题。</w:t>
      </w:r>
    </w:p>
    <w:p w14:paraId="7A4794B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1.10</w:t>
      </w:r>
      <w:r>
        <w:rPr>
          <w:rFonts w:ascii="宋体" w:hAnsi="宋体" w:eastAsia="仿宋"/>
          <w:sz w:val="24"/>
        </w:rPr>
        <w:t>.2</w:t>
      </w:r>
      <w:r>
        <w:rPr>
          <w:rFonts w:hint="eastAsia" w:ascii="宋体" w:hAnsi="宋体" w:eastAsia="仿宋"/>
          <w:sz w:val="24"/>
        </w:rPr>
        <w:t xml:space="preserve"> 投标人应当在投标人须知前附表规定的时间前，以书面形式将提出的问题送达采购人，以便采购人在会议期间澄清。</w:t>
      </w:r>
    </w:p>
    <w:p w14:paraId="0AACAB8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1.10</w:t>
      </w:r>
      <w:r>
        <w:rPr>
          <w:rFonts w:ascii="宋体" w:hAnsi="宋体" w:eastAsia="仿宋"/>
          <w:sz w:val="24"/>
        </w:rPr>
        <w:t>.3</w:t>
      </w:r>
      <w:r>
        <w:rPr>
          <w:rFonts w:hint="eastAsia" w:ascii="宋体" w:hAnsi="宋体" w:eastAsia="仿宋"/>
          <w:sz w:val="24"/>
        </w:rPr>
        <w:t xml:space="preserve"> 答疑会后，采购人应当在投标人须知前附表规定的时间内，对投标人所提问题的澄清，以书面方式通知所有购买招标文件的投标人。该澄清内容为招标文件的组成部分。</w:t>
      </w:r>
    </w:p>
    <w:p w14:paraId="6191FA6D">
      <w:pPr>
        <w:pStyle w:val="4"/>
        <w:adjustRightInd w:val="0"/>
        <w:ind w:firstLine="482" w:firstLineChars="200"/>
        <w:rPr>
          <w:rFonts w:hint="eastAsia" w:eastAsia="仿宋"/>
          <w:sz w:val="24"/>
          <w:lang w:eastAsia="zh-CN"/>
        </w:rPr>
      </w:pPr>
      <w:r>
        <w:rPr>
          <w:rFonts w:hint="eastAsia" w:eastAsia="仿宋"/>
          <w:sz w:val="24"/>
          <w:lang w:eastAsia="zh-CN"/>
        </w:rPr>
        <w:t>1.11 分包</w:t>
      </w:r>
    </w:p>
    <w:p w14:paraId="5E7FB99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 xml:space="preserve">1.11.1 投标人拟在中标后将中标项目的非主体、非关键性工作进行分包的，应符合投标人须知前附表规定的分包内容、分包金额，分包承担主体应当具备相应资质条件且不得再次分包，除投标人须知前附表规定的非主体、非关键性工作外，其他工作不得分包。 </w:t>
      </w:r>
    </w:p>
    <w:p w14:paraId="5452722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1.11.2 中标人不得向他人转让中标项目。中标人应当就分包项目向采购人负责，分包承担主体就分包项目承担连带责任。</w:t>
      </w:r>
    </w:p>
    <w:p w14:paraId="642041E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1.11.3 中标人享受政府采购扶持政策获得政府采购合同的，小微企业不得将合同分包给大中型企业，中型企业不得将合同分包给大型企业。</w:t>
      </w:r>
    </w:p>
    <w:p w14:paraId="7F5DB15F">
      <w:pPr>
        <w:pStyle w:val="3"/>
        <w:rPr>
          <w:rStyle w:val="98"/>
          <w:rFonts w:ascii="宋体" w:hAnsi="宋体" w:eastAsia="仿宋"/>
          <w:b/>
          <w:bCs/>
          <w:sz w:val="24"/>
          <w:szCs w:val="24"/>
        </w:rPr>
      </w:pPr>
      <w:bookmarkStart w:id="184" w:name="_Toc179632560"/>
      <w:bookmarkStart w:id="185" w:name="_Toc338943713"/>
      <w:bookmarkStart w:id="186" w:name="_Toc466024510"/>
      <w:bookmarkStart w:id="187" w:name="_Toc455587227"/>
      <w:bookmarkStart w:id="188" w:name="_Toc338944618"/>
      <w:bookmarkStart w:id="189" w:name="_Toc152045542"/>
      <w:bookmarkStart w:id="190" w:name="_Toc445554700"/>
      <w:bookmarkStart w:id="191" w:name="_Toc458504828"/>
      <w:bookmarkStart w:id="192" w:name="_Toc333600696"/>
      <w:bookmarkStart w:id="193" w:name="_Toc144974510"/>
      <w:bookmarkStart w:id="194" w:name="_Toc333599672"/>
      <w:bookmarkStart w:id="195" w:name="_Toc342294727"/>
      <w:bookmarkStart w:id="196" w:name="_Toc455587043"/>
      <w:bookmarkStart w:id="197" w:name="_Toc371415929"/>
      <w:bookmarkStart w:id="198" w:name="_Toc342296175"/>
      <w:bookmarkStart w:id="199" w:name="_Toc152042318"/>
      <w:bookmarkStart w:id="200" w:name="_Toc342297632"/>
      <w:r>
        <w:rPr>
          <w:rStyle w:val="98"/>
          <w:rFonts w:hint="eastAsia" w:ascii="宋体" w:hAnsi="宋体" w:eastAsia="仿宋"/>
          <w:b/>
          <w:bCs/>
          <w:sz w:val="24"/>
          <w:szCs w:val="24"/>
        </w:rPr>
        <w:t>2. 招标文件</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005EFBD4">
      <w:pPr>
        <w:pStyle w:val="4"/>
        <w:adjustRightInd w:val="0"/>
        <w:ind w:firstLine="482" w:firstLineChars="200"/>
        <w:rPr>
          <w:rFonts w:eastAsia="仿宋"/>
          <w:sz w:val="24"/>
          <w:lang w:eastAsia="zh-CN"/>
        </w:rPr>
      </w:pPr>
      <w:bookmarkStart w:id="201" w:name="_Toc342296176"/>
      <w:bookmarkStart w:id="202" w:name="_Toc333600697"/>
      <w:bookmarkStart w:id="203" w:name="_Toc338944619"/>
      <w:bookmarkStart w:id="204" w:name="_Toc333587867"/>
      <w:bookmarkStart w:id="205" w:name="_Toc455587044"/>
      <w:bookmarkStart w:id="206" w:name="_Toc152042319"/>
      <w:bookmarkStart w:id="207" w:name="_Toc179632561"/>
      <w:bookmarkStart w:id="208" w:name="_Toc144974511"/>
      <w:bookmarkStart w:id="209" w:name="_Toc342294728"/>
      <w:bookmarkStart w:id="210" w:name="_Toc152045543"/>
      <w:bookmarkStart w:id="211" w:name="_Toc466024511"/>
      <w:bookmarkStart w:id="212" w:name="_Toc458504829"/>
      <w:bookmarkStart w:id="213" w:name="_Toc445554701"/>
      <w:bookmarkStart w:id="214" w:name="_Toc342297633"/>
      <w:bookmarkStart w:id="215" w:name="_Toc455587228"/>
      <w:bookmarkStart w:id="216" w:name="_Toc338943714"/>
      <w:bookmarkStart w:id="217" w:name="_Toc333599673"/>
      <w:bookmarkStart w:id="218" w:name="_Toc371415930"/>
      <w:r>
        <w:rPr>
          <w:rFonts w:hint="eastAsia" w:eastAsia="仿宋"/>
          <w:sz w:val="24"/>
          <w:lang w:eastAsia="zh-CN"/>
        </w:rPr>
        <w:t>2.1 招标文件的组成</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67D61A9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本招标文件包括：</w:t>
      </w:r>
    </w:p>
    <w:p w14:paraId="6C4D471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1</w:t>
      </w:r>
      <w:r>
        <w:rPr>
          <w:rFonts w:hint="eastAsia" w:ascii="宋体" w:hAnsi="宋体" w:eastAsia="仿宋"/>
          <w:sz w:val="24"/>
        </w:rPr>
        <w:t>）招标公告；</w:t>
      </w:r>
    </w:p>
    <w:p w14:paraId="5A9B996A">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2</w:t>
      </w:r>
      <w:r>
        <w:rPr>
          <w:rFonts w:hint="eastAsia" w:ascii="宋体" w:hAnsi="宋体" w:eastAsia="仿宋"/>
          <w:sz w:val="24"/>
        </w:rPr>
        <w:t>）投标人须知；</w:t>
      </w:r>
    </w:p>
    <w:p w14:paraId="585AD85C">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3</w:t>
      </w:r>
      <w:r>
        <w:rPr>
          <w:rFonts w:hint="eastAsia" w:ascii="宋体" w:hAnsi="宋体" w:eastAsia="仿宋"/>
          <w:sz w:val="24"/>
        </w:rPr>
        <w:t>）采购需求及技术规格要求；</w:t>
      </w:r>
    </w:p>
    <w:p w14:paraId="3CB7942F">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4</w:t>
      </w:r>
      <w:r>
        <w:rPr>
          <w:rFonts w:hint="eastAsia" w:ascii="宋体" w:hAnsi="宋体" w:eastAsia="仿宋"/>
          <w:sz w:val="24"/>
        </w:rPr>
        <w:t>）资格审查与评标办法；</w:t>
      </w:r>
    </w:p>
    <w:p w14:paraId="58FA9A1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（5）合同条款及格式；</w:t>
      </w:r>
    </w:p>
    <w:p w14:paraId="7FCD714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（6）投标文件格式。</w:t>
      </w:r>
    </w:p>
    <w:p w14:paraId="391B632A">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对招标文件所作的澄清、修改、补充通知，构成招标文件的组成部分。当招标文件、招标文件的澄清或修改等在同一内容的</w:t>
      </w:r>
      <w:r>
        <w:rPr>
          <w:rFonts w:hint="eastAsia" w:eastAsia="仿宋"/>
          <w:sz w:val="24"/>
        </w:rPr>
        <w:t>表述</w:t>
      </w:r>
      <w:r>
        <w:rPr>
          <w:rFonts w:hint="eastAsia" w:ascii="宋体" w:hAnsi="宋体" w:eastAsia="仿宋"/>
          <w:sz w:val="24"/>
        </w:rPr>
        <w:t>上不一致时，以最后发出的书面文件为准。</w:t>
      </w:r>
    </w:p>
    <w:p w14:paraId="54294827">
      <w:pPr>
        <w:pStyle w:val="4"/>
        <w:adjustRightInd w:val="0"/>
        <w:ind w:firstLine="482" w:firstLineChars="200"/>
        <w:rPr>
          <w:rFonts w:eastAsia="仿宋"/>
          <w:sz w:val="24"/>
          <w:lang w:eastAsia="zh-CN"/>
        </w:rPr>
      </w:pPr>
      <w:bookmarkStart w:id="219" w:name="_Toc445554702"/>
      <w:bookmarkStart w:id="220" w:name="_Toc455587045"/>
      <w:bookmarkStart w:id="221" w:name="_Toc466024512"/>
      <w:bookmarkStart w:id="222" w:name="_Toc455587229"/>
      <w:bookmarkStart w:id="223" w:name="_Toc247513968"/>
      <w:bookmarkStart w:id="224" w:name="_Toc144974512"/>
      <w:bookmarkStart w:id="225" w:name="_Toc458504830"/>
      <w:bookmarkStart w:id="226" w:name="_Toc247527569"/>
      <w:bookmarkStart w:id="227" w:name="_Toc300834965"/>
      <w:bookmarkStart w:id="228" w:name="_Toc152042320"/>
      <w:bookmarkStart w:id="229" w:name="_Toc152045544"/>
      <w:bookmarkStart w:id="230" w:name="_Toc371415931"/>
      <w:r>
        <w:rPr>
          <w:rFonts w:hint="eastAsia" w:eastAsia="仿宋"/>
          <w:sz w:val="24"/>
          <w:lang w:eastAsia="zh-CN"/>
        </w:rPr>
        <w:t>2.2 招标文件的澄清</w:t>
      </w:r>
      <w:bookmarkEnd w:id="219"/>
      <w:bookmarkEnd w:id="220"/>
      <w:bookmarkEnd w:id="221"/>
      <w:bookmarkEnd w:id="222"/>
      <w:bookmarkEnd w:id="223"/>
      <w:bookmarkEnd w:id="224"/>
      <w:bookmarkEnd w:id="225"/>
      <w:bookmarkEnd w:id="226"/>
      <w:bookmarkEnd w:id="227"/>
      <w:bookmarkEnd w:id="228"/>
      <w:bookmarkEnd w:id="229"/>
      <w:bookmarkEnd w:id="230"/>
    </w:p>
    <w:p w14:paraId="42995F7A">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2.2.</w:t>
      </w:r>
      <w:r>
        <w:rPr>
          <w:rFonts w:ascii="宋体" w:hAnsi="宋体" w:eastAsia="仿宋"/>
          <w:sz w:val="24"/>
        </w:rPr>
        <w:t>1</w:t>
      </w:r>
      <w:r>
        <w:rPr>
          <w:rFonts w:hint="eastAsia" w:ascii="宋体" w:hAnsi="宋体" w:eastAsia="仿宋"/>
          <w:sz w:val="24"/>
        </w:rPr>
        <w:t xml:space="preserve"> </w:t>
      </w:r>
      <w:r>
        <w:rPr>
          <w:rFonts w:eastAsia="仿宋"/>
          <w:sz w:val="24"/>
        </w:rPr>
        <w:t>投标人应仔细阅读和检查招标文件的全部内容。如发现缺页或附件不全，应及时向</w:t>
      </w:r>
      <w:r>
        <w:rPr>
          <w:rFonts w:hint="eastAsia" w:eastAsia="仿宋"/>
          <w:sz w:val="24"/>
        </w:rPr>
        <w:t>采购</w:t>
      </w:r>
      <w:r>
        <w:rPr>
          <w:rFonts w:eastAsia="仿宋"/>
          <w:sz w:val="24"/>
        </w:rPr>
        <w:t>人提出，以便补齐。如有疑问，应按投标人须知前附表规定的时间和形式将提出的问题送达</w:t>
      </w:r>
      <w:r>
        <w:rPr>
          <w:rFonts w:hint="eastAsia" w:eastAsia="仿宋"/>
          <w:sz w:val="24"/>
        </w:rPr>
        <w:t>采购</w:t>
      </w:r>
      <w:r>
        <w:rPr>
          <w:rFonts w:eastAsia="仿宋"/>
          <w:sz w:val="24"/>
        </w:rPr>
        <w:t>人，要求</w:t>
      </w:r>
      <w:r>
        <w:rPr>
          <w:rFonts w:hint="eastAsia" w:eastAsia="仿宋"/>
          <w:sz w:val="24"/>
        </w:rPr>
        <w:t>采购</w:t>
      </w:r>
      <w:r>
        <w:rPr>
          <w:rFonts w:eastAsia="仿宋"/>
          <w:sz w:val="24"/>
        </w:rPr>
        <w:t>人对招标文件予以澄清。</w:t>
      </w:r>
    </w:p>
    <w:p w14:paraId="42C08042">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2.2.2 招标文件的澄清将以投标人须知前附表规定的形式发给所有购买招标文件的投标人，但不指明澄清问题的来源。如果澄清发出的时间距本章第4.2.1项规定的投标截止时间不足</w:t>
      </w:r>
      <w:r>
        <w:rPr>
          <w:rFonts w:ascii="宋体" w:hAnsi="宋体" w:eastAsia="仿宋"/>
          <w:sz w:val="24"/>
        </w:rPr>
        <w:t>15</w:t>
      </w:r>
      <w:r>
        <w:rPr>
          <w:rFonts w:hint="eastAsia" w:ascii="宋体" w:hAnsi="宋体" w:eastAsia="仿宋"/>
          <w:sz w:val="24"/>
        </w:rPr>
        <w:t>日的，并且澄清内容可能影响投标文件编制，将相应顺延投标截止时间。</w:t>
      </w:r>
    </w:p>
    <w:p w14:paraId="0B46A23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2.2</w:t>
      </w:r>
      <w:r>
        <w:rPr>
          <w:rFonts w:ascii="宋体" w:hAnsi="宋体" w:eastAsia="仿宋"/>
          <w:sz w:val="24"/>
        </w:rPr>
        <w:t>.3</w:t>
      </w:r>
      <w:r>
        <w:rPr>
          <w:rFonts w:hint="eastAsia" w:ascii="宋体" w:hAnsi="宋体" w:eastAsia="仿宋"/>
          <w:sz w:val="24"/>
        </w:rPr>
        <w:t xml:space="preserve"> 投标人在收到澄清后，除投标人须知前附表另有规定外，应当在投标人须知前附表规定的时间内以书面形式通知采购人，确认已收到该澄清。</w:t>
      </w:r>
    </w:p>
    <w:p w14:paraId="701A2C0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2.2.4 除非</w:t>
      </w:r>
      <w:r>
        <w:rPr>
          <w:rFonts w:hint="eastAsia" w:eastAsia="仿宋"/>
          <w:sz w:val="24"/>
        </w:rPr>
        <w:t>采购</w:t>
      </w:r>
      <w:r>
        <w:rPr>
          <w:rFonts w:hint="eastAsia" w:ascii="宋体" w:hAnsi="宋体" w:eastAsia="仿宋"/>
          <w:sz w:val="24"/>
        </w:rPr>
        <w:t>人认为确有必要答复，否则，</w:t>
      </w:r>
      <w:r>
        <w:rPr>
          <w:rFonts w:hint="eastAsia" w:eastAsia="仿宋"/>
          <w:sz w:val="24"/>
        </w:rPr>
        <w:t>采购</w:t>
      </w:r>
      <w:r>
        <w:rPr>
          <w:rFonts w:hint="eastAsia" w:ascii="宋体" w:hAnsi="宋体" w:eastAsia="仿宋"/>
          <w:sz w:val="24"/>
        </w:rPr>
        <w:t>人有权拒绝回复投标人在本章第2.2.1项规定的时间后的任何澄清要求。</w:t>
      </w:r>
    </w:p>
    <w:p w14:paraId="511CCD47">
      <w:pPr>
        <w:pStyle w:val="4"/>
        <w:adjustRightInd w:val="0"/>
        <w:ind w:firstLine="482" w:firstLineChars="200"/>
        <w:rPr>
          <w:rFonts w:eastAsia="仿宋"/>
          <w:sz w:val="24"/>
          <w:lang w:eastAsia="zh-CN"/>
        </w:rPr>
      </w:pPr>
      <w:bookmarkStart w:id="231" w:name="_Toc458504831"/>
      <w:bookmarkStart w:id="232" w:name="_Toc300834966"/>
      <w:bookmarkStart w:id="233" w:name="_Toc445554703"/>
      <w:bookmarkStart w:id="234" w:name="_Toc152045545"/>
      <w:bookmarkStart w:id="235" w:name="_Toc247513969"/>
      <w:bookmarkStart w:id="236" w:name="_Toc371415932"/>
      <w:bookmarkStart w:id="237" w:name="_Toc455587046"/>
      <w:bookmarkStart w:id="238" w:name="_Toc455587230"/>
      <w:bookmarkStart w:id="239" w:name="_Toc144974513"/>
      <w:bookmarkStart w:id="240" w:name="_Toc466024513"/>
      <w:bookmarkStart w:id="241" w:name="_Toc152042321"/>
      <w:bookmarkStart w:id="242" w:name="_Toc247527570"/>
      <w:r>
        <w:rPr>
          <w:rFonts w:hint="eastAsia" w:eastAsia="仿宋"/>
          <w:sz w:val="24"/>
          <w:lang w:eastAsia="zh-CN"/>
        </w:rPr>
        <w:t>2.3 招标文件的修改</w:t>
      </w:r>
      <w:bookmarkEnd w:id="231"/>
      <w:bookmarkEnd w:id="232"/>
      <w:bookmarkEnd w:id="233"/>
      <w:bookmarkEnd w:id="234"/>
      <w:bookmarkEnd w:id="235"/>
      <w:bookmarkEnd w:id="236"/>
      <w:bookmarkEnd w:id="237"/>
      <w:bookmarkEnd w:id="238"/>
      <w:bookmarkEnd w:id="239"/>
      <w:bookmarkEnd w:id="240"/>
      <w:bookmarkEnd w:id="241"/>
      <w:bookmarkEnd w:id="242"/>
    </w:p>
    <w:p w14:paraId="227A691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2.3</w:t>
      </w:r>
      <w:r>
        <w:rPr>
          <w:rFonts w:ascii="宋体" w:hAnsi="宋体" w:eastAsia="仿宋"/>
          <w:sz w:val="24"/>
        </w:rPr>
        <w:t>.1</w:t>
      </w:r>
      <w:r>
        <w:rPr>
          <w:rFonts w:hint="eastAsia" w:ascii="宋体" w:hAnsi="宋体" w:eastAsia="仿宋"/>
          <w:sz w:val="24"/>
        </w:rPr>
        <w:t xml:space="preserve"> 采购人投标人须知前附表规定的形式修改招标文件，并通知所有购买招标文件的投标人。如果修改招标文件的时间距本章第4.2.1项规定的投标截止时间不足</w:t>
      </w:r>
      <w:r>
        <w:rPr>
          <w:rFonts w:ascii="宋体" w:hAnsi="宋体" w:eastAsia="仿宋"/>
          <w:sz w:val="24"/>
        </w:rPr>
        <w:t>15</w:t>
      </w:r>
      <w:r>
        <w:rPr>
          <w:rFonts w:hint="eastAsia" w:ascii="宋体" w:hAnsi="宋体" w:eastAsia="仿宋"/>
          <w:sz w:val="24"/>
        </w:rPr>
        <w:t>日的，且修改内容影响投标文件编制，将相应顺延投标截止时间。</w:t>
      </w:r>
      <w:r>
        <w:rPr>
          <w:rFonts w:ascii="宋体" w:hAnsi="宋体" w:eastAsia="仿宋"/>
          <w:sz w:val="24"/>
        </w:rPr>
        <w:t xml:space="preserve"> </w:t>
      </w:r>
    </w:p>
    <w:p w14:paraId="570F8A3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2.3</w:t>
      </w:r>
      <w:r>
        <w:rPr>
          <w:rFonts w:ascii="宋体" w:hAnsi="宋体" w:eastAsia="仿宋"/>
          <w:sz w:val="24"/>
        </w:rPr>
        <w:t>.2</w:t>
      </w:r>
      <w:r>
        <w:rPr>
          <w:rFonts w:hint="eastAsia" w:ascii="宋体" w:hAnsi="宋体" w:eastAsia="仿宋"/>
          <w:sz w:val="24"/>
        </w:rPr>
        <w:t xml:space="preserve"> 投标人收到修改内容后，除投标人须知前附表另有规定外，应在投标人须知前附表规定的时间内以书面形式通知采购人，确认已收到该修改。</w:t>
      </w:r>
    </w:p>
    <w:p w14:paraId="0B9B19F6">
      <w:pPr>
        <w:pStyle w:val="4"/>
        <w:adjustRightInd w:val="0"/>
        <w:ind w:firstLine="482" w:firstLineChars="200"/>
        <w:rPr>
          <w:rFonts w:hint="eastAsia" w:eastAsia="仿宋"/>
          <w:sz w:val="24"/>
          <w:lang w:eastAsia="zh-CN"/>
        </w:rPr>
      </w:pPr>
      <w:r>
        <w:rPr>
          <w:rFonts w:hint="eastAsia" w:eastAsia="仿宋"/>
          <w:sz w:val="24"/>
          <w:lang w:eastAsia="zh-CN"/>
        </w:rPr>
        <w:t>2.4 招标文件的质疑</w:t>
      </w:r>
    </w:p>
    <w:p w14:paraId="29A4CA1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2.4.1 投标人认为招标文件（包括对招标文件澄清和修改的内容）使自己的权益受到损害时，应当按投标人须知前附表规定的时间和形式向采购人提出质疑。</w:t>
      </w:r>
    </w:p>
    <w:p w14:paraId="144E454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2.4.2 采购人自收到质疑之日起在7个工作日内作出答复。逾期提出的，采购人可不予受理。质疑与答复应采取书面形式。</w:t>
      </w:r>
    </w:p>
    <w:p w14:paraId="5F516E0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2.4.3 采购人对质疑的答复构成对招标文件澄清或者修改的，采购人将按照本章第2.2款、第2.3款规定办理。</w:t>
      </w:r>
    </w:p>
    <w:p w14:paraId="2833F856">
      <w:pPr>
        <w:pStyle w:val="3"/>
        <w:rPr>
          <w:rStyle w:val="98"/>
          <w:rFonts w:ascii="宋体" w:hAnsi="宋体" w:eastAsia="仿宋"/>
          <w:b/>
          <w:bCs/>
          <w:sz w:val="24"/>
          <w:szCs w:val="24"/>
        </w:rPr>
      </w:pPr>
      <w:bookmarkStart w:id="243" w:name="_Toc338944622"/>
      <w:bookmarkStart w:id="244" w:name="_Toc152045546"/>
      <w:bookmarkStart w:id="245" w:name="_Toc342294731"/>
      <w:bookmarkStart w:id="246" w:name="_Toc338943717"/>
      <w:bookmarkStart w:id="247" w:name="_Toc152042322"/>
      <w:bookmarkStart w:id="248" w:name="_Toc445554705"/>
      <w:bookmarkStart w:id="249" w:name="_Toc466024514"/>
      <w:bookmarkStart w:id="250" w:name="_Toc144974514"/>
      <w:bookmarkStart w:id="251" w:name="_Toc333600700"/>
      <w:bookmarkStart w:id="252" w:name="_Toc455587232"/>
      <w:bookmarkStart w:id="253" w:name="_Toc458504832"/>
      <w:bookmarkStart w:id="254" w:name="_Toc455587048"/>
      <w:bookmarkStart w:id="255" w:name="_Toc371415933"/>
      <w:bookmarkStart w:id="256" w:name="_Toc333599676"/>
      <w:bookmarkStart w:id="257" w:name="_Toc179632564"/>
      <w:bookmarkStart w:id="258" w:name="_Toc342297636"/>
      <w:bookmarkStart w:id="259" w:name="_Toc342296179"/>
      <w:r>
        <w:rPr>
          <w:rStyle w:val="98"/>
          <w:rFonts w:hint="eastAsia" w:ascii="宋体" w:hAnsi="宋体" w:eastAsia="仿宋"/>
          <w:b/>
          <w:bCs/>
          <w:sz w:val="24"/>
          <w:szCs w:val="24"/>
        </w:rPr>
        <w:t>3. 投标文件</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5B6B9644">
      <w:pPr>
        <w:pStyle w:val="4"/>
        <w:adjustRightInd w:val="0"/>
        <w:ind w:firstLine="482" w:firstLineChars="200"/>
        <w:rPr>
          <w:rFonts w:eastAsia="仿宋"/>
          <w:sz w:val="24"/>
          <w:lang w:eastAsia="zh-CN"/>
        </w:rPr>
      </w:pPr>
      <w:bookmarkStart w:id="260" w:name="_Toc466024515"/>
      <w:bookmarkStart w:id="261" w:name="_Toc152042323"/>
      <w:bookmarkStart w:id="262" w:name="_Toc333600701"/>
      <w:bookmarkStart w:id="263" w:name="_Toc342296180"/>
      <w:bookmarkStart w:id="264" w:name="_Toc333599677"/>
      <w:bookmarkStart w:id="265" w:name="_Toc179632565"/>
      <w:bookmarkStart w:id="266" w:name="_Toc144974515"/>
      <w:bookmarkStart w:id="267" w:name="_Toc371415934"/>
      <w:bookmarkStart w:id="268" w:name="_Toc445554706"/>
      <w:bookmarkStart w:id="269" w:name="_Toc338944623"/>
      <w:bookmarkStart w:id="270" w:name="_Toc458504833"/>
      <w:bookmarkStart w:id="271" w:name="_Toc455587049"/>
      <w:bookmarkStart w:id="272" w:name="_Toc342297637"/>
      <w:bookmarkStart w:id="273" w:name="_Toc152045547"/>
      <w:bookmarkStart w:id="274" w:name="_Toc338943718"/>
      <w:bookmarkStart w:id="275" w:name="_Toc455587233"/>
      <w:bookmarkStart w:id="276" w:name="_Toc333587871"/>
      <w:bookmarkStart w:id="277" w:name="_Toc342294732"/>
      <w:r>
        <w:rPr>
          <w:rFonts w:hint="eastAsia" w:eastAsia="仿宋"/>
          <w:sz w:val="24"/>
          <w:lang w:eastAsia="zh-CN"/>
        </w:rPr>
        <w:t>3.1 投标文件的组成</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3F530346">
      <w:pPr>
        <w:widowControl/>
        <w:adjustRightInd w:val="0"/>
        <w:snapToGrid w:val="0"/>
        <w:spacing w:line="360" w:lineRule="auto"/>
        <w:ind w:firstLine="480" w:firstLineChars="200"/>
        <w:rPr>
          <w:rFonts w:hint="eastAsia" w:ascii="宋体" w:hAnsi="宋体" w:eastAsia="仿宋"/>
          <w:sz w:val="24"/>
        </w:rPr>
      </w:pPr>
      <w:bookmarkStart w:id="278" w:name="_Toc342294733"/>
      <w:bookmarkStart w:id="279" w:name="_Toc342296181"/>
      <w:bookmarkStart w:id="280" w:name="_Toc342297638"/>
      <w:bookmarkStart w:id="281" w:name="_Toc179632566"/>
      <w:bookmarkStart w:id="282" w:name="_Toc152042324"/>
      <w:bookmarkStart w:id="283" w:name="_Toc333599678"/>
      <w:bookmarkStart w:id="284" w:name="_Toc333600702"/>
      <w:bookmarkStart w:id="285" w:name="_Toc152045548"/>
      <w:bookmarkStart w:id="286" w:name="_Toc338944624"/>
      <w:bookmarkStart w:id="287" w:name="_Toc144974516"/>
      <w:bookmarkStart w:id="288" w:name="_Toc338943719"/>
      <w:bookmarkStart w:id="289" w:name="_Toc333587872"/>
      <w:r>
        <w:rPr>
          <w:rFonts w:hint="eastAsia" w:ascii="宋体" w:hAnsi="宋体" w:eastAsia="仿宋"/>
          <w:sz w:val="24"/>
        </w:rPr>
        <w:t>3.1</w:t>
      </w:r>
      <w:r>
        <w:rPr>
          <w:rFonts w:ascii="宋体" w:hAnsi="宋体" w:eastAsia="仿宋"/>
          <w:sz w:val="24"/>
        </w:rPr>
        <w:t>.1</w:t>
      </w:r>
      <w:r>
        <w:rPr>
          <w:rFonts w:hint="eastAsia" w:ascii="宋体" w:hAnsi="宋体" w:eastAsia="仿宋"/>
          <w:sz w:val="24"/>
        </w:rPr>
        <w:t xml:space="preserve"> 投标文件应包括下列内容：</w:t>
      </w:r>
    </w:p>
    <w:p w14:paraId="2A45298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（1）投标函；</w:t>
      </w:r>
    </w:p>
    <w:p w14:paraId="2C5832A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（2）开标一览表；</w:t>
      </w:r>
    </w:p>
    <w:p w14:paraId="2C183DB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（3）分项报价表；</w:t>
      </w:r>
    </w:p>
    <w:p w14:paraId="13FFB12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（4）中小企业声明函（货物）</w:t>
      </w:r>
    </w:p>
    <w:p w14:paraId="3F5016C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（5）法定代表人（单位负责人）身份证明或授权委托书；</w:t>
      </w:r>
    </w:p>
    <w:p w14:paraId="60012D4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（6）联合体协议书；</w:t>
      </w:r>
    </w:p>
    <w:p w14:paraId="28AE1C3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（7）投标保证金；</w:t>
      </w:r>
    </w:p>
    <w:p w14:paraId="4D34825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（8）资格证明文件；</w:t>
      </w:r>
    </w:p>
    <w:p w14:paraId="1D4E3E3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（9）商务条款偏离表；</w:t>
      </w:r>
    </w:p>
    <w:p w14:paraId="7D92EFB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（10）技术规格偏离表；</w:t>
      </w:r>
    </w:p>
    <w:p w14:paraId="375DDBD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（11）技术响应资料；</w:t>
      </w:r>
    </w:p>
    <w:p w14:paraId="69E10F1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（12）样品；</w:t>
      </w:r>
    </w:p>
    <w:p w14:paraId="332DEEB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（13）投标人须知前附表规定的其他材料；</w:t>
      </w:r>
    </w:p>
    <w:p w14:paraId="2305C3D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（14）投标人认为应该提供的其他材料。</w:t>
      </w:r>
    </w:p>
    <w:p w14:paraId="6716B068">
      <w:pPr>
        <w:widowControl/>
        <w:adjustRightInd w:val="0"/>
        <w:snapToGrid w:val="0"/>
        <w:spacing w:line="360" w:lineRule="auto"/>
        <w:ind w:firstLine="480" w:firstLineChars="200"/>
        <w:rPr>
          <w:rFonts w:eastAsia="仿宋"/>
          <w:sz w:val="24"/>
        </w:rPr>
      </w:pPr>
      <w:r>
        <w:rPr>
          <w:rFonts w:eastAsia="仿宋"/>
          <w:sz w:val="24"/>
        </w:rPr>
        <w:t>投标人在评标过程中作出的符合法律法规和招标文件规定的澄清确认，构成投标文件的组成部分。</w:t>
      </w:r>
    </w:p>
    <w:p w14:paraId="1AC9A2D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3.1.2 投标人须知前附表规定不接受联合体投标的，或投标人没有组成联合体的，投标文件不包括本章第3.1.1（6）目所指的联合体协议书。</w:t>
      </w:r>
    </w:p>
    <w:p w14:paraId="7550FA7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 xml:space="preserve">3.1.3 </w:t>
      </w:r>
      <w:r>
        <w:rPr>
          <w:rFonts w:eastAsia="仿宋"/>
          <w:sz w:val="24"/>
        </w:rPr>
        <w:t>投标人须知前附表未要求提交投标保证金的，投标文件不包括</w:t>
      </w:r>
      <w:r>
        <w:rPr>
          <w:rFonts w:hint="eastAsia" w:eastAsia="仿宋"/>
          <w:sz w:val="24"/>
        </w:rPr>
        <w:t>本章第3.1.1（7）目所指的</w:t>
      </w:r>
      <w:r>
        <w:rPr>
          <w:rFonts w:eastAsia="仿宋"/>
          <w:sz w:val="24"/>
        </w:rPr>
        <w:t>投标保证金。</w:t>
      </w:r>
    </w:p>
    <w:p w14:paraId="71BDE5B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3.1.4 投标人须知前附表规定不要求递交投标货物样品的，投标文件不包括本章第3.1.1（12）目所指的样品，否则投标人应按照投标人须知前附表的规定提供投标货物样品。</w:t>
      </w:r>
    </w:p>
    <w:p w14:paraId="6EDCBDCD">
      <w:pPr>
        <w:pStyle w:val="4"/>
        <w:adjustRightInd w:val="0"/>
        <w:ind w:firstLine="482" w:firstLineChars="200"/>
        <w:rPr>
          <w:rFonts w:eastAsia="仿宋"/>
          <w:sz w:val="24"/>
          <w:lang w:eastAsia="zh-CN"/>
        </w:rPr>
      </w:pPr>
      <w:bookmarkStart w:id="290" w:name="_Toc445554707"/>
      <w:bookmarkStart w:id="291" w:name="_Toc466024516"/>
      <w:bookmarkStart w:id="292" w:name="_Toc455587050"/>
      <w:bookmarkStart w:id="293" w:name="_Toc458504834"/>
      <w:bookmarkStart w:id="294" w:name="_Toc455587234"/>
      <w:r>
        <w:rPr>
          <w:rFonts w:hint="eastAsia" w:eastAsia="仿宋"/>
          <w:sz w:val="24"/>
          <w:lang w:eastAsia="zh-CN"/>
        </w:rPr>
        <w:t>3.2 投标报价</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Start w:id="295" w:name="_Toc370199958"/>
    </w:p>
    <w:p w14:paraId="517E96F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3.2</w:t>
      </w:r>
      <w:r>
        <w:rPr>
          <w:rFonts w:ascii="宋体" w:hAnsi="宋体" w:eastAsia="仿宋"/>
          <w:sz w:val="24"/>
        </w:rPr>
        <w:t>.1</w:t>
      </w:r>
      <w:r>
        <w:rPr>
          <w:rFonts w:hint="eastAsia" w:ascii="宋体" w:hAnsi="宋体" w:eastAsia="仿宋"/>
          <w:sz w:val="24"/>
        </w:rPr>
        <w:t xml:space="preserve"> 投标报价应当包括的内容见投标人须知前附表规定。投标人应当按招标文件规定进行投标报价，并按给定格式填写投标报价表格。</w:t>
      </w:r>
      <w:bookmarkEnd w:id="295"/>
      <w:bookmarkStart w:id="296" w:name="_Toc370199959"/>
    </w:p>
    <w:p w14:paraId="4003AB7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 xml:space="preserve">3.2.2 </w:t>
      </w:r>
      <w:r>
        <w:rPr>
          <w:rFonts w:ascii="宋体" w:hAnsi="宋体" w:eastAsia="仿宋"/>
          <w:sz w:val="24"/>
        </w:rPr>
        <w:t>投标人应充分了解该项目的总体情况以及影响报价的其他要素。</w:t>
      </w:r>
    </w:p>
    <w:p w14:paraId="68952E2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3.2.3 提交两个或两个以上的投标报价，或者任何有选择性的报价或者有附加条件的报价的投标将按无效处理，投标人须知前附表允许递交备选方案的除外。</w:t>
      </w:r>
    </w:p>
    <w:p w14:paraId="57FF96A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3.2.4投标报价为各分项报价之和。如分项报价中存在缺漏项，则视为缺漏项价格已包含在其他分项报价之中。投标人在投标截止时间前修改开标一览表中的投标报价总额，应同时修改投标文件“分项报价表”中的相应报价。此修改须符合本章第4.3款的有关要求。</w:t>
      </w:r>
    </w:p>
    <w:p w14:paraId="78C437B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3.2.5 采购人设有最高限价的，投标报价不得超过最高限价，否则投标无效，最高限价在投标人须知前附表中载明。</w:t>
      </w:r>
    </w:p>
    <w:p w14:paraId="40676B4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3.2.6 投标报价的其他要求见投标人须知前附表。</w:t>
      </w:r>
    </w:p>
    <w:bookmarkEnd w:id="296"/>
    <w:p w14:paraId="4DA9CB40">
      <w:pPr>
        <w:pStyle w:val="4"/>
        <w:adjustRightInd w:val="0"/>
        <w:ind w:firstLine="482" w:firstLineChars="200"/>
        <w:rPr>
          <w:rFonts w:eastAsia="仿宋"/>
          <w:sz w:val="24"/>
          <w:lang w:eastAsia="zh-CN"/>
        </w:rPr>
      </w:pPr>
      <w:bookmarkStart w:id="297" w:name="_Toc455587235"/>
      <w:bookmarkStart w:id="298" w:name="_Toc338943720"/>
      <w:bookmarkStart w:id="299" w:name="_Toc144974517"/>
      <w:bookmarkStart w:id="300" w:name="_Toc342297639"/>
      <w:bookmarkStart w:id="301" w:name="_Toc333600703"/>
      <w:bookmarkStart w:id="302" w:name="_Toc445554708"/>
      <w:bookmarkStart w:id="303" w:name="_Toc458504835"/>
      <w:bookmarkStart w:id="304" w:name="_Toc333599679"/>
      <w:bookmarkStart w:id="305" w:name="_Toc179632567"/>
      <w:bookmarkStart w:id="306" w:name="_Toc342294734"/>
      <w:bookmarkStart w:id="307" w:name="_Toc342296182"/>
      <w:bookmarkStart w:id="308" w:name="_Toc455587051"/>
      <w:bookmarkStart w:id="309" w:name="_Toc152042325"/>
      <w:bookmarkStart w:id="310" w:name="_Toc333587873"/>
      <w:bookmarkStart w:id="311" w:name="_Toc466024517"/>
      <w:bookmarkStart w:id="312" w:name="_Toc371415937"/>
      <w:bookmarkStart w:id="313" w:name="_Toc152045549"/>
      <w:bookmarkStart w:id="314" w:name="_Toc338944625"/>
      <w:r>
        <w:rPr>
          <w:rFonts w:hint="eastAsia" w:eastAsia="仿宋"/>
          <w:sz w:val="24"/>
          <w:lang w:eastAsia="zh-CN"/>
        </w:rPr>
        <w:t>3.3 投标有效期</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1851DFA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3.3</w:t>
      </w:r>
      <w:r>
        <w:rPr>
          <w:rFonts w:ascii="宋体" w:hAnsi="宋体" w:eastAsia="仿宋"/>
          <w:sz w:val="24"/>
        </w:rPr>
        <w:t>.1</w:t>
      </w:r>
      <w:r>
        <w:rPr>
          <w:rFonts w:hint="eastAsia" w:ascii="宋体" w:hAnsi="宋体" w:eastAsia="仿宋"/>
          <w:sz w:val="24"/>
        </w:rPr>
        <w:t xml:space="preserve"> 在投标人须知前附表规定中的投标有效期内，投标文件保持有效，投标人不得要求撤销或修改其投标文件，否则应承担招标文件和法律法规规定的责任。</w:t>
      </w:r>
    </w:p>
    <w:p w14:paraId="573B6AC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3.3</w:t>
      </w:r>
      <w:r>
        <w:rPr>
          <w:rFonts w:ascii="宋体" w:hAnsi="宋体" w:eastAsia="仿宋"/>
          <w:sz w:val="24"/>
        </w:rPr>
        <w:t>.2</w:t>
      </w:r>
      <w:r>
        <w:rPr>
          <w:rFonts w:hint="eastAsia" w:ascii="宋体" w:hAnsi="宋体" w:eastAsia="仿宋"/>
          <w:sz w:val="24"/>
        </w:rPr>
        <w:t xml:space="preserve"> 出现特殊情况需要延长投标有效期的，采购人以书面形式通知所有投标人延长投标有效期。投标人同意延长的，应当相应延长其投标保证金的有效期，但不得要求或被允许修改或撤销其投标文件；投标人拒绝延长的，其投标失效，但投标人有权收回其投标保证金。</w:t>
      </w:r>
      <w:r>
        <w:rPr>
          <w:rFonts w:ascii="宋体" w:hAnsi="宋体" w:eastAsia="仿宋"/>
          <w:sz w:val="24"/>
        </w:rPr>
        <w:t xml:space="preserve"> </w:t>
      </w:r>
    </w:p>
    <w:p w14:paraId="7E42916C">
      <w:pPr>
        <w:pStyle w:val="4"/>
        <w:adjustRightInd w:val="0"/>
        <w:ind w:firstLine="482" w:firstLineChars="200"/>
        <w:rPr>
          <w:rFonts w:eastAsia="仿宋"/>
          <w:sz w:val="24"/>
          <w:lang w:eastAsia="zh-CN"/>
        </w:rPr>
      </w:pPr>
      <w:bookmarkStart w:id="315" w:name="_Toc342296183"/>
      <w:bookmarkStart w:id="316" w:name="_Toc342297640"/>
      <w:bookmarkStart w:id="317" w:name="_Toc179632568"/>
      <w:bookmarkStart w:id="318" w:name="_Toc333599680"/>
      <w:bookmarkStart w:id="319" w:name="_Toc333587874"/>
      <w:bookmarkStart w:id="320" w:name="_Toc152042326"/>
      <w:bookmarkStart w:id="321" w:name="_Toc144974518"/>
      <w:bookmarkStart w:id="322" w:name="_Toc338944626"/>
      <w:bookmarkStart w:id="323" w:name="_Toc152045550"/>
      <w:bookmarkStart w:id="324" w:name="_Toc455587236"/>
      <w:bookmarkStart w:id="325" w:name="_Toc455587052"/>
      <w:bookmarkStart w:id="326" w:name="_Toc466024518"/>
      <w:bookmarkStart w:id="327" w:name="_Toc458504836"/>
      <w:bookmarkStart w:id="328" w:name="_Toc333600704"/>
      <w:bookmarkStart w:id="329" w:name="_Toc342294735"/>
      <w:bookmarkStart w:id="330" w:name="_Toc445554709"/>
      <w:bookmarkStart w:id="331" w:name="_Toc371415938"/>
      <w:bookmarkStart w:id="332" w:name="_Toc338943721"/>
      <w:r>
        <w:rPr>
          <w:rFonts w:hint="eastAsia" w:eastAsia="仿宋"/>
          <w:sz w:val="24"/>
          <w:lang w:eastAsia="zh-CN"/>
        </w:rPr>
        <w:t>3.4 投标保证金</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5B37EEC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3.4</w:t>
      </w:r>
      <w:r>
        <w:rPr>
          <w:rFonts w:ascii="宋体" w:hAnsi="宋体" w:eastAsia="仿宋"/>
          <w:sz w:val="24"/>
        </w:rPr>
        <w:t>.1</w:t>
      </w:r>
      <w:r>
        <w:rPr>
          <w:rFonts w:hint="eastAsia" w:ascii="宋体" w:hAnsi="宋体" w:eastAsia="仿宋"/>
          <w:sz w:val="24"/>
        </w:rPr>
        <w:t xml:space="preserve"> 投标人在递交投标文件的同时，应按投标人须知前附表规定递交投标保证金，并作为其投标文件的组成部分。联合体投标的，其投标保证金可以由牵头人提交，并应符合投标人须知前附表的规定。</w:t>
      </w:r>
    </w:p>
    <w:p w14:paraId="0DA8EC3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3.4.2 投标保证金用于保护免采购人受因投标人的行为而引起的风险。</w:t>
      </w:r>
    </w:p>
    <w:p w14:paraId="30A1591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 xml:space="preserve">3.4.3 </w:t>
      </w:r>
      <w:r>
        <w:rPr>
          <w:rFonts w:eastAsia="仿宋"/>
          <w:sz w:val="24"/>
        </w:rPr>
        <w:t>投标人不按本章</w:t>
      </w:r>
      <w:r>
        <w:rPr>
          <w:rFonts w:ascii="宋体" w:hAnsi="宋体" w:eastAsia="仿宋"/>
          <w:sz w:val="24"/>
        </w:rPr>
        <w:t>第3.4.1项</w:t>
      </w:r>
      <w:bookmarkStart w:id="333" w:name="_Toc369531533"/>
      <w:bookmarkStart w:id="334" w:name="_Toc361508602"/>
      <w:bookmarkStart w:id="335" w:name="_Toc352691490"/>
      <w:bookmarkStart w:id="336" w:name="_Toc384308227"/>
      <w:bookmarkStart w:id="337" w:name="_Toc29025"/>
      <w:r>
        <w:rPr>
          <w:rFonts w:ascii="宋体" w:hAnsi="宋体" w:eastAsia="仿宋"/>
          <w:sz w:val="24"/>
        </w:rPr>
        <w:t>要求提</w:t>
      </w:r>
      <w:r>
        <w:rPr>
          <w:rFonts w:eastAsia="仿宋"/>
          <w:sz w:val="24"/>
        </w:rPr>
        <w:t>交投标保证金的，</w:t>
      </w:r>
      <w:bookmarkEnd w:id="333"/>
      <w:bookmarkEnd w:id="334"/>
      <w:bookmarkEnd w:id="335"/>
      <w:bookmarkEnd w:id="336"/>
      <w:bookmarkEnd w:id="337"/>
      <w:r>
        <w:rPr>
          <w:rFonts w:hint="eastAsia" w:eastAsia="仿宋"/>
          <w:sz w:val="24"/>
        </w:rPr>
        <w:t>其投标无效</w:t>
      </w:r>
      <w:r>
        <w:rPr>
          <w:rFonts w:eastAsia="仿宋"/>
          <w:sz w:val="24"/>
        </w:rPr>
        <w:t>。</w:t>
      </w:r>
    </w:p>
    <w:p w14:paraId="6DFD9FE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 xml:space="preserve">3.4.4 </w:t>
      </w:r>
      <w:r>
        <w:rPr>
          <w:rFonts w:ascii="宋体" w:hAnsi="宋体" w:eastAsia="仿宋"/>
          <w:sz w:val="24"/>
        </w:rPr>
        <w:t>自中标通知书发出之日起5个工作日内退还未中标投标人的投标保证金，自政府采购合同签订之日起5个工作日内</w:t>
      </w:r>
      <w:r>
        <w:rPr>
          <w:rFonts w:hint="eastAsia" w:ascii="宋体" w:hAnsi="宋体" w:eastAsia="仿宋"/>
          <w:sz w:val="24"/>
        </w:rPr>
        <w:t>并支付代理服务费用后，</w:t>
      </w:r>
      <w:r>
        <w:rPr>
          <w:rFonts w:ascii="宋体" w:hAnsi="宋体" w:eastAsia="仿宋"/>
          <w:sz w:val="24"/>
        </w:rPr>
        <w:t>退还中标</w:t>
      </w:r>
      <w:r>
        <w:rPr>
          <w:rFonts w:hint="eastAsia" w:ascii="宋体" w:hAnsi="宋体" w:eastAsia="仿宋"/>
          <w:sz w:val="24"/>
        </w:rPr>
        <w:t>人</w:t>
      </w:r>
      <w:r>
        <w:rPr>
          <w:rFonts w:ascii="宋体" w:hAnsi="宋体" w:eastAsia="仿宋"/>
          <w:sz w:val="24"/>
        </w:rPr>
        <w:t>的投标保证金</w:t>
      </w:r>
      <w:r>
        <w:rPr>
          <w:rFonts w:hint="eastAsia" w:ascii="宋体" w:hAnsi="宋体" w:eastAsia="仿宋"/>
          <w:sz w:val="24"/>
        </w:rPr>
        <w:t>。</w:t>
      </w:r>
    </w:p>
    <w:p w14:paraId="48ADA81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3.4.5 有下列情形之一的，投标保证金不予退还，投标人还应承担法律法规规定的其他责任。</w:t>
      </w:r>
    </w:p>
    <w:p w14:paraId="65BBC82F">
      <w:pPr>
        <w:widowControl/>
        <w:adjustRightInd w:val="0"/>
        <w:snapToGrid w:val="0"/>
        <w:spacing w:line="360" w:lineRule="auto"/>
        <w:ind w:firstLine="480" w:firstLineChars="200"/>
        <w:rPr>
          <w:rFonts w:ascii="宋体" w:hAnsi="宋体" w:eastAsia="仿宋"/>
          <w:sz w:val="24"/>
        </w:rPr>
      </w:pPr>
      <w:r>
        <w:rPr>
          <w:rFonts w:ascii="宋体" w:hAnsi="宋体" w:eastAsia="仿宋"/>
          <w:sz w:val="24"/>
        </w:rPr>
        <w:t>（1）投标人在投标有效期内撤销投标文件；</w:t>
      </w:r>
    </w:p>
    <w:p w14:paraId="168168EB">
      <w:pPr>
        <w:widowControl/>
        <w:adjustRightInd w:val="0"/>
        <w:snapToGrid w:val="0"/>
        <w:spacing w:line="360" w:lineRule="auto"/>
        <w:ind w:firstLine="480" w:firstLineChars="200"/>
        <w:rPr>
          <w:rFonts w:ascii="宋体" w:hAnsi="宋体" w:eastAsia="仿宋"/>
          <w:sz w:val="24"/>
        </w:rPr>
      </w:pPr>
      <w:r>
        <w:rPr>
          <w:rFonts w:ascii="宋体" w:hAnsi="宋体" w:eastAsia="仿宋"/>
          <w:sz w:val="24"/>
        </w:rPr>
        <w:t>（2）中标人在收到中标通知书后，无正当理由不与</w:t>
      </w:r>
      <w:r>
        <w:rPr>
          <w:rFonts w:hint="eastAsia" w:eastAsia="仿宋"/>
          <w:sz w:val="24"/>
        </w:rPr>
        <w:t>采购</w:t>
      </w:r>
      <w:r>
        <w:rPr>
          <w:rFonts w:ascii="宋体" w:hAnsi="宋体" w:eastAsia="仿宋"/>
          <w:sz w:val="24"/>
        </w:rPr>
        <w:t>人订立合同，在签订合同时向</w:t>
      </w:r>
      <w:r>
        <w:rPr>
          <w:rFonts w:hint="eastAsia" w:eastAsia="仿宋"/>
          <w:sz w:val="24"/>
        </w:rPr>
        <w:t>采购</w:t>
      </w:r>
      <w:r>
        <w:rPr>
          <w:rFonts w:ascii="宋体" w:hAnsi="宋体" w:eastAsia="仿宋"/>
          <w:sz w:val="24"/>
        </w:rPr>
        <w:t>人提出附加条件，或者不按照招标文件要求提交履约保证金；</w:t>
      </w:r>
    </w:p>
    <w:p w14:paraId="24D908A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（3）投标人在投标文件中提供虚假材料的；</w:t>
      </w:r>
    </w:p>
    <w:p w14:paraId="0BC2EF52">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（4）投标人与采购人、其他投标人或者采购代理机构恶意串通的；</w:t>
      </w:r>
    </w:p>
    <w:p w14:paraId="2C02741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（5）经相关部门依法认定的其他违反法律、法规、规章和规范性文件的行为，应不予退还投标保证金的；</w:t>
      </w:r>
    </w:p>
    <w:p w14:paraId="096C9B1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（6）法律法规规定其他情形；</w:t>
      </w:r>
    </w:p>
    <w:p w14:paraId="42EC374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（7）投标人须知前附表规定的其他情形。</w:t>
      </w:r>
    </w:p>
    <w:p w14:paraId="34386BAA">
      <w:pPr>
        <w:pStyle w:val="4"/>
        <w:adjustRightInd w:val="0"/>
        <w:ind w:firstLine="482" w:firstLineChars="200"/>
        <w:rPr>
          <w:rFonts w:eastAsia="仿宋"/>
          <w:sz w:val="24"/>
          <w:lang w:eastAsia="zh-CN"/>
        </w:rPr>
      </w:pPr>
      <w:bookmarkStart w:id="338" w:name="_Toc342294736"/>
      <w:bookmarkStart w:id="339" w:name="_Toc179632569"/>
      <w:bookmarkStart w:id="340" w:name="_Toc466024519"/>
      <w:bookmarkStart w:id="341" w:name="_Toc342297641"/>
      <w:bookmarkStart w:id="342" w:name="_Toc338944627"/>
      <w:bookmarkStart w:id="343" w:name="_Toc371415939"/>
      <w:bookmarkStart w:id="344" w:name="_Toc333599681"/>
      <w:bookmarkStart w:id="345" w:name="_Toc445554710"/>
      <w:bookmarkStart w:id="346" w:name="_Toc152042327"/>
      <w:bookmarkStart w:id="347" w:name="_Toc458504837"/>
      <w:bookmarkStart w:id="348" w:name="_Toc342296184"/>
      <w:bookmarkStart w:id="349" w:name="_Toc333600705"/>
      <w:bookmarkStart w:id="350" w:name="_Toc333587875"/>
      <w:bookmarkStart w:id="351" w:name="_Toc455587053"/>
      <w:bookmarkStart w:id="352" w:name="_Toc338943722"/>
      <w:bookmarkStart w:id="353" w:name="_Toc144974519"/>
      <w:bookmarkStart w:id="354" w:name="_Toc455587237"/>
      <w:bookmarkStart w:id="355" w:name="_Toc152045551"/>
      <w:r>
        <w:rPr>
          <w:rFonts w:hint="eastAsia" w:eastAsia="仿宋"/>
          <w:sz w:val="24"/>
          <w:lang w:eastAsia="zh-CN"/>
        </w:rPr>
        <w:t>3.5 资格审查资料（适用于已进行资格预审的）</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42EFBC8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3.5.1 投标人在递交投标文件前，发生可能影响其投标资格的新情况的，应更新或补充其在申请资格预审时提供的资料，以证实其各项资格条件仍能继续满足资格预审文件的要求。</w:t>
      </w:r>
    </w:p>
    <w:p w14:paraId="16F363A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3.5.2 投标人是代理商或经销商的，通过资格预审后如确定了拟投标货物（服务）的制造商（提供商）的，投标时不得更换，否则其投标将按无效处理。</w:t>
      </w:r>
    </w:p>
    <w:p w14:paraId="1F0C182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3.5.3 如本招标文件“评标办法”中涉及到对相关投标人资格进行评审的，投标人应在投标文件相应的“资格审查资料”中提供证明文件。</w:t>
      </w:r>
    </w:p>
    <w:p w14:paraId="17DB299B">
      <w:pPr>
        <w:pStyle w:val="4"/>
        <w:adjustRightInd w:val="0"/>
        <w:ind w:firstLine="482" w:firstLineChars="200"/>
        <w:rPr>
          <w:rFonts w:eastAsia="仿宋"/>
          <w:sz w:val="24"/>
          <w:lang w:eastAsia="zh-CN"/>
        </w:rPr>
      </w:pPr>
      <w:bookmarkStart w:id="356" w:name="_Toc179632570"/>
      <w:bookmarkStart w:id="357" w:name="_Toc445554711"/>
      <w:bookmarkStart w:id="358" w:name="_Toc342296185"/>
      <w:bookmarkStart w:id="359" w:name="_Toc333600706"/>
      <w:bookmarkStart w:id="360" w:name="_Toc144974520"/>
      <w:bookmarkStart w:id="361" w:name="_Toc371415940"/>
      <w:bookmarkStart w:id="362" w:name="_Toc342297642"/>
      <w:bookmarkStart w:id="363" w:name="_Toc152042328"/>
      <w:bookmarkStart w:id="364" w:name="_Toc152045552"/>
      <w:bookmarkStart w:id="365" w:name="_Toc338943723"/>
      <w:bookmarkStart w:id="366" w:name="_Toc333599682"/>
      <w:bookmarkStart w:id="367" w:name="_Toc338944628"/>
      <w:bookmarkStart w:id="368" w:name="_Toc455587054"/>
      <w:bookmarkStart w:id="369" w:name="_Toc458504838"/>
      <w:bookmarkStart w:id="370" w:name="_Toc342294737"/>
      <w:bookmarkStart w:id="371" w:name="_Toc455587238"/>
      <w:bookmarkStart w:id="372" w:name="_Toc333587876"/>
      <w:bookmarkStart w:id="373" w:name="_Toc466024520"/>
      <w:r>
        <w:rPr>
          <w:rFonts w:hint="eastAsia" w:eastAsia="仿宋"/>
          <w:sz w:val="24"/>
          <w:lang w:eastAsia="zh-CN"/>
        </w:rPr>
        <w:t>3.5 资格审查资料（适用于未进行资格预审的）</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2C72050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3.5.1 “投标人基本情况表”应按规定格式填写，并提供符合要求的相关证明材料的复印件。</w:t>
      </w:r>
    </w:p>
    <w:p w14:paraId="6DC470B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3.5.2 “近年财务状况表”应附经会计师事务所或审计机构审计的财务会计报表，包括资产负债表、现金流量表、利润表和财务情况说明书的复印件，具体年份要求等见投标人须知前附表规定。投标人成立时间少于投标人须知前附表规定年份的，应提供成立以来的财务状况表。</w:t>
      </w:r>
    </w:p>
    <w:p w14:paraId="00BB4BB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3.5.3 “近年类似项目表”应附符合招标文件规定的证明材料，具体年份要求见投标人须知前附表。</w:t>
      </w:r>
    </w:p>
    <w:p w14:paraId="772C2FD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3.5.4 投标人须知前附表规定接受联合体投标的，本章第3.5.1项至第3.5.3项规定的表格和资料包括联合体各方成员相关情况。</w:t>
      </w:r>
    </w:p>
    <w:p w14:paraId="05312A8D">
      <w:pPr>
        <w:pStyle w:val="4"/>
        <w:adjustRightInd w:val="0"/>
        <w:ind w:firstLine="482" w:firstLineChars="200"/>
        <w:rPr>
          <w:rFonts w:eastAsia="仿宋"/>
          <w:sz w:val="24"/>
          <w:lang w:eastAsia="zh-CN"/>
        </w:rPr>
      </w:pPr>
      <w:bookmarkStart w:id="374" w:name="_Toc445554713"/>
      <w:bookmarkStart w:id="375" w:name="_Toc179632571"/>
      <w:bookmarkStart w:id="376" w:name="_Toc333599683"/>
      <w:bookmarkStart w:id="377" w:name="_Toc333587877"/>
      <w:bookmarkStart w:id="378" w:name="_Toc455587056"/>
      <w:bookmarkStart w:id="379" w:name="_Toc342296186"/>
      <w:bookmarkStart w:id="380" w:name="_Toc144974521"/>
      <w:bookmarkStart w:id="381" w:name="_Toc152045553"/>
      <w:bookmarkStart w:id="382" w:name="_Toc455587240"/>
      <w:bookmarkStart w:id="383" w:name="_Toc152042329"/>
      <w:bookmarkStart w:id="384" w:name="_Toc338943724"/>
      <w:bookmarkStart w:id="385" w:name="_Toc342294738"/>
      <w:bookmarkStart w:id="386" w:name="_Toc466024522"/>
      <w:bookmarkStart w:id="387" w:name="_Toc342297643"/>
      <w:bookmarkStart w:id="388" w:name="_Toc458504840"/>
      <w:bookmarkStart w:id="389" w:name="_Toc338944629"/>
      <w:bookmarkStart w:id="390" w:name="_Toc333600707"/>
      <w:bookmarkStart w:id="391" w:name="_Toc371415941"/>
      <w:r>
        <w:rPr>
          <w:rFonts w:hint="eastAsia" w:eastAsia="仿宋"/>
          <w:sz w:val="24"/>
          <w:lang w:eastAsia="zh-CN"/>
        </w:rPr>
        <w:t>3.6 备选投标方案</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120765A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3.6.1 除投标人须知前附表另有规定外，投标人不得递交备选投标方案，</w:t>
      </w:r>
      <w:r>
        <w:rPr>
          <w:rFonts w:eastAsia="仿宋"/>
          <w:sz w:val="24"/>
        </w:rPr>
        <w:t>否则其投标将</w:t>
      </w:r>
      <w:r>
        <w:rPr>
          <w:rFonts w:hint="eastAsia" w:eastAsia="仿宋"/>
          <w:sz w:val="24"/>
        </w:rPr>
        <w:t>按无效处理</w:t>
      </w:r>
      <w:r>
        <w:rPr>
          <w:rFonts w:hint="eastAsia" w:ascii="宋体" w:hAnsi="宋体" w:eastAsia="仿宋"/>
          <w:sz w:val="24"/>
        </w:rPr>
        <w:t>。</w:t>
      </w:r>
    </w:p>
    <w:p w14:paraId="29170251">
      <w:pPr>
        <w:widowControl/>
        <w:adjustRightInd w:val="0"/>
        <w:snapToGrid w:val="0"/>
        <w:spacing w:line="360" w:lineRule="auto"/>
        <w:ind w:firstLine="480" w:firstLineChars="200"/>
        <w:rPr>
          <w:rFonts w:hint="eastAsia" w:eastAsia="仿宋"/>
          <w:sz w:val="24"/>
        </w:rPr>
      </w:pPr>
      <w:r>
        <w:rPr>
          <w:rFonts w:hint="eastAsia" w:ascii="宋体" w:hAnsi="宋体" w:eastAsia="仿宋"/>
          <w:sz w:val="24"/>
        </w:rPr>
        <w:t xml:space="preserve">3.6.2 </w:t>
      </w:r>
      <w:r>
        <w:rPr>
          <w:rFonts w:eastAsia="仿宋"/>
          <w:sz w:val="24"/>
        </w:rPr>
        <w:t>允许投标人递交备选投标方案的，只有中标人所递交的备选投标方案方可予以考虑。评标委员会认为中标人的备选投标方案优于其按照招标文件要求编制的投标方案的，</w:t>
      </w:r>
      <w:r>
        <w:rPr>
          <w:rFonts w:hint="eastAsia" w:eastAsia="仿宋"/>
          <w:sz w:val="24"/>
        </w:rPr>
        <w:t>采购</w:t>
      </w:r>
      <w:r>
        <w:rPr>
          <w:rFonts w:eastAsia="仿宋"/>
          <w:sz w:val="24"/>
        </w:rPr>
        <w:t>人可以接受该备选投标方案。</w:t>
      </w:r>
    </w:p>
    <w:p w14:paraId="19DBA240">
      <w:pPr>
        <w:widowControl/>
        <w:adjustRightInd w:val="0"/>
        <w:snapToGrid w:val="0"/>
        <w:spacing w:line="360" w:lineRule="auto"/>
        <w:ind w:firstLine="480" w:firstLineChars="200"/>
        <w:rPr>
          <w:rFonts w:eastAsia="仿宋"/>
          <w:sz w:val="24"/>
        </w:rPr>
      </w:pPr>
      <w:r>
        <w:rPr>
          <w:rFonts w:ascii="宋体" w:hAnsi="宋体" w:eastAsia="仿宋"/>
          <w:sz w:val="24"/>
        </w:rPr>
        <w:t xml:space="preserve">3.6.3 </w:t>
      </w:r>
      <w:r>
        <w:rPr>
          <w:rFonts w:hint="eastAsia" w:ascii="宋体" w:hAnsi="宋体" w:eastAsia="仿宋"/>
          <w:sz w:val="24"/>
        </w:rPr>
        <w:t xml:space="preserve"> </w:t>
      </w:r>
      <w:r>
        <w:rPr>
          <w:rFonts w:ascii="宋体" w:hAnsi="宋体" w:eastAsia="仿宋"/>
          <w:sz w:val="24"/>
        </w:rPr>
        <w:t>投标人提供两个或两个以上投标报价，或者在投标文件中提供一个报价，但同时提供两个或两</w:t>
      </w:r>
      <w:r>
        <w:rPr>
          <w:rFonts w:eastAsia="仿宋"/>
          <w:sz w:val="24"/>
        </w:rPr>
        <w:t>个以上</w:t>
      </w:r>
      <w:bookmarkStart w:id="392" w:name="_Toc361508607"/>
      <w:bookmarkStart w:id="393" w:name="_Toc352691495"/>
      <w:bookmarkStart w:id="394" w:name="_Toc247513974"/>
      <w:bookmarkStart w:id="395" w:name="_Toc247527575"/>
      <w:bookmarkStart w:id="396" w:name="_Toc29902"/>
      <w:bookmarkStart w:id="397" w:name="_Toc300834971"/>
      <w:bookmarkStart w:id="398" w:name="_Toc384308232"/>
      <w:bookmarkStart w:id="399" w:name="_Toc369531538"/>
      <w:r>
        <w:rPr>
          <w:rFonts w:hint="eastAsia" w:eastAsia="仿宋"/>
          <w:sz w:val="24"/>
        </w:rPr>
        <w:t>供货方案</w:t>
      </w:r>
      <w:r>
        <w:rPr>
          <w:rFonts w:eastAsia="仿宋"/>
          <w:sz w:val="24"/>
        </w:rPr>
        <w:t>的</w:t>
      </w:r>
      <w:bookmarkEnd w:id="392"/>
      <w:bookmarkEnd w:id="393"/>
      <w:bookmarkEnd w:id="394"/>
      <w:bookmarkEnd w:id="395"/>
      <w:bookmarkEnd w:id="396"/>
      <w:bookmarkEnd w:id="397"/>
      <w:bookmarkEnd w:id="398"/>
      <w:bookmarkEnd w:id="399"/>
      <w:r>
        <w:rPr>
          <w:rFonts w:eastAsia="仿宋"/>
          <w:sz w:val="24"/>
        </w:rPr>
        <w:t>，视为提供备选方案。</w:t>
      </w:r>
    </w:p>
    <w:p w14:paraId="4B824BA2">
      <w:pPr>
        <w:pStyle w:val="4"/>
        <w:adjustRightInd w:val="0"/>
        <w:ind w:firstLine="482" w:firstLineChars="200"/>
        <w:rPr>
          <w:rFonts w:eastAsia="仿宋"/>
          <w:sz w:val="24"/>
          <w:lang w:eastAsia="zh-CN"/>
        </w:rPr>
      </w:pPr>
      <w:bookmarkStart w:id="400" w:name="_Toc445554714"/>
      <w:bookmarkStart w:id="401" w:name="_Toc455587241"/>
      <w:bookmarkStart w:id="402" w:name="_Toc455587057"/>
      <w:bookmarkStart w:id="403" w:name="_Toc371415942"/>
      <w:bookmarkStart w:id="404" w:name="_Toc458504841"/>
      <w:bookmarkStart w:id="405" w:name="_Toc466024523"/>
      <w:r>
        <w:rPr>
          <w:rFonts w:hint="eastAsia" w:eastAsia="仿宋"/>
          <w:sz w:val="24"/>
          <w:lang w:eastAsia="zh-CN"/>
        </w:rPr>
        <w:t>3.7 投标文件的编制</w:t>
      </w:r>
      <w:bookmarkEnd w:id="400"/>
      <w:bookmarkEnd w:id="401"/>
      <w:bookmarkEnd w:id="402"/>
      <w:bookmarkEnd w:id="403"/>
      <w:bookmarkEnd w:id="404"/>
      <w:bookmarkEnd w:id="405"/>
    </w:p>
    <w:p w14:paraId="17FC05A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3.7</w:t>
      </w:r>
      <w:r>
        <w:rPr>
          <w:rFonts w:ascii="宋体" w:hAnsi="宋体" w:eastAsia="仿宋"/>
          <w:sz w:val="24"/>
        </w:rPr>
        <w:t>.1</w:t>
      </w:r>
      <w:r>
        <w:rPr>
          <w:rFonts w:hint="eastAsia" w:ascii="宋体" w:hAnsi="宋体" w:eastAsia="仿宋"/>
          <w:sz w:val="24"/>
        </w:rPr>
        <w:t xml:space="preserve"> 投标文件应按</w:t>
      </w:r>
      <w:r>
        <w:rPr>
          <w:rFonts w:hint="eastAsia" w:eastAsia="仿宋"/>
          <w:sz w:val="24"/>
        </w:rPr>
        <w:t>招标文件</w:t>
      </w:r>
      <w:r>
        <w:rPr>
          <w:rFonts w:hint="eastAsia" w:ascii="宋体" w:hAnsi="宋体" w:eastAsia="仿宋"/>
          <w:sz w:val="24"/>
        </w:rPr>
        <w:t>规定格式进行编写，如有必要，可以增加附页、扩展表格，作为投标文件的组成部分。</w:t>
      </w:r>
    </w:p>
    <w:p w14:paraId="1743E6B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3.7</w:t>
      </w:r>
      <w:r>
        <w:rPr>
          <w:rFonts w:ascii="宋体" w:hAnsi="宋体" w:eastAsia="仿宋"/>
          <w:sz w:val="24"/>
        </w:rPr>
        <w:t>.2</w:t>
      </w:r>
      <w:r>
        <w:rPr>
          <w:rFonts w:hint="eastAsia" w:ascii="宋体" w:hAnsi="宋体" w:eastAsia="仿宋"/>
          <w:sz w:val="24"/>
        </w:rPr>
        <w:t xml:space="preserve"> 投标文件应当对招标文件有关采购需求、交货期、质保期、技术与服务要求、投标报价要求、投标有效期、付款方式、合同条款等实质性</w:t>
      </w:r>
      <w:r>
        <w:rPr>
          <w:rFonts w:hint="eastAsia" w:eastAsia="仿宋"/>
          <w:sz w:val="24"/>
        </w:rPr>
        <w:t>内容</w:t>
      </w:r>
      <w:r>
        <w:rPr>
          <w:rFonts w:hint="eastAsia" w:ascii="宋体" w:hAnsi="宋体" w:eastAsia="仿宋"/>
          <w:sz w:val="24"/>
        </w:rPr>
        <w:t>做出响应。投标文件在满足招标文件实质性要求的基础上，可以提出比招标文件要求更有利于采购人的承诺。</w:t>
      </w:r>
    </w:p>
    <w:p w14:paraId="10B331CA">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3.7.3 投标人必须对其提交的资料的真实性负责，并接受采购人对其中任何资料进一步审查的要求。</w:t>
      </w:r>
    </w:p>
    <w:p w14:paraId="2AAEDD15">
      <w:pPr>
        <w:widowControl/>
        <w:adjustRightInd w:val="0"/>
        <w:snapToGrid w:val="0"/>
        <w:spacing w:line="360" w:lineRule="auto"/>
        <w:ind w:firstLine="480" w:firstLineChars="200"/>
        <w:rPr>
          <w:rFonts w:hint="eastAsia" w:ascii="宋体" w:hAnsi="宋体" w:eastAsia="仿宋"/>
          <w:sz w:val="24"/>
        </w:rPr>
      </w:pPr>
      <w:r>
        <w:rPr>
          <w:rFonts w:ascii="宋体" w:hAnsi="宋体" w:eastAsia="仿宋"/>
          <w:sz w:val="24"/>
        </w:rPr>
        <w:t>3.7.</w:t>
      </w:r>
      <w:r>
        <w:rPr>
          <w:rFonts w:hint="eastAsia" w:ascii="宋体" w:hAnsi="宋体" w:eastAsia="仿宋"/>
          <w:sz w:val="24"/>
        </w:rPr>
        <w:t>4投标文件的制作应满足以下规定：</w:t>
      </w:r>
    </w:p>
    <w:p w14:paraId="4AA99E2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1</w:t>
      </w:r>
      <w:r>
        <w:rPr>
          <w:rFonts w:hint="eastAsia" w:ascii="宋体" w:hAnsi="宋体" w:eastAsia="仿宋"/>
          <w:sz w:val="24"/>
        </w:rPr>
        <w:t>）投标文件由投标人使用</w:t>
      </w:r>
      <w:r>
        <w:rPr>
          <w:rFonts w:ascii="宋体" w:hAnsi="宋体" w:eastAsia="仿宋"/>
          <w:sz w:val="24"/>
        </w:rPr>
        <w:t>“</w:t>
      </w:r>
      <w:r>
        <w:rPr>
          <w:rFonts w:hint="eastAsia" w:ascii="宋体" w:hAnsi="宋体" w:eastAsia="仿宋"/>
          <w:sz w:val="24"/>
        </w:rPr>
        <w:t>电子交易平台</w:t>
      </w:r>
      <w:r>
        <w:rPr>
          <w:rFonts w:ascii="宋体" w:hAnsi="宋体" w:eastAsia="仿宋"/>
          <w:sz w:val="24"/>
        </w:rPr>
        <w:t>”</w:t>
      </w:r>
      <w:r>
        <w:rPr>
          <w:rFonts w:hint="eastAsia" w:ascii="宋体" w:hAnsi="宋体" w:eastAsia="仿宋"/>
          <w:sz w:val="24"/>
        </w:rPr>
        <w:t>自带的</w:t>
      </w:r>
      <w:r>
        <w:rPr>
          <w:rFonts w:ascii="宋体" w:hAnsi="宋体" w:eastAsia="仿宋"/>
          <w:sz w:val="24"/>
        </w:rPr>
        <w:t>“</w:t>
      </w:r>
      <w:r>
        <w:rPr>
          <w:rFonts w:hint="eastAsia" w:ascii="宋体" w:hAnsi="宋体" w:eastAsia="仿宋"/>
          <w:sz w:val="24"/>
        </w:rPr>
        <w:t>投标文件制作工具</w:t>
      </w:r>
      <w:r>
        <w:rPr>
          <w:rFonts w:ascii="宋体" w:hAnsi="宋体" w:eastAsia="仿宋"/>
          <w:sz w:val="24"/>
        </w:rPr>
        <w:t>”</w:t>
      </w:r>
      <w:r>
        <w:rPr>
          <w:rFonts w:hint="eastAsia" w:ascii="宋体" w:hAnsi="宋体" w:eastAsia="仿宋"/>
          <w:sz w:val="24"/>
        </w:rPr>
        <w:t>制作生成，详见投标人须知前附表规定。</w:t>
      </w:r>
    </w:p>
    <w:p w14:paraId="2B80ED1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w:t>
      </w:r>
      <w:r>
        <w:rPr>
          <w:rFonts w:ascii="宋体" w:hAnsi="宋体" w:eastAsia="仿宋"/>
          <w:sz w:val="24"/>
        </w:rPr>
        <w:t>2</w:t>
      </w:r>
      <w:r>
        <w:rPr>
          <w:rFonts w:hint="eastAsia" w:ascii="宋体" w:hAnsi="宋体" w:eastAsia="仿宋"/>
          <w:sz w:val="24"/>
        </w:rPr>
        <w:t>）投标人在编制投标文件时应建立分级目录，并按照标签提示导入相关内容。</w:t>
      </w:r>
    </w:p>
    <w:p w14:paraId="50D8D56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（3）除投标人须知前附表另有规定外，</w:t>
      </w:r>
      <w:r>
        <w:rPr>
          <w:rFonts w:ascii="宋体" w:hAnsi="宋体" w:eastAsia="仿宋"/>
          <w:sz w:val="24"/>
        </w:rPr>
        <w:t>投标文件</w:t>
      </w:r>
      <w:r>
        <w:rPr>
          <w:rFonts w:hint="eastAsia" w:ascii="宋体" w:hAnsi="宋体" w:eastAsia="仿宋"/>
          <w:sz w:val="24"/>
        </w:rPr>
        <w:t>中证明资料的</w:t>
      </w:r>
      <w:r>
        <w:rPr>
          <w:rFonts w:ascii="宋体" w:hAnsi="宋体" w:eastAsia="仿宋"/>
          <w:sz w:val="24"/>
        </w:rPr>
        <w:t>“</w:t>
      </w:r>
      <w:r>
        <w:rPr>
          <w:rFonts w:hint="eastAsia" w:ascii="宋体" w:hAnsi="宋体" w:eastAsia="仿宋"/>
          <w:sz w:val="24"/>
        </w:rPr>
        <w:t>复印件</w:t>
      </w:r>
      <w:r>
        <w:rPr>
          <w:rFonts w:ascii="宋体" w:hAnsi="宋体" w:eastAsia="仿宋"/>
          <w:sz w:val="24"/>
        </w:rPr>
        <w:t>”均为原件扫描件。</w:t>
      </w:r>
    </w:p>
    <w:p w14:paraId="4F9C66F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w:t>
      </w:r>
      <w:r>
        <w:rPr>
          <w:rFonts w:ascii="宋体" w:hAnsi="宋体" w:eastAsia="仿宋"/>
          <w:sz w:val="24"/>
        </w:rPr>
        <w:t>“</w:t>
      </w:r>
      <w:r>
        <w:rPr>
          <w:rFonts w:hint="eastAsia" w:ascii="宋体" w:hAnsi="宋体" w:eastAsia="仿宋"/>
          <w:sz w:val="24"/>
        </w:rPr>
        <w:t>投标文件格式</w:t>
      </w:r>
      <w:r>
        <w:rPr>
          <w:rFonts w:ascii="宋体" w:hAnsi="宋体" w:eastAsia="仿宋"/>
          <w:sz w:val="24"/>
        </w:rPr>
        <w:t>”</w:t>
      </w:r>
      <w:r>
        <w:rPr>
          <w:rFonts w:hint="eastAsia" w:ascii="宋体" w:hAnsi="宋体" w:eastAsia="仿宋"/>
          <w:sz w:val="24"/>
        </w:rPr>
        <w:t>中要求盖单位章和（或）签字的地方，投标人均应使用</w:t>
      </w:r>
      <w:r>
        <w:rPr>
          <w:rFonts w:ascii="宋体" w:hAnsi="宋体" w:eastAsia="仿宋"/>
          <w:sz w:val="24"/>
        </w:rPr>
        <w:t xml:space="preserve">CA </w:t>
      </w:r>
      <w:r>
        <w:rPr>
          <w:rFonts w:hint="eastAsia" w:ascii="宋体" w:hAnsi="宋体" w:eastAsia="仿宋"/>
          <w:sz w:val="24"/>
        </w:rPr>
        <w:t>数字证书加盖投标人的单位电子印章和（或）法定代表人的个人电子印章或电子签名章。联合体投标的，投标文件由联合体牵头人按上述规定加盖联合体牵头人单位电子印章和（或）法定代表人的个人电子印章或电子签名章。</w:t>
      </w:r>
    </w:p>
    <w:p w14:paraId="0D0B8DA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（5）投标文件制作完成后，投标人应使用</w:t>
      </w:r>
      <w:r>
        <w:rPr>
          <w:rFonts w:ascii="宋体" w:hAnsi="宋体" w:eastAsia="仿宋"/>
          <w:sz w:val="24"/>
        </w:rPr>
        <w:t xml:space="preserve">CA </w:t>
      </w:r>
      <w:r>
        <w:rPr>
          <w:rFonts w:hint="eastAsia" w:ascii="宋体" w:hAnsi="宋体" w:eastAsia="仿宋"/>
          <w:sz w:val="24"/>
        </w:rPr>
        <w:t>数字证书对投标文件进行文件加密，形成加密的投标文件、非加密的投标文件，以及打印形成的纸质投标文件，非加密的投标文件及纸质投标文件的份数和形式见投标人须知前附表规定。</w:t>
      </w:r>
    </w:p>
    <w:p w14:paraId="7E60054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（6）投标文件制作的具体方法详见</w:t>
      </w:r>
      <w:r>
        <w:rPr>
          <w:rFonts w:ascii="宋体" w:hAnsi="宋体" w:eastAsia="仿宋"/>
          <w:sz w:val="24"/>
        </w:rPr>
        <w:t>“</w:t>
      </w:r>
      <w:r>
        <w:rPr>
          <w:rFonts w:hint="eastAsia" w:ascii="宋体" w:hAnsi="宋体" w:eastAsia="仿宋"/>
          <w:sz w:val="24"/>
        </w:rPr>
        <w:t>投标文件制作工具</w:t>
      </w:r>
      <w:r>
        <w:rPr>
          <w:rFonts w:ascii="宋体" w:hAnsi="宋体" w:eastAsia="仿宋"/>
          <w:sz w:val="24"/>
        </w:rPr>
        <w:t>”</w:t>
      </w:r>
      <w:r>
        <w:rPr>
          <w:rFonts w:hint="eastAsia" w:ascii="宋体" w:hAnsi="宋体" w:eastAsia="仿宋"/>
          <w:sz w:val="24"/>
        </w:rPr>
        <w:t>中的帮助文档。</w:t>
      </w:r>
    </w:p>
    <w:p w14:paraId="6171C64D">
      <w:pPr>
        <w:widowControl/>
        <w:adjustRightInd w:val="0"/>
        <w:snapToGrid w:val="0"/>
        <w:spacing w:line="360" w:lineRule="auto"/>
        <w:ind w:firstLine="480" w:firstLineChars="200"/>
        <w:rPr>
          <w:rFonts w:hint="eastAsia" w:ascii="宋体" w:hAnsi="宋体" w:eastAsia="仿宋"/>
          <w:sz w:val="24"/>
        </w:rPr>
      </w:pPr>
      <w:r>
        <w:rPr>
          <w:rFonts w:ascii="宋体" w:hAnsi="宋体" w:eastAsia="仿宋"/>
          <w:sz w:val="24"/>
        </w:rPr>
        <w:t>3.7.</w:t>
      </w:r>
      <w:r>
        <w:rPr>
          <w:rFonts w:hint="eastAsia" w:ascii="宋体" w:hAnsi="宋体" w:eastAsia="仿宋"/>
          <w:sz w:val="24"/>
        </w:rPr>
        <w:t>5</w:t>
      </w:r>
      <w:r>
        <w:rPr>
          <w:rFonts w:ascii="宋体" w:hAnsi="宋体" w:eastAsia="仿宋"/>
          <w:sz w:val="24"/>
        </w:rPr>
        <w:t xml:space="preserve"> </w:t>
      </w:r>
      <w:r>
        <w:rPr>
          <w:rFonts w:hint="eastAsia" w:ascii="宋体" w:hAnsi="宋体" w:eastAsia="仿宋"/>
          <w:sz w:val="24"/>
        </w:rPr>
        <w:t>因投标人自身原因而导致投标文件无法导入</w:t>
      </w:r>
      <w:r>
        <w:rPr>
          <w:rFonts w:ascii="宋体" w:hAnsi="宋体" w:eastAsia="仿宋"/>
          <w:sz w:val="24"/>
        </w:rPr>
        <w:t>“</w:t>
      </w:r>
      <w:r>
        <w:rPr>
          <w:rFonts w:hint="eastAsia" w:ascii="宋体" w:hAnsi="宋体" w:eastAsia="仿宋"/>
          <w:sz w:val="24"/>
        </w:rPr>
        <w:t>电子交易平台</w:t>
      </w:r>
      <w:r>
        <w:rPr>
          <w:rFonts w:ascii="宋体" w:hAnsi="宋体" w:eastAsia="仿宋"/>
          <w:sz w:val="24"/>
        </w:rPr>
        <w:t>”</w:t>
      </w:r>
      <w:r>
        <w:rPr>
          <w:rFonts w:hint="eastAsia" w:ascii="宋体" w:hAnsi="宋体" w:eastAsia="仿宋"/>
          <w:sz w:val="24"/>
        </w:rPr>
        <w:t>电子开标、评标系统，该投标视为无效投标，投标人自行承担由此导致的全部责任。</w:t>
      </w:r>
    </w:p>
    <w:p w14:paraId="7A90B8B2">
      <w:pPr>
        <w:pStyle w:val="3"/>
        <w:rPr>
          <w:rStyle w:val="98"/>
          <w:rFonts w:ascii="宋体" w:hAnsi="宋体" w:eastAsia="仿宋"/>
          <w:b/>
          <w:bCs/>
          <w:sz w:val="24"/>
          <w:szCs w:val="24"/>
        </w:rPr>
      </w:pPr>
      <w:bookmarkStart w:id="406" w:name="_Toc371415943"/>
      <w:bookmarkStart w:id="407" w:name="_Toc458504842"/>
      <w:bookmarkStart w:id="408" w:name="_Toc333600709"/>
      <w:bookmarkStart w:id="409" w:name="_Toc455587058"/>
      <w:bookmarkStart w:id="410" w:name="_Toc333599685"/>
      <w:bookmarkStart w:id="411" w:name="_Toc342294740"/>
      <w:bookmarkStart w:id="412" w:name="_Toc466024524"/>
      <w:bookmarkStart w:id="413" w:name="_Toc342297645"/>
      <w:bookmarkStart w:id="414" w:name="_Toc445554715"/>
      <w:bookmarkStart w:id="415" w:name="_Toc152042331"/>
      <w:bookmarkStart w:id="416" w:name="_Toc152045555"/>
      <w:bookmarkStart w:id="417" w:name="_Toc144974523"/>
      <w:bookmarkStart w:id="418" w:name="_Toc338944631"/>
      <w:bookmarkStart w:id="419" w:name="_Toc342296188"/>
      <w:bookmarkStart w:id="420" w:name="_Toc455587242"/>
      <w:bookmarkStart w:id="421" w:name="_Toc338943726"/>
      <w:bookmarkStart w:id="422" w:name="_Toc179632573"/>
      <w:r>
        <w:rPr>
          <w:rStyle w:val="98"/>
          <w:rFonts w:hint="eastAsia" w:ascii="宋体" w:hAnsi="宋体" w:eastAsia="仿宋"/>
          <w:b/>
          <w:bCs/>
          <w:sz w:val="24"/>
          <w:szCs w:val="24"/>
        </w:rPr>
        <w:t>4. 投标</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71A62CCD">
      <w:pPr>
        <w:pStyle w:val="4"/>
        <w:adjustRightInd w:val="0"/>
        <w:ind w:firstLine="482" w:firstLineChars="200"/>
        <w:rPr>
          <w:rFonts w:hint="eastAsia" w:eastAsia="仿宋"/>
          <w:sz w:val="24"/>
          <w:lang w:eastAsia="zh-CN"/>
        </w:rPr>
      </w:pPr>
      <w:bookmarkStart w:id="423" w:name="_Toc333599686"/>
      <w:bookmarkStart w:id="424" w:name="_Toc333587880"/>
      <w:bookmarkStart w:id="425" w:name="_Toc152045556"/>
      <w:bookmarkStart w:id="426" w:name="_Toc144974524"/>
      <w:bookmarkStart w:id="427" w:name="_Toc333600710"/>
      <w:bookmarkStart w:id="428" w:name="_Toc152042332"/>
      <w:bookmarkStart w:id="429" w:name="_Toc179632574"/>
      <w:bookmarkStart w:id="430" w:name="_Toc371415944"/>
      <w:bookmarkStart w:id="431" w:name="_Toc342296189"/>
      <w:bookmarkStart w:id="432" w:name="_Toc338943727"/>
      <w:bookmarkStart w:id="433" w:name="_Toc455587059"/>
      <w:bookmarkStart w:id="434" w:name="_Toc466024525"/>
      <w:bookmarkStart w:id="435" w:name="_Toc338944632"/>
      <w:bookmarkStart w:id="436" w:name="_Toc455587243"/>
      <w:bookmarkStart w:id="437" w:name="_Toc445554716"/>
      <w:bookmarkStart w:id="438" w:name="_Toc342294741"/>
      <w:bookmarkStart w:id="439" w:name="_Toc342297646"/>
      <w:bookmarkStart w:id="440" w:name="_Toc458504843"/>
      <w:r>
        <w:rPr>
          <w:rFonts w:hint="eastAsia" w:eastAsia="仿宋"/>
          <w:sz w:val="24"/>
          <w:lang w:eastAsia="zh-CN"/>
        </w:rPr>
        <w:t>4.1 投标文件的密封和</w:t>
      </w:r>
      <w:bookmarkEnd w:id="423"/>
      <w:bookmarkEnd w:id="424"/>
      <w:bookmarkEnd w:id="425"/>
      <w:bookmarkEnd w:id="426"/>
      <w:bookmarkEnd w:id="427"/>
      <w:bookmarkEnd w:id="428"/>
      <w:bookmarkEnd w:id="429"/>
      <w:r>
        <w:rPr>
          <w:rFonts w:hint="eastAsia" w:eastAsia="仿宋"/>
          <w:sz w:val="24"/>
          <w:lang w:eastAsia="zh-CN"/>
        </w:rPr>
        <w:t>标识</w:t>
      </w:r>
      <w:bookmarkEnd w:id="430"/>
      <w:bookmarkEnd w:id="431"/>
      <w:bookmarkEnd w:id="432"/>
      <w:bookmarkEnd w:id="433"/>
      <w:bookmarkEnd w:id="434"/>
      <w:bookmarkEnd w:id="435"/>
      <w:bookmarkEnd w:id="436"/>
      <w:bookmarkEnd w:id="437"/>
      <w:bookmarkEnd w:id="438"/>
      <w:bookmarkEnd w:id="439"/>
      <w:bookmarkEnd w:id="440"/>
    </w:p>
    <w:p w14:paraId="4B408138">
      <w:pPr>
        <w:widowControl/>
        <w:adjustRightInd w:val="0"/>
        <w:snapToGrid w:val="0"/>
        <w:spacing w:line="360" w:lineRule="auto"/>
        <w:ind w:firstLine="480" w:firstLineChars="200"/>
        <w:rPr>
          <w:rFonts w:ascii="宋体" w:hAnsi="宋体" w:eastAsia="仿宋"/>
          <w:sz w:val="24"/>
        </w:rPr>
      </w:pPr>
      <w:r>
        <w:rPr>
          <w:rFonts w:ascii="宋体" w:hAnsi="宋体" w:eastAsia="仿宋"/>
          <w:sz w:val="24"/>
        </w:rPr>
        <w:t>4.1.1投标人应当按照招标文件和电子交易平台的要求加密投标文件，具体要求见投标人须知前附表。</w:t>
      </w:r>
    </w:p>
    <w:p w14:paraId="486A1AB9">
      <w:pPr>
        <w:widowControl/>
        <w:adjustRightInd w:val="0"/>
        <w:snapToGrid w:val="0"/>
        <w:spacing w:line="360" w:lineRule="auto"/>
        <w:ind w:firstLine="480" w:firstLineChars="200"/>
        <w:rPr>
          <w:rFonts w:ascii="宋体" w:hAnsi="宋体" w:eastAsia="仿宋"/>
          <w:sz w:val="24"/>
        </w:rPr>
      </w:pPr>
      <w:r>
        <w:rPr>
          <w:rFonts w:ascii="宋体" w:hAnsi="宋体" w:eastAsia="仿宋"/>
          <w:sz w:val="24"/>
        </w:rPr>
        <w:t>4.1.2 投标文件封套上应写明的内容见投标人须知前附表。</w:t>
      </w:r>
    </w:p>
    <w:p w14:paraId="1E8F6DF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4.1.3 如投标文件由专人送交，投标人应将投标文件按第4.1.1项-第4.1.2项的规定进行密封和标记后，按时送达指定地点。</w:t>
      </w:r>
    </w:p>
    <w:p w14:paraId="0E53551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4.1.4 如果投标文件通过邮寄等物流方式递交，投标人应将投标文件用内、外两层信封密封，并符合以下要求：</w:t>
      </w:r>
    </w:p>
    <w:p w14:paraId="44E4406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（1）内层信封的封装与标记同第4.1.1项-第4.1.2项规定。</w:t>
      </w:r>
    </w:p>
    <w:p w14:paraId="3E875E6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（2）外层信封注明招标编号、项目名称、采购代理机构收件人姓名、地址、邮政编码。同时应写明投标人的名称、地址、邮政编码、邮寄人，以便将迟交的投标文件原封退还。</w:t>
      </w:r>
    </w:p>
    <w:p w14:paraId="6294A1E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4.1.5 未按照上述要求加密的投标文件，电子交易平台将予以拒收。</w:t>
      </w:r>
    </w:p>
    <w:p w14:paraId="38E6DB0A">
      <w:pPr>
        <w:pStyle w:val="4"/>
        <w:adjustRightInd w:val="0"/>
        <w:ind w:firstLine="482" w:firstLineChars="200"/>
        <w:rPr>
          <w:rFonts w:eastAsia="仿宋"/>
          <w:sz w:val="24"/>
          <w:lang w:eastAsia="zh-CN"/>
        </w:rPr>
      </w:pPr>
      <w:bookmarkStart w:id="441" w:name="_Toc371415945"/>
      <w:bookmarkStart w:id="442" w:name="_Toc466024526"/>
      <w:bookmarkStart w:id="443" w:name="_Toc445554717"/>
      <w:bookmarkStart w:id="444" w:name="_Toc458504844"/>
      <w:bookmarkStart w:id="445" w:name="_Toc455587060"/>
      <w:bookmarkStart w:id="446" w:name="_Toc455587244"/>
      <w:r>
        <w:rPr>
          <w:rFonts w:hint="eastAsia" w:eastAsia="仿宋"/>
          <w:sz w:val="24"/>
          <w:lang w:eastAsia="zh-CN"/>
        </w:rPr>
        <w:t>4.2 投标文件的递交</w:t>
      </w:r>
      <w:bookmarkEnd w:id="441"/>
      <w:bookmarkEnd w:id="442"/>
      <w:bookmarkEnd w:id="443"/>
      <w:bookmarkEnd w:id="444"/>
      <w:bookmarkEnd w:id="445"/>
      <w:bookmarkEnd w:id="446"/>
    </w:p>
    <w:p w14:paraId="1AA22641">
      <w:pPr>
        <w:widowControl/>
        <w:adjustRightInd w:val="0"/>
        <w:snapToGrid w:val="0"/>
        <w:spacing w:line="360" w:lineRule="auto"/>
        <w:ind w:firstLine="480" w:firstLineChars="200"/>
        <w:rPr>
          <w:rFonts w:hint="eastAsia" w:eastAsia="仿宋"/>
          <w:sz w:val="24"/>
        </w:rPr>
      </w:pPr>
      <w:r>
        <w:rPr>
          <w:rFonts w:hint="eastAsia" w:ascii="宋体" w:hAnsi="宋体" w:eastAsia="仿宋"/>
          <w:sz w:val="24"/>
        </w:rPr>
        <w:t xml:space="preserve">4.2.1 </w:t>
      </w:r>
      <w:r>
        <w:rPr>
          <w:rFonts w:eastAsia="仿宋"/>
          <w:sz w:val="24"/>
        </w:rPr>
        <w:t>投标人应在投标人须知前附表规定的投标截止时间前递交投标文件。</w:t>
      </w:r>
    </w:p>
    <w:p w14:paraId="4606EADA">
      <w:pPr>
        <w:widowControl/>
        <w:adjustRightInd w:val="0"/>
        <w:snapToGrid w:val="0"/>
        <w:spacing w:line="360" w:lineRule="auto"/>
        <w:ind w:firstLine="480" w:firstLineChars="200"/>
        <w:rPr>
          <w:rFonts w:eastAsia="仿宋"/>
          <w:sz w:val="24"/>
        </w:rPr>
      </w:pPr>
      <w:r>
        <w:rPr>
          <w:rFonts w:hint="eastAsia" w:eastAsia="仿宋"/>
          <w:sz w:val="24"/>
        </w:rPr>
        <w:t>4.2.2 投标人应当通过电子交易平台递交投标文件。投标人应充分考虑上传文件时的不可预见因素，未在投标截止时间前完成上传的，视为逾期送达，采购人（</w:t>
      </w:r>
      <w:r>
        <w:rPr>
          <w:rFonts w:eastAsia="仿宋"/>
          <w:sz w:val="24"/>
        </w:rPr>
        <w:t>“</w:t>
      </w:r>
      <w:r>
        <w:rPr>
          <w:rFonts w:hint="eastAsia" w:eastAsia="仿宋"/>
          <w:sz w:val="24"/>
        </w:rPr>
        <w:t>电子交易平台</w:t>
      </w:r>
      <w:r>
        <w:rPr>
          <w:rFonts w:eastAsia="仿宋"/>
          <w:sz w:val="24"/>
        </w:rPr>
        <w:t>”</w:t>
      </w:r>
      <w:r>
        <w:rPr>
          <w:rFonts w:hint="eastAsia" w:eastAsia="仿宋"/>
          <w:sz w:val="24"/>
        </w:rPr>
        <w:t>）将拒绝接收。详见投标人须知前附表规定。</w:t>
      </w:r>
    </w:p>
    <w:p w14:paraId="75468956">
      <w:pPr>
        <w:widowControl/>
        <w:adjustRightInd w:val="0"/>
        <w:snapToGrid w:val="0"/>
        <w:spacing w:line="360" w:lineRule="auto"/>
        <w:ind w:firstLine="480" w:firstLineChars="200"/>
        <w:rPr>
          <w:rFonts w:eastAsia="仿宋"/>
          <w:sz w:val="24"/>
        </w:rPr>
      </w:pPr>
      <w:r>
        <w:rPr>
          <w:rFonts w:hint="eastAsia" w:eastAsia="仿宋"/>
          <w:sz w:val="24"/>
        </w:rPr>
        <w:t>4.2</w:t>
      </w:r>
      <w:r>
        <w:rPr>
          <w:rFonts w:eastAsia="仿宋"/>
          <w:sz w:val="24"/>
        </w:rPr>
        <w:t>.3</w:t>
      </w:r>
      <w:r>
        <w:rPr>
          <w:rFonts w:hint="eastAsia" w:eastAsia="仿宋"/>
          <w:sz w:val="24"/>
        </w:rPr>
        <w:t xml:space="preserve"> 除投标人须知前附表另有规定外，投标人所递交的投标文件不予退还。</w:t>
      </w:r>
    </w:p>
    <w:p w14:paraId="15257473">
      <w:pPr>
        <w:widowControl/>
        <w:adjustRightInd w:val="0"/>
        <w:snapToGrid w:val="0"/>
        <w:spacing w:line="360" w:lineRule="auto"/>
        <w:ind w:firstLine="480" w:firstLineChars="200"/>
        <w:rPr>
          <w:rFonts w:hint="eastAsia" w:ascii="宋体" w:hAnsi="宋体" w:eastAsia="仿宋"/>
          <w:sz w:val="24"/>
        </w:rPr>
      </w:pPr>
      <w:r>
        <w:rPr>
          <w:rFonts w:hint="eastAsia" w:eastAsia="仿宋"/>
          <w:sz w:val="24"/>
        </w:rPr>
        <w:t xml:space="preserve">4.2.4 </w:t>
      </w:r>
      <w:r>
        <w:rPr>
          <w:rFonts w:eastAsia="仿宋"/>
          <w:sz w:val="24"/>
        </w:rPr>
        <w:t>逾期送达的投标文件，电子交易平台将予以拒收。</w:t>
      </w:r>
    </w:p>
    <w:p w14:paraId="78D17F3E">
      <w:pPr>
        <w:pStyle w:val="4"/>
        <w:adjustRightInd w:val="0"/>
        <w:ind w:firstLine="482" w:firstLineChars="200"/>
        <w:rPr>
          <w:rFonts w:eastAsia="仿宋"/>
          <w:sz w:val="24"/>
          <w:lang w:eastAsia="zh-CN"/>
        </w:rPr>
      </w:pPr>
      <w:bookmarkStart w:id="447" w:name="_Toc333599688"/>
      <w:bookmarkStart w:id="448" w:name="_Toc338943729"/>
      <w:bookmarkStart w:id="449" w:name="_Toc458504845"/>
      <w:bookmarkStart w:id="450" w:name="_Toc445554718"/>
      <w:bookmarkStart w:id="451" w:name="_Toc466024527"/>
      <w:bookmarkStart w:id="452" w:name="_Toc333587882"/>
      <w:bookmarkStart w:id="453" w:name="_Toc152045558"/>
      <w:bookmarkStart w:id="454" w:name="_Toc342294743"/>
      <w:bookmarkStart w:id="455" w:name="_Toc455587061"/>
      <w:bookmarkStart w:id="456" w:name="_Toc371415946"/>
      <w:bookmarkStart w:id="457" w:name="_Toc152042334"/>
      <w:bookmarkStart w:id="458" w:name="_Toc342296191"/>
      <w:bookmarkStart w:id="459" w:name="_Toc333600712"/>
      <w:bookmarkStart w:id="460" w:name="_Toc338944634"/>
      <w:bookmarkStart w:id="461" w:name="_Toc455587245"/>
      <w:bookmarkStart w:id="462" w:name="_Toc144974526"/>
      <w:bookmarkStart w:id="463" w:name="_Toc179632576"/>
      <w:bookmarkStart w:id="464" w:name="_Toc342297648"/>
      <w:r>
        <w:rPr>
          <w:rFonts w:hint="eastAsia" w:eastAsia="仿宋"/>
          <w:sz w:val="24"/>
          <w:lang w:eastAsia="zh-CN"/>
        </w:rPr>
        <w:t>4.3 投标文件的修改与撤回</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614D49">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4.3</w:t>
      </w:r>
      <w:r>
        <w:rPr>
          <w:rFonts w:ascii="宋体" w:hAnsi="宋体" w:eastAsia="仿宋"/>
          <w:sz w:val="24"/>
        </w:rPr>
        <w:t>.1</w:t>
      </w:r>
      <w:r>
        <w:rPr>
          <w:rFonts w:hint="eastAsia" w:ascii="宋体" w:hAnsi="宋体" w:eastAsia="仿宋"/>
          <w:sz w:val="24"/>
        </w:rPr>
        <w:t xml:space="preserve"> 在规定的投标截止时间前，投标人可以补充、修改或撤回已递交的投标文件，但应以书面形式通知采购人。</w:t>
      </w:r>
    </w:p>
    <w:p w14:paraId="11258FB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4.3.2 投标人修改或撤回已递交投标文件的通知，应按照本章第3.7.4（B）项的要求加盖电子印章。电子交易平台收到通知后，即时向投标人发出确认回执通知。</w:t>
      </w:r>
    </w:p>
    <w:p w14:paraId="117BE04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4.3.3 投标人撤回投标文件的，</w:t>
      </w:r>
      <w:r>
        <w:rPr>
          <w:rFonts w:hint="eastAsia" w:eastAsia="仿宋"/>
          <w:sz w:val="24"/>
        </w:rPr>
        <w:t>采购</w:t>
      </w:r>
      <w:r>
        <w:rPr>
          <w:rFonts w:hint="eastAsia" w:ascii="宋体" w:hAnsi="宋体" w:eastAsia="仿宋"/>
          <w:sz w:val="24"/>
        </w:rPr>
        <w:t>人自收到投标人书面撤回通知之日起5日内退还已收取的投标保证金。</w:t>
      </w:r>
    </w:p>
    <w:p w14:paraId="26C0C757">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4.3.4 补充、修改的内容为投标文件的组成部分，只需提供一份。补充、修改的投标文件应按照本章第3条、第4条的规定进行编制、密封、标记和递交，并标明“补充”或“修改”字样。</w:t>
      </w:r>
    </w:p>
    <w:p w14:paraId="42D6F58A">
      <w:pPr>
        <w:pStyle w:val="3"/>
        <w:rPr>
          <w:rFonts w:eastAsia="仿宋"/>
          <w:sz w:val="24"/>
        </w:rPr>
      </w:pPr>
      <w:bookmarkStart w:id="465" w:name="_Toc338944635"/>
      <w:bookmarkStart w:id="466" w:name="_Toc152045559"/>
      <w:bookmarkStart w:id="467" w:name="_Toc342294744"/>
      <w:bookmarkStart w:id="468" w:name="_Toc455587246"/>
      <w:bookmarkStart w:id="469" w:name="_Toc144974527"/>
      <w:bookmarkStart w:id="470" w:name="_Toc466024528"/>
      <w:bookmarkStart w:id="471" w:name="_Toc338943730"/>
      <w:bookmarkStart w:id="472" w:name="_Toc455587062"/>
      <w:bookmarkStart w:id="473" w:name="_Toc333599689"/>
      <w:bookmarkStart w:id="474" w:name="_Toc445554719"/>
      <w:bookmarkStart w:id="475" w:name="_Toc371415947"/>
      <w:bookmarkStart w:id="476" w:name="_Toc342297649"/>
      <w:bookmarkStart w:id="477" w:name="_Toc458504846"/>
      <w:bookmarkStart w:id="478" w:name="_Toc333600713"/>
      <w:bookmarkStart w:id="479" w:name="_Toc179632577"/>
      <w:bookmarkStart w:id="480" w:name="_Toc342296192"/>
      <w:bookmarkStart w:id="481" w:name="_Toc152042335"/>
      <w:r>
        <w:rPr>
          <w:rStyle w:val="98"/>
          <w:rFonts w:hint="eastAsia" w:ascii="宋体" w:hAnsi="宋体" w:eastAsia="仿宋"/>
          <w:b/>
          <w:bCs/>
          <w:sz w:val="24"/>
          <w:szCs w:val="24"/>
        </w:rPr>
        <w:t>5. 开标</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10045275">
      <w:pPr>
        <w:pStyle w:val="4"/>
        <w:adjustRightInd w:val="0"/>
        <w:ind w:firstLine="482" w:firstLineChars="200"/>
        <w:rPr>
          <w:rFonts w:eastAsia="仿宋"/>
          <w:sz w:val="24"/>
          <w:lang w:eastAsia="zh-CN"/>
        </w:rPr>
      </w:pPr>
      <w:r>
        <w:rPr>
          <w:rFonts w:hint="eastAsia" w:eastAsia="仿宋"/>
          <w:sz w:val="24"/>
          <w:lang w:eastAsia="zh-CN"/>
        </w:rPr>
        <w:t>5.1 开标时间和地点</w:t>
      </w:r>
    </w:p>
    <w:p w14:paraId="2F18D71C">
      <w:pPr>
        <w:widowControl/>
        <w:adjustRightInd w:val="0"/>
        <w:snapToGrid w:val="0"/>
        <w:spacing w:line="360" w:lineRule="auto"/>
        <w:ind w:firstLine="480" w:firstLineChars="200"/>
        <w:rPr>
          <w:rFonts w:eastAsia="仿宋"/>
          <w:sz w:val="24"/>
        </w:rPr>
      </w:pPr>
      <w:r>
        <w:rPr>
          <w:rFonts w:hint="eastAsia" w:eastAsia="仿宋"/>
          <w:sz w:val="24"/>
        </w:rPr>
        <w:t>采购</w:t>
      </w:r>
      <w:r>
        <w:rPr>
          <w:rFonts w:eastAsia="仿宋"/>
          <w:sz w:val="24"/>
        </w:rPr>
        <w:t>人在本章第4.2.1项规定的投标截止时间（开标时间）</w:t>
      </w:r>
      <w:r>
        <w:rPr>
          <w:rFonts w:hint="eastAsia" w:eastAsia="仿宋"/>
          <w:sz w:val="24"/>
        </w:rPr>
        <w:t>，</w:t>
      </w:r>
      <w:r>
        <w:rPr>
          <w:rFonts w:eastAsia="仿宋"/>
          <w:sz w:val="24"/>
        </w:rPr>
        <w:t>通过电子招标投标交易平台公开开标，所有投标人的法定代表人</w:t>
      </w:r>
      <w:r>
        <w:rPr>
          <w:rFonts w:hint="eastAsia" w:eastAsia="仿宋"/>
          <w:sz w:val="24"/>
        </w:rPr>
        <w:t>（单位负责人）</w:t>
      </w:r>
      <w:r>
        <w:rPr>
          <w:rFonts w:eastAsia="仿宋"/>
          <w:sz w:val="24"/>
        </w:rPr>
        <w:t>或其委托代理人应当准时参加。</w:t>
      </w:r>
    </w:p>
    <w:p w14:paraId="3567C1F7">
      <w:pPr>
        <w:pStyle w:val="4"/>
        <w:adjustRightInd w:val="0"/>
        <w:ind w:firstLine="482" w:firstLineChars="200"/>
        <w:rPr>
          <w:rFonts w:hint="eastAsia" w:eastAsia="仿宋"/>
          <w:sz w:val="24"/>
          <w:lang w:eastAsia="zh-CN"/>
        </w:rPr>
      </w:pPr>
      <w:r>
        <w:rPr>
          <w:rFonts w:hint="eastAsia" w:eastAsia="仿宋"/>
          <w:sz w:val="24"/>
          <w:lang w:eastAsia="zh-CN"/>
        </w:rPr>
        <w:t>5.2 开标程序</w:t>
      </w:r>
    </w:p>
    <w:p w14:paraId="4C29164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主持人按下列程序进行开标：</w:t>
      </w:r>
    </w:p>
    <w:p w14:paraId="3B2E0C48">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1</w:t>
      </w:r>
      <w:r>
        <w:rPr>
          <w:rFonts w:hint="eastAsia" w:ascii="宋体" w:hAnsi="宋体" w:eastAsia="仿宋"/>
          <w:sz w:val="24"/>
        </w:rPr>
        <w:t>）宣布开标纪律；</w:t>
      </w:r>
    </w:p>
    <w:p w14:paraId="41DABD0B">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2</w:t>
      </w:r>
      <w:r>
        <w:rPr>
          <w:rFonts w:hint="eastAsia" w:ascii="宋体" w:hAnsi="宋体" w:eastAsia="仿宋"/>
          <w:sz w:val="24"/>
        </w:rPr>
        <w:t>）公布在投标截止时间前递交投标文件的投标人名称；</w:t>
      </w:r>
    </w:p>
    <w:p w14:paraId="4BB125F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w:t>
      </w:r>
      <w:r>
        <w:rPr>
          <w:rFonts w:ascii="宋体" w:hAnsi="宋体" w:eastAsia="仿宋"/>
          <w:sz w:val="24"/>
        </w:rPr>
        <w:t>3</w:t>
      </w:r>
      <w:r>
        <w:rPr>
          <w:rFonts w:hint="eastAsia" w:ascii="宋体" w:hAnsi="宋体" w:eastAsia="仿宋"/>
          <w:sz w:val="24"/>
        </w:rPr>
        <w:t>）宣布开标人、唱标人、记录人等有关人员姓名；</w:t>
      </w:r>
    </w:p>
    <w:p w14:paraId="6800AA8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（4）除投标人须知前附表另有规定外，投标人通过电子招标投标交易平台对已递交的电子投标文件进行解密，公布招标项目名称、投标人名称、投标报价及其他内容，并记录在案；</w:t>
      </w:r>
    </w:p>
    <w:p w14:paraId="195B8DC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（5）开标结束。</w:t>
      </w:r>
    </w:p>
    <w:p w14:paraId="37D92DA7">
      <w:pPr>
        <w:pStyle w:val="4"/>
        <w:adjustRightInd w:val="0"/>
        <w:ind w:firstLine="482" w:firstLineChars="200"/>
        <w:rPr>
          <w:rFonts w:hint="eastAsia" w:eastAsia="仿宋"/>
          <w:sz w:val="24"/>
          <w:lang w:eastAsia="zh-CN"/>
        </w:rPr>
      </w:pPr>
      <w:r>
        <w:rPr>
          <w:rFonts w:hint="eastAsia" w:eastAsia="仿宋"/>
          <w:sz w:val="24"/>
          <w:lang w:eastAsia="zh-CN"/>
        </w:rPr>
        <w:t>5.3 开标疑义</w:t>
      </w:r>
    </w:p>
    <w:p w14:paraId="754B7B5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1CDAA71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投标人未参加开标的，视同认可开标结果。</w:t>
      </w:r>
    </w:p>
    <w:p w14:paraId="64C11355">
      <w:pPr>
        <w:pStyle w:val="3"/>
        <w:rPr>
          <w:rStyle w:val="98"/>
          <w:rFonts w:hint="eastAsia" w:ascii="宋体" w:hAnsi="宋体" w:eastAsia="仿宋"/>
          <w:b/>
          <w:bCs/>
          <w:sz w:val="24"/>
          <w:szCs w:val="24"/>
        </w:rPr>
      </w:pPr>
      <w:bookmarkStart w:id="482" w:name="_Toc338944638"/>
      <w:bookmarkStart w:id="483" w:name="_Toc333599692"/>
      <w:bookmarkStart w:id="484" w:name="_Toc144974530"/>
      <w:bookmarkStart w:id="485" w:name="_Toc152042338"/>
      <w:bookmarkStart w:id="486" w:name="_Toc371415950"/>
      <w:bookmarkStart w:id="487" w:name="_Toc455587250"/>
      <w:bookmarkStart w:id="488" w:name="_Toc342296195"/>
      <w:bookmarkStart w:id="489" w:name="_Toc455587066"/>
      <w:bookmarkStart w:id="490" w:name="_Toc342297652"/>
      <w:bookmarkStart w:id="491" w:name="_Toc333600716"/>
      <w:bookmarkStart w:id="492" w:name="_Toc466024531"/>
      <w:bookmarkStart w:id="493" w:name="_Toc445554723"/>
      <w:bookmarkStart w:id="494" w:name="_Toc152045562"/>
      <w:bookmarkStart w:id="495" w:name="_Toc338943733"/>
      <w:bookmarkStart w:id="496" w:name="_Toc179632580"/>
      <w:bookmarkStart w:id="497" w:name="_Toc342294747"/>
      <w:bookmarkStart w:id="498" w:name="_Toc458504849"/>
      <w:r>
        <w:rPr>
          <w:rStyle w:val="98"/>
          <w:rFonts w:hint="eastAsia" w:ascii="宋体" w:hAnsi="宋体" w:eastAsia="仿宋"/>
          <w:b/>
          <w:bCs/>
          <w:sz w:val="24"/>
          <w:szCs w:val="24"/>
        </w:rPr>
        <w:t>6. 评标</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405E75F7">
      <w:pPr>
        <w:pStyle w:val="4"/>
        <w:adjustRightInd w:val="0"/>
        <w:ind w:firstLine="482" w:firstLineChars="200"/>
        <w:rPr>
          <w:rFonts w:eastAsia="仿宋"/>
          <w:sz w:val="24"/>
          <w:lang w:eastAsia="zh-CN"/>
        </w:rPr>
      </w:pPr>
      <w:bookmarkStart w:id="499" w:name="_Toc455587067"/>
      <w:bookmarkStart w:id="500" w:name="_Toc458504850"/>
      <w:bookmarkStart w:id="501" w:name="_Toc371415951"/>
      <w:bookmarkStart w:id="502" w:name="_Toc338943734"/>
      <w:bookmarkStart w:id="503" w:name="_Toc152045563"/>
      <w:bookmarkStart w:id="504" w:name="_Toc144974531"/>
      <w:bookmarkStart w:id="505" w:name="_Toc342297653"/>
      <w:bookmarkStart w:id="506" w:name="_Toc333600717"/>
      <w:bookmarkStart w:id="507" w:name="_Toc455587251"/>
      <w:bookmarkStart w:id="508" w:name="_Toc152042339"/>
      <w:bookmarkStart w:id="509" w:name="_Toc342296196"/>
      <w:bookmarkStart w:id="510" w:name="_Toc179632581"/>
      <w:bookmarkStart w:id="511" w:name="_Toc445554724"/>
      <w:bookmarkStart w:id="512" w:name="_Toc333599693"/>
      <w:bookmarkStart w:id="513" w:name="_Toc342294748"/>
      <w:bookmarkStart w:id="514" w:name="_Toc333587887"/>
      <w:bookmarkStart w:id="515" w:name="_Toc338944639"/>
      <w:bookmarkStart w:id="516" w:name="_Toc466024532"/>
      <w:r>
        <w:rPr>
          <w:rFonts w:hint="eastAsia" w:eastAsia="仿宋"/>
          <w:sz w:val="24"/>
          <w:lang w:eastAsia="zh-CN"/>
        </w:rPr>
        <w:t>6.1 评标委员会</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0B2481B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6.1</w:t>
      </w:r>
      <w:r>
        <w:rPr>
          <w:rFonts w:ascii="宋体" w:hAnsi="宋体" w:eastAsia="仿宋"/>
          <w:sz w:val="24"/>
        </w:rPr>
        <w:t>.1</w:t>
      </w:r>
      <w:r>
        <w:rPr>
          <w:rFonts w:hint="eastAsia" w:ascii="宋体" w:hAnsi="宋体" w:eastAsia="仿宋"/>
          <w:sz w:val="24"/>
        </w:rPr>
        <w:t xml:space="preserve"> 评标由采购人依法组建的评标委员会负责。评标委员会由采购人代表和评审专家组成。评审专家的确定方式见投标人须知前附表。</w:t>
      </w:r>
    </w:p>
    <w:p w14:paraId="7ECFBD25">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6.1</w:t>
      </w:r>
      <w:r>
        <w:rPr>
          <w:rFonts w:ascii="宋体" w:hAnsi="宋体" w:eastAsia="仿宋"/>
          <w:sz w:val="24"/>
        </w:rPr>
        <w:t>.2</w:t>
      </w:r>
      <w:r>
        <w:rPr>
          <w:rFonts w:hint="eastAsia" w:ascii="宋体" w:hAnsi="宋体" w:eastAsia="仿宋"/>
          <w:sz w:val="24"/>
        </w:rPr>
        <w:t xml:space="preserve"> 评标委员会成员有下列情形之一的，应当回避：</w:t>
      </w:r>
    </w:p>
    <w:p w14:paraId="54E5296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（1）参加采购活动前三年内，与投标人存在劳动关系，或者担任过投标人的董事、监事，或者是投标人的控股股东或实际控制人；</w:t>
      </w:r>
    </w:p>
    <w:p w14:paraId="7454D7D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（2）与投标人的法定代表人或者负责人有夫妻、直系血亲、三代以内旁系血亲或者近姻亲关系；</w:t>
      </w:r>
    </w:p>
    <w:p w14:paraId="2878A4A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（3）参与本项目进口产品论证的专家；</w:t>
      </w:r>
    </w:p>
    <w:p w14:paraId="4FD8AC2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（4）与投标人有其他可能影响政府采购活动公平、公正进行的关系。</w:t>
      </w:r>
    </w:p>
    <w:p w14:paraId="6BFD699B">
      <w:pPr>
        <w:widowControl/>
        <w:topLinePunct/>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6.1.3 评标过程中，评标委员会成员有回避事由、擅离职守或者因健康等原因不能继续评标的，采购人有权更换。被更换的评标委员会成员作出的评审结论无效，由更换后的评标委员会成员重新进行评审。</w:t>
      </w:r>
    </w:p>
    <w:p w14:paraId="031A1F53">
      <w:pPr>
        <w:pStyle w:val="4"/>
        <w:adjustRightInd w:val="0"/>
        <w:ind w:firstLine="482" w:firstLineChars="200"/>
        <w:rPr>
          <w:rFonts w:hint="eastAsia" w:eastAsia="方正仿宋_GB2312"/>
          <w:i/>
          <w:sz w:val="24"/>
          <w:lang w:eastAsia="zh-CN"/>
        </w:rPr>
      </w:pPr>
      <w:bookmarkStart w:id="517" w:name="_Toc333587888"/>
      <w:bookmarkStart w:id="518" w:name="_Toc455587068"/>
      <w:bookmarkStart w:id="519" w:name="_Toc152045564"/>
      <w:bookmarkStart w:id="520" w:name="_Toc455587252"/>
      <w:bookmarkStart w:id="521" w:name="_Toc338944640"/>
      <w:bookmarkStart w:id="522" w:name="_Toc152042340"/>
      <w:bookmarkStart w:id="523" w:name="_Toc179632582"/>
      <w:bookmarkStart w:id="524" w:name="_Toc333599694"/>
      <w:bookmarkStart w:id="525" w:name="_Toc333600718"/>
      <w:bookmarkStart w:id="526" w:name="_Toc342296197"/>
      <w:bookmarkStart w:id="527" w:name="_Toc371415952"/>
      <w:bookmarkStart w:id="528" w:name="_Toc144974532"/>
      <w:bookmarkStart w:id="529" w:name="_Toc466024533"/>
      <w:bookmarkStart w:id="530" w:name="_Toc342294749"/>
      <w:bookmarkStart w:id="531" w:name="_Toc338943735"/>
      <w:bookmarkStart w:id="532" w:name="_Toc458504851"/>
      <w:bookmarkStart w:id="533" w:name="_Toc445554725"/>
      <w:bookmarkStart w:id="534" w:name="_Toc342297654"/>
      <w:r>
        <w:rPr>
          <w:rFonts w:hint="eastAsia" w:eastAsia="仿宋"/>
          <w:sz w:val="24"/>
          <w:lang w:eastAsia="zh-CN"/>
        </w:rPr>
        <w:t>6.2 评标原则</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632F920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评标委员会应该按照客观、公正、审慎的原则，根据招标文件规定的评审程序、评审方法和评审标准进行独立评审。</w:t>
      </w:r>
    </w:p>
    <w:p w14:paraId="075CC904">
      <w:pPr>
        <w:pStyle w:val="4"/>
        <w:adjustRightInd w:val="0"/>
        <w:ind w:firstLine="482" w:firstLineChars="200"/>
        <w:rPr>
          <w:rFonts w:eastAsia="仿宋"/>
          <w:sz w:val="24"/>
          <w:lang w:eastAsia="zh-CN"/>
        </w:rPr>
      </w:pPr>
      <w:bookmarkStart w:id="535" w:name="_Toc342296198"/>
      <w:bookmarkStart w:id="536" w:name="_Toc445554726"/>
      <w:bookmarkStart w:id="537" w:name="_Toc152042341"/>
      <w:bookmarkStart w:id="538" w:name="_Toc371415953"/>
      <w:bookmarkStart w:id="539" w:name="_Toc179632583"/>
      <w:bookmarkStart w:id="540" w:name="_Toc458504852"/>
      <w:bookmarkStart w:id="541" w:name="_Toc342294750"/>
      <w:bookmarkStart w:id="542" w:name="_Toc333587889"/>
      <w:bookmarkStart w:id="543" w:name="_Toc455587253"/>
      <w:bookmarkStart w:id="544" w:name="_Toc144974533"/>
      <w:bookmarkStart w:id="545" w:name="_Toc338943736"/>
      <w:bookmarkStart w:id="546" w:name="_Toc342297655"/>
      <w:bookmarkStart w:id="547" w:name="_Toc152045565"/>
      <w:bookmarkStart w:id="548" w:name="_Toc455587069"/>
      <w:bookmarkStart w:id="549" w:name="_Toc338944641"/>
      <w:bookmarkStart w:id="550" w:name="_Toc466024534"/>
      <w:bookmarkStart w:id="551" w:name="_Toc333600719"/>
      <w:bookmarkStart w:id="552" w:name="_Toc333599695"/>
      <w:r>
        <w:rPr>
          <w:rFonts w:hint="eastAsia" w:eastAsia="仿宋"/>
          <w:sz w:val="24"/>
          <w:lang w:eastAsia="zh-CN"/>
        </w:rPr>
        <w:t>6.3 评标</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43DB20B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6.3.1 评标委员会按照招标文件第四章“资格审查和评标办法”规定的方法、评审因素、标准和程序对投标文件进行评审。“评标办法”没有规定的方法、评审因素和标准，不作为评标依据。</w:t>
      </w:r>
      <w:bookmarkStart w:id="553" w:name="_Toc338943737"/>
      <w:bookmarkStart w:id="554" w:name="_Toc342297656"/>
      <w:bookmarkStart w:id="555" w:name="_Toc342296199"/>
      <w:bookmarkStart w:id="556" w:name="_Toc179632584"/>
      <w:bookmarkStart w:id="557" w:name="_Toc342294751"/>
      <w:bookmarkStart w:id="558" w:name="_Toc144974534"/>
      <w:bookmarkStart w:id="559" w:name="_Toc333600720"/>
      <w:bookmarkStart w:id="560" w:name="_Toc338944642"/>
      <w:bookmarkStart w:id="561" w:name="_Toc152045566"/>
      <w:bookmarkStart w:id="562" w:name="_Toc333599696"/>
      <w:bookmarkStart w:id="563" w:name="_Toc152042342"/>
    </w:p>
    <w:p w14:paraId="3E39CBB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 xml:space="preserve">6.3.2 </w:t>
      </w:r>
      <w:r>
        <w:rPr>
          <w:rFonts w:ascii="宋体" w:hAnsi="宋体" w:eastAsia="仿宋"/>
          <w:sz w:val="24"/>
        </w:rPr>
        <w:t>评标完成后，评标委员会应当向</w:t>
      </w:r>
      <w:r>
        <w:rPr>
          <w:rFonts w:hint="eastAsia" w:eastAsia="仿宋"/>
          <w:sz w:val="24"/>
        </w:rPr>
        <w:t>采购</w:t>
      </w:r>
      <w:r>
        <w:rPr>
          <w:rFonts w:ascii="宋体" w:hAnsi="宋体" w:eastAsia="仿宋"/>
          <w:sz w:val="24"/>
        </w:rPr>
        <w:t>人提交书面评标报告和中标候选人名单。评标委员会推荐中标</w:t>
      </w:r>
      <w:bookmarkStart w:id="564" w:name="_Toc247527583"/>
      <w:bookmarkStart w:id="565" w:name="_Toc12259"/>
      <w:bookmarkStart w:id="566" w:name="_Toc384308240"/>
      <w:bookmarkStart w:id="567" w:name="_Toc369531546"/>
      <w:bookmarkStart w:id="568" w:name="_Toc352691502"/>
      <w:bookmarkStart w:id="569" w:name="_Toc361508615"/>
      <w:bookmarkStart w:id="570" w:name="_Toc300834979"/>
      <w:bookmarkStart w:id="571" w:name="_Toc247513982"/>
      <w:r>
        <w:rPr>
          <w:rFonts w:ascii="宋体" w:hAnsi="宋体" w:eastAsia="仿宋"/>
          <w:sz w:val="24"/>
        </w:rPr>
        <w:t>候选人的人数见投标人须知前附</w:t>
      </w:r>
      <w:bookmarkEnd w:id="564"/>
      <w:bookmarkEnd w:id="565"/>
      <w:bookmarkEnd w:id="566"/>
      <w:bookmarkEnd w:id="567"/>
      <w:bookmarkEnd w:id="568"/>
      <w:bookmarkEnd w:id="569"/>
      <w:bookmarkEnd w:id="570"/>
      <w:bookmarkEnd w:id="571"/>
      <w:r>
        <w:rPr>
          <w:rFonts w:ascii="宋体" w:hAnsi="宋体" w:eastAsia="仿宋"/>
          <w:sz w:val="24"/>
        </w:rPr>
        <w:t>表。</w:t>
      </w:r>
    </w:p>
    <w:p w14:paraId="56809DE6">
      <w:pPr>
        <w:pStyle w:val="3"/>
        <w:rPr>
          <w:rStyle w:val="98"/>
          <w:rFonts w:hint="eastAsia" w:ascii="宋体" w:hAnsi="宋体" w:eastAsia="仿宋"/>
          <w:b/>
          <w:bCs/>
          <w:sz w:val="24"/>
          <w:szCs w:val="24"/>
        </w:rPr>
      </w:pPr>
      <w:bookmarkStart w:id="572" w:name="_Toc455587254"/>
      <w:bookmarkStart w:id="573" w:name="_Toc458504853"/>
      <w:bookmarkStart w:id="574" w:name="_Toc455587070"/>
      <w:bookmarkStart w:id="575" w:name="_Toc445554727"/>
      <w:bookmarkStart w:id="576" w:name="_Toc466024535"/>
      <w:bookmarkStart w:id="577" w:name="_Toc371415954"/>
      <w:r>
        <w:rPr>
          <w:rStyle w:val="98"/>
          <w:rFonts w:hint="eastAsia" w:ascii="宋体" w:hAnsi="宋体" w:eastAsia="仿宋"/>
          <w:b/>
          <w:bCs/>
          <w:sz w:val="24"/>
          <w:szCs w:val="24"/>
        </w:rPr>
        <w:t>7. 合同授予</w:t>
      </w:r>
      <w:bookmarkEnd w:id="553"/>
      <w:bookmarkEnd w:id="554"/>
      <w:bookmarkEnd w:id="555"/>
      <w:bookmarkEnd w:id="556"/>
      <w:bookmarkEnd w:id="557"/>
      <w:bookmarkEnd w:id="558"/>
      <w:bookmarkEnd w:id="559"/>
      <w:bookmarkEnd w:id="560"/>
      <w:bookmarkEnd w:id="561"/>
      <w:bookmarkEnd w:id="562"/>
      <w:bookmarkEnd w:id="563"/>
      <w:bookmarkEnd w:id="572"/>
      <w:bookmarkEnd w:id="573"/>
      <w:bookmarkEnd w:id="574"/>
      <w:bookmarkEnd w:id="575"/>
      <w:bookmarkEnd w:id="576"/>
      <w:bookmarkEnd w:id="577"/>
    </w:p>
    <w:p w14:paraId="20784DDC">
      <w:pPr>
        <w:pStyle w:val="4"/>
        <w:adjustRightInd w:val="0"/>
        <w:ind w:firstLine="482" w:firstLineChars="200"/>
        <w:rPr>
          <w:rFonts w:eastAsia="仿宋"/>
          <w:sz w:val="24"/>
          <w:lang w:eastAsia="zh-CN"/>
        </w:rPr>
      </w:pPr>
      <w:bookmarkStart w:id="578" w:name="_Toc371415955"/>
      <w:bookmarkStart w:id="579" w:name="_Toc458504854"/>
      <w:bookmarkStart w:id="580" w:name="_Toc445554728"/>
      <w:bookmarkStart w:id="581" w:name="_Toc466024536"/>
      <w:bookmarkStart w:id="582" w:name="_Toc362252685"/>
      <w:bookmarkStart w:id="583" w:name="_Toc349730879"/>
      <w:bookmarkStart w:id="584" w:name="_Toc455587255"/>
      <w:bookmarkStart w:id="585" w:name="_Toc455587071"/>
      <w:bookmarkStart w:id="586" w:name="_Toc338943738"/>
      <w:bookmarkStart w:id="587" w:name="_Toc342296200"/>
      <w:bookmarkStart w:id="588" w:name="_Toc333600721"/>
      <w:bookmarkStart w:id="589" w:name="_Toc152042343"/>
      <w:bookmarkStart w:id="590" w:name="_Toc152045567"/>
      <w:bookmarkStart w:id="591" w:name="_Toc179632585"/>
      <w:bookmarkStart w:id="592" w:name="_Toc342297657"/>
      <w:bookmarkStart w:id="593" w:name="_Toc333599697"/>
      <w:bookmarkStart w:id="594" w:name="_Toc144974535"/>
      <w:bookmarkStart w:id="595" w:name="_Toc342294752"/>
      <w:bookmarkStart w:id="596" w:name="_Toc333587891"/>
      <w:bookmarkStart w:id="597" w:name="_Toc338944643"/>
      <w:r>
        <w:rPr>
          <w:rFonts w:hint="eastAsia" w:eastAsia="仿宋"/>
          <w:sz w:val="24"/>
          <w:lang w:eastAsia="zh-CN"/>
        </w:rPr>
        <w:t>7.1</w:t>
      </w:r>
      <w:bookmarkEnd w:id="578"/>
      <w:bookmarkEnd w:id="579"/>
      <w:bookmarkEnd w:id="580"/>
      <w:bookmarkEnd w:id="581"/>
      <w:bookmarkEnd w:id="582"/>
      <w:bookmarkEnd w:id="583"/>
      <w:bookmarkEnd w:id="584"/>
      <w:bookmarkEnd w:id="585"/>
      <w:r>
        <w:rPr>
          <w:rFonts w:hint="eastAsia" w:eastAsia="仿宋"/>
          <w:sz w:val="24"/>
          <w:lang w:eastAsia="zh-CN"/>
        </w:rPr>
        <w:t xml:space="preserve"> 确定中标人</w:t>
      </w:r>
    </w:p>
    <w:p w14:paraId="236409B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7.1.1 按照投标人须知前附表规定，采购人或采购人委托的评标委员</w:t>
      </w:r>
      <w:r>
        <w:rPr>
          <w:rFonts w:hint="eastAsia" w:ascii="宋体" w:hAnsi="宋体" w:eastAsia="仿宋" w:cs="宋体"/>
          <w:kern w:val="0"/>
          <w:sz w:val="24"/>
        </w:rPr>
        <w:t>在评标报告确定的中标候选人名单中按顺序确定中标人。中标候选人并列的，由采购人或者采购人委托评标委员会按照招标文件规定的方式确定中标人；招标文件未规定的，采取随机抽取的方式确定。</w:t>
      </w:r>
    </w:p>
    <w:p w14:paraId="083FE93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7.1.2 采购人确定中标人后，按投标人须知前附表规定的公告中标结果，公告内容和期限符合投标人须知前附表规定。</w:t>
      </w:r>
    </w:p>
    <w:p w14:paraId="7705CA51">
      <w:pPr>
        <w:pStyle w:val="4"/>
        <w:adjustRightInd w:val="0"/>
        <w:ind w:firstLine="482" w:firstLineChars="200"/>
        <w:rPr>
          <w:rFonts w:hint="eastAsia" w:eastAsia="仿宋"/>
          <w:sz w:val="24"/>
          <w:lang w:eastAsia="zh-CN"/>
        </w:rPr>
      </w:pPr>
      <w:r>
        <w:rPr>
          <w:rFonts w:hint="eastAsia" w:eastAsia="仿宋"/>
          <w:sz w:val="24"/>
          <w:lang w:eastAsia="zh-CN"/>
        </w:rPr>
        <w:t>7.2 中标结果质疑</w:t>
      </w:r>
    </w:p>
    <w:p w14:paraId="3718D8A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投标人认为中标结果</w:t>
      </w:r>
      <w:r>
        <w:rPr>
          <w:rFonts w:hint="eastAsia" w:eastAsia="仿宋"/>
          <w:sz w:val="24"/>
        </w:rPr>
        <w:t>使自己的权益受到损害的，应当在按投标人须知前附表规定的时间和形式向采购人或采购代理机构提出书面质疑。以联合体形式参加政府采购活动的，质疑应当由联合体所有成员共同提出。</w:t>
      </w:r>
    </w:p>
    <w:p w14:paraId="3D0F93A6">
      <w:pPr>
        <w:pStyle w:val="4"/>
        <w:adjustRightInd w:val="0"/>
        <w:ind w:firstLine="482" w:firstLineChars="200"/>
        <w:rPr>
          <w:rFonts w:eastAsia="仿宋"/>
          <w:sz w:val="24"/>
          <w:lang w:eastAsia="zh-CN"/>
        </w:rPr>
      </w:pPr>
      <w:bookmarkStart w:id="598" w:name="_Toc371415957"/>
      <w:bookmarkStart w:id="599" w:name="_Toc455587256"/>
      <w:bookmarkStart w:id="600" w:name="_Toc362252686"/>
      <w:bookmarkStart w:id="601" w:name="_Toc466024537"/>
      <w:bookmarkStart w:id="602" w:name="_Toc455587072"/>
      <w:bookmarkStart w:id="603" w:name="_Toc445554730"/>
      <w:bookmarkStart w:id="604" w:name="_Toc458504855"/>
      <w:bookmarkStart w:id="605" w:name="_Toc349730880"/>
      <w:r>
        <w:rPr>
          <w:rFonts w:hint="eastAsia" w:eastAsia="仿宋"/>
          <w:sz w:val="24"/>
          <w:lang w:eastAsia="zh-CN"/>
        </w:rPr>
        <w:t>7.3 中标通知</w:t>
      </w:r>
      <w:bookmarkEnd w:id="598"/>
      <w:bookmarkEnd w:id="599"/>
      <w:bookmarkEnd w:id="600"/>
      <w:bookmarkEnd w:id="601"/>
      <w:bookmarkEnd w:id="602"/>
      <w:bookmarkEnd w:id="603"/>
      <w:bookmarkEnd w:id="604"/>
      <w:bookmarkEnd w:id="605"/>
    </w:p>
    <w:p w14:paraId="0DC8BB0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7.3.1 中标结果确定后，采购人以书面形式向中标人发出中标通知书。</w:t>
      </w:r>
    </w:p>
    <w:p w14:paraId="730F966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7.3.2 中标人须按投标人须知前附表规定向采购代理机构支付招标代理服务费，其计取标准见投标人须知前附表。</w:t>
      </w:r>
    </w:p>
    <w:p w14:paraId="36A6F9C9">
      <w:pPr>
        <w:pStyle w:val="4"/>
        <w:adjustRightInd w:val="0"/>
        <w:ind w:firstLine="482" w:firstLineChars="200"/>
        <w:rPr>
          <w:rFonts w:eastAsia="仿宋"/>
          <w:sz w:val="24"/>
          <w:lang w:eastAsia="zh-CN"/>
        </w:rPr>
      </w:pPr>
      <w:bookmarkStart w:id="606" w:name="_Toc458504856"/>
      <w:bookmarkStart w:id="607" w:name="_Toc455587073"/>
      <w:bookmarkStart w:id="608" w:name="_Toc466024538"/>
      <w:bookmarkStart w:id="609" w:name="_Toc349730881"/>
      <w:bookmarkStart w:id="610" w:name="_Toc445554731"/>
      <w:bookmarkStart w:id="611" w:name="_Toc371415958"/>
      <w:bookmarkStart w:id="612" w:name="_Toc362252687"/>
      <w:bookmarkStart w:id="613" w:name="_Toc455587257"/>
      <w:r>
        <w:rPr>
          <w:rFonts w:hint="eastAsia" w:eastAsia="仿宋"/>
          <w:sz w:val="24"/>
          <w:lang w:eastAsia="zh-CN"/>
        </w:rPr>
        <w:t>7.4 履约</w:t>
      </w:r>
      <w:bookmarkEnd w:id="606"/>
      <w:bookmarkEnd w:id="607"/>
      <w:bookmarkEnd w:id="608"/>
      <w:bookmarkEnd w:id="609"/>
      <w:bookmarkEnd w:id="610"/>
      <w:bookmarkEnd w:id="611"/>
      <w:bookmarkEnd w:id="612"/>
      <w:bookmarkEnd w:id="613"/>
      <w:r>
        <w:rPr>
          <w:rFonts w:hint="eastAsia" w:eastAsia="仿宋"/>
          <w:sz w:val="24"/>
          <w:lang w:eastAsia="zh-CN"/>
        </w:rPr>
        <w:t>保证金</w:t>
      </w:r>
    </w:p>
    <w:p w14:paraId="0832CD7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7.4</w:t>
      </w:r>
      <w:r>
        <w:rPr>
          <w:rFonts w:ascii="宋体" w:hAnsi="宋体" w:eastAsia="仿宋"/>
          <w:sz w:val="24"/>
        </w:rPr>
        <w:t>.1</w:t>
      </w:r>
      <w:r>
        <w:rPr>
          <w:rFonts w:hint="eastAsia" w:ascii="宋体" w:hAnsi="宋体" w:eastAsia="仿宋"/>
          <w:sz w:val="24"/>
        </w:rPr>
        <w:t xml:space="preserve"> 在签订合同前，中标人应按投标人须知前附表规定的金额、形式向采购人提交履约保证金。</w:t>
      </w:r>
      <w:r>
        <w:rPr>
          <w:rFonts w:eastAsia="仿宋"/>
          <w:sz w:val="24"/>
        </w:rPr>
        <w:t>除投标人须知前附表另有规定外，履约保证金为中标合同金额的</w:t>
      </w:r>
      <w:r>
        <w:rPr>
          <w:rFonts w:hint="eastAsia" w:eastAsia="仿宋"/>
          <w:sz w:val="24"/>
        </w:rPr>
        <w:t>2.5</w:t>
      </w:r>
      <w:r>
        <w:rPr>
          <w:rFonts w:eastAsia="仿宋"/>
          <w:sz w:val="24"/>
        </w:rPr>
        <w:t>%。联合体中标的，其履约保证金以联合体各方或者联合体中牵头人的名义提交。</w:t>
      </w:r>
    </w:p>
    <w:p w14:paraId="2268396E">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7.4</w:t>
      </w:r>
      <w:r>
        <w:rPr>
          <w:rFonts w:ascii="宋体" w:hAnsi="宋体" w:eastAsia="仿宋"/>
          <w:sz w:val="24"/>
        </w:rPr>
        <w:t>.2</w:t>
      </w:r>
      <w:r>
        <w:rPr>
          <w:rFonts w:hint="eastAsia" w:ascii="宋体" w:hAnsi="宋体" w:eastAsia="仿宋"/>
          <w:sz w:val="24"/>
        </w:rPr>
        <w:t xml:space="preserve"> 除投标人须知前附表另有规定外，中标人不能按要求提交履约保证金的，视为放弃中标，其投标保证金不予退还；给采购人造成的损失超过投标保证金数额的，中标人还应当对超过部分予以赔偿。</w:t>
      </w:r>
    </w:p>
    <w:p w14:paraId="37D864A8">
      <w:pPr>
        <w:pStyle w:val="4"/>
        <w:adjustRightInd w:val="0"/>
        <w:ind w:firstLine="482" w:firstLineChars="200"/>
        <w:rPr>
          <w:rFonts w:eastAsia="仿宋"/>
          <w:sz w:val="24"/>
          <w:lang w:eastAsia="zh-CN"/>
        </w:rPr>
      </w:pPr>
      <w:bookmarkStart w:id="614" w:name="_Toc445554732"/>
      <w:bookmarkStart w:id="615" w:name="_Toc342296203"/>
      <w:bookmarkStart w:id="616" w:name="_Toc455587074"/>
      <w:bookmarkStart w:id="617" w:name="_Toc333587894"/>
      <w:bookmarkStart w:id="618" w:name="_Toc338943741"/>
      <w:bookmarkStart w:id="619" w:name="_Toc455587258"/>
      <w:bookmarkStart w:id="620" w:name="_Toc371415959"/>
      <w:bookmarkStart w:id="621" w:name="_Toc179632588"/>
      <w:bookmarkStart w:id="622" w:name="_Toc458504857"/>
      <w:bookmarkStart w:id="623" w:name="_Toc333599700"/>
      <w:bookmarkStart w:id="624" w:name="_Toc333600724"/>
      <w:bookmarkStart w:id="625" w:name="_Toc342294755"/>
      <w:bookmarkStart w:id="626" w:name="_Toc362252688"/>
      <w:bookmarkStart w:id="627" w:name="_Toc466024539"/>
      <w:bookmarkStart w:id="628" w:name="_Toc349730882"/>
      <w:bookmarkStart w:id="629" w:name="_Toc338944646"/>
      <w:r>
        <w:rPr>
          <w:rFonts w:hint="eastAsia" w:eastAsia="仿宋"/>
          <w:sz w:val="24"/>
          <w:lang w:eastAsia="zh-CN"/>
        </w:rPr>
        <w:t>7.5 签订合同</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70A9CFB0">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7.5</w:t>
      </w:r>
      <w:r>
        <w:rPr>
          <w:rFonts w:ascii="宋体" w:hAnsi="宋体" w:eastAsia="仿宋"/>
          <w:sz w:val="24"/>
        </w:rPr>
        <w:t>.1</w:t>
      </w:r>
      <w:r>
        <w:rPr>
          <w:rFonts w:hint="eastAsia" w:ascii="宋体" w:hAnsi="宋体" w:eastAsia="仿宋"/>
          <w:sz w:val="24"/>
        </w:rPr>
        <w:t xml:space="preserve"> 除投标人须知前附表另有规定外，</w:t>
      </w:r>
      <w:r>
        <w:rPr>
          <w:rFonts w:eastAsia="仿宋"/>
          <w:sz w:val="24"/>
        </w:rPr>
        <w:t>采购人和中标人应当在中标通知书发出之日起30日内，根据招标文件和中标人的投标文件订立书面合同</w:t>
      </w:r>
      <w:r>
        <w:rPr>
          <w:rFonts w:hint="eastAsia" w:eastAsia="仿宋"/>
          <w:sz w:val="24"/>
        </w:rPr>
        <w:t>，所签订的合同不得对招标文件确定的事项和中标人投标文件作实质性修改。</w:t>
      </w:r>
      <w:r>
        <w:rPr>
          <w:rFonts w:eastAsia="仿宋"/>
          <w:sz w:val="24"/>
        </w:rPr>
        <w:t>中标人无正当理由</w:t>
      </w:r>
      <w:r>
        <w:rPr>
          <w:rFonts w:hint="eastAsia" w:eastAsia="仿宋"/>
          <w:sz w:val="24"/>
        </w:rPr>
        <w:t>拒签</w:t>
      </w:r>
      <w:r>
        <w:rPr>
          <w:rFonts w:eastAsia="仿宋"/>
          <w:sz w:val="24"/>
        </w:rPr>
        <w:t>合同，在签订合同时向采购人提出</w:t>
      </w:r>
      <w:r>
        <w:rPr>
          <w:rFonts w:hint="eastAsia" w:eastAsia="仿宋"/>
          <w:sz w:val="24"/>
        </w:rPr>
        <w:t>附加条件</w:t>
      </w:r>
      <w:r>
        <w:rPr>
          <w:rFonts w:eastAsia="仿宋"/>
          <w:sz w:val="24"/>
        </w:rPr>
        <w:t>，或者不按照招标文件要求提交履约保证金的，采购人有权取消其中标资格，其投标保证金不予退还；给采购人造成的损失超过投标保证金数额的，中标人还应当对超过部分予以赔偿。</w:t>
      </w:r>
    </w:p>
    <w:p w14:paraId="6F71D8B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7.5</w:t>
      </w:r>
      <w:r>
        <w:rPr>
          <w:rFonts w:ascii="宋体" w:hAnsi="宋体" w:eastAsia="仿宋"/>
          <w:sz w:val="24"/>
        </w:rPr>
        <w:t>.2</w:t>
      </w:r>
      <w:r>
        <w:rPr>
          <w:rFonts w:hint="eastAsia" w:ascii="宋体" w:hAnsi="宋体" w:eastAsia="仿宋"/>
          <w:sz w:val="24"/>
        </w:rPr>
        <w:t xml:space="preserve"> 因中标人原因未签订合同的，采购人可以按照评审报告推荐的中标候选人名单排序，确定下一候选人为中标人，也可以重新开展政府采购活动。</w:t>
      </w:r>
    </w:p>
    <w:p w14:paraId="5799B58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7.5.3 发出中标通知书后，采购人无正当理由拒签合同的，按照相关规定予以处理。</w:t>
      </w:r>
    </w:p>
    <w:p w14:paraId="18D40450">
      <w:pPr>
        <w:widowControl/>
        <w:adjustRightInd w:val="0"/>
        <w:snapToGrid w:val="0"/>
        <w:spacing w:line="360" w:lineRule="auto"/>
        <w:ind w:firstLine="480" w:firstLineChars="200"/>
        <w:rPr>
          <w:rFonts w:ascii="宋体" w:hAnsi="宋体" w:eastAsia="仿宋"/>
          <w:sz w:val="24"/>
        </w:rPr>
      </w:pPr>
      <w:r>
        <w:rPr>
          <w:rFonts w:ascii="宋体" w:hAnsi="宋体" w:eastAsia="仿宋"/>
          <w:sz w:val="24"/>
        </w:rPr>
        <w:t>7.</w:t>
      </w:r>
      <w:r>
        <w:rPr>
          <w:rFonts w:hint="eastAsia" w:ascii="宋体" w:hAnsi="宋体" w:eastAsia="仿宋"/>
          <w:sz w:val="24"/>
        </w:rPr>
        <w:t>5</w:t>
      </w:r>
      <w:r>
        <w:rPr>
          <w:rFonts w:ascii="宋体" w:hAnsi="宋体" w:eastAsia="仿宋"/>
          <w:sz w:val="24"/>
        </w:rPr>
        <w:t>.</w:t>
      </w:r>
      <w:r>
        <w:rPr>
          <w:rFonts w:hint="eastAsia" w:ascii="宋体" w:hAnsi="宋体" w:eastAsia="仿宋"/>
          <w:sz w:val="24"/>
        </w:rPr>
        <w:t xml:space="preserve">4 </w:t>
      </w:r>
      <w:r>
        <w:rPr>
          <w:rFonts w:ascii="宋体" w:hAnsi="宋体" w:eastAsia="仿宋"/>
          <w:sz w:val="24"/>
        </w:rPr>
        <w:t>联合体中标的，联合体各方应当共同与采购人签订合同，就中标项目向采购人承担连带责任。</w:t>
      </w:r>
    </w:p>
    <w:bookmarkEnd w:id="586"/>
    <w:bookmarkEnd w:id="587"/>
    <w:bookmarkEnd w:id="588"/>
    <w:bookmarkEnd w:id="589"/>
    <w:bookmarkEnd w:id="590"/>
    <w:bookmarkEnd w:id="591"/>
    <w:bookmarkEnd w:id="592"/>
    <w:bookmarkEnd w:id="593"/>
    <w:bookmarkEnd w:id="594"/>
    <w:bookmarkEnd w:id="595"/>
    <w:bookmarkEnd w:id="596"/>
    <w:bookmarkEnd w:id="597"/>
    <w:p w14:paraId="2B77EE1C">
      <w:pPr>
        <w:pStyle w:val="3"/>
        <w:rPr>
          <w:rStyle w:val="98"/>
          <w:rFonts w:hint="eastAsia" w:ascii="宋体" w:hAnsi="宋体" w:eastAsia="仿宋"/>
          <w:b/>
          <w:bCs/>
          <w:sz w:val="24"/>
          <w:szCs w:val="24"/>
        </w:rPr>
      </w:pPr>
      <w:bookmarkStart w:id="630" w:name="_Toc455587259"/>
      <w:bookmarkStart w:id="631" w:name="_Toc458504860"/>
      <w:bookmarkStart w:id="632" w:name="_Toc455587075"/>
      <w:bookmarkStart w:id="633" w:name="_Toc466024542"/>
      <w:r>
        <w:rPr>
          <w:rStyle w:val="98"/>
          <w:rFonts w:hint="eastAsia" w:ascii="宋体" w:hAnsi="宋体" w:eastAsia="仿宋"/>
          <w:b/>
          <w:bCs/>
          <w:sz w:val="24"/>
          <w:szCs w:val="24"/>
        </w:rPr>
        <w:t>8. 废标</w:t>
      </w:r>
      <w:bookmarkEnd w:id="630"/>
      <w:bookmarkEnd w:id="631"/>
      <w:bookmarkEnd w:id="632"/>
      <w:r>
        <w:rPr>
          <w:rStyle w:val="98"/>
          <w:rFonts w:hint="eastAsia" w:ascii="宋体" w:hAnsi="宋体" w:eastAsia="仿宋"/>
          <w:b/>
          <w:bCs/>
          <w:sz w:val="24"/>
          <w:szCs w:val="24"/>
        </w:rPr>
        <w:t>、变更采购方式与终止招标</w:t>
      </w:r>
      <w:bookmarkEnd w:id="633"/>
    </w:p>
    <w:p w14:paraId="7BED4C4B">
      <w:pPr>
        <w:pStyle w:val="4"/>
        <w:adjustRightInd w:val="0"/>
        <w:ind w:firstLine="482" w:firstLineChars="200"/>
        <w:rPr>
          <w:rFonts w:hint="eastAsia" w:eastAsia="仿宋"/>
          <w:sz w:val="24"/>
          <w:lang w:eastAsia="zh-CN"/>
        </w:rPr>
      </w:pPr>
      <w:bookmarkStart w:id="634" w:name="_Toc455587076"/>
      <w:bookmarkStart w:id="635" w:name="_Toc466024543"/>
      <w:bookmarkStart w:id="636" w:name="_Toc458504861"/>
      <w:bookmarkStart w:id="637" w:name="_Toc455587260"/>
      <w:bookmarkStart w:id="638" w:name="_Toc179632590"/>
      <w:bookmarkStart w:id="639" w:name="_Toc333600726"/>
      <w:bookmarkStart w:id="640" w:name="_Toc333599702"/>
      <w:bookmarkStart w:id="641" w:name="_Toc338944648"/>
      <w:bookmarkStart w:id="642" w:name="_Toc338943743"/>
      <w:bookmarkStart w:id="643" w:name="_Toc333587896"/>
      <w:bookmarkStart w:id="644" w:name="_Toc371415961"/>
      <w:bookmarkStart w:id="645" w:name="_Toc342296205"/>
      <w:bookmarkStart w:id="646" w:name="_Toc152045572"/>
      <w:bookmarkStart w:id="647" w:name="_Toc342294757"/>
      <w:bookmarkStart w:id="648" w:name="_Toc152042348"/>
      <w:bookmarkStart w:id="649" w:name="_Toc342297662"/>
      <w:bookmarkStart w:id="650" w:name="_Toc445554734"/>
      <w:bookmarkStart w:id="651" w:name="_Toc144974540"/>
      <w:r>
        <w:rPr>
          <w:rFonts w:hint="eastAsia" w:eastAsia="仿宋"/>
          <w:sz w:val="24"/>
          <w:lang w:eastAsia="zh-CN"/>
        </w:rPr>
        <w:t>8.1 废标</w:t>
      </w:r>
      <w:bookmarkEnd w:id="634"/>
      <w:bookmarkEnd w:id="635"/>
      <w:bookmarkEnd w:id="636"/>
      <w:bookmarkEnd w:id="637"/>
    </w:p>
    <w:p w14:paraId="2F099C5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8.1.1 出现下列情形之一的，应予废标：</w:t>
      </w:r>
    </w:p>
    <w:p w14:paraId="6EA0A20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（1）符合专业条件的投标人或者对招标文件作实质响应的投标人不足3家的；</w:t>
      </w:r>
    </w:p>
    <w:p w14:paraId="228A55C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（2）出现影响采购公正的违法、违规行为的；</w:t>
      </w:r>
    </w:p>
    <w:p w14:paraId="5C61997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（3）投标人的报价均超过了采购预算或最高限价（多包的采购的，指调节后的采购预算），采购人不能支付的；</w:t>
      </w:r>
    </w:p>
    <w:p w14:paraId="14B2D22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（4）因重大变故，采购任务取消的。</w:t>
      </w:r>
    </w:p>
    <w:p w14:paraId="71E8054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8.1.2 废标后，采购人应当将废标理由通知所有投标人。</w:t>
      </w:r>
    </w:p>
    <w:p w14:paraId="54181DB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8.1.3 废标后，除采购任务取消情形外，应当重新组织招标；需要采取其他方式采购的，需要批准的应当在采购活动开始前获得批准。</w:t>
      </w:r>
    </w:p>
    <w:p w14:paraId="254A2B95">
      <w:pPr>
        <w:pStyle w:val="4"/>
        <w:adjustRightInd w:val="0"/>
        <w:ind w:firstLine="482" w:firstLineChars="200"/>
        <w:rPr>
          <w:rFonts w:eastAsia="仿宋"/>
          <w:sz w:val="24"/>
          <w:lang w:eastAsia="zh-CN"/>
        </w:rPr>
      </w:pPr>
      <w:bookmarkStart w:id="652" w:name="_Toc455587261"/>
      <w:bookmarkStart w:id="653" w:name="_Toc455587077"/>
      <w:bookmarkStart w:id="654" w:name="_Toc458504862"/>
      <w:bookmarkStart w:id="655" w:name="_Toc466024544"/>
      <w:r>
        <w:rPr>
          <w:rFonts w:hint="eastAsia" w:eastAsia="仿宋"/>
          <w:sz w:val="24"/>
          <w:lang w:eastAsia="zh-CN"/>
        </w:rPr>
        <w:t>8.2</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rPr>
          <w:rFonts w:hint="eastAsia" w:eastAsia="仿宋"/>
          <w:sz w:val="24"/>
          <w:lang w:eastAsia="zh-CN"/>
        </w:rPr>
        <w:t xml:space="preserve"> 重新招标与变更采购方式</w:t>
      </w:r>
      <w:bookmarkEnd w:id="654"/>
      <w:bookmarkEnd w:id="655"/>
    </w:p>
    <w:p w14:paraId="2FC14B7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8.2.1 公开招标数额标准以上的采购项目，投标截止后投标人不足3家或者通过资格审查或符合性审查的投标人不足3家的，除采购任务取消情形外，按照以下方式处理：</w:t>
      </w:r>
    </w:p>
    <w:p w14:paraId="64C62A1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（1）招标文件存在不合理条款或者招标程序不符合规定的，采购人、采购代理机构改正后依法重新招标；</w:t>
      </w:r>
    </w:p>
    <w:p w14:paraId="6F560993">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（2）招标文件没有不合理条款、招标程序符合规定，需要采用其他采购方式采购的，采购人应当依法报财政部门批准。</w:t>
      </w:r>
    </w:p>
    <w:p w14:paraId="28EC549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8.2.2 公开招标数额标准以上的采购项目，出现本章8.2.1项情形或者重新招标未能成立的，采购人拟申请采用其他方式采购的，应由评标委员会或者3名以上评审专家出具招标文件没有不合理条款的论证意见。</w:t>
      </w:r>
    </w:p>
    <w:p w14:paraId="18EA701D">
      <w:pPr>
        <w:pStyle w:val="4"/>
        <w:adjustRightInd w:val="0"/>
        <w:ind w:firstLine="482" w:firstLineChars="200"/>
        <w:rPr>
          <w:rFonts w:hint="eastAsia" w:eastAsia="仿宋"/>
          <w:sz w:val="24"/>
          <w:lang w:eastAsia="zh-CN"/>
        </w:rPr>
      </w:pPr>
      <w:bookmarkStart w:id="656" w:name="_Toc466024545"/>
      <w:bookmarkStart w:id="657" w:name="_Toc445554736"/>
      <w:bookmarkStart w:id="658" w:name="_Toc455587078"/>
      <w:bookmarkStart w:id="659" w:name="_Toc455587262"/>
      <w:bookmarkStart w:id="660" w:name="_Toc458504863"/>
      <w:bookmarkStart w:id="661" w:name="_Toc152045574"/>
      <w:bookmarkStart w:id="662" w:name="_Toc333599704"/>
      <w:bookmarkStart w:id="663" w:name="_Toc342294759"/>
      <w:bookmarkStart w:id="664" w:name="_Toc333600728"/>
      <w:bookmarkStart w:id="665" w:name="_Toc152042350"/>
      <w:bookmarkStart w:id="666" w:name="_Toc144974542"/>
      <w:bookmarkStart w:id="667" w:name="_Toc338944650"/>
      <w:bookmarkStart w:id="668" w:name="_Toc338943745"/>
      <w:bookmarkStart w:id="669" w:name="_Toc342296207"/>
      <w:bookmarkStart w:id="670" w:name="_Toc342297664"/>
      <w:bookmarkStart w:id="671" w:name="_Toc179632592"/>
      <w:r>
        <w:rPr>
          <w:rFonts w:hint="eastAsia" w:eastAsia="仿宋"/>
          <w:sz w:val="24"/>
          <w:lang w:eastAsia="zh-CN"/>
        </w:rPr>
        <w:t>8.3 终止招标</w:t>
      </w:r>
      <w:bookmarkEnd w:id="656"/>
      <w:bookmarkEnd w:id="657"/>
      <w:bookmarkEnd w:id="658"/>
      <w:bookmarkEnd w:id="659"/>
      <w:bookmarkEnd w:id="660"/>
    </w:p>
    <w:p w14:paraId="591F1316">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因不可抗力等原因，采购人终止招标的，将及时发布公告，或者以书面形式通知被邀请的或者已经获取招标文件的潜在投标人。已经发售招标文件或者已经收取投标保证金的，采购人将及时退还所收取的招标文件的费用，以及所收取的投标保证金。</w:t>
      </w:r>
    </w:p>
    <w:bookmarkEnd w:id="661"/>
    <w:bookmarkEnd w:id="662"/>
    <w:bookmarkEnd w:id="663"/>
    <w:bookmarkEnd w:id="664"/>
    <w:bookmarkEnd w:id="665"/>
    <w:bookmarkEnd w:id="666"/>
    <w:bookmarkEnd w:id="667"/>
    <w:bookmarkEnd w:id="668"/>
    <w:bookmarkEnd w:id="669"/>
    <w:bookmarkEnd w:id="670"/>
    <w:bookmarkEnd w:id="671"/>
    <w:p w14:paraId="3F7F947D">
      <w:pPr>
        <w:pStyle w:val="3"/>
        <w:rPr>
          <w:rStyle w:val="98"/>
          <w:rFonts w:hint="eastAsia" w:ascii="宋体" w:hAnsi="宋体" w:eastAsia="仿宋"/>
          <w:b/>
          <w:bCs/>
          <w:sz w:val="24"/>
          <w:szCs w:val="24"/>
        </w:rPr>
      </w:pPr>
      <w:bookmarkStart w:id="672" w:name="_Toc455587079"/>
      <w:bookmarkStart w:id="673" w:name="_Toc445554737"/>
      <w:bookmarkStart w:id="674" w:name="_Toc455587263"/>
      <w:bookmarkStart w:id="675" w:name="_Toc466024546"/>
      <w:bookmarkStart w:id="676" w:name="_Toc458504864"/>
      <w:r>
        <w:rPr>
          <w:rStyle w:val="98"/>
          <w:rFonts w:hint="eastAsia" w:ascii="宋体" w:hAnsi="宋体" w:eastAsia="仿宋"/>
          <w:b/>
          <w:bCs/>
          <w:sz w:val="24"/>
          <w:szCs w:val="24"/>
        </w:rPr>
        <w:t>9. 询问与质疑</w:t>
      </w:r>
    </w:p>
    <w:p w14:paraId="502DA424">
      <w:pPr>
        <w:pStyle w:val="4"/>
        <w:adjustRightInd w:val="0"/>
        <w:ind w:firstLine="482" w:firstLineChars="200"/>
        <w:rPr>
          <w:rFonts w:hint="eastAsia" w:eastAsia="仿宋"/>
          <w:sz w:val="24"/>
          <w:lang w:eastAsia="zh-CN"/>
        </w:rPr>
      </w:pPr>
      <w:r>
        <w:rPr>
          <w:rFonts w:hint="eastAsia" w:eastAsia="仿宋"/>
          <w:sz w:val="24"/>
          <w:lang w:eastAsia="zh-CN"/>
        </w:rPr>
        <w:t>9.1 询问与质疑的提出</w:t>
      </w:r>
    </w:p>
    <w:p w14:paraId="4004F3F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9.1.1 投标人对招标文件、采购过程、中标结果有相关疑问的，可以向采购代理机构提出询问。认为其权益受到损害的，可以提出书面质疑。质疑材料应当采用中文，有关材料是外文的，应当同时提供其中文译本。</w:t>
      </w:r>
    </w:p>
    <w:p w14:paraId="478347FA">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 xml:space="preserve">9.1.2 </w:t>
      </w:r>
      <w:r>
        <w:rPr>
          <w:rFonts w:eastAsia="仿宋"/>
          <w:sz w:val="24"/>
        </w:rPr>
        <w:t>提出质疑的</w:t>
      </w:r>
      <w:r>
        <w:rPr>
          <w:rFonts w:hint="eastAsia" w:eastAsia="仿宋"/>
          <w:sz w:val="24"/>
        </w:rPr>
        <w:t>投标人</w:t>
      </w:r>
      <w:r>
        <w:rPr>
          <w:rFonts w:eastAsia="仿宋"/>
          <w:sz w:val="24"/>
        </w:rPr>
        <w:t>应当是参与所质疑项目采购活动的</w:t>
      </w:r>
      <w:r>
        <w:rPr>
          <w:rFonts w:hint="eastAsia" w:eastAsia="仿宋"/>
          <w:sz w:val="24"/>
        </w:rPr>
        <w:t>投标人</w:t>
      </w:r>
      <w:r>
        <w:rPr>
          <w:rFonts w:eastAsia="仿宋"/>
          <w:sz w:val="24"/>
        </w:rPr>
        <w:t>。潜在</w:t>
      </w:r>
      <w:r>
        <w:rPr>
          <w:rFonts w:hint="eastAsia" w:eastAsia="仿宋"/>
          <w:sz w:val="24"/>
        </w:rPr>
        <w:t>投标人</w:t>
      </w:r>
      <w:r>
        <w:rPr>
          <w:rFonts w:eastAsia="仿宋"/>
          <w:sz w:val="24"/>
        </w:rPr>
        <w:t>已依法获取其可质疑的</w:t>
      </w:r>
      <w:r>
        <w:rPr>
          <w:rFonts w:hint="eastAsia" w:eastAsia="仿宋"/>
          <w:sz w:val="24"/>
        </w:rPr>
        <w:t>招标</w:t>
      </w:r>
      <w:r>
        <w:rPr>
          <w:rFonts w:eastAsia="仿宋"/>
          <w:sz w:val="24"/>
        </w:rPr>
        <w:t>文件的，可以对</w:t>
      </w:r>
      <w:r>
        <w:rPr>
          <w:rFonts w:hint="eastAsia" w:eastAsia="仿宋"/>
          <w:sz w:val="24"/>
        </w:rPr>
        <w:t>招标</w:t>
      </w:r>
      <w:r>
        <w:rPr>
          <w:rFonts w:eastAsia="仿宋"/>
          <w:sz w:val="24"/>
        </w:rPr>
        <w:t>文件提出</w:t>
      </w:r>
      <w:r>
        <w:rPr>
          <w:rFonts w:hint="eastAsia" w:eastAsia="仿宋"/>
          <w:sz w:val="24"/>
        </w:rPr>
        <w:t>质疑</w:t>
      </w:r>
      <w:r>
        <w:rPr>
          <w:rFonts w:eastAsia="仿宋"/>
          <w:sz w:val="24"/>
        </w:rPr>
        <w:t>。</w:t>
      </w:r>
    </w:p>
    <w:p w14:paraId="4ED310C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9.1.3 投标人应当</w:t>
      </w:r>
      <w:r>
        <w:rPr>
          <w:rFonts w:ascii="宋体" w:hAnsi="宋体" w:eastAsia="仿宋"/>
          <w:sz w:val="24"/>
        </w:rPr>
        <w:t>在法定质疑期内一次性提出针对同一采购程序环节的质疑</w:t>
      </w:r>
      <w:r>
        <w:rPr>
          <w:rFonts w:hint="eastAsia" w:ascii="宋体" w:hAnsi="宋体" w:eastAsia="仿宋"/>
          <w:sz w:val="24"/>
        </w:rPr>
        <w:t>。质疑应当有具体的事项及根据，不得进行虚假、恶意质疑，扰乱政府采购活动正常的工作秩序。</w:t>
      </w:r>
    </w:p>
    <w:p w14:paraId="5DE9DE98">
      <w:pPr>
        <w:pStyle w:val="4"/>
        <w:adjustRightInd w:val="0"/>
        <w:ind w:firstLine="482" w:firstLineChars="200"/>
        <w:rPr>
          <w:rFonts w:hint="eastAsia" w:eastAsia="仿宋"/>
          <w:sz w:val="24"/>
          <w:lang w:eastAsia="zh-CN"/>
        </w:rPr>
      </w:pPr>
      <w:r>
        <w:rPr>
          <w:rFonts w:hint="eastAsia" w:eastAsia="仿宋"/>
          <w:sz w:val="24"/>
          <w:lang w:eastAsia="zh-CN"/>
        </w:rPr>
        <w:t>9.2 质疑材料的要求</w:t>
      </w:r>
    </w:p>
    <w:p w14:paraId="6FCAAB9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9.2.1 书面质疑材料应当包括以下内容：</w:t>
      </w:r>
    </w:p>
    <w:p w14:paraId="24FB38B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（1）提起质疑的投标人名称、地址、邮编、联系人及联系电话；</w:t>
      </w:r>
    </w:p>
    <w:p w14:paraId="06D415C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（2）项目名称、项目编号及分包号（如有）；</w:t>
      </w:r>
    </w:p>
    <w:p w14:paraId="0D7FD38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w:t>
      </w:r>
      <w:r>
        <w:rPr>
          <w:rFonts w:eastAsia="仿宋"/>
          <w:sz w:val="24"/>
        </w:rPr>
        <w:t>具体、明确的质疑事项和与质疑事项相关的请求</w:t>
      </w:r>
      <w:r>
        <w:rPr>
          <w:rFonts w:hint="eastAsia" w:ascii="宋体" w:hAnsi="宋体" w:eastAsia="仿宋"/>
          <w:sz w:val="24"/>
        </w:rPr>
        <w:t>；</w:t>
      </w:r>
    </w:p>
    <w:p w14:paraId="455A011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（4）有效线索和相关证明材料等</w:t>
      </w:r>
      <w:r>
        <w:rPr>
          <w:rFonts w:eastAsia="仿宋"/>
          <w:sz w:val="24"/>
        </w:rPr>
        <w:t>事实依据；</w:t>
      </w:r>
    </w:p>
    <w:p w14:paraId="694C643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w:t>
      </w:r>
      <w:r>
        <w:rPr>
          <w:rFonts w:eastAsia="仿宋"/>
          <w:sz w:val="24"/>
        </w:rPr>
        <w:t>必要的法律依据；</w:t>
      </w:r>
    </w:p>
    <w:p w14:paraId="687A503B">
      <w:pPr>
        <w:widowControl/>
        <w:adjustRightInd w:val="0"/>
        <w:snapToGrid w:val="0"/>
        <w:spacing w:line="360" w:lineRule="auto"/>
        <w:ind w:firstLine="480" w:firstLineChars="200"/>
        <w:rPr>
          <w:rFonts w:hint="eastAsia" w:eastAsia="仿宋"/>
          <w:sz w:val="24"/>
        </w:rPr>
      </w:pPr>
      <w:r>
        <w:rPr>
          <w:rFonts w:hint="eastAsia" w:ascii="宋体" w:hAnsi="宋体" w:eastAsia="仿宋"/>
          <w:sz w:val="24"/>
        </w:rPr>
        <w:t>（6）</w:t>
      </w:r>
      <w:r>
        <w:rPr>
          <w:rFonts w:eastAsia="仿宋"/>
          <w:sz w:val="24"/>
        </w:rPr>
        <w:t>提出质疑的日期</w:t>
      </w:r>
    </w:p>
    <w:p w14:paraId="36E7BD96">
      <w:pPr>
        <w:widowControl/>
        <w:adjustRightInd w:val="0"/>
        <w:snapToGrid w:val="0"/>
        <w:spacing w:line="360" w:lineRule="auto"/>
        <w:ind w:firstLine="480" w:firstLineChars="200"/>
        <w:rPr>
          <w:rFonts w:hint="eastAsia" w:ascii="宋体" w:hAnsi="宋体" w:eastAsia="仿宋"/>
          <w:sz w:val="24"/>
        </w:rPr>
      </w:pPr>
      <w:r>
        <w:rPr>
          <w:rFonts w:hint="eastAsia" w:eastAsia="仿宋"/>
          <w:sz w:val="24"/>
        </w:rPr>
        <w:t>投标人</w:t>
      </w:r>
      <w:r>
        <w:rPr>
          <w:rFonts w:eastAsia="仿宋"/>
          <w:sz w:val="24"/>
        </w:rPr>
        <w:t>为自然人的，应当由本人签字；</w:t>
      </w:r>
      <w:r>
        <w:rPr>
          <w:rFonts w:hint="eastAsia" w:eastAsia="仿宋"/>
          <w:sz w:val="24"/>
        </w:rPr>
        <w:t>投标人</w:t>
      </w:r>
      <w:r>
        <w:rPr>
          <w:rFonts w:eastAsia="仿宋"/>
          <w:sz w:val="24"/>
        </w:rPr>
        <w:t>为法人或者其他组织的，</w:t>
      </w:r>
      <w:r>
        <w:rPr>
          <w:rFonts w:hint="eastAsia" w:eastAsia="仿宋"/>
          <w:sz w:val="24"/>
        </w:rPr>
        <w:t>应当加盖投标人单位公章，并</w:t>
      </w:r>
      <w:r>
        <w:rPr>
          <w:rFonts w:eastAsia="仿宋"/>
          <w:sz w:val="24"/>
        </w:rPr>
        <w:t>由法定代表人</w:t>
      </w:r>
      <w:r>
        <w:rPr>
          <w:rFonts w:hint="eastAsia" w:eastAsia="仿宋"/>
          <w:sz w:val="24"/>
        </w:rPr>
        <w:t>（单位负责人）</w:t>
      </w:r>
      <w:r>
        <w:rPr>
          <w:rFonts w:eastAsia="仿宋"/>
          <w:sz w:val="24"/>
        </w:rPr>
        <w:t>或者其授权代表签字或者盖章</w:t>
      </w:r>
      <w:r>
        <w:rPr>
          <w:rFonts w:hint="eastAsia" w:eastAsia="仿宋"/>
          <w:sz w:val="24"/>
        </w:rPr>
        <w:t>，</w:t>
      </w:r>
      <w:r>
        <w:rPr>
          <w:rFonts w:hint="eastAsia" w:ascii="宋体" w:hAnsi="宋体" w:eastAsia="仿宋"/>
          <w:sz w:val="24"/>
        </w:rPr>
        <w:t>并附法定代表人（单位负责人）及其委托联系人的有效身份证复印件。</w:t>
      </w:r>
    </w:p>
    <w:p w14:paraId="044D656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9.2.2 质疑材料存在以下情形的，采购代理机构不予受理。</w:t>
      </w:r>
    </w:p>
    <w:p w14:paraId="225C2913">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（1）提起质疑的主体不是参与该政府采购项目活动的供应商；</w:t>
      </w:r>
    </w:p>
    <w:p w14:paraId="60CE5E1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（2）提起质疑的时间超过规定时限的；</w:t>
      </w:r>
    </w:p>
    <w:p w14:paraId="4E67945F">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（3）质疑材料不完整的；</w:t>
      </w:r>
    </w:p>
    <w:p w14:paraId="753D649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（4）质疑事项含有主观猜测等内容且未提供充分有效线索、难以查证的；</w:t>
      </w:r>
    </w:p>
    <w:p w14:paraId="48EF15B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（5）质疑</w:t>
      </w:r>
      <w:r>
        <w:rPr>
          <w:rFonts w:ascii="宋体" w:hAnsi="宋体" w:eastAsia="仿宋"/>
          <w:sz w:val="24"/>
        </w:rPr>
        <w:t>事项缺乏事实依据，</w:t>
      </w:r>
      <w:r>
        <w:rPr>
          <w:rFonts w:hint="eastAsia" w:ascii="宋体" w:hAnsi="宋体" w:eastAsia="仿宋"/>
          <w:sz w:val="24"/>
        </w:rPr>
        <w:t>质疑</w:t>
      </w:r>
      <w:r>
        <w:rPr>
          <w:rFonts w:ascii="宋体" w:hAnsi="宋体" w:eastAsia="仿宋"/>
          <w:sz w:val="24"/>
        </w:rPr>
        <w:t>事项不成立</w:t>
      </w:r>
      <w:r>
        <w:rPr>
          <w:rFonts w:hint="eastAsia" w:ascii="宋体" w:hAnsi="宋体" w:eastAsia="仿宋"/>
          <w:sz w:val="24"/>
        </w:rPr>
        <w:t>的；</w:t>
      </w:r>
    </w:p>
    <w:p w14:paraId="6133094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（6）</w:t>
      </w:r>
      <w:r>
        <w:rPr>
          <w:rFonts w:ascii="宋体" w:hAnsi="宋体" w:eastAsia="仿宋"/>
          <w:sz w:val="24"/>
        </w:rPr>
        <w:t>捏造事实或者提供虚假材料；</w:t>
      </w:r>
    </w:p>
    <w:p w14:paraId="25E0E74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（7）</w:t>
      </w:r>
      <w:r>
        <w:rPr>
          <w:rFonts w:ascii="宋体" w:hAnsi="宋体" w:eastAsia="仿宋"/>
          <w:sz w:val="24"/>
        </w:rPr>
        <w:t>以非法手段取得证明材料。</w:t>
      </w:r>
      <w:r>
        <w:rPr>
          <w:rFonts w:hint="eastAsia" w:ascii="宋体" w:hAnsi="宋体" w:eastAsia="仿宋"/>
          <w:sz w:val="24"/>
        </w:rPr>
        <w:t>证明材料</w:t>
      </w:r>
      <w:r>
        <w:rPr>
          <w:rFonts w:ascii="宋体" w:hAnsi="宋体" w:eastAsia="仿宋"/>
          <w:sz w:val="24"/>
        </w:rPr>
        <w:t>来源的合法性存在明显疑问，</w:t>
      </w:r>
      <w:r>
        <w:rPr>
          <w:rFonts w:hint="eastAsia" w:ascii="宋体" w:hAnsi="宋体" w:eastAsia="仿宋"/>
          <w:sz w:val="24"/>
        </w:rPr>
        <w:t>质疑</w:t>
      </w:r>
      <w:r>
        <w:rPr>
          <w:rFonts w:ascii="宋体" w:hAnsi="宋体" w:eastAsia="仿宋"/>
          <w:sz w:val="24"/>
        </w:rPr>
        <w:t>人无法证明其取得方式合法的，视为以非法手段取得证明材料</w:t>
      </w:r>
      <w:r>
        <w:rPr>
          <w:rFonts w:hint="eastAsia" w:ascii="宋体" w:hAnsi="宋体" w:eastAsia="仿宋"/>
          <w:sz w:val="24"/>
        </w:rPr>
        <w:t>；</w:t>
      </w:r>
    </w:p>
    <w:p w14:paraId="751A90F0">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（8）对其他投标人的投标文件详细内容质疑，无法提供合法来源渠道的。</w:t>
      </w:r>
    </w:p>
    <w:p w14:paraId="068980DA">
      <w:pPr>
        <w:pStyle w:val="4"/>
        <w:adjustRightInd w:val="0"/>
        <w:ind w:firstLine="482" w:firstLineChars="200"/>
        <w:rPr>
          <w:rFonts w:hint="eastAsia" w:eastAsia="仿宋"/>
          <w:sz w:val="24"/>
          <w:lang w:eastAsia="zh-CN"/>
        </w:rPr>
      </w:pPr>
      <w:r>
        <w:rPr>
          <w:rFonts w:hint="eastAsia" w:eastAsia="仿宋"/>
          <w:sz w:val="24"/>
          <w:lang w:eastAsia="zh-CN"/>
        </w:rPr>
        <w:t>9.3 质疑处理</w:t>
      </w:r>
    </w:p>
    <w:p w14:paraId="1DC1F94C">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9.3.1 投标人</w:t>
      </w:r>
      <w:r>
        <w:rPr>
          <w:rFonts w:ascii="宋体" w:hAnsi="宋体" w:eastAsia="仿宋"/>
          <w:sz w:val="24"/>
        </w:rPr>
        <w:t>对评审过程、中标或者成交结果提出质疑的，采购人、采购代理机构可以组织原评标委员会协助答复质疑。</w:t>
      </w:r>
    </w:p>
    <w:p w14:paraId="4EE72D0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9.3.2 质疑答复以书面形式通知质疑供应商和其他有关供应商。但答复的内容不得涉及商业秘密。</w:t>
      </w:r>
    </w:p>
    <w:p w14:paraId="59331D91">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9.3.3 采购人、采购代理机构认为投标人质疑不成立，或者成立但未对中标结果构成影响的，继续开展采购活动；认为投标人质疑成立且影响或者可能影响中标结果的，按照下列情况处理：</w:t>
      </w:r>
    </w:p>
    <w:p w14:paraId="6FF956AD">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（1）对招标文件提出的质疑，依法通过澄清或者修改可以继续开展采购活动的，澄清或者修改采购文件后继续开展采购活动；否则应当修改招标文件后重新开展采购活动。</w:t>
      </w:r>
    </w:p>
    <w:p w14:paraId="11248B5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（2）对采购过程、中标结果提出的质疑，合格供应商符合法定数量时，可以从合格的中标候选人中另行确定中标供应商的，应当依法另行确定中标供应商；否则应当重新开展采购活动。</w:t>
      </w:r>
    </w:p>
    <w:p w14:paraId="21D8411E">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质疑答复导致中标结果改变的，采购人或者采购代理机构应当将有关情况书面报告本级财政部门。</w:t>
      </w:r>
    </w:p>
    <w:p w14:paraId="2642FA8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9.3.4 质疑人在答复期满前撤回质疑的，应由法定代表人或授权代表人签字确认。质疑人不得以同一理由再次提出质疑。</w:t>
      </w:r>
    </w:p>
    <w:p w14:paraId="0072B505">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9.3.5 因处理质疑发生的检验、检测、鉴定等费用，</w:t>
      </w:r>
      <w:r>
        <w:rPr>
          <w:rFonts w:ascii="宋体" w:hAnsi="宋体" w:eastAsia="仿宋"/>
          <w:sz w:val="24"/>
        </w:rPr>
        <w:t>由提出申请的</w:t>
      </w:r>
      <w:r>
        <w:rPr>
          <w:rFonts w:hint="eastAsia" w:ascii="宋体" w:hAnsi="宋体" w:eastAsia="仿宋"/>
          <w:sz w:val="24"/>
        </w:rPr>
        <w:t>投标人</w:t>
      </w:r>
      <w:r>
        <w:rPr>
          <w:rFonts w:ascii="宋体" w:hAnsi="宋体" w:eastAsia="仿宋"/>
          <w:sz w:val="24"/>
        </w:rPr>
        <w:t>先行垫付。</w:t>
      </w:r>
      <w:r>
        <w:rPr>
          <w:rFonts w:hint="eastAsia" w:ascii="宋体" w:hAnsi="宋体" w:eastAsia="仿宋"/>
          <w:sz w:val="24"/>
        </w:rPr>
        <w:t>质疑处理决定各方无异议</w:t>
      </w:r>
      <w:r>
        <w:rPr>
          <w:rFonts w:ascii="宋体" w:hAnsi="宋体" w:eastAsia="仿宋"/>
          <w:sz w:val="24"/>
        </w:rPr>
        <w:t>后，按照</w:t>
      </w:r>
      <w:r>
        <w:rPr>
          <w:rFonts w:hint="eastAsia" w:ascii="宋体" w:hAnsi="宋体" w:eastAsia="仿宋"/>
          <w:sz w:val="24"/>
        </w:rPr>
        <w:t>“</w:t>
      </w:r>
      <w:r>
        <w:rPr>
          <w:rFonts w:ascii="宋体" w:hAnsi="宋体" w:eastAsia="仿宋"/>
          <w:sz w:val="24"/>
        </w:rPr>
        <w:t>谁过错谁负担</w:t>
      </w:r>
      <w:r>
        <w:rPr>
          <w:rFonts w:hint="eastAsia" w:ascii="宋体" w:hAnsi="宋体" w:eastAsia="仿宋"/>
          <w:sz w:val="24"/>
        </w:rPr>
        <w:t>”</w:t>
      </w:r>
      <w:r>
        <w:rPr>
          <w:rFonts w:ascii="宋体" w:hAnsi="宋体" w:eastAsia="仿宋"/>
          <w:sz w:val="24"/>
        </w:rPr>
        <w:t>的原则由承担责任的一方负担；双方都有责任的，由双方合理分担。</w:t>
      </w:r>
    </w:p>
    <w:p w14:paraId="15784644">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9.3.6 投标人不得以质疑为名进行虚假、恶意质疑，扰乱政府采购正常的工作秩序。投标人有下列情形之一的，属于虚假、恶意质疑，被质疑人应当驳回质疑，并向同级政府采购监督管理部门报告，将其列入不良行为记录名单，并依法予以处罚：</w:t>
      </w:r>
    </w:p>
    <w:p w14:paraId="6DFA25A8">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（1）一年内三次以上质疑均查无实据的；</w:t>
      </w:r>
    </w:p>
    <w:p w14:paraId="34D4972F">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（2）捏造事实或者提供虚假质疑材料的；</w:t>
      </w:r>
    </w:p>
    <w:p w14:paraId="33C60F9C">
      <w:pPr>
        <w:widowControl/>
        <w:adjustRightInd w:val="0"/>
        <w:snapToGrid w:val="0"/>
        <w:spacing w:line="360" w:lineRule="auto"/>
        <w:ind w:firstLine="480" w:firstLineChars="200"/>
        <w:rPr>
          <w:rFonts w:hint="eastAsia" w:eastAsia="仿宋"/>
          <w:sz w:val="24"/>
        </w:rPr>
      </w:pPr>
      <w:r>
        <w:rPr>
          <w:rFonts w:hint="eastAsia" w:ascii="宋体" w:hAnsi="宋体" w:eastAsia="仿宋"/>
          <w:sz w:val="24"/>
        </w:rPr>
        <w:t>（3）</w:t>
      </w:r>
      <w:r>
        <w:rPr>
          <w:rFonts w:ascii="宋体" w:hAnsi="宋体" w:eastAsia="仿宋"/>
          <w:sz w:val="24"/>
        </w:rPr>
        <w:t>以非法手段取</w:t>
      </w:r>
      <w:r>
        <w:rPr>
          <w:rFonts w:eastAsia="仿宋"/>
          <w:sz w:val="24"/>
        </w:rPr>
        <w:t>得证明材料。</w:t>
      </w:r>
      <w:r>
        <w:rPr>
          <w:rFonts w:hint="eastAsia" w:eastAsia="仿宋"/>
          <w:sz w:val="24"/>
        </w:rPr>
        <w:t>证明材料</w:t>
      </w:r>
      <w:r>
        <w:rPr>
          <w:rFonts w:eastAsia="仿宋"/>
          <w:sz w:val="24"/>
        </w:rPr>
        <w:t>来源的合法性存在明显疑问，</w:t>
      </w:r>
      <w:r>
        <w:rPr>
          <w:rFonts w:hint="eastAsia" w:eastAsia="仿宋"/>
          <w:sz w:val="24"/>
        </w:rPr>
        <w:t>质疑</w:t>
      </w:r>
      <w:r>
        <w:rPr>
          <w:rFonts w:eastAsia="仿宋"/>
          <w:sz w:val="24"/>
        </w:rPr>
        <w:t>人无法证明其取得方式</w:t>
      </w:r>
      <w:r>
        <w:rPr>
          <w:rFonts w:ascii="宋体" w:hAnsi="宋体" w:eastAsia="仿宋"/>
          <w:sz w:val="24"/>
        </w:rPr>
        <w:t>合法的，视为以非法手段取得证明材料</w:t>
      </w:r>
      <w:r>
        <w:rPr>
          <w:rFonts w:hint="eastAsia" w:ascii="宋体" w:hAnsi="宋体" w:eastAsia="仿宋"/>
          <w:sz w:val="24"/>
        </w:rPr>
        <w:t>。</w:t>
      </w:r>
    </w:p>
    <w:p w14:paraId="5150ED76">
      <w:pPr>
        <w:pStyle w:val="3"/>
        <w:rPr>
          <w:rStyle w:val="98"/>
          <w:rFonts w:hint="eastAsia" w:ascii="宋体" w:hAnsi="宋体" w:eastAsia="仿宋"/>
          <w:b/>
          <w:bCs/>
          <w:sz w:val="24"/>
          <w:szCs w:val="24"/>
        </w:rPr>
      </w:pPr>
      <w:r>
        <w:rPr>
          <w:rStyle w:val="98"/>
          <w:rFonts w:hint="eastAsia" w:ascii="宋体" w:hAnsi="宋体" w:eastAsia="仿宋"/>
          <w:b/>
          <w:bCs/>
          <w:sz w:val="24"/>
          <w:szCs w:val="24"/>
        </w:rPr>
        <w:t>10. 纪律和监督</w:t>
      </w:r>
      <w:bookmarkEnd w:id="672"/>
      <w:bookmarkEnd w:id="673"/>
      <w:bookmarkEnd w:id="674"/>
      <w:bookmarkEnd w:id="675"/>
      <w:bookmarkEnd w:id="676"/>
    </w:p>
    <w:p w14:paraId="1B4259C8">
      <w:pPr>
        <w:pStyle w:val="4"/>
        <w:adjustRightInd w:val="0"/>
        <w:ind w:firstLine="482" w:firstLineChars="200"/>
        <w:rPr>
          <w:rFonts w:eastAsia="仿宋"/>
          <w:sz w:val="24"/>
          <w:lang w:eastAsia="zh-CN"/>
        </w:rPr>
      </w:pPr>
      <w:bookmarkStart w:id="677" w:name="_Toc152042351"/>
      <w:bookmarkStart w:id="678" w:name="_Toc342296208"/>
      <w:bookmarkStart w:id="679" w:name="_Toc338944651"/>
      <w:bookmarkStart w:id="680" w:name="_Toc455587264"/>
      <w:bookmarkStart w:id="681" w:name="_Toc152045575"/>
      <w:bookmarkStart w:id="682" w:name="_Toc333600729"/>
      <w:bookmarkStart w:id="683" w:name="_Toc445554738"/>
      <w:bookmarkStart w:id="684" w:name="_Toc458504865"/>
      <w:bookmarkStart w:id="685" w:name="_Toc179632593"/>
      <w:bookmarkStart w:id="686" w:name="_Toc333599705"/>
      <w:bookmarkStart w:id="687" w:name="_Toc333587899"/>
      <w:bookmarkStart w:id="688" w:name="_Toc342294760"/>
      <w:bookmarkStart w:id="689" w:name="_Toc342297665"/>
      <w:bookmarkStart w:id="690" w:name="_Toc338943746"/>
      <w:bookmarkStart w:id="691" w:name="_Toc466024547"/>
      <w:bookmarkStart w:id="692" w:name="_Toc144974543"/>
      <w:bookmarkStart w:id="693" w:name="_Toc371415965"/>
      <w:bookmarkStart w:id="694" w:name="_Toc455587080"/>
      <w:r>
        <w:rPr>
          <w:rFonts w:hint="eastAsia" w:eastAsia="仿宋"/>
          <w:sz w:val="24"/>
          <w:lang w:eastAsia="zh-CN"/>
        </w:rPr>
        <w:t>10.1 对采购人的纪律要求</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2BB453A7">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采购人不得泄漏招标投标活动中应当保密的情况和资料，不得与投标人串通损害国家利益、社会公共利益或者他人合法权益。</w:t>
      </w:r>
    </w:p>
    <w:p w14:paraId="44238DA1">
      <w:pPr>
        <w:pStyle w:val="4"/>
        <w:adjustRightInd w:val="0"/>
        <w:ind w:firstLine="482" w:firstLineChars="200"/>
        <w:rPr>
          <w:rFonts w:eastAsia="仿宋"/>
          <w:sz w:val="24"/>
          <w:lang w:eastAsia="zh-CN"/>
        </w:rPr>
      </w:pPr>
      <w:bookmarkStart w:id="695" w:name="_Toc455587081"/>
      <w:bookmarkStart w:id="696" w:name="_Toc445554739"/>
      <w:bookmarkStart w:id="697" w:name="_Toc342297666"/>
      <w:bookmarkStart w:id="698" w:name="_Toc342296209"/>
      <w:bookmarkStart w:id="699" w:name="_Toc152045576"/>
      <w:bookmarkStart w:id="700" w:name="_Toc342294761"/>
      <w:bookmarkStart w:id="701" w:name="_Toc371415966"/>
      <w:bookmarkStart w:id="702" w:name="_Toc179632594"/>
      <w:bookmarkStart w:id="703" w:name="_Toc144974544"/>
      <w:bookmarkStart w:id="704" w:name="_Toc338943747"/>
      <w:bookmarkStart w:id="705" w:name="_Toc466024548"/>
      <w:bookmarkStart w:id="706" w:name="_Toc333587900"/>
      <w:bookmarkStart w:id="707" w:name="_Toc333599706"/>
      <w:bookmarkStart w:id="708" w:name="_Toc152042352"/>
      <w:bookmarkStart w:id="709" w:name="_Toc455587265"/>
      <w:bookmarkStart w:id="710" w:name="_Toc338944652"/>
      <w:bookmarkStart w:id="711" w:name="_Toc458504866"/>
      <w:bookmarkStart w:id="712" w:name="_Toc333600730"/>
      <w:r>
        <w:rPr>
          <w:rFonts w:hint="eastAsia" w:eastAsia="仿宋"/>
          <w:sz w:val="24"/>
          <w:lang w:eastAsia="zh-CN"/>
        </w:rPr>
        <w:t>10.2 对投标人的纪律要求</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 w14:paraId="66CAF966">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3861917A">
      <w:pPr>
        <w:pStyle w:val="4"/>
        <w:adjustRightInd w:val="0"/>
        <w:ind w:firstLine="482" w:firstLineChars="200"/>
        <w:rPr>
          <w:rFonts w:eastAsia="仿宋"/>
          <w:sz w:val="24"/>
          <w:lang w:eastAsia="zh-CN"/>
        </w:rPr>
      </w:pPr>
      <w:bookmarkStart w:id="713" w:name="_Toc371415967"/>
      <w:bookmarkStart w:id="714" w:name="_Toc152042353"/>
      <w:bookmarkStart w:id="715" w:name="_Toc333599707"/>
      <w:bookmarkStart w:id="716" w:name="_Toc342297667"/>
      <w:bookmarkStart w:id="717" w:name="_Toc342296210"/>
      <w:bookmarkStart w:id="718" w:name="_Toc338943748"/>
      <w:bookmarkStart w:id="719" w:name="_Toc333587901"/>
      <w:bookmarkStart w:id="720" w:name="_Toc466024549"/>
      <w:bookmarkStart w:id="721" w:name="_Toc152045577"/>
      <w:bookmarkStart w:id="722" w:name="_Toc458504867"/>
      <w:bookmarkStart w:id="723" w:name="_Toc333600731"/>
      <w:bookmarkStart w:id="724" w:name="_Toc338944653"/>
      <w:bookmarkStart w:id="725" w:name="_Toc342294762"/>
      <w:bookmarkStart w:id="726" w:name="_Toc144974545"/>
      <w:bookmarkStart w:id="727" w:name="_Toc179632595"/>
      <w:bookmarkStart w:id="728" w:name="_Toc455587082"/>
      <w:bookmarkStart w:id="729" w:name="_Toc455587266"/>
      <w:bookmarkStart w:id="730" w:name="_Toc445554740"/>
      <w:r>
        <w:rPr>
          <w:rFonts w:hint="eastAsia" w:eastAsia="仿宋"/>
          <w:sz w:val="24"/>
          <w:lang w:eastAsia="zh-CN"/>
        </w:rPr>
        <w:t>10.3 对评标委员会成员的纪律要求</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5C30C46D">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评标办法”没有规定的评审因素和标准进行评标。</w:t>
      </w:r>
    </w:p>
    <w:p w14:paraId="51FDDF07">
      <w:pPr>
        <w:pStyle w:val="4"/>
        <w:adjustRightInd w:val="0"/>
        <w:ind w:firstLine="482" w:firstLineChars="200"/>
        <w:rPr>
          <w:rFonts w:eastAsia="仿宋"/>
          <w:sz w:val="24"/>
          <w:lang w:eastAsia="zh-CN"/>
        </w:rPr>
      </w:pPr>
      <w:bookmarkStart w:id="731" w:name="_Toc333600732"/>
      <w:bookmarkStart w:id="732" w:name="_Toc455587083"/>
      <w:bookmarkStart w:id="733" w:name="_Toc371415968"/>
      <w:bookmarkStart w:id="734" w:name="_Toc445554741"/>
      <w:bookmarkStart w:id="735" w:name="_Toc338944654"/>
      <w:bookmarkStart w:id="736" w:name="_Toc466024550"/>
      <w:bookmarkStart w:id="737" w:name="_Toc152042354"/>
      <w:bookmarkStart w:id="738" w:name="_Toc152045578"/>
      <w:bookmarkStart w:id="739" w:name="_Toc333587902"/>
      <w:bookmarkStart w:id="740" w:name="_Toc458504868"/>
      <w:bookmarkStart w:id="741" w:name="_Toc342296211"/>
      <w:bookmarkStart w:id="742" w:name="_Toc455587267"/>
      <w:bookmarkStart w:id="743" w:name="_Toc342294763"/>
      <w:bookmarkStart w:id="744" w:name="_Toc338943749"/>
      <w:bookmarkStart w:id="745" w:name="_Toc179632596"/>
      <w:bookmarkStart w:id="746" w:name="_Toc333599708"/>
      <w:bookmarkStart w:id="747" w:name="_Toc342297668"/>
      <w:bookmarkStart w:id="748" w:name="_Toc144974546"/>
      <w:r>
        <w:rPr>
          <w:rFonts w:hint="eastAsia" w:eastAsia="仿宋"/>
          <w:sz w:val="24"/>
          <w:lang w:eastAsia="zh-CN"/>
        </w:rPr>
        <w:t>10.4 对与评标活动有关的工作人员的纪律要求</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67D81042">
      <w:pPr>
        <w:widowControl/>
        <w:adjustRightInd w:val="0"/>
        <w:snapToGrid w:val="0"/>
        <w:spacing w:line="360" w:lineRule="auto"/>
        <w:ind w:firstLine="480" w:firstLineChars="200"/>
        <w:rPr>
          <w:rFonts w:hint="eastAsia" w:ascii="宋体" w:hAnsi="宋体" w:eastAsia="仿宋"/>
          <w:sz w:val="24"/>
        </w:rPr>
      </w:pPr>
      <w:bookmarkStart w:id="749" w:name="_Toc152042355"/>
      <w:r>
        <w:rPr>
          <w:rFonts w:hint="eastAsia" w:ascii="宋体" w:hAnsi="宋体" w:eastAsia="仿宋"/>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749"/>
    </w:p>
    <w:bookmarkEnd w:id="748"/>
    <w:p w14:paraId="1DEEF25E">
      <w:pPr>
        <w:pStyle w:val="3"/>
        <w:rPr>
          <w:rStyle w:val="98"/>
          <w:rFonts w:hint="eastAsia" w:ascii="宋体" w:hAnsi="宋体" w:eastAsia="仿宋"/>
          <w:b/>
          <w:bCs/>
          <w:sz w:val="24"/>
          <w:szCs w:val="24"/>
        </w:rPr>
      </w:pPr>
      <w:bookmarkStart w:id="750" w:name="_Toc333600734"/>
      <w:bookmarkStart w:id="751" w:name="_Toc333599710"/>
      <w:bookmarkStart w:id="752" w:name="_Toc152045580"/>
      <w:bookmarkStart w:id="753" w:name="_Toc342294765"/>
      <w:bookmarkStart w:id="754" w:name="_Toc466024552"/>
      <w:bookmarkStart w:id="755" w:name="_Toc445554743"/>
      <w:bookmarkStart w:id="756" w:name="_Toc338943751"/>
      <w:bookmarkStart w:id="757" w:name="_Toc342297670"/>
      <w:bookmarkStart w:id="758" w:name="_Toc179632598"/>
      <w:bookmarkStart w:id="759" w:name="_Toc455587085"/>
      <w:bookmarkStart w:id="760" w:name="_Toc338944656"/>
      <w:bookmarkStart w:id="761" w:name="_Toc455587269"/>
      <w:bookmarkStart w:id="762" w:name="_Toc342296213"/>
      <w:bookmarkStart w:id="763" w:name="_Toc152042357"/>
      <w:bookmarkStart w:id="764" w:name="_Toc458504870"/>
      <w:bookmarkStart w:id="765" w:name="_Toc144974547"/>
      <w:bookmarkStart w:id="766" w:name="_Toc371415963"/>
      <w:r>
        <w:rPr>
          <w:rStyle w:val="98"/>
          <w:rFonts w:hint="eastAsia" w:ascii="宋体" w:hAnsi="宋体" w:eastAsia="仿宋"/>
          <w:b/>
          <w:bCs/>
          <w:sz w:val="24"/>
          <w:szCs w:val="24"/>
        </w:rPr>
        <w:t>11. 政府采购政策</w:t>
      </w:r>
    </w:p>
    <w:p w14:paraId="08AC230F">
      <w:pPr>
        <w:pStyle w:val="4"/>
        <w:adjustRightInd w:val="0"/>
        <w:ind w:firstLine="482" w:firstLineChars="200"/>
        <w:rPr>
          <w:rFonts w:hint="eastAsia" w:eastAsia="仿宋"/>
          <w:sz w:val="24"/>
          <w:lang w:eastAsia="zh-CN"/>
        </w:rPr>
      </w:pPr>
      <w:r>
        <w:rPr>
          <w:rFonts w:hint="eastAsia" w:eastAsia="仿宋"/>
          <w:sz w:val="24"/>
          <w:lang w:eastAsia="zh-CN"/>
        </w:rPr>
        <w:t>11.1 节能与环保</w:t>
      </w:r>
    </w:p>
    <w:p w14:paraId="2F1D4EDC">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11.1.1 采购标的在《关于印发节能产品政府采购品目清单的通知》（财库〔2019〕19号）清单内的，应当实行强制采购或优先采购。本次招标实行政府强制采购的节能产品详见投标人须知前附表，投标人所投该产品如不具备国家确定的认证机构出具的、处于有效期之内的节能产品认证证书，其投标将被认定为投标无效。</w:t>
      </w:r>
    </w:p>
    <w:p w14:paraId="7CED13D0">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11.1.2 采购标的在《关于印发环境标志产品政府采购品目清单的通知》（财库〔2019〕18号）清单内的，应当实行优先采购。投标人所投该产品如不具备国家确定的认证机构出具的、处于有效期之内的环境标志产品认证证书，其投标不具有优先采购的条件。</w:t>
      </w:r>
    </w:p>
    <w:p w14:paraId="5A982097">
      <w:pPr>
        <w:pStyle w:val="4"/>
        <w:adjustRightInd w:val="0"/>
        <w:ind w:firstLine="482" w:firstLineChars="200"/>
        <w:rPr>
          <w:rFonts w:hint="eastAsia" w:eastAsia="仿宋"/>
          <w:sz w:val="24"/>
          <w:lang w:eastAsia="zh-CN"/>
        </w:rPr>
      </w:pPr>
      <w:r>
        <w:rPr>
          <w:rFonts w:hint="eastAsia" w:eastAsia="仿宋"/>
          <w:sz w:val="24"/>
          <w:lang w:eastAsia="zh-CN"/>
        </w:rPr>
        <w:t>11.2 促进中小企业发展</w:t>
      </w:r>
    </w:p>
    <w:p w14:paraId="1DAAA84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11.2.1根据《政府采购促进中小企业发展管理办法》（财政部文件财库〔2020〕46号）规定，投标人提供的货物、工程或者服务符合下列情形的，享受本条规定的中小企业扶持政策：</w:t>
      </w:r>
    </w:p>
    <w:p w14:paraId="4DADEE1F">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（1）在货物采购项目中，货物由中小企业制造，即货物由中小企业生产且使用该中小企业商号或者注册商标；</w:t>
      </w:r>
    </w:p>
    <w:p w14:paraId="3C6E7C34">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（2）在工程采购项目中，工程由中小企业承建，即工程施工单位为中小企业；</w:t>
      </w:r>
    </w:p>
    <w:p w14:paraId="4FE7A561">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（3）在服务采购项目中，服务由中小企业承接，即提供服务的人员为中小企业依照《中华人民共和国劳动合同法》订立劳动合同的从业人员。</w:t>
      </w:r>
    </w:p>
    <w:p w14:paraId="28470AFD">
      <w:pPr>
        <w:widowControl/>
        <w:adjustRightInd w:val="0"/>
        <w:snapToGrid w:val="0"/>
        <w:spacing w:line="360" w:lineRule="auto"/>
        <w:ind w:firstLine="480" w:firstLineChars="200"/>
        <w:rPr>
          <w:rFonts w:ascii="宋体" w:hAnsi="宋体" w:eastAsia="仿宋"/>
          <w:sz w:val="24"/>
        </w:rPr>
      </w:pPr>
      <w:r>
        <w:rPr>
          <w:rFonts w:hint="eastAsia" w:ascii="宋体" w:hAnsi="宋体" w:eastAsia="仿宋"/>
          <w:sz w:val="24"/>
        </w:rPr>
        <w:t>在货物采购项目中，供应商提供的货物既有中小企业制造货物，也有大型企业制造货物的，不享受本条规定的中小企业扶持政策。</w:t>
      </w:r>
    </w:p>
    <w:p w14:paraId="76109429">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以联合体形式参加政府采购活动（如接受联合体投标时），联合体各方均为中小企业的，联合体视同中小企业。其中，联合体各方均为小微企业的，联合体视同小微企业。</w:t>
      </w:r>
    </w:p>
    <w:p w14:paraId="1EB2C93F">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中小企业应当在投标文件中提供招标文件规定格式的《中小企业声明函》，并对其真实性负责。</w:t>
      </w:r>
    </w:p>
    <w:p w14:paraId="7BED47F0">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中小企业认定标准见投标人须知前附表。</w:t>
      </w:r>
    </w:p>
    <w:p w14:paraId="72A9B44B">
      <w:pPr>
        <w:widowControl/>
        <w:adjustRightInd w:val="0"/>
        <w:snapToGrid w:val="0"/>
        <w:spacing w:line="360" w:lineRule="auto"/>
        <w:ind w:firstLine="480" w:firstLineChars="200"/>
        <w:rPr>
          <w:rFonts w:hint="eastAsia" w:ascii="宋体" w:hAnsi="宋体" w:eastAsia="仿宋"/>
          <w:sz w:val="24"/>
        </w:rPr>
      </w:pPr>
      <w:r>
        <w:rPr>
          <w:rFonts w:hint="eastAsia" w:ascii="宋体" w:hAnsi="宋体" w:eastAsia="仿宋"/>
          <w:sz w:val="24"/>
        </w:rPr>
        <w:t>11.2.2投标人须知前附表第1.1.7项规定本项目属于专门面向中小企业（含中型、小型、微型企业，下同）采购的，投标人应符合本章第11.2.1项规定外，还应符合本项目的资格要求。</w:t>
      </w:r>
    </w:p>
    <w:p w14:paraId="598C7C01">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11.2.3</w:t>
      </w:r>
      <w:r>
        <w:rPr>
          <w:rFonts w:hint="eastAsia" w:ascii="宋体" w:hAnsi="宋体" w:eastAsia="仿宋"/>
          <w:sz w:val="24"/>
        </w:rPr>
        <w:t>投标人须知前附表第1.1.7项规定</w:t>
      </w:r>
      <w:r>
        <w:rPr>
          <w:rFonts w:hint="eastAsia" w:ascii="宋体" w:hAnsi="宋体" w:eastAsia="仿宋"/>
          <w:sz w:val="24"/>
          <w:lang w:bidi="en-US"/>
        </w:rPr>
        <w:t>本项目属于未预留份额专门面向中小企业采购的采购项目，以及预留份额项目中的非预留部分采购时，对小微企业的投标报价按照投标人须知前附表规定的比例给予扣除；</w:t>
      </w:r>
      <w:r>
        <w:rPr>
          <w:rFonts w:hint="eastAsia" w:ascii="宋体" w:hAnsi="宋体" w:eastAsia="仿宋"/>
          <w:sz w:val="24"/>
        </w:rPr>
        <w:t>接受大中型企业与小微企业组成联合体或者允许大中型企业向一家或者多家小微企业分包的，对于联合协议或者分包意向协议约定小微企业的合同份额占到合同总金额30%以上的，对联合体或者大中型企业的报价按照投标人须知前附表规定的比例给予报价扣除。用扣除后的价格参加评审。组成联合体或者接受分包的小微企业与联合体内其他企业、分包企业之间存在直接控股、管理关系的，不享受价格扣除优惠政策。</w:t>
      </w:r>
    </w:p>
    <w:p w14:paraId="4CB36CFB">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11.2.4 根据《关于政府采购支持监狱企业发展有关问题的通知》(财库〔2014〕68号)，监狱企业视同小型、微型企业。监狱企业参加政府采购活动时，提供由省级以上监狱管理局、戒毒管理局(含新疆生产建设兵团)出具的属于监狱企业的证明文件，无需提供《中小企业声明函》。</w:t>
      </w:r>
    </w:p>
    <w:p w14:paraId="3A248DBF">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11.2.5 按照《财政部 民政部 中国残疾人联合会关于促进残疾人就业政府采购政策的通知》（财库[2017]141号）的规定，在</w:t>
      </w:r>
      <w:r>
        <w:rPr>
          <w:rFonts w:hint="eastAsia" w:ascii="宋体" w:hAnsi="宋体" w:eastAsia="仿宋"/>
          <w:sz w:val="24"/>
        </w:rPr>
        <w:t>政府</w:t>
      </w:r>
      <w:r>
        <w:rPr>
          <w:rFonts w:hint="eastAsia" w:ascii="宋体" w:hAnsi="宋体" w:eastAsia="仿宋"/>
          <w:sz w:val="24"/>
          <w:lang w:bidi="en-US"/>
        </w:rPr>
        <w:t>采购活动中，符合条件的残疾人福利性单位视同小型、微型企业，享受评审价格扣除的政府采购政策。符合条件的残疾人福利性单位在参加政府采购活动时，应当提供招标文件规定格式的《残疾人福利性单位声明函》，无需提供《中小企业声明函》。</w:t>
      </w:r>
    </w:p>
    <w:p w14:paraId="6F916D5A">
      <w:pPr>
        <w:widowControl/>
        <w:adjustRightInd w:val="0"/>
        <w:snapToGrid w:val="0"/>
        <w:spacing w:line="360" w:lineRule="auto"/>
        <w:ind w:firstLine="480" w:firstLineChars="200"/>
        <w:rPr>
          <w:rFonts w:ascii="宋体" w:hAnsi="宋体" w:eastAsia="仿宋"/>
          <w:sz w:val="24"/>
          <w:lang w:bidi="en-US"/>
        </w:rPr>
      </w:pPr>
      <w:r>
        <w:rPr>
          <w:rFonts w:hint="eastAsia" w:ascii="宋体" w:hAnsi="宋体" w:eastAsia="仿宋"/>
          <w:sz w:val="24"/>
          <w:lang w:bidi="en-US"/>
        </w:rPr>
        <w:t>11.2.6 监狱企业、残疾人福利性单位属于小微企业的，不重复享受中小企业价格评审优惠政策。</w:t>
      </w:r>
    </w:p>
    <w:p w14:paraId="6B728A03">
      <w:pPr>
        <w:pStyle w:val="4"/>
        <w:adjustRightInd w:val="0"/>
        <w:ind w:firstLine="482" w:firstLineChars="200"/>
        <w:rPr>
          <w:rFonts w:hint="eastAsia" w:eastAsia="仿宋"/>
          <w:sz w:val="24"/>
          <w:lang w:eastAsia="zh-CN"/>
        </w:rPr>
      </w:pPr>
      <w:r>
        <w:rPr>
          <w:rFonts w:hint="eastAsia" w:eastAsia="仿宋"/>
          <w:sz w:val="24"/>
          <w:lang w:eastAsia="zh-CN"/>
        </w:rPr>
        <w:t>11.3 支持绿色建筑和绿色建材</w:t>
      </w:r>
    </w:p>
    <w:p w14:paraId="06415DC8">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11.3.1 根据《关于政府采购支持绿色建材促进建筑品质提升试点工作的通知》（财库〔2020〕31号），政府采购工程选取建材产品应当符合《绿色建筑和绿色建材政府采购基本要求》（试行，以下简称《基本要求》）的规定。本次采购实行强制采购的绿色建材及具体要求详见供应商须知前附表，供应商所投该建材产品不符合具体要求的，其投标将被认定为投标无效。</w:t>
      </w:r>
    </w:p>
    <w:p w14:paraId="5D7885A3">
      <w:pPr>
        <w:widowControl/>
        <w:adjustRightInd w:val="0"/>
        <w:snapToGrid w:val="0"/>
        <w:spacing w:line="360" w:lineRule="auto"/>
        <w:ind w:firstLine="480" w:firstLineChars="200"/>
        <w:rPr>
          <w:rFonts w:hint="eastAsia" w:ascii="宋体" w:hAnsi="宋体" w:eastAsia="仿宋"/>
          <w:sz w:val="24"/>
          <w:lang w:bidi="en-US"/>
        </w:rPr>
      </w:pPr>
      <w:r>
        <w:rPr>
          <w:rFonts w:hint="eastAsia" w:ascii="宋体" w:hAnsi="宋体" w:eastAsia="仿宋"/>
          <w:sz w:val="24"/>
          <w:lang w:bidi="en-US"/>
        </w:rPr>
        <w:t>11.3.2 对于尚未纳入《基本要求》的建材产品，应参考绿色建筑、绿色建材等相关标准要求。</w:t>
      </w:r>
    </w:p>
    <w:p w14:paraId="3CB41ABF">
      <w:pPr>
        <w:widowControl/>
        <w:adjustRightInd w:val="0"/>
        <w:snapToGrid w:val="0"/>
        <w:spacing w:line="360" w:lineRule="auto"/>
        <w:ind w:firstLine="480" w:firstLineChars="200"/>
        <w:rPr>
          <w:rFonts w:hint="eastAsia" w:ascii="宋体" w:hAnsi="宋体" w:eastAsia="仿宋"/>
          <w:sz w:val="24"/>
          <w:lang w:bidi="en-US"/>
        </w:rPr>
      </w:pPr>
    </w:p>
    <w:p w14:paraId="2878C5F2">
      <w:pPr>
        <w:pStyle w:val="3"/>
        <w:rPr>
          <w:rStyle w:val="98"/>
          <w:rFonts w:hint="eastAsia" w:ascii="宋体" w:hAnsi="宋体" w:eastAsia="仿宋"/>
          <w:b/>
          <w:bCs/>
          <w:sz w:val="24"/>
          <w:szCs w:val="24"/>
        </w:rPr>
      </w:pPr>
      <w:r>
        <w:rPr>
          <w:rStyle w:val="98"/>
          <w:rFonts w:hint="eastAsia" w:ascii="宋体" w:hAnsi="宋体" w:eastAsia="仿宋"/>
          <w:b/>
          <w:bCs/>
          <w:sz w:val="24"/>
          <w:szCs w:val="24"/>
        </w:rPr>
        <w:t>12. 需要补充的其他内容</w:t>
      </w:r>
    </w:p>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14:paraId="3D4B17D5">
      <w:pPr>
        <w:widowControl/>
        <w:adjustRightInd w:val="0"/>
        <w:snapToGrid w:val="0"/>
        <w:spacing w:line="360" w:lineRule="auto"/>
        <w:ind w:firstLine="480" w:firstLineChars="200"/>
        <w:rPr>
          <w:rFonts w:hint="eastAsia" w:eastAsia="仿宋"/>
          <w:sz w:val="24"/>
          <w:lang w:bidi="en-US"/>
        </w:rPr>
      </w:pPr>
      <w:bookmarkStart w:id="767" w:name="_Toc455587087"/>
      <w:bookmarkStart w:id="768" w:name="_Toc455587271"/>
      <w:bookmarkStart w:id="769" w:name="_Toc458504872"/>
      <w:bookmarkStart w:id="770" w:name="_Toc445554745"/>
      <w:bookmarkStart w:id="771" w:name="_Toc466024554"/>
      <w:r>
        <w:rPr>
          <w:rFonts w:hint="eastAsia" w:eastAsia="仿宋"/>
          <w:sz w:val="24"/>
          <w:lang w:bidi="en-US"/>
        </w:rPr>
        <w:t>需要补充的其他内容</w:t>
      </w:r>
      <w:bookmarkEnd w:id="767"/>
      <w:bookmarkEnd w:id="768"/>
      <w:bookmarkEnd w:id="769"/>
      <w:bookmarkEnd w:id="770"/>
      <w:bookmarkEnd w:id="771"/>
      <w:r>
        <w:rPr>
          <w:rFonts w:hint="eastAsia" w:eastAsia="仿宋"/>
          <w:sz w:val="24"/>
          <w:lang w:bidi="en-US"/>
        </w:rPr>
        <w:t>：见投标人须知前附表。</w:t>
      </w:r>
    </w:p>
    <w:p w14:paraId="246B387D">
      <w:pPr>
        <w:widowControl/>
        <w:jc w:val="center"/>
        <w:rPr>
          <w:rFonts w:ascii="Calibri" w:hAnsi="Calibri" w:cs="Calibri"/>
          <w:szCs w:val="21"/>
        </w:rPr>
      </w:pPr>
      <w:r>
        <w:rPr>
          <w:rFonts w:ascii="宋体" w:hAnsi="宋体" w:eastAsia="仿宋"/>
          <w:szCs w:val="21"/>
        </w:rPr>
        <w:br w:type="page"/>
      </w:r>
      <w:r>
        <w:rPr>
          <w:rFonts w:ascii="黑体" w:hAnsi="宋体" w:eastAsia="黑体" w:cs="黑体"/>
          <w:kern w:val="0"/>
          <w:sz w:val="44"/>
          <w:szCs w:val="44"/>
          <w:lang w:bidi="ar"/>
        </w:rPr>
        <w:t>附件：</w:t>
      </w:r>
      <w:r>
        <w:rPr>
          <w:rFonts w:hint="eastAsia" w:ascii="黑体" w:hAnsi="宋体" w:eastAsia="黑体" w:cs="黑体"/>
          <w:kern w:val="0"/>
          <w:sz w:val="44"/>
          <w:szCs w:val="44"/>
          <w:lang w:bidi="ar"/>
        </w:rPr>
        <w:t>全流程电子招标采购具体要求</w:t>
      </w:r>
    </w:p>
    <w:p w14:paraId="79D27B1B">
      <w:pPr>
        <w:widowControl/>
        <w:spacing w:line="400" w:lineRule="atLeast"/>
        <w:ind w:firstLine="420"/>
        <w:rPr>
          <w:rFonts w:ascii="Calibri" w:hAnsi="Calibri" w:cs="Calibri"/>
          <w:szCs w:val="21"/>
        </w:rPr>
      </w:pPr>
      <w:r>
        <w:rPr>
          <w:rFonts w:hint="eastAsia" w:ascii="黑体" w:hAnsi="宋体" w:eastAsia="黑体" w:cs="黑体"/>
          <w:kern w:val="0"/>
          <w:szCs w:val="21"/>
          <w:lang w:bidi="ar"/>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评标委员会”按“评审小组”理解，“投标无效”按“响应文件无效”理解。</w:t>
      </w:r>
    </w:p>
    <w:p w14:paraId="6F049F58">
      <w:pPr>
        <w:widowControl/>
        <w:spacing w:line="400" w:lineRule="atLeast"/>
        <w:ind w:firstLine="420"/>
        <w:rPr>
          <w:rFonts w:ascii="Calibri" w:hAnsi="Calibri" w:cs="Calibri"/>
          <w:szCs w:val="21"/>
        </w:rPr>
      </w:pPr>
      <w:r>
        <w:rPr>
          <w:rFonts w:hint="eastAsia" w:ascii="黑体" w:hAnsi="宋体" w:eastAsia="黑体" w:cs="黑体"/>
          <w:kern w:val="0"/>
          <w:szCs w:val="21"/>
          <w:lang w:bidi="ar"/>
        </w:rPr>
        <w:t> </w:t>
      </w:r>
    </w:p>
    <w:p w14:paraId="3098A2FA">
      <w:pPr>
        <w:widowControl/>
        <w:spacing w:line="400" w:lineRule="atLeast"/>
        <w:ind w:firstLine="420"/>
        <w:rPr>
          <w:rFonts w:ascii="Calibri" w:hAnsi="Calibri" w:cs="Calibri"/>
          <w:szCs w:val="21"/>
        </w:rPr>
      </w:pPr>
      <w:r>
        <w:rPr>
          <w:rFonts w:hint="eastAsia" w:ascii="黑体" w:hAnsi="宋体" w:eastAsia="黑体" w:cs="黑体"/>
          <w:kern w:val="0"/>
          <w:szCs w:val="21"/>
          <w:lang w:bidi="ar"/>
        </w:rPr>
        <w:t>一、</w:t>
      </w:r>
      <w:r>
        <w:rPr>
          <w:rFonts w:ascii="Calibri" w:hAnsi="Calibri" w:cs="Calibri"/>
          <w:kern w:val="0"/>
          <w:szCs w:val="21"/>
          <w:lang w:bidi="ar"/>
        </w:rPr>
        <w:t>CA</w:t>
      </w:r>
      <w:r>
        <w:rPr>
          <w:rFonts w:hint="eastAsia" w:ascii="黑体" w:hAnsi="宋体" w:eastAsia="黑体" w:cs="黑体"/>
          <w:kern w:val="0"/>
          <w:szCs w:val="21"/>
          <w:lang w:bidi="ar"/>
        </w:rPr>
        <w:t>证书办理和注意事项</w:t>
      </w:r>
    </w:p>
    <w:p w14:paraId="5F9A92DD">
      <w:pPr>
        <w:widowControl/>
        <w:spacing w:line="400" w:lineRule="atLeast"/>
        <w:ind w:firstLine="420"/>
        <w:rPr>
          <w:rFonts w:ascii="Calibri" w:hAnsi="Calibri" w:cs="Calibri"/>
          <w:szCs w:val="21"/>
        </w:rPr>
      </w:pPr>
      <w:r>
        <w:rPr>
          <w:rFonts w:hint="eastAsia" w:ascii="宋体" w:hAnsi="宋体" w:cs="宋体"/>
          <w:kern w:val="0"/>
          <w:szCs w:val="21"/>
          <w:lang w:bidi="ar"/>
        </w:rPr>
        <w:t>1.本项目采用全流程电子招标采购方式，潜在投标人应及时办理</w:t>
      </w:r>
      <w:r>
        <w:rPr>
          <w:rFonts w:ascii="Calibri" w:hAnsi="Calibri" w:cs="Calibri"/>
          <w:kern w:val="0"/>
          <w:szCs w:val="21"/>
          <w:lang w:bidi="ar"/>
        </w:rPr>
        <w:t>CA</w:t>
      </w:r>
      <w:r>
        <w:rPr>
          <w:rFonts w:hint="eastAsia" w:ascii="宋体" w:hAnsi="宋体" w:cs="宋体"/>
          <w:kern w:val="0"/>
          <w:szCs w:val="21"/>
          <w:lang w:bidi="ar"/>
        </w:rPr>
        <w:t>证书，用于对投标文件进行电子签章及加、解密。</w:t>
      </w:r>
    </w:p>
    <w:p w14:paraId="2C12AB2F">
      <w:pPr>
        <w:widowControl/>
        <w:spacing w:line="400" w:lineRule="atLeast"/>
        <w:ind w:firstLine="420"/>
        <w:rPr>
          <w:rFonts w:ascii="Calibri" w:hAnsi="Calibri" w:cs="Calibri"/>
          <w:szCs w:val="21"/>
        </w:rPr>
      </w:pPr>
      <w:r>
        <w:rPr>
          <w:rFonts w:hint="eastAsia" w:ascii="宋体" w:hAnsi="宋体" w:cs="宋体"/>
          <w:kern w:val="0"/>
          <w:szCs w:val="21"/>
          <w:lang w:bidi="ar"/>
        </w:rPr>
        <w:t>2.CA证书办理详见《优质采平台</w:t>
      </w:r>
      <w:r>
        <w:rPr>
          <w:rFonts w:ascii="Calibri" w:hAnsi="Calibri" w:cs="Calibri"/>
          <w:kern w:val="0"/>
          <w:szCs w:val="21"/>
          <w:lang w:bidi="ar"/>
        </w:rPr>
        <w:t>CA</w:t>
      </w:r>
      <w:r>
        <w:rPr>
          <w:rFonts w:hint="eastAsia" w:ascii="宋体" w:hAnsi="宋体" w:cs="宋体"/>
          <w:kern w:val="0"/>
          <w:szCs w:val="21"/>
          <w:lang w:bidi="ar"/>
        </w:rPr>
        <w:t>数字证书办理说明》：</w:t>
      </w:r>
    </w:p>
    <w:p w14:paraId="39C32C1D">
      <w:pPr>
        <w:widowControl/>
        <w:spacing w:line="400" w:lineRule="atLeast"/>
        <w:ind w:firstLine="420"/>
        <w:rPr>
          <w:rFonts w:ascii="Calibri" w:hAnsi="Calibri" w:cs="Calibri"/>
          <w:szCs w:val="21"/>
        </w:rPr>
      </w:pPr>
      <w:r>
        <w:rPr>
          <w:rFonts w:ascii="Calibri" w:hAnsi="Calibri" w:cs="Calibri"/>
          <w:kern w:val="0"/>
          <w:szCs w:val="21"/>
          <w:lang w:bidi="ar"/>
        </w:rPr>
        <w:fldChar w:fldCharType="begin"/>
      </w:r>
      <w:r>
        <w:rPr>
          <w:rFonts w:ascii="Calibri" w:hAnsi="Calibri" w:cs="Calibri"/>
          <w:kern w:val="0"/>
          <w:szCs w:val="21"/>
          <w:lang w:bidi="ar"/>
        </w:rPr>
        <w:instrText xml:space="preserve"> HYPERLINK "https://www.youzhicai.com/HelpCenter/HelpCenterDetail?Id=0d2b8e6d-02a6-4dd0-b828-1aa71a25a7b0" </w:instrText>
      </w:r>
      <w:r>
        <w:rPr>
          <w:rFonts w:ascii="Calibri" w:hAnsi="Calibri" w:cs="Calibri"/>
          <w:kern w:val="0"/>
          <w:szCs w:val="21"/>
          <w:lang w:bidi="ar"/>
        </w:rPr>
        <w:fldChar w:fldCharType="separate"/>
      </w:r>
      <w:r>
        <w:rPr>
          <w:rStyle w:val="54"/>
          <w:rFonts w:ascii="Calibri" w:hAnsi="Calibri" w:cs="Calibri"/>
          <w:color w:val="auto"/>
          <w:szCs w:val="21"/>
        </w:rPr>
        <w:t>https://www.youzhicai.com/HelpCenter/HelpCenterDetail?Id=0d2b8e6d-02a6-4dd0-b828-1aa71a25a7b0</w:t>
      </w:r>
      <w:r>
        <w:rPr>
          <w:rFonts w:ascii="Calibri" w:hAnsi="Calibri" w:cs="Calibri"/>
          <w:kern w:val="0"/>
          <w:szCs w:val="21"/>
          <w:lang w:bidi="ar"/>
        </w:rPr>
        <w:fldChar w:fldCharType="end"/>
      </w:r>
    </w:p>
    <w:p w14:paraId="5052F336">
      <w:pPr>
        <w:widowControl/>
        <w:spacing w:line="400" w:lineRule="atLeast"/>
        <w:ind w:firstLine="420"/>
        <w:rPr>
          <w:rFonts w:ascii="Calibri" w:hAnsi="Calibri" w:cs="Calibri"/>
          <w:szCs w:val="21"/>
        </w:rPr>
      </w:pPr>
      <w:r>
        <w:rPr>
          <w:rFonts w:hint="eastAsia" w:ascii="宋体" w:hAnsi="宋体" w:cs="宋体"/>
          <w:kern w:val="0"/>
          <w:szCs w:val="21"/>
          <w:lang w:bidi="ar"/>
        </w:rPr>
        <w:t>3.CA证书到期或即将到期，须在递交投标文件前办理续期。</w:t>
      </w:r>
    </w:p>
    <w:p w14:paraId="293FF555">
      <w:pPr>
        <w:widowControl/>
        <w:spacing w:line="400" w:lineRule="atLeast"/>
        <w:ind w:firstLine="420"/>
        <w:rPr>
          <w:rFonts w:ascii="Calibri" w:hAnsi="Calibri" w:cs="Calibri"/>
          <w:szCs w:val="21"/>
        </w:rPr>
      </w:pPr>
      <w:r>
        <w:rPr>
          <w:rFonts w:hint="eastAsia" w:ascii="宋体" w:hAnsi="宋体" w:cs="宋体"/>
          <w:kern w:val="0"/>
          <w:szCs w:val="21"/>
          <w:lang w:bidi="ar"/>
        </w:rPr>
        <w:t>4.CA锁遗失、损坏等无法使用，须在递交投标文件前补办</w:t>
      </w:r>
      <w:r>
        <w:rPr>
          <w:rFonts w:ascii="Calibri" w:hAnsi="Calibri" w:cs="Calibri"/>
          <w:kern w:val="0"/>
          <w:szCs w:val="21"/>
          <w:lang w:bidi="ar"/>
        </w:rPr>
        <w:t>CA</w:t>
      </w:r>
      <w:r>
        <w:rPr>
          <w:rFonts w:hint="eastAsia" w:ascii="宋体" w:hAnsi="宋体" w:cs="宋体"/>
          <w:kern w:val="0"/>
          <w:szCs w:val="21"/>
          <w:lang w:bidi="ar"/>
        </w:rPr>
        <w:t>锁。</w:t>
      </w:r>
    </w:p>
    <w:p w14:paraId="3ED6DF6B">
      <w:pPr>
        <w:widowControl/>
        <w:spacing w:line="400" w:lineRule="atLeast"/>
        <w:ind w:firstLine="420"/>
        <w:rPr>
          <w:rFonts w:ascii="Calibri" w:hAnsi="Calibri" w:cs="Calibri"/>
          <w:szCs w:val="21"/>
        </w:rPr>
      </w:pPr>
      <w:r>
        <w:rPr>
          <w:rFonts w:hint="eastAsia" w:ascii="宋体" w:hAnsi="宋体" w:cs="宋体"/>
          <w:kern w:val="0"/>
          <w:szCs w:val="21"/>
          <w:lang w:bidi="ar"/>
        </w:rPr>
        <w:t>5.企业信息（包括但不限于企业名称和法定代表人信息）发生变更的，须在递交投标文件前变更</w:t>
      </w:r>
      <w:r>
        <w:rPr>
          <w:rFonts w:ascii="Calibri" w:hAnsi="Calibri" w:cs="Calibri"/>
          <w:kern w:val="0"/>
          <w:szCs w:val="21"/>
          <w:lang w:bidi="ar"/>
        </w:rPr>
        <w:t>CA</w:t>
      </w:r>
      <w:r>
        <w:rPr>
          <w:rFonts w:hint="eastAsia" w:ascii="宋体" w:hAnsi="宋体" w:cs="宋体"/>
          <w:kern w:val="0"/>
          <w:szCs w:val="21"/>
          <w:lang w:bidi="ar"/>
        </w:rPr>
        <w:t>证书。</w:t>
      </w:r>
    </w:p>
    <w:p w14:paraId="4FCCEE5F">
      <w:pPr>
        <w:widowControl/>
        <w:spacing w:line="400" w:lineRule="atLeast"/>
        <w:rPr>
          <w:rFonts w:ascii="Calibri" w:hAnsi="Calibri" w:cs="Calibri"/>
          <w:szCs w:val="21"/>
        </w:rPr>
      </w:pPr>
      <w:r>
        <w:rPr>
          <w:rFonts w:hint="eastAsia" w:ascii="宋体" w:hAnsi="宋体" w:cs="宋体"/>
          <w:kern w:val="0"/>
          <w:szCs w:val="21"/>
          <w:lang w:bidi="ar"/>
        </w:rPr>
        <w:t>6.投标人由于</w:t>
      </w:r>
      <w:r>
        <w:rPr>
          <w:rFonts w:ascii="Calibri" w:hAnsi="Calibri" w:cs="Calibri"/>
          <w:kern w:val="0"/>
          <w:szCs w:val="21"/>
          <w:lang w:bidi="ar"/>
        </w:rPr>
        <w:t>CA</w:t>
      </w:r>
      <w:r>
        <w:rPr>
          <w:rFonts w:hint="eastAsia" w:ascii="宋体" w:hAnsi="宋体" w:cs="宋体"/>
          <w:kern w:val="0"/>
          <w:szCs w:val="21"/>
          <w:lang w:bidi="ar"/>
        </w:rPr>
        <w:t>证书遗失、损坏、更换、续期、企业信息变更等情况导致投标文件无法解密的，由投标人自行承担责任；</w:t>
      </w:r>
    </w:p>
    <w:p w14:paraId="28E6A189">
      <w:pPr>
        <w:widowControl/>
        <w:spacing w:line="400" w:lineRule="atLeast"/>
        <w:ind w:firstLine="420"/>
        <w:rPr>
          <w:rFonts w:ascii="Calibri" w:hAnsi="Calibri" w:cs="Calibri"/>
          <w:szCs w:val="21"/>
        </w:rPr>
      </w:pPr>
      <w:r>
        <w:rPr>
          <w:rFonts w:hint="eastAsia" w:ascii="宋体" w:hAnsi="宋体" w:cs="宋体"/>
          <w:kern w:val="0"/>
          <w:szCs w:val="21"/>
          <w:lang w:bidi="ar"/>
        </w:rPr>
        <w:t>7.加密和解密投标文件必须使用同一个</w:t>
      </w:r>
      <w:r>
        <w:rPr>
          <w:rFonts w:ascii="Calibri" w:hAnsi="Calibri" w:cs="Calibri"/>
          <w:kern w:val="0"/>
          <w:szCs w:val="21"/>
          <w:lang w:bidi="ar"/>
        </w:rPr>
        <w:t>CA</w:t>
      </w:r>
      <w:r>
        <w:rPr>
          <w:rFonts w:hint="eastAsia" w:ascii="宋体" w:hAnsi="宋体" w:cs="宋体"/>
          <w:kern w:val="0"/>
          <w:szCs w:val="21"/>
          <w:lang w:bidi="ar"/>
        </w:rPr>
        <w:t>证书。</w:t>
      </w:r>
    </w:p>
    <w:p w14:paraId="1CA7FE7A">
      <w:pPr>
        <w:widowControl/>
        <w:spacing w:line="400" w:lineRule="atLeast"/>
        <w:ind w:firstLine="420"/>
        <w:rPr>
          <w:rFonts w:ascii="Calibri" w:hAnsi="Calibri" w:cs="Calibri"/>
          <w:szCs w:val="21"/>
        </w:rPr>
      </w:pPr>
      <w:r>
        <w:rPr>
          <w:rFonts w:hint="eastAsia" w:ascii="黑体" w:hAnsi="宋体" w:eastAsia="黑体" w:cs="黑体"/>
          <w:kern w:val="0"/>
          <w:szCs w:val="21"/>
          <w:lang w:bidi="ar"/>
        </w:rPr>
        <w:t>二、制作、签章、加密、上传电子投标文件</w:t>
      </w:r>
    </w:p>
    <w:p w14:paraId="0029BE97">
      <w:pPr>
        <w:widowControl/>
        <w:spacing w:line="400" w:lineRule="atLeast"/>
        <w:ind w:firstLine="420"/>
        <w:rPr>
          <w:rFonts w:ascii="Calibri" w:hAnsi="Calibri" w:cs="Calibri"/>
          <w:szCs w:val="21"/>
        </w:rPr>
      </w:pPr>
      <w:r>
        <w:rPr>
          <w:rFonts w:hint="eastAsia" w:ascii="宋体" w:hAnsi="宋体" w:cs="宋体"/>
          <w:kern w:val="0"/>
          <w:szCs w:val="21"/>
          <w:lang w:bidi="ar"/>
        </w:rPr>
        <w:t>8.本项目采用全流程电子化招标采购方式，潜在投标人需使用“优质采投标工具客户端”（以下简称“投标工具”）制作电子投标文件，投标工具及操作说明下载地址：</w:t>
      </w:r>
      <w:r>
        <w:rPr>
          <w:rFonts w:ascii="Calibri" w:hAnsi="Calibri" w:cs="Calibri"/>
          <w:kern w:val="0"/>
          <w:szCs w:val="21"/>
          <w:lang w:bidi="ar"/>
        </w:rPr>
        <w:fldChar w:fldCharType="begin"/>
      </w:r>
      <w:r>
        <w:rPr>
          <w:rFonts w:ascii="Calibri" w:hAnsi="Calibri" w:cs="Calibri"/>
          <w:kern w:val="0"/>
          <w:szCs w:val="21"/>
          <w:lang w:bidi="ar"/>
        </w:rPr>
        <w:instrText xml:space="preserve"> HYPERLINK "https://toolcdn.youzhicai.com/tools/BidderTools.zip" </w:instrText>
      </w:r>
      <w:r>
        <w:rPr>
          <w:rFonts w:ascii="Calibri" w:hAnsi="Calibri" w:cs="Calibri"/>
          <w:kern w:val="0"/>
          <w:szCs w:val="21"/>
          <w:lang w:bidi="ar"/>
        </w:rPr>
        <w:fldChar w:fldCharType="separate"/>
      </w:r>
      <w:r>
        <w:rPr>
          <w:rStyle w:val="54"/>
          <w:rFonts w:ascii="Calibri" w:hAnsi="Calibri" w:cs="Calibri"/>
          <w:color w:val="auto"/>
          <w:szCs w:val="21"/>
        </w:rPr>
        <w:t>https://toolcdn.youzhicai.com/tools/BidderTools.zip</w:t>
      </w:r>
      <w:r>
        <w:rPr>
          <w:rFonts w:ascii="Calibri" w:hAnsi="Calibri" w:cs="Calibri"/>
          <w:kern w:val="0"/>
          <w:szCs w:val="21"/>
          <w:lang w:bidi="ar"/>
        </w:rPr>
        <w:fldChar w:fldCharType="end"/>
      </w:r>
      <w:r>
        <w:rPr>
          <w:rFonts w:ascii="Calibri" w:hAnsi="Calibri" w:cs="Calibri"/>
          <w:kern w:val="0"/>
          <w:szCs w:val="21"/>
          <w:lang w:bidi="ar"/>
        </w:rPr>
        <w:t> </w:t>
      </w:r>
      <w:r>
        <w:rPr>
          <w:rFonts w:hint="eastAsia" w:ascii="宋体" w:hAnsi="宋体" w:cs="宋体"/>
          <w:kern w:val="0"/>
          <w:szCs w:val="21"/>
          <w:lang w:bidi="ar"/>
        </w:rPr>
        <w:t>，工具使用说明及教程下载地址：</w:t>
      </w:r>
      <w:r>
        <w:rPr>
          <w:rFonts w:ascii="Calibri" w:hAnsi="Calibri" w:cs="Calibri"/>
          <w:kern w:val="0"/>
          <w:szCs w:val="21"/>
          <w:lang w:bidi="ar"/>
        </w:rPr>
        <w:t>http://file.youzhicai.com/files/BidderHelp.rar</w:t>
      </w:r>
    </w:p>
    <w:p w14:paraId="5B686FDA">
      <w:pPr>
        <w:widowControl/>
        <w:spacing w:line="400" w:lineRule="atLeast"/>
        <w:ind w:firstLine="420"/>
        <w:rPr>
          <w:rFonts w:ascii="Calibri" w:hAnsi="Calibri" w:cs="Calibri"/>
          <w:szCs w:val="21"/>
        </w:rPr>
      </w:pPr>
      <w:r>
        <w:rPr>
          <w:rFonts w:ascii="Calibri" w:hAnsi="Calibri" w:cs="Calibri"/>
          <w:kern w:val="0"/>
          <w:szCs w:val="21"/>
          <w:lang w:bidi="ar"/>
        </w:rPr>
        <w:t>8.1.</w:t>
      </w:r>
      <w:r>
        <w:rPr>
          <w:rFonts w:hint="eastAsia" w:ascii="宋体" w:hAnsi="宋体" w:cs="宋体"/>
          <w:kern w:val="0"/>
          <w:szCs w:val="21"/>
          <w:lang w:bidi="ar"/>
        </w:rPr>
        <w:t>投标工具建议在</w:t>
      </w:r>
      <w:r>
        <w:rPr>
          <w:rFonts w:ascii="Calibri" w:hAnsi="Calibri" w:cs="Calibri"/>
          <w:kern w:val="0"/>
          <w:szCs w:val="21"/>
          <w:lang w:bidi="ar"/>
        </w:rPr>
        <w:t>window7</w:t>
      </w:r>
      <w:r>
        <w:rPr>
          <w:rFonts w:hint="eastAsia" w:ascii="宋体" w:hAnsi="宋体" w:cs="宋体"/>
          <w:kern w:val="0"/>
          <w:szCs w:val="21"/>
          <w:lang w:bidi="ar"/>
        </w:rPr>
        <w:t>或</w:t>
      </w:r>
      <w:r>
        <w:rPr>
          <w:rFonts w:ascii="Calibri" w:hAnsi="Calibri" w:cs="Calibri"/>
          <w:kern w:val="0"/>
          <w:szCs w:val="21"/>
          <w:lang w:bidi="ar"/>
        </w:rPr>
        <w:t>windows10</w:t>
      </w:r>
      <w:r>
        <w:rPr>
          <w:rFonts w:hint="eastAsia" w:ascii="宋体" w:hAnsi="宋体" w:cs="宋体"/>
          <w:kern w:val="0"/>
          <w:szCs w:val="21"/>
          <w:lang w:bidi="ar"/>
        </w:rPr>
        <w:t>操作系统下使用；</w:t>
      </w:r>
    </w:p>
    <w:p w14:paraId="0CD4846A">
      <w:pPr>
        <w:widowControl/>
        <w:spacing w:line="400" w:lineRule="atLeast"/>
        <w:ind w:firstLine="420"/>
        <w:rPr>
          <w:rFonts w:ascii="Calibri" w:hAnsi="Calibri" w:cs="Calibri"/>
          <w:szCs w:val="21"/>
        </w:rPr>
      </w:pPr>
      <w:r>
        <w:rPr>
          <w:rFonts w:ascii="Calibri" w:hAnsi="Calibri" w:cs="Calibri"/>
          <w:kern w:val="0"/>
          <w:szCs w:val="21"/>
          <w:lang w:bidi="ar"/>
        </w:rPr>
        <w:t>8.2.</w:t>
      </w:r>
      <w:r>
        <w:rPr>
          <w:rFonts w:hint="eastAsia" w:ascii="宋体" w:hAnsi="宋体" w:cs="宋体"/>
          <w:kern w:val="0"/>
          <w:szCs w:val="21"/>
          <w:lang w:bidi="ar"/>
        </w:rPr>
        <w:t>电子投标文件编制建议使用</w:t>
      </w:r>
      <w:r>
        <w:rPr>
          <w:rFonts w:ascii="Calibri" w:hAnsi="Calibri" w:cs="Calibri"/>
          <w:kern w:val="0"/>
          <w:szCs w:val="21"/>
          <w:lang w:bidi="ar"/>
        </w:rPr>
        <w:t>office2010</w:t>
      </w:r>
      <w:r>
        <w:rPr>
          <w:rFonts w:hint="eastAsia" w:ascii="宋体" w:hAnsi="宋体" w:cs="宋体"/>
          <w:kern w:val="0"/>
          <w:szCs w:val="21"/>
          <w:lang w:bidi="ar"/>
        </w:rPr>
        <w:t>版本。</w:t>
      </w:r>
    </w:p>
    <w:p w14:paraId="4C6F4D6D">
      <w:pPr>
        <w:widowControl/>
        <w:wordWrap w:val="0"/>
        <w:spacing w:line="400" w:lineRule="atLeast"/>
        <w:rPr>
          <w:rFonts w:ascii="Calibri" w:hAnsi="Calibri" w:cs="Calibri"/>
          <w:szCs w:val="21"/>
        </w:rPr>
      </w:pPr>
      <w:r>
        <w:rPr>
          <w:rFonts w:hint="eastAsia" w:ascii="宋体" w:hAnsi="宋体" w:cs="宋体"/>
          <w:kern w:val="0"/>
          <w:szCs w:val="21"/>
          <w:lang w:bidi="ar"/>
        </w:rPr>
        <w:t>9.潜在投标人制作电子投标文件后，需在投标工具对电子投标文件进行电子签章（项目有特殊说明的除外），并使用</w:t>
      </w:r>
      <w:r>
        <w:rPr>
          <w:rFonts w:ascii="Calibri" w:hAnsi="Calibri" w:cs="Calibri"/>
          <w:kern w:val="0"/>
          <w:szCs w:val="21"/>
          <w:lang w:bidi="ar"/>
        </w:rPr>
        <w:t>CA</w:t>
      </w:r>
      <w:r>
        <w:rPr>
          <w:rFonts w:hint="eastAsia" w:ascii="宋体" w:hAnsi="宋体" w:cs="宋体"/>
          <w:kern w:val="0"/>
          <w:szCs w:val="21"/>
          <w:lang w:bidi="ar"/>
        </w:rPr>
        <w:t>证书进行加密。在投标工具使用CA证书时需安装“优质采数字证书助手” （即数字证书驱动），下载地址：</w:t>
      </w:r>
      <w:r>
        <w:rPr>
          <w:rFonts w:ascii="Calibri" w:hAnsi="Calibri" w:cs="Calibri"/>
          <w:kern w:val="0"/>
          <w:szCs w:val="21"/>
          <w:lang w:bidi="ar"/>
        </w:rPr>
        <w:fldChar w:fldCharType="begin"/>
      </w:r>
      <w:r>
        <w:rPr>
          <w:rFonts w:ascii="Calibri" w:hAnsi="Calibri" w:cs="Calibri"/>
          <w:kern w:val="0"/>
          <w:szCs w:val="21"/>
          <w:lang w:bidi="ar"/>
        </w:rPr>
        <w:instrText xml:space="preserve"> HYPERLINK "https://toolcdn.youzhicai.com/ca.zip" </w:instrText>
      </w:r>
      <w:r>
        <w:rPr>
          <w:rFonts w:ascii="Calibri" w:hAnsi="Calibri" w:cs="Calibri"/>
          <w:kern w:val="0"/>
          <w:szCs w:val="21"/>
          <w:lang w:bidi="ar"/>
        </w:rPr>
        <w:fldChar w:fldCharType="separate"/>
      </w:r>
      <w:r>
        <w:rPr>
          <w:rStyle w:val="54"/>
          <w:rFonts w:ascii="Calibri" w:hAnsi="Calibri" w:cs="Calibri"/>
          <w:color w:val="auto"/>
          <w:szCs w:val="21"/>
        </w:rPr>
        <w:t>https://toolcdn.youzhicai.com/ca.zip</w:t>
      </w:r>
      <w:r>
        <w:rPr>
          <w:rFonts w:ascii="Calibri" w:hAnsi="Calibri" w:cs="Calibri"/>
          <w:kern w:val="0"/>
          <w:szCs w:val="21"/>
          <w:lang w:bidi="ar"/>
        </w:rPr>
        <w:fldChar w:fldCharType="end"/>
      </w:r>
      <w:r>
        <w:rPr>
          <w:rFonts w:hint="eastAsia" w:ascii="宋体" w:hAnsi="宋体" w:cs="宋体"/>
          <w:kern w:val="0"/>
          <w:szCs w:val="21"/>
          <w:lang w:bidi="ar"/>
        </w:rPr>
        <w:t> </w:t>
      </w:r>
      <w:r>
        <w:rPr>
          <w:rFonts w:ascii="Calibri" w:hAnsi="Calibri" w:cs="Calibri"/>
          <w:kern w:val="0"/>
          <w:szCs w:val="21"/>
          <w:lang w:bidi="ar"/>
        </w:rPr>
        <w:t> </w:t>
      </w:r>
      <w:r>
        <w:rPr>
          <w:rFonts w:hint="eastAsia" w:ascii="宋体" w:hAnsi="宋体" w:cs="宋体"/>
          <w:kern w:val="0"/>
          <w:szCs w:val="21"/>
          <w:lang w:bidi="ar"/>
        </w:rPr>
        <w:t>。</w:t>
      </w:r>
    </w:p>
    <w:p w14:paraId="37E5D8C8">
      <w:pPr>
        <w:widowControl/>
        <w:wordWrap w:val="0"/>
        <w:spacing w:line="400" w:lineRule="atLeast"/>
        <w:rPr>
          <w:rFonts w:ascii="Calibri" w:hAnsi="Calibri" w:cs="Calibri"/>
          <w:szCs w:val="21"/>
        </w:rPr>
      </w:pPr>
      <w:r>
        <w:rPr>
          <w:rFonts w:hint="eastAsia" w:ascii="宋体" w:hAnsi="宋体" w:cs="宋体"/>
          <w:kern w:val="0"/>
          <w:szCs w:val="21"/>
          <w:lang w:bidi="ar"/>
        </w:rPr>
        <w:t>10.潜在投标人完成制作、签章、加密投标文件后，需在招标文件规定的投标截止时间前在投标工具完成上传。投标截止时间以优质采云采购平台（www.youzhicai.com）系统的时间为准，如未在投标截止时间前完成电子投标文件上传，系统将自动关闭上传通道。潜在投标人未完成电子投标文件上传的，视为没有递交投标文件。</w:t>
      </w:r>
    </w:p>
    <w:p w14:paraId="3AD420EB">
      <w:pPr>
        <w:widowControl/>
        <w:wordWrap w:val="0"/>
        <w:spacing w:line="400" w:lineRule="atLeast"/>
        <w:ind w:firstLine="420"/>
        <w:rPr>
          <w:rFonts w:ascii="Calibri" w:hAnsi="Calibri" w:cs="Calibri"/>
          <w:szCs w:val="21"/>
        </w:rPr>
      </w:pPr>
      <w:r>
        <w:rPr>
          <w:rFonts w:hint="eastAsia" w:ascii="宋体" w:hAnsi="宋体" w:cs="宋体"/>
          <w:kern w:val="0"/>
          <w:szCs w:val="21"/>
          <w:lang w:bidi="ar"/>
        </w:rPr>
        <w:t>11.潜在投标人在投标文件递交截止时间前，可以对其所递交的电子投标文件进行撤回，修改后重新上传。</w:t>
      </w:r>
    </w:p>
    <w:p w14:paraId="1D22C281">
      <w:pPr>
        <w:widowControl/>
        <w:spacing w:line="400" w:lineRule="atLeast"/>
        <w:ind w:firstLine="420"/>
        <w:rPr>
          <w:rFonts w:ascii="Calibri" w:hAnsi="Calibri" w:cs="Calibri"/>
          <w:szCs w:val="21"/>
        </w:rPr>
      </w:pPr>
      <w:r>
        <w:rPr>
          <w:rFonts w:hint="eastAsia" w:ascii="宋体" w:hAnsi="宋体" w:cs="宋体"/>
          <w:kern w:val="0"/>
          <w:szCs w:val="21"/>
          <w:lang w:bidi="ar"/>
        </w:rPr>
        <w:t>12.潜在投标人在制作、签章、加密、上传电子投标文件过程中，若存在技术操作问题，请及时联系优质采云采购平台客服人员，客服电话：400-0099-555，0551-62220164。</w:t>
      </w:r>
    </w:p>
    <w:p w14:paraId="59F12BC6">
      <w:pPr>
        <w:widowControl/>
        <w:spacing w:line="400" w:lineRule="atLeast"/>
        <w:ind w:firstLine="420"/>
        <w:rPr>
          <w:rFonts w:ascii="Calibri" w:hAnsi="Calibri" w:cs="Calibri"/>
          <w:szCs w:val="21"/>
        </w:rPr>
      </w:pPr>
      <w:r>
        <w:rPr>
          <w:rFonts w:hint="eastAsia" w:ascii="黑体" w:hAnsi="宋体" w:eastAsia="黑体" w:cs="黑体"/>
          <w:kern w:val="0"/>
          <w:szCs w:val="21"/>
          <w:lang w:bidi="ar"/>
        </w:rPr>
        <w:t>三、开标和解密</w:t>
      </w:r>
    </w:p>
    <w:p w14:paraId="357D5D7A">
      <w:pPr>
        <w:widowControl/>
        <w:spacing w:line="400" w:lineRule="atLeast"/>
        <w:ind w:firstLine="420"/>
        <w:rPr>
          <w:rFonts w:ascii="Calibri" w:hAnsi="Calibri" w:cs="Calibri"/>
          <w:szCs w:val="21"/>
        </w:rPr>
      </w:pPr>
      <w:r>
        <w:rPr>
          <w:rFonts w:hint="eastAsia" w:ascii="宋体" w:hAnsi="宋体" w:cs="宋体"/>
          <w:kern w:val="0"/>
          <w:szCs w:val="21"/>
          <w:lang w:bidi="ar"/>
        </w:rPr>
        <w:t>13.招标人或招标代理机构工作人员（以下简称工作人员）根据有关规定登录系统组织开标。投标文件递交截止时间后由投标人使用</w:t>
      </w:r>
      <w:r>
        <w:rPr>
          <w:rFonts w:ascii="Calibri" w:hAnsi="Calibri" w:cs="Calibri"/>
          <w:kern w:val="0"/>
          <w:szCs w:val="21"/>
          <w:lang w:bidi="ar"/>
        </w:rPr>
        <w:t>CA</w:t>
      </w:r>
      <w:r>
        <w:rPr>
          <w:rFonts w:hint="eastAsia" w:ascii="宋体" w:hAnsi="宋体" w:cs="宋体"/>
          <w:kern w:val="0"/>
          <w:szCs w:val="21"/>
          <w:lang w:bidi="ar"/>
        </w:rPr>
        <w:t>证书解密投标文件，工作人员导入已解密投标文件并公布开标结果。</w:t>
      </w:r>
    </w:p>
    <w:p w14:paraId="1EB9ED1E">
      <w:pPr>
        <w:widowControl/>
        <w:spacing w:line="400" w:lineRule="atLeast"/>
        <w:ind w:firstLine="420"/>
        <w:rPr>
          <w:rFonts w:ascii="Calibri" w:hAnsi="Calibri" w:cs="Calibri"/>
          <w:szCs w:val="21"/>
        </w:rPr>
      </w:pPr>
      <w:r>
        <w:rPr>
          <w:rFonts w:hint="eastAsia" w:ascii="宋体" w:hAnsi="宋体" w:cs="宋体"/>
          <w:kern w:val="0"/>
          <w:szCs w:val="21"/>
          <w:lang w:bidi="ar"/>
        </w:rPr>
        <w:t>14.投标文件可远程解密，投标人无需到达开标现场。招标文件“投标人须知”中另有规定的，从其规定。</w:t>
      </w:r>
    </w:p>
    <w:p w14:paraId="3A5A9586">
      <w:pPr>
        <w:widowControl/>
        <w:spacing w:line="400" w:lineRule="atLeast"/>
        <w:ind w:firstLine="420"/>
        <w:rPr>
          <w:rFonts w:ascii="Calibri" w:hAnsi="Calibri" w:cs="Calibri"/>
          <w:szCs w:val="21"/>
        </w:rPr>
      </w:pPr>
      <w:r>
        <w:rPr>
          <w:rFonts w:hint="eastAsia" w:ascii="宋体" w:hAnsi="宋体" w:cs="宋体"/>
          <w:kern w:val="0"/>
          <w:szCs w:val="21"/>
          <w:lang w:bidi="ar"/>
        </w:rPr>
        <w:t>15.潜在投标人须按照招标文件的要求在投标文件递交截止时间前登录投标工具并保持在线，关注开标互动大厅消息直到项目评审结束。</w:t>
      </w:r>
    </w:p>
    <w:p w14:paraId="0B7A7662">
      <w:pPr>
        <w:widowControl/>
        <w:spacing w:line="400" w:lineRule="atLeast"/>
        <w:ind w:firstLine="420"/>
        <w:rPr>
          <w:rFonts w:ascii="Calibri" w:hAnsi="Calibri" w:cs="Calibri"/>
          <w:szCs w:val="21"/>
        </w:rPr>
      </w:pPr>
      <w:r>
        <w:rPr>
          <w:rFonts w:hint="eastAsia" w:ascii="宋体" w:hAnsi="宋体" w:cs="宋体"/>
          <w:kern w:val="0"/>
          <w:szCs w:val="21"/>
          <w:lang w:bidi="ar"/>
        </w:rPr>
        <w:t>16.投标文件解密时限为投标文件递交截止时间后60分钟（招标文件“投标人须知”中另有规定的，从其规定）。潜在投标人须在投标文件解密时限内完成投标文件解密，未能成功解密的视为放弃投标。招标文件“投标人须知”中对投标文件解密设有线下补救方案的，执行该补救方案。</w:t>
      </w:r>
    </w:p>
    <w:p w14:paraId="222186DC">
      <w:pPr>
        <w:widowControl/>
        <w:spacing w:line="400" w:lineRule="atLeast"/>
        <w:ind w:firstLine="420"/>
        <w:rPr>
          <w:rFonts w:ascii="Calibri" w:hAnsi="Calibri" w:cs="Calibri"/>
          <w:szCs w:val="21"/>
        </w:rPr>
      </w:pPr>
      <w:r>
        <w:rPr>
          <w:rFonts w:hint="eastAsia" w:ascii="黑体" w:hAnsi="宋体" w:eastAsia="黑体" w:cs="黑体"/>
          <w:kern w:val="0"/>
          <w:szCs w:val="21"/>
          <w:lang w:bidi="ar"/>
        </w:rPr>
        <w:t>四、评标和询标</w:t>
      </w:r>
    </w:p>
    <w:p w14:paraId="540A9F11">
      <w:pPr>
        <w:widowControl/>
        <w:spacing w:line="400" w:lineRule="atLeast"/>
        <w:ind w:firstLine="420"/>
        <w:rPr>
          <w:rFonts w:ascii="Calibri" w:hAnsi="Calibri" w:cs="Calibri"/>
          <w:szCs w:val="21"/>
        </w:rPr>
      </w:pPr>
      <w:r>
        <w:rPr>
          <w:rFonts w:hint="eastAsia" w:ascii="宋体" w:hAnsi="宋体" w:cs="宋体"/>
          <w:kern w:val="0"/>
          <w:szCs w:val="21"/>
          <w:lang w:bidi="ar"/>
        </w:rPr>
        <w:t>17.评标委员会通过优质采电子评标工具将需要澄清、说明或补正的内容以询标函的形式发送给投标人，投标人/供应商应登录投标工具并保持在线状态，以便及时接收评标委员会可能发出的询标函，并在询标函载明的时间内回复，若投标人未及时回复，视为放弃澄清。</w:t>
      </w:r>
    </w:p>
    <w:p w14:paraId="1DE2886A">
      <w:pPr>
        <w:widowControl/>
        <w:spacing w:line="400" w:lineRule="atLeast"/>
        <w:ind w:firstLine="420"/>
        <w:rPr>
          <w:rFonts w:ascii="Calibri" w:hAnsi="Calibri" w:cs="Calibri"/>
          <w:szCs w:val="21"/>
        </w:rPr>
      </w:pPr>
      <w:r>
        <w:rPr>
          <w:rFonts w:hint="eastAsia" w:ascii="黑体" w:hAnsi="宋体" w:eastAsia="黑体" w:cs="黑体"/>
          <w:kern w:val="0"/>
          <w:szCs w:val="21"/>
          <w:lang w:bidi="ar"/>
        </w:rPr>
        <w:t>五、异常情形</w:t>
      </w:r>
    </w:p>
    <w:p w14:paraId="29E1CAD2">
      <w:pPr>
        <w:widowControl/>
        <w:spacing w:line="400" w:lineRule="atLeast"/>
        <w:ind w:firstLine="420"/>
        <w:rPr>
          <w:rFonts w:ascii="Calibri" w:hAnsi="Calibri" w:cs="Calibri"/>
          <w:szCs w:val="21"/>
        </w:rPr>
      </w:pPr>
      <w:r>
        <w:rPr>
          <w:rFonts w:hint="eastAsia" w:ascii="宋体" w:hAnsi="宋体" w:cs="宋体"/>
          <w:kern w:val="0"/>
          <w:szCs w:val="21"/>
          <w:lang w:bidi="ar"/>
        </w:rPr>
        <w:t>18.出现下列情形导致电子交易系统无法正常运行，影响招投标过程的公平、公正和信息安全，经第三方机构认定后，各方当事人免责：</w:t>
      </w:r>
    </w:p>
    <w:p w14:paraId="0F0FCFA8">
      <w:pPr>
        <w:widowControl/>
        <w:spacing w:line="400" w:lineRule="atLeast"/>
        <w:ind w:firstLine="420"/>
        <w:rPr>
          <w:rFonts w:ascii="Calibri" w:hAnsi="Calibri" w:cs="Calibri"/>
          <w:szCs w:val="21"/>
        </w:rPr>
      </w:pPr>
      <w:r>
        <w:rPr>
          <w:rFonts w:hint="eastAsia" w:ascii="宋体" w:hAnsi="宋体" w:cs="宋体"/>
          <w:kern w:val="0"/>
          <w:szCs w:val="21"/>
          <w:lang w:bidi="ar"/>
        </w:rPr>
        <w:t>(1)网络、服务器、数据库发生故障造成无法访问或使用的；</w:t>
      </w:r>
    </w:p>
    <w:p w14:paraId="3BBA1E06">
      <w:pPr>
        <w:widowControl/>
        <w:spacing w:line="400" w:lineRule="atLeast"/>
        <w:ind w:firstLine="420"/>
        <w:rPr>
          <w:rFonts w:ascii="Calibri" w:hAnsi="Calibri" w:cs="Calibri"/>
          <w:szCs w:val="21"/>
        </w:rPr>
      </w:pPr>
      <w:r>
        <w:rPr>
          <w:rFonts w:hint="eastAsia" w:ascii="宋体" w:hAnsi="宋体" w:cs="宋体"/>
          <w:kern w:val="0"/>
          <w:szCs w:val="21"/>
          <w:lang w:bidi="ar"/>
        </w:rPr>
        <w:t>(2)电力系统发生故障导致电子服务系统或电子交易系统无法运行；</w:t>
      </w:r>
    </w:p>
    <w:p w14:paraId="35F1E654">
      <w:pPr>
        <w:widowControl/>
        <w:spacing w:line="400" w:lineRule="atLeast"/>
        <w:ind w:firstLine="420"/>
        <w:rPr>
          <w:rFonts w:ascii="Calibri" w:hAnsi="Calibri" w:cs="Calibri"/>
          <w:szCs w:val="21"/>
        </w:rPr>
      </w:pPr>
      <w:r>
        <w:rPr>
          <w:rFonts w:hint="eastAsia" w:ascii="宋体" w:hAnsi="宋体" w:cs="宋体"/>
          <w:kern w:val="0"/>
          <w:szCs w:val="21"/>
          <w:lang w:bidi="ar"/>
        </w:rPr>
        <w:t>(3)出现网络攻击、病毒入侵以及电子服务系统或电子交易系统安全漏洞导致无法正常提供服务的；</w:t>
      </w:r>
    </w:p>
    <w:p w14:paraId="0CA5472E">
      <w:pPr>
        <w:widowControl/>
        <w:spacing w:line="400" w:lineRule="atLeast"/>
        <w:ind w:firstLine="420"/>
        <w:rPr>
          <w:rFonts w:ascii="Calibri" w:hAnsi="Calibri" w:cs="Calibri"/>
          <w:szCs w:val="21"/>
        </w:rPr>
      </w:pPr>
      <w:r>
        <w:rPr>
          <w:rFonts w:hint="eastAsia" w:ascii="宋体" w:hAnsi="宋体" w:cs="宋体"/>
          <w:kern w:val="0"/>
          <w:szCs w:val="21"/>
          <w:lang w:bidi="ar"/>
        </w:rPr>
        <w:t>(4)其他无法保证招投标过程公平、公正和信息安全的情形。</w:t>
      </w:r>
    </w:p>
    <w:p w14:paraId="2FE12841">
      <w:pPr>
        <w:widowControl/>
        <w:spacing w:line="400" w:lineRule="atLeast"/>
        <w:ind w:firstLine="420"/>
        <w:rPr>
          <w:rFonts w:ascii="Calibri" w:hAnsi="Calibri" w:cs="Calibri"/>
          <w:szCs w:val="21"/>
        </w:rPr>
      </w:pPr>
      <w:r>
        <w:rPr>
          <w:rFonts w:hint="eastAsia" w:ascii="黑体" w:hAnsi="宋体" w:eastAsia="黑体" w:cs="黑体"/>
          <w:kern w:val="0"/>
          <w:szCs w:val="21"/>
          <w:lang w:bidi="ar"/>
        </w:rPr>
        <w:t>六、异常情形处理</w:t>
      </w:r>
    </w:p>
    <w:p w14:paraId="628F1A51">
      <w:pPr>
        <w:widowControl/>
        <w:spacing w:line="400" w:lineRule="atLeast"/>
        <w:ind w:firstLine="420"/>
        <w:rPr>
          <w:rFonts w:ascii="Calibri" w:hAnsi="Calibri" w:cs="Calibri"/>
          <w:szCs w:val="21"/>
        </w:rPr>
      </w:pPr>
      <w:r>
        <w:rPr>
          <w:rFonts w:ascii="Calibri" w:hAnsi="Calibri" w:cs="Calibri"/>
          <w:kern w:val="0"/>
          <w:szCs w:val="21"/>
          <w:lang w:bidi="ar"/>
        </w:rPr>
        <w:t>19.</w:t>
      </w:r>
      <w:r>
        <w:rPr>
          <w:rFonts w:hint="eastAsia" w:ascii="宋体" w:hAnsi="宋体" w:cs="宋体"/>
          <w:kern w:val="0"/>
          <w:szCs w:val="21"/>
          <w:lang w:bidi="ar"/>
        </w:rPr>
        <w:t>出现上述情形，优质采平台及时组织相关方查明原因，排除故障。若能保证在开标前恢复系统运行的，招投标程序继续进行；若导致开评标程序无法按时开展，但能在原开标时间后</w:t>
      </w:r>
      <w:r>
        <w:rPr>
          <w:rFonts w:ascii="Calibri" w:hAnsi="Calibri" w:cs="Calibri"/>
          <w:kern w:val="0"/>
          <w:szCs w:val="21"/>
          <w:lang w:bidi="ar"/>
        </w:rPr>
        <w:t>2</w:t>
      </w:r>
      <w:r>
        <w:rPr>
          <w:rFonts w:hint="eastAsia" w:ascii="宋体" w:hAnsi="宋体" w:cs="宋体"/>
          <w:kern w:val="0"/>
          <w:szCs w:val="21"/>
          <w:lang w:bidi="ar"/>
        </w:rPr>
        <w:t>小时内恢复系统运行的，招投标程序继续进行；若导致开评标程序无法按时开展，在原开标时间后</w:t>
      </w:r>
      <w:r>
        <w:rPr>
          <w:rFonts w:ascii="Calibri" w:hAnsi="Calibri" w:cs="Calibri"/>
          <w:kern w:val="0"/>
          <w:szCs w:val="21"/>
          <w:lang w:bidi="ar"/>
        </w:rPr>
        <w:t>2</w:t>
      </w:r>
      <w:r>
        <w:rPr>
          <w:rFonts w:hint="eastAsia" w:ascii="宋体" w:hAnsi="宋体" w:cs="宋体"/>
          <w:kern w:val="0"/>
          <w:szCs w:val="21"/>
          <w:lang w:bidi="ar"/>
        </w:rPr>
        <w:t>小时内无法恢复系统运行的，按以下程序操作：</w:t>
      </w:r>
    </w:p>
    <w:p w14:paraId="476CDE89">
      <w:pPr>
        <w:widowControl/>
        <w:spacing w:line="400" w:lineRule="atLeast"/>
        <w:ind w:firstLine="420"/>
        <w:rPr>
          <w:rFonts w:ascii="Calibri" w:hAnsi="Calibri" w:cs="Calibri"/>
          <w:szCs w:val="21"/>
        </w:rPr>
      </w:pPr>
      <w:r>
        <w:rPr>
          <w:rFonts w:hint="eastAsia" w:ascii="宋体" w:hAnsi="宋体" w:cs="宋体"/>
          <w:kern w:val="0"/>
          <w:szCs w:val="21"/>
          <w:lang w:bidi="ar"/>
        </w:rPr>
        <w:t>（</w:t>
      </w:r>
      <w:r>
        <w:rPr>
          <w:rFonts w:ascii="Calibri" w:hAnsi="Calibri" w:cs="Calibri"/>
          <w:kern w:val="0"/>
          <w:szCs w:val="21"/>
          <w:lang w:bidi="ar"/>
        </w:rPr>
        <w:t>1</w:t>
      </w:r>
      <w:r>
        <w:rPr>
          <w:rFonts w:hint="eastAsia" w:ascii="宋体" w:hAnsi="宋体" w:cs="宋体"/>
          <w:kern w:val="0"/>
          <w:szCs w:val="21"/>
          <w:lang w:bidi="ar"/>
        </w:rPr>
        <w:t>）项目中止，中止期限由招标人或招标代理机构根据项目具体情况确定。中止期限届满后中止情形尚未消除的，招标人或代理机构可以根据实际情况决定延长中止期限。决定延长中止期限的，应向投标人发出延长中止期限通知，并发布公布。</w:t>
      </w:r>
    </w:p>
    <w:p w14:paraId="36756D21">
      <w:pPr>
        <w:spacing w:line="400" w:lineRule="exact"/>
        <w:ind w:firstLine="420" w:firstLineChars="200"/>
      </w:pPr>
      <w:r>
        <w:rPr>
          <w:rFonts w:hint="eastAsia" w:ascii="宋体" w:hAnsi="宋体" w:cs="宋体"/>
          <w:kern w:val="0"/>
          <w:szCs w:val="21"/>
          <w:lang w:bidi="ar"/>
        </w:rPr>
        <w:t>（</w:t>
      </w:r>
      <w:r>
        <w:rPr>
          <w:rFonts w:ascii="Calibri" w:hAnsi="Calibri" w:cs="Calibri"/>
          <w:kern w:val="0"/>
          <w:szCs w:val="21"/>
          <w:lang w:bidi="ar"/>
        </w:rPr>
        <w:t>2</w:t>
      </w:r>
      <w:r>
        <w:rPr>
          <w:rFonts w:hint="eastAsia" w:ascii="宋体" w:hAnsi="宋体" w:cs="宋体"/>
          <w:kern w:val="0"/>
          <w:szCs w:val="21"/>
          <w:lang w:bidi="ar"/>
        </w:rPr>
        <w:t>）项目恢复，导致项目中止的情形消除后，招标人或代理机构应当尽快恢复招投标程序，向投标人发出恢复交易通知，并发布公布；已发出延长中止期限通知的，按通知执行。</w:t>
      </w:r>
    </w:p>
    <w:p w14:paraId="747F62EE">
      <w:pPr>
        <w:widowControl/>
        <w:adjustRightInd w:val="0"/>
        <w:snapToGrid w:val="0"/>
        <w:spacing w:line="360" w:lineRule="auto"/>
        <w:ind w:firstLine="420" w:firstLineChars="200"/>
        <w:rPr>
          <w:rFonts w:hint="eastAsia" w:ascii="宋体" w:hAnsi="宋体" w:eastAsia="仿宋"/>
          <w:szCs w:val="21"/>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2C772E6">
      <w:pPr>
        <w:pStyle w:val="2"/>
        <w:widowControl/>
        <w:snapToGrid w:val="0"/>
        <w:spacing w:before="0" w:after="0" w:line="360" w:lineRule="auto"/>
        <w:jc w:val="center"/>
        <w:rPr>
          <w:rFonts w:hint="eastAsia" w:ascii="宋体" w:hAnsi="宋体" w:eastAsia="仿宋"/>
        </w:rPr>
      </w:pPr>
      <w:bookmarkStart w:id="772" w:name="_Toc466024555"/>
      <w:bookmarkStart w:id="773" w:name="_Toc445554746"/>
      <w:bookmarkStart w:id="774" w:name="_Toc528760026"/>
      <w:bookmarkStart w:id="775" w:name="_Toc152045598"/>
      <w:bookmarkStart w:id="776" w:name="_Toc144974565"/>
      <w:bookmarkStart w:id="777" w:name="_Toc342296242"/>
      <w:bookmarkStart w:id="778" w:name="_Toc241459648"/>
      <w:bookmarkStart w:id="779" w:name="_Toc342297701"/>
      <w:bookmarkStart w:id="780" w:name="_Toc152042375"/>
      <w:bookmarkStart w:id="781" w:name="_Toc179632616"/>
      <w:bookmarkStart w:id="782" w:name="_Toc342296244"/>
      <w:bookmarkStart w:id="783" w:name="_Toc342297699"/>
      <w:r>
        <w:rPr>
          <w:rFonts w:hint="eastAsia" w:ascii="宋体" w:hAnsi="宋体" w:eastAsia="仿宋"/>
        </w:rPr>
        <w:t>第三章  采购需求</w:t>
      </w:r>
      <w:bookmarkEnd w:id="772"/>
      <w:bookmarkEnd w:id="773"/>
      <w:bookmarkEnd w:id="774"/>
    </w:p>
    <w:p w14:paraId="7F0E2355">
      <w:pPr>
        <w:rPr>
          <w:rFonts w:hint="eastAsia"/>
          <w:b/>
          <w:sz w:val="28"/>
          <w:szCs w:val="28"/>
        </w:rPr>
        <w:sectPr>
          <w:headerReference r:id="rId7" w:type="default"/>
          <w:footerReference r:id="rId8"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3FEDA8A6">
      <w:pPr>
        <w:rPr>
          <w:rFonts w:hint="eastAsia" w:ascii="仿宋" w:hAnsi="仿宋" w:eastAsia="仿宋" w:cs="仿宋"/>
          <w:b/>
          <w:sz w:val="28"/>
          <w:szCs w:val="28"/>
        </w:rPr>
      </w:pPr>
      <w:r>
        <w:rPr>
          <w:rFonts w:hint="eastAsia" w:ascii="仿宋" w:hAnsi="仿宋" w:eastAsia="仿宋" w:cs="仿宋"/>
          <w:b/>
          <w:sz w:val="28"/>
          <w:szCs w:val="28"/>
        </w:rPr>
        <w:t>一、采购需求一览表</w:t>
      </w:r>
    </w:p>
    <w:tbl>
      <w:tblPr>
        <w:tblStyle w:val="47"/>
        <w:tblW w:w="497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0"/>
        <w:gridCol w:w="1132"/>
        <w:gridCol w:w="2412"/>
        <w:gridCol w:w="759"/>
        <w:gridCol w:w="784"/>
        <w:gridCol w:w="1245"/>
        <w:gridCol w:w="1171"/>
        <w:gridCol w:w="1332"/>
      </w:tblGrid>
      <w:tr w14:paraId="1314C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4" w:type="pct"/>
            <w:noWrap w:val="0"/>
            <w:vAlign w:val="center"/>
          </w:tcPr>
          <w:p w14:paraId="2327AD60">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包号</w:t>
            </w:r>
          </w:p>
        </w:tc>
        <w:tc>
          <w:tcPr>
            <w:tcW w:w="577" w:type="pct"/>
            <w:noWrap w:val="0"/>
            <w:vAlign w:val="center"/>
          </w:tcPr>
          <w:p w14:paraId="3F822DA7">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品目号</w:t>
            </w:r>
          </w:p>
        </w:tc>
        <w:tc>
          <w:tcPr>
            <w:tcW w:w="1229" w:type="pct"/>
            <w:noWrap w:val="0"/>
            <w:vAlign w:val="center"/>
          </w:tcPr>
          <w:p w14:paraId="7ABCFB8E">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snapToGrid w:val="0"/>
                <w:kern w:val="0"/>
                <w:sz w:val="24"/>
              </w:rPr>
              <w:t>招标医疗器械名称</w:t>
            </w:r>
          </w:p>
        </w:tc>
        <w:tc>
          <w:tcPr>
            <w:tcW w:w="387" w:type="pct"/>
            <w:noWrap w:val="0"/>
            <w:vAlign w:val="center"/>
          </w:tcPr>
          <w:p w14:paraId="08BB0DE6">
            <w:pPr>
              <w:keepNext w:val="0"/>
              <w:keepLines w:val="0"/>
              <w:suppressLineNumbers w:val="0"/>
              <w:adjustRightInd w:val="0"/>
              <w:snapToGrid w:val="0"/>
              <w:spacing w:before="0" w:beforeAutospacing="0" w:after="0" w:afterAutospacing="0"/>
              <w:ind w:left="-105" w:leftChars="-50" w:right="-105" w:rightChars="-5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单位</w:t>
            </w:r>
          </w:p>
        </w:tc>
        <w:tc>
          <w:tcPr>
            <w:tcW w:w="400" w:type="pct"/>
            <w:noWrap w:val="0"/>
            <w:vAlign w:val="center"/>
          </w:tcPr>
          <w:p w14:paraId="237F43FB">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bCs/>
                <w:snapToGrid w:val="0"/>
                <w:kern w:val="0"/>
                <w:sz w:val="24"/>
              </w:rPr>
              <w:t>采购数量</w:t>
            </w:r>
          </w:p>
        </w:tc>
        <w:tc>
          <w:tcPr>
            <w:tcW w:w="634" w:type="pct"/>
            <w:noWrap w:val="0"/>
            <w:vAlign w:val="center"/>
          </w:tcPr>
          <w:p w14:paraId="7A65C117">
            <w:pPr>
              <w:keepNext w:val="0"/>
              <w:keepLines w:val="0"/>
              <w:suppressLineNumbers w:val="0"/>
              <w:autoSpaceDN w:val="0"/>
              <w:adjustRightInd w:val="0"/>
              <w:snapToGrid w:val="0"/>
              <w:spacing w:before="0" w:beforeAutospacing="0" w:after="0" w:afterAutospacing="0"/>
              <w:ind w:left="0" w:right="0"/>
              <w:jc w:val="center"/>
              <w:textAlignment w:val="center"/>
              <w:rPr>
                <w:rFonts w:hint="eastAsia" w:ascii="仿宋" w:hAnsi="仿宋" w:eastAsia="仿宋" w:cs="仿宋"/>
                <w:bCs/>
                <w:snapToGrid w:val="0"/>
                <w:kern w:val="0"/>
                <w:sz w:val="24"/>
              </w:rPr>
            </w:pPr>
            <w:r>
              <w:rPr>
                <w:rFonts w:hint="eastAsia" w:ascii="仿宋" w:hAnsi="仿宋" w:eastAsia="仿宋" w:cs="仿宋"/>
                <w:bCs/>
                <w:sz w:val="24"/>
              </w:rPr>
              <w:t>最高投标限价（万元）</w:t>
            </w:r>
          </w:p>
        </w:tc>
        <w:tc>
          <w:tcPr>
            <w:tcW w:w="597" w:type="pct"/>
            <w:noWrap w:val="0"/>
            <w:vAlign w:val="center"/>
          </w:tcPr>
          <w:p w14:paraId="2B1355DC">
            <w:pPr>
              <w:keepNext w:val="0"/>
              <w:keepLines w:val="0"/>
              <w:suppressLineNumbers w:val="0"/>
              <w:autoSpaceDN w:val="0"/>
              <w:adjustRightInd w:val="0"/>
              <w:snapToGrid w:val="0"/>
              <w:spacing w:before="0" w:beforeAutospacing="0" w:after="0" w:afterAutospacing="0"/>
              <w:ind w:left="0" w:right="0"/>
              <w:jc w:val="center"/>
              <w:textAlignment w:val="center"/>
              <w:rPr>
                <w:rFonts w:hint="eastAsia" w:ascii="仿宋" w:hAnsi="仿宋" w:eastAsia="仿宋" w:cs="仿宋"/>
                <w:bCs/>
                <w:snapToGrid w:val="0"/>
                <w:kern w:val="0"/>
                <w:sz w:val="24"/>
              </w:rPr>
            </w:pPr>
            <w:r>
              <w:rPr>
                <w:rFonts w:hint="eastAsia" w:ascii="仿宋" w:hAnsi="仿宋" w:eastAsia="仿宋" w:cs="仿宋"/>
                <w:bCs/>
                <w:sz w:val="24"/>
              </w:rPr>
              <w:t>预算总价（万元）</w:t>
            </w:r>
          </w:p>
        </w:tc>
        <w:tc>
          <w:tcPr>
            <w:tcW w:w="678" w:type="pct"/>
            <w:noWrap w:val="0"/>
            <w:vAlign w:val="center"/>
          </w:tcPr>
          <w:p w14:paraId="5AC6D242">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产地（国产或进口）</w:t>
            </w:r>
          </w:p>
        </w:tc>
      </w:tr>
      <w:tr w14:paraId="6978A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94" w:type="pct"/>
            <w:noWrap w:val="0"/>
            <w:vAlign w:val="center"/>
          </w:tcPr>
          <w:p w14:paraId="5F2F8D58">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第1包</w:t>
            </w:r>
          </w:p>
        </w:tc>
        <w:tc>
          <w:tcPr>
            <w:tcW w:w="577" w:type="pct"/>
            <w:noWrap w:val="0"/>
            <w:vAlign w:val="center"/>
          </w:tcPr>
          <w:p w14:paraId="784C28E5">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▲品目1</w:t>
            </w:r>
          </w:p>
        </w:tc>
        <w:tc>
          <w:tcPr>
            <w:tcW w:w="1229" w:type="pct"/>
            <w:noWrap w:val="0"/>
            <w:vAlign w:val="center"/>
          </w:tcPr>
          <w:p w14:paraId="55A82C7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Cs/>
                <w:sz w:val="24"/>
              </w:rPr>
            </w:pPr>
            <w:r>
              <w:rPr>
                <w:rFonts w:hint="eastAsia" w:ascii="仿宋" w:hAnsi="仿宋" w:eastAsia="仿宋" w:cs="仿宋"/>
                <w:kern w:val="0"/>
                <w:sz w:val="24"/>
                <w:lang w:bidi="ar"/>
              </w:rPr>
              <w:t>电子咬合测力器</w:t>
            </w:r>
          </w:p>
        </w:tc>
        <w:tc>
          <w:tcPr>
            <w:tcW w:w="387" w:type="pct"/>
            <w:noWrap w:val="0"/>
            <w:vAlign w:val="center"/>
          </w:tcPr>
          <w:p w14:paraId="3B0748CA">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台</w:t>
            </w:r>
          </w:p>
        </w:tc>
        <w:tc>
          <w:tcPr>
            <w:tcW w:w="400" w:type="pct"/>
            <w:noWrap w:val="0"/>
            <w:vAlign w:val="center"/>
          </w:tcPr>
          <w:p w14:paraId="0348E42A">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1</w:t>
            </w:r>
          </w:p>
        </w:tc>
        <w:tc>
          <w:tcPr>
            <w:tcW w:w="634" w:type="pct"/>
            <w:noWrap w:val="0"/>
            <w:vAlign w:val="center"/>
          </w:tcPr>
          <w:p w14:paraId="7AB0A3E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Cs/>
                <w:snapToGrid w:val="0"/>
                <w:kern w:val="0"/>
                <w:sz w:val="24"/>
              </w:rPr>
            </w:pPr>
            <w:r>
              <w:rPr>
                <w:rFonts w:hint="eastAsia" w:ascii="仿宋" w:hAnsi="仿宋" w:eastAsia="仿宋" w:cs="仿宋"/>
                <w:kern w:val="0"/>
                <w:sz w:val="24"/>
                <w:lang w:bidi="ar"/>
              </w:rPr>
              <w:t>35</w:t>
            </w:r>
          </w:p>
        </w:tc>
        <w:tc>
          <w:tcPr>
            <w:tcW w:w="597" w:type="pct"/>
            <w:noWrap w:val="0"/>
            <w:vAlign w:val="center"/>
          </w:tcPr>
          <w:p w14:paraId="369E4B2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bCs/>
                <w:snapToGrid w:val="0"/>
                <w:kern w:val="0"/>
                <w:sz w:val="24"/>
              </w:rPr>
            </w:pPr>
            <w:r>
              <w:rPr>
                <w:rFonts w:hint="eastAsia" w:ascii="仿宋" w:hAnsi="仿宋" w:eastAsia="仿宋" w:cs="仿宋"/>
                <w:kern w:val="0"/>
                <w:sz w:val="24"/>
                <w:lang w:bidi="ar"/>
              </w:rPr>
              <w:t>35</w:t>
            </w:r>
          </w:p>
        </w:tc>
        <w:tc>
          <w:tcPr>
            <w:tcW w:w="678" w:type="pct"/>
            <w:noWrap w:val="0"/>
            <w:vAlign w:val="center"/>
          </w:tcPr>
          <w:p w14:paraId="31BAA07B">
            <w:pPr>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bCs/>
                <w:snapToGrid w:val="0"/>
                <w:kern w:val="0"/>
                <w:sz w:val="24"/>
              </w:rPr>
            </w:pPr>
            <w:r>
              <w:rPr>
                <w:rFonts w:hint="eastAsia" w:ascii="仿宋" w:hAnsi="仿宋" w:eastAsia="仿宋" w:cs="仿宋"/>
                <w:bCs/>
                <w:snapToGrid w:val="0"/>
                <w:kern w:val="0"/>
                <w:sz w:val="24"/>
              </w:rPr>
              <w:t>国产</w:t>
            </w:r>
          </w:p>
        </w:tc>
      </w:tr>
      <w:tr w14:paraId="39B41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94" w:type="pct"/>
            <w:vMerge w:val="restart"/>
            <w:noWrap w:val="0"/>
            <w:vAlign w:val="center"/>
          </w:tcPr>
          <w:p w14:paraId="01DFDABE">
            <w:pPr>
              <w:keepNext w:val="0"/>
              <w:keepLines w:val="0"/>
              <w:suppressLineNumbers w:val="0"/>
              <w:adjustRightInd w:val="0"/>
              <w:snapToGrid w:val="0"/>
              <w:spacing w:before="0" w:beforeAutospacing="0" w:after="0" w:afterAutospacing="0"/>
              <w:ind w:left="0" w:right="0"/>
              <w:jc w:val="center"/>
              <w:rPr>
                <w:rFonts w:hint="default" w:ascii="仿宋" w:hAnsi="仿宋" w:eastAsia="仿宋" w:cs="仿宋"/>
                <w:bCs/>
                <w:sz w:val="24"/>
              </w:rPr>
            </w:pPr>
            <w:r>
              <w:rPr>
                <w:rFonts w:hint="eastAsia" w:ascii="仿宋" w:hAnsi="仿宋" w:eastAsia="仿宋" w:cs="仿宋"/>
                <w:bCs/>
                <w:sz w:val="24"/>
              </w:rPr>
              <w:t>第2包</w:t>
            </w:r>
          </w:p>
        </w:tc>
        <w:tc>
          <w:tcPr>
            <w:tcW w:w="577" w:type="pct"/>
            <w:noWrap w:val="0"/>
            <w:vAlign w:val="center"/>
          </w:tcPr>
          <w:p w14:paraId="0D82287F">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品目1</w:t>
            </w:r>
          </w:p>
        </w:tc>
        <w:tc>
          <w:tcPr>
            <w:tcW w:w="2412" w:type="dxa"/>
            <w:noWrap w:val="0"/>
            <w:vAlign w:val="center"/>
          </w:tcPr>
          <w:p w14:paraId="1F1C42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医用输血输液加温器</w:t>
            </w:r>
          </w:p>
        </w:tc>
        <w:tc>
          <w:tcPr>
            <w:tcW w:w="387" w:type="pct"/>
            <w:noWrap w:val="0"/>
            <w:vAlign w:val="center"/>
          </w:tcPr>
          <w:p w14:paraId="5FB967F9">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台</w:t>
            </w:r>
          </w:p>
        </w:tc>
        <w:tc>
          <w:tcPr>
            <w:tcW w:w="400" w:type="pct"/>
            <w:noWrap w:val="0"/>
            <w:vAlign w:val="center"/>
          </w:tcPr>
          <w:p w14:paraId="122523B5">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1</w:t>
            </w:r>
          </w:p>
        </w:tc>
        <w:tc>
          <w:tcPr>
            <w:tcW w:w="1245" w:type="dxa"/>
            <w:noWrap w:val="0"/>
            <w:vAlign w:val="center"/>
          </w:tcPr>
          <w:p w14:paraId="1F00E7D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1</w:t>
            </w:r>
          </w:p>
        </w:tc>
        <w:tc>
          <w:tcPr>
            <w:tcW w:w="1171" w:type="dxa"/>
            <w:noWrap w:val="0"/>
            <w:vAlign w:val="center"/>
          </w:tcPr>
          <w:p w14:paraId="188EB41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1</w:t>
            </w:r>
          </w:p>
        </w:tc>
        <w:tc>
          <w:tcPr>
            <w:tcW w:w="678" w:type="pct"/>
            <w:noWrap w:val="0"/>
            <w:vAlign w:val="center"/>
          </w:tcPr>
          <w:p w14:paraId="5A2611C6">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国产</w:t>
            </w:r>
          </w:p>
        </w:tc>
      </w:tr>
      <w:tr w14:paraId="4714C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14:paraId="64108826">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p>
        </w:tc>
        <w:tc>
          <w:tcPr>
            <w:tcW w:w="577" w:type="pct"/>
            <w:noWrap w:val="0"/>
            <w:vAlign w:val="center"/>
          </w:tcPr>
          <w:p w14:paraId="4A72864F">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品目2</w:t>
            </w:r>
          </w:p>
        </w:tc>
        <w:tc>
          <w:tcPr>
            <w:tcW w:w="2412" w:type="dxa"/>
            <w:noWrap w:val="0"/>
            <w:vAlign w:val="center"/>
          </w:tcPr>
          <w:p w14:paraId="234B77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充气式加温仪</w:t>
            </w:r>
          </w:p>
        </w:tc>
        <w:tc>
          <w:tcPr>
            <w:tcW w:w="387" w:type="pct"/>
            <w:noWrap w:val="0"/>
            <w:vAlign w:val="center"/>
          </w:tcPr>
          <w:p w14:paraId="61642830">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台</w:t>
            </w:r>
          </w:p>
        </w:tc>
        <w:tc>
          <w:tcPr>
            <w:tcW w:w="400" w:type="pct"/>
            <w:noWrap w:val="0"/>
            <w:vAlign w:val="center"/>
          </w:tcPr>
          <w:p w14:paraId="265B6CE6">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1</w:t>
            </w:r>
          </w:p>
        </w:tc>
        <w:tc>
          <w:tcPr>
            <w:tcW w:w="1245" w:type="dxa"/>
            <w:noWrap w:val="0"/>
            <w:vAlign w:val="center"/>
          </w:tcPr>
          <w:p w14:paraId="1409550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3</w:t>
            </w:r>
          </w:p>
        </w:tc>
        <w:tc>
          <w:tcPr>
            <w:tcW w:w="1171" w:type="dxa"/>
            <w:noWrap w:val="0"/>
            <w:vAlign w:val="center"/>
          </w:tcPr>
          <w:p w14:paraId="7A9677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3</w:t>
            </w:r>
          </w:p>
        </w:tc>
        <w:tc>
          <w:tcPr>
            <w:tcW w:w="678" w:type="pct"/>
            <w:noWrap w:val="0"/>
            <w:vAlign w:val="center"/>
          </w:tcPr>
          <w:p w14:paraId="48C7342C">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国产</w:t>
            </w:r>
          </w:p>
        </w:tc>
      </w:tr>
      <w:tr w14:paraId="4BBF6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14:paraId="17FB428F">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p>
        </w:tc>
        <w:tc>
          <w:tcPr>
            <w:tcW w:w="577" w:type="pct"/>
            <w:noWrap w:val="0"/>
            <w:vAlign w:val="center"/>
          </w:tcPr>
          <w:p w14:paraId="5666EA79">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品目3</w:t>
            </w:r>
          </w:p>
        </w:tc>
        <w:tc>
          <w:tcPr>
            <w:tcW w:w="2412" w:type="dxa"/>
            <w:noWrap w:val="0"/>
            <w:vAlign w:val="center"/>
          </w:tcPr>
          <w:p w14:paraId="2C6C7F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心电监护仪</w:t>
            </w:r>
          </w:p>
        </w:tc>
        <w:tc>
          <w:tcPr>
            <w:tcW w:w="387" w:type="pct"/>
            <w:noWrap w:val="0"/>
            <w:vAlign w:val="center"/>
          </w:tcPr>
          <w:p w14:paraId="1352AB59">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台</w:t>
            </w:r>
          </w:p>
        </w:tc>
        <w:tc>
          <w:tcPr>
            <w:tcW w:w="400" w:type="pct"/>
            <w:noWrap w:val="0"/>
            <w:vAlign w:val="center"/>
          </w:tcPr>
          <w:p w14:paraId="7DE8E276">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3</w:t>
            </w:r>
          </w:p>
        </w:tc>
        <w:tc>
          <w:tcPr>
            <w:tcW w:w="1245" w:type="dxa"/>
            <w:noWrap w:val="0"/>
            <w:vAlign w:val="center"/>
          </w:tcPr>
          <w:p w14:paraId="72C34C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0.5</w:t>
            </w:r>
          </w:p>
        </w:tc>
        <w:tc>
          <w:tcPr>
            <w:tcW w:w="1171" w:type="dxa"/>
            <w:noWrap w:val="0"/>
            <w:vAlign w:val="center"/>
          </w:tcPr>
          <w:p w14:paraId="4995FBC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1.5</w:t>
            </w:r>
          </w:p>
        </w:tc>
        <w:tc>
          <w:tcPr>
            <w:tcW w:w="678" w:type="pct"/>
            <w:noWrap w:val="0"/>
            <w:vAlign w:val="center"/>
          </w:tcPr>
          <w:p w14:paraId="670A7474">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国产</w:t>
            </w:r>
          </w:p>
        </w:tc>
      </w:tr>
      <w:tr w14:paraId="37D70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jc w:val="center"/>
        </w:trPr>
        <w:tc>
          <w:tcPr>
            <w:tcW w:w="494" w:type="pct"/>
            <w:vMerge w:val="continue"/>
            <w:noWrap w:val="0"/>
            <w:vAlign w:val="center"/>
          </w:tcPr>
          <w:p w14:paraId="6125E1C1">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p>
        </w:tc>
        <w:tc>
          <w:tcPr>
            <w:tcW w:w="577" w:type="pct"/>
            <w:noWrap w:val="0"/>
            <w:vAlign w:val="center"/>
          </w:tcPr>
          <w:p w14:paraId="2D93F3E5">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kern w:val="0"/>
                <w:sz w:val="24"/>
                <w:lang w:bidi="ar"/>
              </w:rPr>
              <w:t>▲</w:t>
            </w:r>
            <w:r>
              <w:rPr>
                <w:rFonts w:hint="eastAsia" w:ascii="仿宋" w:hAnsi="仿宋" w:eastAsia="仿宋" w:cs="仿宋"/>
                <w:bCs/>
                <w:sz w:val="24"/>
              </w:rPr>
              <w:t>品目4</w:t>
            </w:r>
          </w:p>
        </w:tc>
        <w:tc>
          <w:tcPr>
            <w:tcW w:w="2412" w:type="dxa"/>
            <w:noWrap w:val="0"/>
            <w:vAlign w:val="center"/>
          </w:tcPr>
          <w:p w14:paraId="5F9F895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超声骨刀</w:t>
            </w:r>
          </w:p>
        </w:tc>
        <w:tc>
          <w:tcPr>
            <w:tcW w:w="387" w:type="pct"/>
            <w:noWrap w:val="0"/>
            <w:vAlign w:val="center"/>
          </w:tcPr>
          <w:p w14:paraId="504EB480">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台</w:t>
            </w:r>
          </w:p>
        </w:tc>
        <w:tc>
          <w:tcPr>
            <w:tcW w:w="400" w:type="pct"/>
            <w:noWrap w:val="0"/>
            <w:vAlign w:val="center"/>
          </w:tcPr>
          <w:p w14:paraId="5B874177">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1</w:t>
            </w:r>
          </w:p>
        </w:tc>
        <w:tc>
          <w:tcPr>
            <w:tcW w:w="1245" w:type="dxa"/>
            <w:noWrap w:val="0"/>
            <w:vAlign w:val="center"/>
          </w:tcPr>
          <w:p w14:paraId="100CB6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20</w:t>
            </w:r>
          </w:p>
        </w:tc>
        <w:tc>
          <w:tcPr>
            <w:tcW w:w="1171" w:type="dxa"/>
            <w:noWrap w:val="0"/>
            <w:vAlign w:val="center"/>
          </w:tcPr>
          <w:p w14:paraId="3309820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20</w:t>
            </w:r>
          </w:p>
        </w:tc>
        <w:tc>
          <w:tcPr>
            <w:tcW w:w="678" w:type="pct"/>
            <w:noWrap w:val="0"/>
            <w:vAlign w:val="center"/>
          </w:tcPr>
          <w:p w14:paraId="16049AA2">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国产</w:t>
            </w:r>
          </w:p>
        </w:tc>
      </w:tr>
      <w:tr w14:paraId="70074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494" w:type="pct"/>
            <w:vMerge w:val="continue"/>
            <w:noWrap w:val="0"/>
            <w:vAlign w:val="center"/>
          </w:tcPr>
          <w:p w14:paraId="07D8DC37">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p>
        </w:tc>
        <w:tc>
          <w:tcPr>
            <w:tcW w:w="577" w:type="pct"/>
            <w:noWrap w:val="0"/>
            <w:vAlign w:val="center"/>
          </w:tcPr>
          <w:p w14:paraId="1BD6A21C">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品目5</w:t>
            </w:r>
          </w:p>
        </w:tc>
        <w:tc>
          <w:tcPr>
            <w:tcW w:w="2412" w:type="dxa"/>
            <w:noWrap w:val="0"/>
            <w:vAlign w:val="center"/>
          </w:tcPr>
          <w:p w14:paraId="21535E2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除颤仪（AED)</w:t>
            </w:r>
          </w:p>
        </w:tc>
        <w:tc>
          <w:tcPr>
            <w:tcW w:w="387" w:type="pct"/>
            <w:noWrap w:val="0"/>
            <w:vAlign w:val="center"/>
          </w:tcPr>
          <w:p w14:paraId="6656F92E">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z w:val="24"/>
              </w:rPr>
            </w:pPr>
            <w:r>
              <w:rPr>
                <w:rFonts w:hint="eastAsia" w:ascii="仿宋" w:hAnsi="仿宋" w:eastAsia="仿宋" w:cs="仿宋"/>
                <w:bCs/>
                <w:sz w:val="24"/>
              </w:rPr>
              <w:t>台</w:t>
            </w:r>
          </w:p>
        </w:tc>
        <w:tc>
          <w:tcPr>
            <w:tcW w:w="400" w:type="pct"/>
            <w:noWrap w:val="0"/>
            <w:vAlign w:val="center"/>
          </w:tcPr>
          <w:p w14:paraId="51F9E8CB">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sz w:val="24"/>
              </w:rPr>
            </w:pPr>
            <w:r>
              <w:rPr>
                <w:rFonts w:hint="eastAsia" w:ascii="仿宋" w:hAnsi="仿宋" w:eastAsia="仿宋" w:cs="仿宋"/>
                <w:sz w:val="24"/>
              </w:rPr>
              <w:t>1</w:t>
            </w:r>
          </w:p>
        </w:tc>
        <w:tc>
          <w:tcPr>
            <w:tcW w:w="1245" w:type="dxa"/>
            <w:noWrap w:val="0"/>
            <w:vAlign w:val="center"/>
          </w:tcPr>
          <w:p w14:paraId="685DF9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1.2</w:t>
            </w:r>
          </w:p>
        </w:tc>
        <w:tc>
          <w:tcPr>
            <w:tcW w:w="1171" w:type="dxa"/>
            <w:noWrap w:val="0"/>
            <w:vAlign w:val="center"/>
          </w:tcPr>
          <w:p w14:paraId="6A4CE71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lang w:bidi="ar"/>
              </w:rPr>
            </w:pPr>
            <w:r>
              <w:rPr>
                <w:rFonts w:hint="eastAsia" w:ascii="仿宋" w:hAnsi="仿宋" w:eastAsia="仿宋" w:cs="仿宋"/>
                <w:kern w:val="0"/>
                <w:sz w:val="24"/>
                <w:lang w:bidi="ar"/>
              </w:rPr>
              <w:t>1.2</w:t>
            </w:r>
          </w:p>
        </w:tc>
        <w:tc>
          <w:tcPr>
            <w:tcW w:w="678" w:type="pct"/>
            <w:noWrap w:val="0"/>
            <w:vAlign w:val="center"/>
          </w:tcPr>
          <w:p w14:paraId="2362F1FE">
            <w:pPr>
              <w:keepNext w:val="0"/>
              <w:keepLines w:val="0"/>
              <w:suppressLineNumbers w:val="0"/>
              <w:adjustRightInd w:val="0"/>
              <w:snapToGrid w:val="0"/>
              <w:spacing w:before="0" w:beforeAutospacing="0" w:after="0" w:afterAutospacing="0"/>
              <w:ind w:left="0" w:right="0"/>
              <w:jc w:val="center"/>
              <w:rPr>
                <w:rFonts w:hint="eastAsia" w:ascii="仿宋" w:hAnsi="仿宋" w:eastAsia="仿宋" w:cs="仿宋"/>
                <w:bCs/>
                <w:snapToGrid w:val="0"/>
                <w:kern w:val="0"/>
                <w:sz w:val="24"/>
              </w:rPr>
            </w:pPr>
            <w:r>
              <w:rPr>
                <w:rFonts w:hint="eastAsia" w:ascii="仿宋" w:hAnsi="仿宋" w:eastAsia="仿宋" w:cs="仿宋"/>
                <w:bCs/>
                <w:snapToGrid w:val="0"/>
                <w:kern w:val="0"/>
                <w:sz w:val="24"/>
              </w:rPr>
              <w:t>国产</w:t>
            </w:r>
          </w:p>
        </w:tc>
      </w:tr>
    </w:tbl>
    <w:p w14:paraId="1013EEF4">
      <w:pPr>
        <w:spacing w:line="440" w:lineRule="exact"/>
        <w:rPr>
          <w:rFonts w:hint="eastAsia" w:ascii="仿宋" w:hAnsi="仿宋" w:eastAsia="仿宋" w:cs="仿宋"/>
        </w:rPr>
      </w:pPr>
      <w:r>
        <w:rPr>
          <w:rFonts w:hint="eastAsia" w:ascii="仿宋" w:hAnsi="仿宋" w:eastAsia="仿宋" w:cs="仿宋"/>
          <w:sz w:val="24"/>
        </w:rPr>
        <w:t>注：上表中标</w:t>
      </w:r>
      <w:r>
        <w:rPr>
          <w:rFonts w:hint="eastAsia" w:ascii="仿宋" w:hAnsi="仿宋" w:eastAsia="仿宋" w:cs="仿宋"/>
          <w:bCs/>
          <w:sz w:val="24"/>
        </w:rPr>
        <w:t>▲的设备为该标包的核心产品，单一设备的标包，此设备即为核心产品。</w:t>
      </w:r>
    </w:p>
    <w:p w14:paraId="761B0F8A">
      <w:pPr>
        <w:pStyle w:val="3"/>
        <w:spacing w:after="120" w:line="415" w:lineRule="auto"/>
        <w:rPr>
          <w:rFonts w:hint="eastAsia"/>
        </w:rPr>
      </w:pPr>
      <w:bookmarkStart w:id="784" w:name="_Toc19236"/>
      <w:r>
        <w:rPr>
          <w:rFonts w:hint="eastAsia" w:ascii="仿宋" w:hAnsi="仿宋" w:eastAsia="仿宋" w:cs="仿宋"/>
        </w:rPr>
        <w:t>二、技术规格及参数要求</w:t>
      </w:r>
      <w:bookmarkEnd w:id="784"/>
    </w:p>
    <w:p w14:paraId="0F58877E">
      <w:pPr>
        <w:jc w:val="center"/>
        <w:rPr>
          <w:b/>
          <w:bCs/>
          <w:sz w:val="28"/>
          <w:szCs w:val="32"/>
        </w:rPr>
      </w:pPr>
      <w:bookmarkStart w:id="785" w:name="OLE_LINK23"/>
      <w:bookmarkStart w:id="786" w:name="OLE_LINK25"/>
      <w:bookmarkStart w:id="787" w:name="OLE_LINK22"/>
      <w:r>
        <w:rPr>
          <w:rFonts w:hint="eastAsia"/>
          <w:b/>
          <w:bCs/>
          <w:sz w:val="28"/>
          <w:szCs w:val="32"/>
        </w:rPr>
        <w:t>01包 电子咬合测力器</w:t>
      </w:r>
    </w:p>
    <w:bookmarkEnd w:id="785"/>
    <w:bookmarkEnd w:id="786"/>
    <w:bookmarkEnd w:id="787"/>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A3E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0644491B">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一、硬件技术规格</w:t>
            </w:r>
          </w:p>
        </w:tc>
      </w:tr>
      <w:tr w14:paraId="350D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582AB282">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lang w:val="zh-CN"/>
              </w:rPr>
              <w:t>★</w:t>
            </w:r>
            <w:r>
              <w:rPr>
                <w:rFonts w:hint="eastAsia" w:ascii="宋体" w:hAnsi="宋体" w:cs="宋体"/>
                <w:color w:val="000000"/>
                <w:kern w:val="0"/>
                <w:sz w:val="24"/>
              </w:rPr>
              <w:t>1、供电方式：USB电源供电；</w:t>
            </w:r>
          </w:p>
        </w:tc>
      </w:tr>
      <w:tr w14:paraId="403C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0C0A7E53">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lang w:val="zh-CN"/>
              </w:rPr>
              <w:t>★</w:t>
            </w:r>
            <w:r>
              <w:rPr>
                <w:rFonts w:hint="eastAsia" w:ascii="宋体" w:hAnsi="宋体" w:cs="宋体"/>
                <w:color w:val="000000"/>
                <w:kern w:val="0"/>
                <w:sz w:val="24"/>
              </w:rPr>
              <w:t>2、</w:t>
            </w:r>
            <w:r>
              <w:rPr>
                <w:rFonts w:hint="eastAsia" w:ascii="宋体" w:hAnsi="宋体" w:cs="宋体"/>
                <w:color w:val="000000"/>
                <w:kern w:val="0"/>
                <w:sz w:val="24"/>
                <w:lang w:val="zh-CN"/>
              </w:rPr>
              <w:t>传输协议：使用USB标准Type-A型公插头，将薄膜传感器采集的患者咬合数据传输给计算机。</w:t>
            </w:r>
          </w:p>
        </w:tc>
      </w:tr>
      <w:tr w14:paraId="5956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61D95618">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3、具备利用触觉压力传感器技术检测咬合关系和周期的功能。</w:t>
            </w:r>
          </w:p>
        </w:tc>
      </w:tr>
      <w:tr w14:paraId="07B9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11619721">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4、咬合数据能通过可视化软件转换为二维和三维的力分布显示，在计算机上以柱状图形式模拟显示患者牙齿的咬合情况，并能够进行解读。</w:t>
            </w:r>
          </w:p>
        </w:tc>
      </w:tr>
      <w:tr w14:paraId="3F3F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1A572EA7">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5、手柄可单手操作，可控制设备记录数据、停止记录数据、播放记录数据，并有对应的指示灯。</w:t>
            </w:r>
          </w:p>
        </w:tc>
      </w:tr>
      <w:tr w14:paraId="6C49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6006661F">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6、传感器固定架可高温灭菌。具备多种型号可供选择。能够进行插拔更换，并具有正反面提示标记。最大宽度≤75mm。支架厚度≤5mm。传感器固定架的连接手柄插头宽度≥11mm，长度≥21mm，传感器采用非接触式支架的方式。</w:t>
            </w:r>
          </w:p>
        </w:tc>
      </w:tr>
      <w:tr w14:paraId="5D18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67821221">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7、手柄具备灵敏度调节设定功能。可以进行牙弓宽度及状态设定功能，可设定每一个牙位的大小及保存状态。有异常力值设置功能。具有单颗牙齿力与时间变化分析功能。可以生成咬合检查报告和视频记录导出功能。在二维视图和三维视图中，咬合过程中每一帧数据，均可导出。</w:t>
            </w:r>
          </w:p>
        </w:tc>
      </w:tr>
      <w:tr w14:paraId="6533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74606B2B">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8、传感器厚度：≤100微米；</w:t>
            </w:r>
          </w:p>
        </w:tc>
      </w:tr>
      <w:tr w14:paraId="12781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79ED604D">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9、扫描速度：≥500Hz；</w:t>
            </w:r>
          </w:p>
        </w:tc>
      </w:tr>
      <w:tr w14:paraId="1ABE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5F715340">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10、数字式压力分辨率：≥8BIT；</w:t>
            </w:r>
          </w:p>
        </w:tc>
      </w:tr>
      <w:tr w14:paraId="4A71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08021E91">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11、传感器灵敏度：≥60感应点/cm</w:t>
            </w:r>
            <w:r>
              <w:rPr>
                <w:rFonts w:hint="eastAsia" w:ascii="宋体" w:hAnsi="宋体" w:cs="宋体"/>
                <w:color w:val="000000"/>
                <w:kern w:val="0"/>
                <w:sz w:val="24"/>
                <w:vertAlign w:val="superscript"/>
              </w:rPr>
              <w:t>2</w:t>
            </w:r>
            <w:r>
              <w:rPr>
                <w:rFonts w:hint="eastAsia" w:ascii="宋体" w:hAnsi="宋体" w:cs="宋体"/>
                <w:color w:val="000000"/>
                <w:kern w:val="0"/>
                <w:sz w:val="24"/>
              </w:rPr>
              <w:t>；</w:t>
            </w:r>
          </w:p>
        </w:tc>
      </w:tr>
      <w:tr w14:paraId="22AD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6BEA8CCC">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12、USB电缆长度：≥1800毫米；</w:t>
            </w:r>
          </w:p>
        </w:tc>
      </w:tr>
      <w:tr w14:paraId="75F1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15E54AB0">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二、软件要求：</w:t>
            </w:r>
          </w:p>
        </w:tc>
      </w:tr>
      <w:tr w14:paraId="5EC9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756815F4">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★1、具有Disclusion Time Reduction（DTR）功能模块，分析不同咬合阶段的咬合时间、分离时间、异常咬合力分析。</w:t>
            </w:r>
          </w:p>
        </w:tc>
      </w:tr>
      <w:tr w14:paraId="441B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51CA74A9">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2、软件中可分别显示上、下颌牙列咬合接触点。有种植修复分析模块。具有DIO功能，能与口内扫描仪配合使用，能将咬合接触数据和口内扫描数字模型的数据进行重叠。</w:t>
            </w:r>
          </w:p>
        </w:tc>
      </w:tr>
      <w:tr w14:paraId="11EB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252FBABD">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lang w:val="zh-CN"/>
              </w:rPr>
              <w:t>★</w:t>
            </w:r>
            <w:r>
              <w:rPr>
                <w:rFonts w:hint="eastAsia" w:ascii="宋体" w:hAnsi="宋体" w:cs="宋体"/>
                <w:color w:val="000000"/>
                <w:kern w:val="0"/>
                <w:sz w:val="24"/>
              </w:rPr>
              <w:t>3、一秒钟内采集的单帧数据≥500帧。每一帧数据可按咬合时序进行视图浏览分析咬合力的大小及变化。</w:t>
            </w:r>
          </w:p>
        </w:tc>
      </w:tr>
      <w:tr w14:paraId="53E1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1AC3B4E2">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lang w:val="zh-CN"/>
              </w:rPr>
              <w:t>★</w:t>
            </w:r>
            <w:r>
              <w:rPr>
                <w:rFonts w:hint="eastAsia" w:ascii="宋体" w:hAnsi="宋体" w:cs="宋体"/>
                <w:color w:val="000000"/>
                <w:kern w:val="0"/>
                <w:sz w:val="24"/>
              </w:rPr>
              <w:t>4、具备模型数据导入（STL）功能、具备种植体早接触预警、具备异常咬合力分析功能、具备2D、3D及柱状力以及模型咬合力分布显示功能；</w:t>
            </w:r>
          </w:p>
        </w:tc>
      </w:tr>
      <w:tr w14:paraId="02FB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1EBB42FD">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sz w:val="24"/>
              </w:rPr>
              <w:t>*</w:t>
            </w:r>
            <w:r>
              <w:rPr>
                <w:rFonts w:hint="eastAsia" w:ascii="宋体" w:hAnsi="宋体" w:cs="宋体"/>
                <w:color w:val="000000"/>
                <w:kern w:val="0"/>
                <w:sz w:val="24"/>
              </w:rPr>
              <w:t>三、配置要求：</w:t>
            </w:r>
          </w:p>
        </w:tc>
      </w:tr>
      <w:tr w14:paraId="2C02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69534CEE">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1、薄膜传感器片  20片</w:t>
            </w:r>
          </w:p>
        </w:tc>
      </w:tr>
      <w:tr w14:paraId="3C01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5B9D7E09">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2、薄膜传感器固定架   2套</w:t>
            </w:r>
          </w:p>
        </w:tc>
      </w:tr>
      <w:tr w14:paraId="6A58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5799B1C2">
            <w:pPr>
              <w:keepNext w:val="0"/>
              <w:keepLines w:val="0"/>
              <w:suppressLineNumbers w:val="0"/>
              <w:spacing w:before="0" w:beforeAutospacing="0" w:after="0" w:afterAutospacing="0" w:line="276" w:lineRule="auto"/>
              <w:ind w:left="0" w:right="0"/>
              <w:rPr>
                <w:rFonts w:hint="default" w:ascii="宋体" w:hAnsi="宋体" w:cs="宋体"/>
                <w:color w:val="000000"/>
                <w:kern w:val="0"/>
                <w:sz w:val="24"/>
              </w:rPr>
            </w:pPr>
            <w:r>
              <w:rPr>
                <w:rFonts w:hint="eastAsia" w:ascii="宋体" w:hAnsi="宋体" w:cs="宋体"/>
                <w:color w:val="000000"/>
                <w:kern w:val="0"/>
                <w:sz w:val="24"/>
              </w:rPr>
              <w:t>3、便携式工作站   1台</w:t>
            </w:r>
          </w:p>
        </w:tc>
      </w:tr>
      <w:tr w14:paraId="6062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00B800C3">
            <w:pPr>
              <w:keepNext w:val="0"/>
              <w:keepLines w:val="0"/>
              <w:suppressLineNumbers w:val="0"/>
              <w:spacing w:before="0" w:beforeAutospacing="0" w:after="0" w:afterAutospacing="0"/>
              <w:ind w:left="0" w:right="0"/>
              <w:rPr>
                <w:rFonts w:hint="eastAsia" w:ascii="宋体" w:hAnsi="宋体" w:cs="宋体"/>
                <w:color w:val="000000"/>
                <w:kern w:val="0"/>
                <w:sz w:val="24"/>
              </w:rPr>
            </w:pPr>
            <w:r>
              <w:rPr>
                <w:rFonts w:hint="eastAsia" w:ascii="宋体" w:hAnsi="宋体" w:cs="宋体"/>
                <w:kern w:val="0"/>
                <w:sz w:val="24"/>
              </w:rPr>
              <w:t>四、售后服务要求</w:t>
            </w:r>
          </w:p>
        </w:tc>
      </w:tr>
      <w:tr w14:paraId="4BC3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3FC7240B">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1、售后服务条款:</w:t>
            </w:r>
          </w:p>
        </w:tc>
      </w:tr>
      <w:tr w14:paraId="6C56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7D25FDAB">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1.1提供技术资料、备件和专用工具等。</w:t>
            </w:r>
          </w:p>
        </w:tc>
      </w:tr>
      <w:tr w14:paraId="484B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0637040E">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1.2投标人须向采购人提供设备的运行、安装、使用环境要求。</w:t>
            </w:r>
          </w:p>
        </w:tc>
      </w:tr>
      <w:tr w14:paraId="15E7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7555062E">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1.3至少提供中英文操作手册一套。</w:t>
            </w:r>
          </w:p>
        </w:tc>
      </w:tr>
      <w:tr w14:paraId="4497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39760C5B">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1.4至少提供维修手册和线路图一套。提供厂家原厂 DATA SHEET 及相关资料，免费提供维修密码(口令、密匙)。维修手册必须包含有常见故障与排除方法等内容，提供故障维修定位诊断软件及软件使用说明等。为保证设备正常运行，投标人应在中国境内方便的地点设置保证给设备的相关日常耗材及常用零配件备件耗品库，存入所有必须的备件耗品，并保证10年以上的供应期。零配件最长供货时间不超过1星期。</w:t>
            </w:r>
          </w:p>
        </w:tc>
      </w:tr>
      <w:tr w14:paraId="0721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224CCA88">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1.5提供备用零件、易损件、耗品清单、报价及折扣，并承诺市场价提升而不提升，市场价下降而随之调整。</w:t>
            </w:r>
          </w:p>
        </w:tc>
      </w:tr>
      <w:tr w14:paraId="0AE6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4FFCB18A">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1.6如有专用工具，须提供设备维护的专用工具。</w:t>
            </w:r>
          </w:p>
        </w:tc>
      </w:tr>
      <w:tr w14:paraId="61FC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468D142D">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2、技术服务:</w:t>
            </w:r>
          </w:p>
        </w:tc>
      </w:tr>
      <w:tr w14:paraId="32FB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77CB723F">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2.1在货物到达使用单位后，投标人应在7天内派工程技术人员到达现场，在采购人技术人员在场的情况下开箱清点货物，组织安装、调试，并承担因此发生的一切费用。送设备时，供应商负责处理外包装的箱子等垃圾，不得丢在医院内。</w:t>
            </w:r>
          </w:p>
        </w:tc>
      </w:tr>
      <w:tr w14:paraId="52EA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69C05179">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2.2现场培训:投标人应免费提供现场技术培训，应对采购人临床医生及技术人员提供正规的整套设备操作、维护、维修、检测等内容的培训，使采购人全面了解直至完全掌握设备的使用。</w:t>
            </w:r>
          </w:p>
        </w:tc>
      </w:tr>
      <w:tr w14:paraId="202C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59C7E109">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2.3集中培训:根据设备技术要求，要定期向采购人免费提供临床、维修技术人员培训。</w:t>
            </w:r>
          </w:p>
        </w:tc>
      </w:tr>
      <w:tr w14:paraId="0497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4E35C1CC">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2.4投标人必须支持医院维修或与其合作维修。</w:t>
            </w:r>
          </w:p>
        </w:tc>
      </w:tr>
      <w:tr w14:paraId="5770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02B49818">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3、交货时间为合同签定后接招标人通知后25日历日内。整机出厂日期为最新。</w:t>
            </w:r>
          </w:p>
        </w:tc>
      </w:tr>
      <w:tr w14:paraId="4E07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28D0D7BD">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3.1投标人应对所售设备进行每年4次免费预防性维护，包括巡检，整机清洁，与用户的操作人员作技术交流，并提醒采购人该设备存在的问题或隐患等内容，并出具厂方的维护报告。</w:t>
            </w:r>
          </w:p>
        </w:tc>
      </w:tr>
      <w:tr w14:paraId="0D0A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5BA73E93">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3.2投标人应负责该套设备所匹配的其它辅助设备的售后服务工作，不得以任何理由拒绝售后服务工作和责任。</w:t>
            </w:r>
          </w:p>
        </w:tc>
      </w:tr>
      <w:tr w14:paraId="0506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5C858A94">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3.3该设备或仪器为同类产品同类型号的最新型号的全新设备或仪器。</w:t>
            </w:r>
          </w:p>
        </w:tc>
      </w:tr>
      <w:tr w14:paraId="5333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67F9D81D">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3.4提供由厂方或总代理出具的售后服务保证书，如授权代理商更换，由厂方负责售后服务并出具保证书。</w:t>
            </w:r>
          </w:p>
        </w:tc>
      </w:tr>
      <w:tr w14:paraId="7F22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38664E0D">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3.5设备安装、调试、培训后，经过一定时期的试运行，设备的各项性能指标均能达到招标要求的，双方即按照院方规定签署设备验收文件，验收合格后所有投标设备及其附属易耗件(包括第三方外购设备及易耗件)终身维修。（提供相应承诺，格式自拟）</w:t>
            </w:r>
          </w:p>
        </w:tc>
      </w:tr>
      <w:tr w14:paraId="5C23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11010B9A">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★3.6提供质保期外每年的全保保修价格(不超过投标总价的7%)。</w:t>
            </w:r>
          </w:p>
        </w:tc>
      </w:tr>
      <w:tr w14:paraId="4BCE1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66387383">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3.7质保期外采购人负责对设备进行维护、保养及维修，需要更换零配件时，按成本价或合同附件报价较低的提供维修零配件，不收取其他费用（包含但不限于维修人员的往返差旅费、上门服务费、维修所需备件的搬运费、安装调试费以及系统软件升级等）。</w:t>
            </w:r>
          </w:p>
        </w:tc>
      </w:tr>
      <w:tr w14:paraId="6816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2F38C39C">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★3.8供应商若有新的版本软件推出，给予免费升级和安装。（提供相应承诺，格式自拟）</w:t>
            </w:r>
          </w:p>
        </w:tc>
      </w:tr>
      <w:tr w14:paraId="2205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3F06D526">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3.9在所供设备的质保期内如设备出现是属于投标人原因的故障(即除了采购人使用不当造成的损失和设备正常的易损件以外)，投标人应该无偿修理以及免费提供备件，如设备重复出现同样的问题，无法彻底解决或是属于设备先天不足的质量问题，投标人应负责解决包括退换。由此发生的一切费用应由投标人承担。</w:t>
            </w:r>
          </w:p>
        </w:tc>
      </w:tr>
      <w:tr w14:paraId="3619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46CB8D03">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 10所供设备在质保期内，如遇故障停机，投标人除按上述条款执行外，质保期应按停机时间相应延长。</w:t>
            </w:r>
          </w:p>
        </w:tc>
      </w:tr>
      <w:tr w14:paraId="1E417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37C53EA5">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3.11质保期满后投标人应对设备进行定期的维护及修理，任何由制造、材料、工艺及软件设计等原因引起的非正常损坏和/或运转异常投标人应负责修理甚至赔偿。</w:t>
            </w:r>
          </w:p>
        </w:tc>
      </w:tr>
      <w:tr w14:paraId="35BE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14:paraId="73645CEB">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★3.12开机率≥95%，故障紧急叫修时，2小时内维修响应，专业维修工程师要求4小时内到达现场，24 小时内排除故障或提供应急措施，如在3天内无法修复提供与该设备相同的备用机。（提供相应承诺，格式自拟）</w:t>
            </w:r>
          </w:p>
        </w:tc>
      </w:tr>
      <w:tr w14:paraId="65BC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8522" w:type="dxa"/>
            <w:noWrap w:val="0"/>
            <w:vAlign w:val="top"/>
          </w:tcPr>
          <w:p w14:paraId="68D128F2">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3.13、如果采购人需要，供应商应当承诺：</w:t>
            </w:r>
          </w:p>
          <w:p w14:paraId="7F0B633B">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（1）投标系统、投标产品能免费与安徽省口腔医院集成平台或相关业务系统对接。</w:t>
            </w:r>
          </w:p>
          <w:p w14:paraId="219F6C18">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（2）如果接入第三方系统产生费用，该费用由中标人承担。</w:t>
            </w:r>
          </w:p>
        </w:tc>
      </w:tr>
      <w:tr w14:paraId="5958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522" w:type="dxa"/>
            <w:noWrap w:val="0"/>
            <w:vAlign w:val="top"/>
          </w:tcPr>
          <w:p w14:paraId="41E68996">
            <w:pPr>
              <w:keepNext w:val="0"/>
              <w:keepLines w:val="0"/>
              <w:suppressLineNumbers w:val="0"/>
              <w:spacing w:before="0" w:beforeAutospacing="0" w:after="0" w:afterAutospacing="0" w:line="276" w:lineRule="auto"/>
              <w:ind w:left="0" w:right="0"/>
              <w:rPr>
                <w:rFonts w:hint="eastAsia" w:ascii="宋体" w:hAnsi="宋体" w:cs="宋体"/>
                <w:color w:val="000000"/>
                <w:kern w:val="0"/>
                <w:sz w:val="24"/>
              </w:rPr>
            </w:pPr>
            <w:r>
              <w:rPr>
                <w:rFonts w:hint="eastAsia" w:ascii="宋体" w:hAnsi="宋体" w:cs="宋体"/>
                <w:color w:val="000000"/>
                <w:kern w:val="0"/>
                <w:sz w:val="24"/>
              </w:rPr>
              <w:t>3.14、免费提供设备的系统软件及硬件的安全性改版升级和技术支持，软件终身免费升级，硬件5年内免费升级。</w:t>
            </w:r>
          </w:p>
        </w:tc>
      </w:tr>
    </w:tbl>
    <w:p w14:paraId="4ECA649E"/>
    <w:p w14:paraId="6E0A62E8">
      <w:pPr>
        <w:pStyle w:val="18"/>
        <w:rPr>
          <w:rFonts w:hint="eastAsia"/>
        </w:rPr>
      </w:pPr>
    </w:p>
    <w:p w14:paraId="09CA96A1">
      <w:pPr>
        <w:rPr>
          <w:rFonts w:hint="eastAsia"/>
        </w:rPr>
      </w:pPr>
    </w:p>
    <w:p w14:paraId="581BF2A3">
      <w:pPr>
        <w:rPr>
          <w:rFonts w:hint="eastAsia"/>
        </w:rPr>
      </w:pPr>
      <w:r>
        <w:rPr>
          <w:rFonts w:hint="eastAsia"/>
          <w:b/>
          <w:bCs/>
          <w:sz w:val="28"/>
          <w:szCs w:val="32"/>
        </w:rPr>
        <w:t>02包</w:t>
      </w:r>
    </w:p>
    <w:p w14:paraId="2D49B6FD">
      <w:pPr>
        <w:jc w:val="left"/>
        <w:rPr>
          <w:rFonts w:hint="eastAsia" w:ascii="宋体" w:hAnsi="宋体" w:cs="宋体"/>
          <w:b/>
          <w:sz w:val="24"/>
        </w:rPr>
      </w:pPr>
      <w:r>
        <w:rPr>
          <w:rFonts w:hint="eastAsia" w:ascii="宋体" w:hAnsi="宋体" w:cs="宋体"/>
          <w:b/>
          <w:sz w:val="24"/>
        </w:rPr>
        <w:t>1、医用输血输液加温器</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1"/>
      </w:tblGrid>
      <w:tr w14:paraId="25BE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5DF1B9D9">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技术参数</w:t>
            </w:r>
          </w:p>
        </w:tc>
      </w:tr>
      <w:tr w14:paraId="26F7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1367F378">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1、独立控温，具有</w:t>
            </w:r>
            <w:r>
              <w:rPr>
                <w:rFonts w:hint="eastAsia" w:ascii="宋体" w:hAnsi="宋体" w:cs="宋体"/>
                <w:kern w:val="0"/>
                <w:sz w:val="24"/>
                <w:lang w:val="en-GB"/>
              </w:rPr>
              <w:t>≥</w:t>
            </w:r>
            <w:r>
              <w:rPr>
                <w:rFonts w:hint="eastAsia" w:ascii="宋体" w:hAnsi="宋体" w:cs="宋体"/>
                <w:kern w:val="0"/>
                <w:sz w:val="24"/>
              </w:rPr>
              <w:t>2个通道加温功能，每个通道可独立设置温度和控制加温。</w:t>
            </w:r>
          </w:p>
        </w:tc>
      </w:tr>
      <w:tr w14:paraId="6C11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1DBFC13E">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★2、显示屏：配置</w:t>
            </w:r>
            <w:r>
              <w:rPr>
                <w:rFonts w:hint="eastAsia" w:ascii="宋体" w:hAnsi="宋体" w:cs="宋体"/>
                <w:kern w:val="0"/>
                <w:sz w:val="24"/>
                <w:lang w:val="en-GB"/>
              </w:rPr>
              <w:t>≥</w:t>
            </w:r>
            <w:r>
              <w:rPr>
                <w:rFonts w:hint="eastAsia" w:ascii="宋体" w:hAnsi="宋体" w:cs="宋体"/>
                <w:kern w:val="0"/>
                <w:sz w:val="24"/>
              </w:rPr>
              <w:t>5.0英寸触摸屏，可同时显示不同通道的设置温度、实时温度、故障信息、工作状态等。</w:t>
            </w:r>
          </w:p>
        </w:tc>
      </w:tr>
      <w:tr w14:paraId="25C0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0B1C13B6">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★3、加温范围：30℃-42℃，温度步进：0.1℃。</w:t>
            </w:r>
          </w:p>
        </w:tc>
      </w:tr>
      <w:tr w14:paraId="1C1F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37329E09">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★4、控温精度：±0.5℃。</w:t>
            </w:r>
          </w:p>
        </w:tc>
      </w:tr>
      <w:tr w14:paraId="0FAF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4A661EE9">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5、温度单位选择：摄氏度℃、华氏度℉。</w:t>
            </w:r>
          </w:p>
        </w:tc>
      </w:tr>
      <w:tr w14:paraId="69A0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2E2D359D">
            <w:pPr>
              <w:keepNext w:val="0"/>
              <w:keepLines w:val="0"/>
              <w:suppressLineNumbers w:val="0"/>
              <w:spacing w:before="0" w:beforeAutospacing="0" w:after="0" w:afterAutospacing="0" w:line="360" w:lineRule="auto"/>
              <w:ind w:left="0" w:right="0"/>
              <w:jc w:val="left"/>
              <w:rPr>
                <w:rFonts w:hint="eastAsia" w:ascii="宋体" w:hAnsi="宋体" w:cs="宋体"/>
                <w:b/>
                <w:bCs/>
                <w:kern w:val="0"/>
                <w:sz w:val="24"/>
                <w:lang w:bidi="ar"/>
              </w:rPr>
            </w:pPr>
            <w:r>
              <w:rPr>
                <w:rFonts w:hint="eastAsia" w:ascii="宋体" w:hAnsi="宋体" w:cs="宋体"/>
                <w:kern w:val="0"/>
                <w:sz w:val="24"/>
                <w:lang w:bidi="ar"/>
              </w:rPr>
              <w:t>6、预热时间：≤2分钟。</w:t>
            </w:r>
          </w:p>
        </w:tc>
      </w:tr>
      <w:tr w14:paraId="212F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758B77F2">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7、报警功能：具备</w:t>
            </w:r>
            <w:r>
              <w:rPr>
                <w:rFonts w:hint="eastAsia" w:ascii="宋体" w:hAnsi="宋体" w:cs="宋体"/>
                <w:kern w:val="0"/>
                <w:sz w:val="24"/>
                <w:lang w:val="en-GB"/>
              </w:rPr>
              <w:t>≥</w:t>
            </w:r>
            <w:r>
              <w:rPr>
                <w:rFonts w:hint="eastAsia" w:ascii="宋体" w:hAnsi="宋体" w:cs="宋体"/>
                <w:kern w:val="0"/>
                <w:sz w:val="24"/>
              </w:rPr>
              <w:t>4种状态报警；</w:t>
            </w:r>
          </w:p>
        </w:tc>
      </w:tr>
      <w:tr w14:paraId="44C8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10EACE89">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8、加热管规格：管径3.5-5mm，6-7mm，9.5mm，长度为80cm，100cm，120cm，140cm。</w:t>
            </w:r>
          </w:p>
        </w:tc>
      </w:tr>
      <w:tr w14:paraId="2A8C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0B24FB24">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9、具有参数记忆功能、交直流自动切换功能、交流掉电提示功能、</w:t>
            </w:r>
            <w:r>
              <w:rPr>
                <w:rFonts w:hint="eastAsia" w:ascii="宋体" w:hAnsi="宋体" w:cs="宋体"/>
                <w:kern w:val="0"/>
                <w:sz w:val="24"/>
                <w:lang w:bidi="ar"/>
              </w:rPr>
              <w:t>工作指示、静音功能、</w:t>
            </w:r>
            <w:r>
              <w:rPr>
                <w:rFonts w:hint="eastAsia" w:ascii="宋体" w:hAnsi="宋体" w:cs="宋体"/>
                <w:kern w:val="0"/>
                <w:sz w:val="24"/>
              </w:rPr>
              <w:t>语音提醒功能、</w:t>
            </w:r>
            <w:r>
              <w:rPr>
                <w:rFonts w:hint="eastAsia" w:ascii="宋体" w:hAnsi="宋体" w:cs="宋体"/>
                <w:kern w:val="0"/>
                <w:sz w:val="24"/>
                <w:lang w:bidi="ar"/>
              </w:rPr>
              <w:t>无线功能(选配）等。</w:t>
            </w:r>
          </w:p>
        </w:tc>
      </w:tr>
      <w:tr w14:paraId="4F90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10511BB1">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★10、具备液体设置功能：可设置、保存常用液体的名称和加温范围。</w:t>
            </w:r>
          </w:p>
        </w:tc>
      </w:tr>
      <w:tr w14:paraId="61D0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28E08AFE">
            <w:pPr>
              <w:keepNext w:val="0"/>
              <w:keepLines w:val="0"/>
              <w:suppressLineNumbers w:val="0"/>
              <w:spacing w:before="0" w:beforeAutospacing="0" w:after="0" w:afterAutospacing="0" w:line="360" w:lineRule="auto"/>
              <w:ind w:left="0" w:right="0"/>
              <w:jc w:val="left"/>
              <w:rPr>
                <w:rFonts w:hint="eastAsia" w:ascii="宋体" w:hAnsi="宋体" w:cs="宋体"/>
                <w:kern w:val="0"/>
                <w:sz w:val="24"/>
                <w:lang w:bidi="ar"/>
              </w:rPr>
            </w:pPr>
            <w:r>
              <w:rPr>
                <w:rFonts w:hint="eastAsia" w:ascii="宋体" w:hAnsi="宋体" w:cs="宋体"/>
                <w:kern w:val="0"/>
                <w:sz w:val="24"/>
                <w:lang w:bidi="ar"/>
              </w:rPr>
              <w:t>11、内部电池工作性能：充电完成后，在室温环境下，温度设置为 30℃的条件下单通道连续工作≥ 5 小时。双通道连续工作时间不≥ 2.5 小时。</w:t>
            </w:r>
          </w:p>
        </w:tc>
      </w:tr>
      <w:tr w14:paraId="0EE6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1" w:type="dxa"/>
            <w:noWrap w:val="0"/>
            <w:vAlign w:val="top"/>
          </w:tcPr>
          <w:p w14:paraId="4A7340DA">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12、进液防护等级：≥IP43；</w:t>
            </w:r>
            <w:r>
              <w:rPr>
                <w:rFonts w:hint="eastAsia" w:ascii="宋体" w:hAnsi="宋体" w:cs="宋体"/>
                <w:kern w:val="0"/>
                <w:sz w:val="24"/>
                <w:lang w:bidi="ar"/>
              </w:rPr>
              <w:t>电击防护类型：II类，电击防护程度：无应用部分。</w:t>
            </w:r>
          </w:p>
        </w:tc>
      </w:tr>
    </w:tbl>
    <w:p w14:paraId="3C795F1B">
      <w:pPr>
        <w:jc w:val="left"/>
        <w:rPr>
          <w:rFonts w:hint="eastAsia" w:ascii="宋体" w:hAnsi="宋体" w:cs="宋体"/>
          <w:b/>
          <w:sz w:val="24"/>
        </w:rPr>
      </w:pPr>
    </w:p>
    <w:p w14:paraId="20F942F5">
      <w:pPr>
        <w:jc w:val="left"/>
        <w:rPr>
          <w:rFonts w:hint="eastAsia" w:ascii="宋体" w:hAnsi="宋体" w:cs="宋体"/>
          <w:b/>
          <w:sz w:val="24"/>
        </w:rPr>
      </w:pPr>
      <w:r>
        <w:rPr>
          <w:rFonts w:hint="eastAsia" w:ascii="宋体" w:hAnsi="宋体" w:cs="宋体"/>
          <w:b/>
          <w:sz w:val="24"/>
        </w:rPr>
        <w:t>2、充气式加温仪</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7"/>
      </w:tblGrid>
      <w:tr w14:paraId="33D8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7F99250F">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技术参数</w:t>
            </w:r>
          </w:p>
        </w:tc>
      </w:tr>
      <w:tr w14:paraId="7C2A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5A4FA750">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1.显示方式：</w:t>
            </w:r>
            <w:r>
              <w:rPr>
                <w:rFonts w:hint="eastAsia" w:ascii="宋体" w:hAnsi="宋体" w:cs="宋体"/>
                <w:kern w:val="0"/>
                <w:sz w:val="24"/>
                <w:lang w:val="en-GB"/>
              </w:rPr>
              <w:t>≥</w:t>
            </w:r>
            <w:r>
              <w:rPr>
                <w:rFonts w:hint="eastAsia" w:ascii="宋体" w:hAnsi="宋体" w:cs="宋体"/>
                <w:kern w:val="0"/>
                <w:sz w:val="24"/>
              </w:rPr>
              <w:t>5英寸彩色液晶屏，可选中文菜单；</w:t>
            </w:r>
          </w:p>
        </w:tc>
      </w:tr>
      <w:tr w14:paraId="3C6C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53FBCC78">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2.前置式自锁紧风管接头；</w:t>
            </w:r>
          </w:p>
        </w:tc>
      </w:tr>
      <w:tr w14:paraId="6692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53250AE9">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3.出气口温度探头设计；</w:t>
            </w:r>
          </w:p>
        </w:tc>
      </w:tr>
      <w:tr w14:paraId="6723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6F37316C">
            <w:pPr>
              <w:keepNext w:val="0"/>
              <w:keepLines w:val="0"/>
              <w:numPr>
                <w:ilvl w:val="0"/>
                <w:numId w:val="1"/>
              </w:numPr>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1.5-1.8M高伸缩输气连接软管，耐磨，柔韧性好；</w:t>
            </w:r>
          </w:p>
        </w:tc>
      </w:tr>
      <w:tr w14:paraId="75183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60AEB893">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5. 金属外壳，通过电磁兼容检测，抗干扰性强；</w:t>
            </w:r>
          </w:p>
        </w:tc>
      </w:tr>
      <w:tr w14:paraId="2BF6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4E905AAB">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6.医用升温毯设定温度四挡可调：室温、32℃、38℃、43℃，</w:t>
            </w:r>
            <w:r>
              <w:rPr>
                <w:rFonts w:hint="eastAsia" w:ascii="宋体" w:hAnsi="宋体" w:cs="宋体"/>
                <w:kern w:val="0"/>
                <w:sz w:val="24"/>
                <w:lang w:val="zh-CN"/>
              </w:rPr>
              <w:t>精度</w:t>
            </w:r>
            <w:r>
              <w:rPr>
                <w:rFonts w:hint="eastAsia" w:ascii="宋体" w:hAnsi="宋体" w:cs="宋体"/>
                <w:kern w:val="0"/>
                <w:sz w:val="24"/>
              </w:rPr>
              <w:t>±</w:t>
            </w:r>
            <w:r>
              <w:rPr>
                <w:rFonts w:hint="eastAsia" w:ascii="宋体" w:hAnsi="宋体" w:cs="宋体"/>
                <w:kern w:val="0"/>
                <w:sz w:val="24"/>
                <w:lang w:val="zh-CN"/>
              </w:rPr>
              <w:t>1.5℃；</w:t>
            </w:r>
          </w:p>
        </w:tc>
      </w:tr>
      <w:tr w14:paraId="21F1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092166E8">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7.工作方式：连续工作；</w:t>
            </w:r>
          </w:p>
        </w:tc>
      </w:tr>
      <w:tr w14:paraId="220B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0D5054EA">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8.超温报警：高于设定温度3℃时报警停止工作；</w:t>
            </w:r>
          </w:p>
        </w:tc>
      </w:tr>
      <w:tr w14:paraId="4CBE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5E6802CA">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9.低温报警：低于设定温度3℃时报警</w:t>
            </w:r>
          </w:p>
        </w:tc>
      </w:tr>
      <w:tr w14:paraId="33FF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3C4EF1FE">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10.加热盘报警：加热盘使用期超过理论寿命报警；</w:t>
            </w:r>
          </w:p>
        </w:tc>
      </w:tr>
      <w:tr w14:paraId="6F02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46645EBB">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11.累计计时：最大255h,计时精度：≤±1min；</w:t>
            </w:r>
          </w:p>
        </w:tc>
      </w:tr>
      <w:tr w14:paraId="0E24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6453BFEB">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12.医用升温毯风速：可设置高风速和低风速两档，高风速26±1Km/h, 低风速23±1Km/h；</w:t>
            </w:r>
          </w:p>
        </w:tc>
      </w:tr>
      <w:tr w14:paraId="225D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5797BC54">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13.医用升温毯工作噪音：正常工作的整机噪音≤49db；</w:t>
            </w:r>
          </w:p>
        </w:tc>
      </w:tr>
      <w:tr w14:paraId="1448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7" w:type="dxa"/>
            <w:noWrap w:val="0"/>
            <w:vAlign w:val="top"/>
          </w:tcPr>
          <w:p w14:paraId="3FB2CEE1">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14.医用升温毯总功率≤350VA；</w:t>
            </w:r>
          </w:p>
        </w:tc>
      </w:tr>
      <w:tr w14:paraId="5C88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restart"/>
            <w:noWrap w:val="0"/>
            <w:vAlign w:val="top"/>
          </w:tcPr>
          <w:p w14:paraId="5C651EE3">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15.配置清单：</w:t>
            </w:r>
          </w:p>
          <w:p w14:paraId="211CB8B2">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（1）主机：1台</w:t>
            </w:r>
          </w:p>
          <w:p w14:paraId="1F127616">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（2）一次性加温毯：5个（多款一次性加温毯，可根据临床需要进行选择）</w:t>
            </w:r>
          </w:p>
          <w:p w14:paraId="6480C3C3">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（3）支架：1个</w:t>
            </w:r>
          </w:p>
        </w:tc>
      </w:tr>
      <w:tr w14:paraId="3108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top"/>
          </w:tcPr>
          <w:p w14:paraId="7985683D">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r w14:paraId="4532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top"/>
          </w:tcPr>
          <w:p w14:paraId="336C431D">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r w14:paraId="56CF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top"/>
          </w:tcPr>
          <w:p w14:paraId="5BFDF433">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r w14:paraId="4AE8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top"/>
          </w:tcPr>
          <w:p w14:paraId="2435D6D7">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r w14:paraId="27EE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center"/>
          </w:tcPr>
          <w:p w14:paraId="297FB4CC">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r w14:paraId="043E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top"/>
          </w:tcPr>
          <w:p w14:paraId="55DB860A">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r w14:paraId="01A5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47" w:type="dxa"/>
            <w:vMerge w:val="continue"/>
            <w:noWrap w:val="0"/>
            <w:vAlign w:val="top"/>
          </w:tcPr>
          <w:p w14:paraId="49A51560">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p>
        </w:tc>
      </w:tr>
    </w:tbl>
    <w:p w14:paraId="29873625">
      <w:pPr>
        <w:jc w:val="left"/>
        <w:rPr>
          <w:rFonts w:hint="eastAsia" w:ascii="宋体" w:hAnsi="宋体" w:cs="宋体"/>
          <w:b/>
          <w:sz w:val="24"/>
        </w:rPr>
      </w:pPr>
    </w:p>
    <w:p w14:paraId="7FBF44C3">
      <w:pPr>
        <w:jc w:val="left"/>
        <w:rPr>
          <w:rFonts w:hint="eastAsia" w:ascii="宋体" w:hAnsi="宋体" w:cs="宋体"/>
          <w:b/>
          <w:sz w:val="24"/>
        </w:rPr>
      </w:pPr>
      <w:r>
        <w:rPr>
          <w:rFonts w:hint="eastAsia" w:ascii="宋体" w:hAnsi="宋体" w:cs="宋体"/>
          <w:b/>
          <w:sz w:val="24"/>
        </w:rPr>
        <w:t>3、心电监护仪</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1"/>
      </w:tblGrid>
      <w:tr w14:paraId="2A6D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77E241B2">
            <w:pPr>
              <w:keepNext w:val="0"/>
              <w:keepLines w:val="0"/>
              <w:suppressLineNumbers w:val="0"/>
              <w:spacing w:before="0" w:beforeAutospacing="0" w:after="0" w:afterAutospacing="0" w:line="360" w:lineRule="auto"/>
              <w:ind w:left="0" w:right="0"/>
              <w:jc w:val="left"/>
              <w:rPr>
                <w:rFonts w:hint="eastAsia" w:ascii="宋体" w:hAnsi="宋体" w:cs="宋体"/>
                <w:kern w:val="0"/>
                <w:sz w:val="24"/>
              </w:rPr>
            </w:pPr>
            <w:r>
              <w:rPr>
                <w:rFonts w:hint="eastAsia" w:ascii="宋体" w:hAnsi="宋体" w:cs="宋体"/>
                <w:kern w:val="0"/>
                <w:sz w:val="24"/>
              </w:rPr>
              <w:t>技术参数</w:t>
            </w:r>
          </w:p>
        </w:tc>
      </w:tr>
      <w:tr w14:paraId="17E8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24BE9D3D">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1.一体式监护仪,可用于监护成人、儿童、新生儿患者；</w:t>
            </w:r>
          </w:p>
        </w:tc>
      </w:tr>
      <w:tr w14:paraId="7742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075FCC49">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★2. ≥10英寸彩色液晶显示屏，分辨率≥1024*600，具有配件收纳箱；</w:t>
            </w:r>
          </w:p>
        </w:tc>
      </w:tr>
      <w:tr w14:paraId="1446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540AFA11">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3.智能背光自动调节，在各种光线环境下都能观察清晰；</w:t>
            </w:r>
          </w:p>
        </w:tc>
      </w:tr>
      <w:tr w14:paraId="71CA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612C1259">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4.监测参数：心电、呼吸、无创血压、血氧饱和度、脉搏；</w:t>
            </w:r>
          </w:p>
        </w:tc>
      </w:tr>
      <w:tr w14:paraId="0866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04C3D6F2">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5.具备3导、5导、6导心电导联切换功能；</w:t>
            </w:r>
          </w:p>
        </w:tc>
      </w:tr>
      <w:tr w14:paraId="0A36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79833B12">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6.具备 ECG 多导同步分析功能，同时分析多个心电导联，个别导联干扰情况下仍能准确监测，具备智能导联脱落监测功能；</w:t>
            </w:r>
          </w:p>
        </w:tc>
      </w:tr>
      <w:tr w14:paraId="005B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3B4F3799">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★7. 心率测量范围：成人：10 bpm～300 bpm；儿童和新生儿：10 bpm～350 bpm；</w:t>
            </w:r>
          </w:p>
        </w:tc>
      </w:tr>
      <w:tr w14:paraId="79F6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6994A889">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8.无创血压具有手动、周期、快速、序列测量方式；</w:t>
            </w:r>
          </w:p>
        </w:tc>
      </w:tr>
      <w:tr w14:paraId="223F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7B842DE6">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9.可监测灌注指数PI，测量范围0.05-20%，能有效反应末梢循环的功能状态 ；</w:t>
            </w:r>
          </w:p>
        </w:tc>
      </w:tr>
      <w:tr w14:paraId="2F1A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4F2E9100">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★10.呼吸率及呼吸波形可通过脉搏波监测；</w:t>
            </w:r>
          </w:p>
        </w:tc>
      </w:tr>
      <w:tr w14:paraId="5194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321D2AF2">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11.具有三级声光报警， 参数报警级别可调，具备报警集中设置功能；</w:t>
            </w:r>
          </w:p>
        </w:tc>
      </w:tr>
      <w:tr w14:paraId="188D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209423F8">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12.具备血液动力学、氧合计算、通气计算、药物计算、肾功能计算功能，具备夜间模式、隐私模式等；</w:t>
            </w:r>
          </w:p>
        </w:tc>
      </w:tr>
      <w:tr w14:paraId="040B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0D9A0111">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13.大容量数据存储功能，支持外部USB存储设备；</w:t>
            </w:r>
          </w:p>
        </w:tc>
      </w:tr>
      <w:tr w14:paraId="6B6C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5AB9A286">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14.整机无风扇，低功耗，标配锂电池，工作时间≥4小时；</w:t>
            </w:r>
          </w:p>
        </w:tc>
      </w:tr>
      <w:tr w14:paraId="748A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7682DF62">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15.具备网络扩展功能，观察可支持床边机≥15台；</w:t>
            </w:r>
          </w:p>
        </w:tc>
      </w:tr>
      <w:tr w14:paraId="0D0F8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2C181621">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16.具有有线、无线等联网功能，与中央监护系统站或医院信息系统联网；</w:t>
            </w:r>
          </w:p>
        </w:tc>
      </w:tr>
      <w:tr w14:paraId="09DB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67D9CFCE">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★17. 具有可升级物联网信息传输功能</w:t>
            </w:r>
          </w:p>
        </w:tc>
      </w:tr>
      <w:tr w14:paraId="074F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64E61A26">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18.可选配3通道记录仪，实现热敏打印</w:t>
            </w:r>
          </w:p>
        </w:tc>
      </w:tr>
      <w:tr w14:paraId="5748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1" w:type="dxa"/>
            <w:noWrap w:val="0"/>
            <w:vAlign w:val="top"/>
          </w:tcPr>
          <w:p w14:paraId="3EB9A001">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19.支持网络打印功能</w:t>
            </w:r>
          </w:p>
        </w:tc>
      </w:tr>
    </w:tbl>
    <w:p w14:paraId="5A8319E2">
      <w:pPr>
        <w:jc w:val="left"/>
        <w:rPr>
          <w:rFonts w:hint="eastAsia" w:ascii="宋体" w:hAnsi="宋体" w:cs="宋体"/>
          <w:b/>
          <w:bCs/>
          <w:sz w:val="24"/>
        </w:rPr>
      </w:pPr>
    </w:p>
    <w:p w14:paraId="69CAFBD2">
      <w:pPr>
        <w:jc w:val="left"/>
        <w:rPr>
          <w:rFonts w:hint="eastAsia" w:ascii="宋体" w:hAnsi="宋体" w:cs="宋体"/>
          <w:b/>
          <w:bCs/>
          <w:sz w:val="24"/>
        </w:rPr>
      </w:pPr>
      <w:r>
        <w:rPr>
          <w:rFonts w:hint="eastAsia" w:ascii="宋体" w:hAnsi="宋体" w:cs="宋体"/>
          <w:b/>
          <w:bCs/>
          <w:sz w:val="24"/>
        </w:rPr>
        <w:t>4、超声骨刀</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6"/>
      </w:tblGrid>
      <w:tr w14:paraId="3BC9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44C0795F">
            <w:pPr>
              <w:keepNext w:val="0"/>
              <w:keepLines w:val="0"/>
              <w:suppressLineNumbers w:val="0"/>
              <w:spacing w:before="0" w:beforeAutospacing="0" w:after="0" w:afterAutospacing="0" w:line="360" w:lineRule="auto"/>
              <w:ind w:left="0" w:right="0"/>
              <w:jc w:val="left"/>
              <w:rPr>
                <w:rFonts w:hint="eastAsia" w:ascii="宋体" w:hAnsi="宋体" w:cs="宋体"/>
                <w:b/>
                <w:bCs/>
                <w:kern w:val="0"/>
                <w:sz w:val="24"/>
              </w:rPr>
            </w:pPr>
            <w:r>
              <w:rPr>
                <w:rFonts w:hint="eastAsia" w:ascii="宋体" w:hAnsi="宋体" w:cs="宋体"/>
                <w:kern w:val="0"/>
                <w:sz w:val="24"/>
              </w:rPr>
              <w:t>技术参数</w:t>
            </w:r>
          </w:p>
        </w:tc>
      </w:tr>
      <w:tr w14:paraId="5DB7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F38563A">
            <w:pPr>
              <w:keepNext w:val="0"/>
              <w:keepLines w:val="0"/>
              <w:suppressLineNumbers w:val="0"/>
              <w:spacing w:before="0" w:beforeAutospacing="0" w:after="0" w:afterAutospacing="0"/>
              <w:ind w:left="0" w:right="0"/>
              <w:jc w:val="left"/>
              <w:rPr>
                <w:rFonts w:hint="eastAsia" w:ascii="宋体" w:hAnsi="宋体" w:cs="宋体"/>
                <w:b/>
                <w:bCs/>
                <w:kern w:val="0"/>
                <w:sz w:val="24"/>
              </w:rPr>
            </w:pPr>
            <w:r>
              <w:rPr>
                <w:rFonts w:hint="eastAsia" w:ascii="宋体" w:hAnsi="宋体" w:cs="宋体"/>
                <w:b/>
                <w:bCs/>
                <w:kern w:val="0"/>
                <w:sz w:val="24"/>
              </w:rPr>
              <w:t>一、主机参数</w:t>
            </w:r>
          </w:p>
        </w:tc>
      </w:tr>
      <w:tr w14:paraId="07639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0787D05B">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1.1显示屏具备广角，</w:t>
            </w:r>
            <w:r>
              <w:rPr>
                <w:rFonts w:hint="eastAsia" w:ascii="宋体" w:hAnsi="宋体" w:cs="宋体"/>
                <w:kern w:val="0"/>
                <w:sz w:val="24"/>
              </w:rPr>
              <w:t>≥</w:t>
            </w:r>
            <w:r>
              <w:rPr>
                <w:rFonts w:hint="eastAsia" w:ascii="宋体" w:hAnsi="宋体" w:cs="宋体"/>
                <w:color w:val="000000"/>
                <w:kern w:val="0"/>
                <w:sz w:val="24"/>
              </w:rPr>
              <w:t>10英寸触摸屏，显示</w:t>
            </w:r>
            <w:r>
              <w:rPr>
                <w:rFonts w:hint="eastAsia" w:ascii="宋体" w:hAnsi="宋体" w:cs="宋体"/>
                <w:kern w:val="0"/>
                <w:sz w:val="24"/>
              </w:rPr>
              <w:t>≥</w:t>
            </w:r>
            <w:r>
              <w:rPr>
                <w:rFonts w:hint="eastAsia" w:ascii="宋体" w:hAnsi="宋体" w:cs="宋体"/>
                <w:color w:val="000000"/>
                <w:kern w:val="0"/>
                <w:sz w:val="24"/>
              </w:rPr>
              <w:t>4种不同的工作模式状态、设置参数等信息；</w:t>
            </w:r>
          </w:p>
        </w:tc>
      </w:tr>
      <w:tr w14:paraId="3998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09D62CDC">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1.2</w:t>
            </w:r>
            <w:r>
              <w:rPr>
                <w:rFonts w:hint="eastAsia" w:ascii="宋体" w:hAnsi="宋体" w:cs="宋体"/>
                <w:color w:val="000000"/>
                <w:kern w:val="0"/>
                <w:sz w:val="24"/>
              </w:rPr>
              <w:tab/>
            </w:r>
            <w:r>
              <w:rPr>
                <w:rFonts w:hint="eastAsia" w:ascii="宋体" w:hAnsi="宋体" w:cs="宋体"/>
                <w:color w:val="000000"/>
                <w:kern w:val="0"/>
                <w:sz w:val="24"/>
              </w:rPr>
              <w:t>具备实时能量感应功能；</w:t>
            </w:r>
          </w:p>
        </w:tc>
      </w:tr>
      <w:tr w14:paraId="26B5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30BC28DF">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1.3</w:t>
            </w:r>
            <w:r>
              <w:rPr>
                <w:rFonts w:hint="eastAsia" w:ascii="宋体" w:hAnsi="宋体" w:cs="宋体"/>
                <w:color w:val="000000"/>
                <w:kern w:val="0"/>
                <w:sz w:val="24"/>
              </w:rPr>
              <w:tab/>
            </w:r>
            <w:r>
              <w:rPr>
                <w:rFonts w:hint="eastAsia" w:ascii="宋体" w:hAnsi="宋体" w:cs="宋体"/>
                <w:color w:val="000000"/>
                <w:kern w:val="0"/>
                <w:sz w:val="24"/>
              </w:rPr>
              <w:t>具备双路输出监控系统功能；</w:t>
            </w:r>
          </w:p>
        </w:tc>
      </w:tr>
      <w:tr w14:paraId="305A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23FFAC86">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1.4 具备自适应组织功能；</w:t>
            </w:r>
          </w:p>
        </w:tc>
      </w:tr>
      <w:tr w14:paraId="5E0A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25FD567">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1.5</w:t>
            </w:r>
            <w:r>
              <w:rPr>
                <w:rFonts w:hint="eastAsia" w:ascii="宋体" w:hAnsi="宋体" w:cs="宋体"/>
                <w:color w:val="000000"/>
                <w:kern w:val="0"/>
                <w:sz w:val="24"/>
              </w:rPr>
              <w:tab/>
            </w:r>
            <w:r>
              <w:rPr>
                <w:rFonts w:hint="eastAsia" w:ascii="宋体" w:hAnsi="宋体" w:cs="宋体"/>
                <w:color w:val="000000"/>
                <w:kern w:val="0"/>
                <w:sz w:val="24"/>
              </w:rPr>
              <w:t>有效输出功率：</w:t>
            </w:r>
            <w:r>
              <w:rPr>
                <w:rFonts w:hint="eastAsia" w:ascii="宋体" w:hAnsi="宋体" w:cs="宋体"/>
                <w:kern w:val="0"/>
                <w:sz w:val="24"/>
              </w:rPr>
              <w:t>≥</w:t>
            </w:r>
            <w:r>
              <w:rPr>
                <w:rFonts w:hint="eastAsia" w:ascii="宋体" w:hAnsi="宋体" w:cs="宋体"/>
                <w:color w:val="000000"/>
                <w:kern w:val="0"/>
                <w:sz w:val="24"/>
              </w:rPr>
              <w:t>98%</w:t>
            </w:r>
          </w:p>
        </w:tc>
      </w:tr>
      <w:tr w14:paraId="4595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B3E9FCB">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1.6 主机可匹配多种型号耗材，包括具有集成手柄（能量换能器）设计的5mm血管闭合能力刀头、7mm血管闭合能力刀头等；</w:t>
            </w:r>
          </w:p>
        </w:tc>
      </w:tr>
      <w:tr w14:paraId="3ED1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A529141">
            <w:pPr>
              <w:keepNext w:val="0"/>
              <w:keepLines w:val="0"/>
              <w:suppressLineNumbers w:val="0"/>
              <w:spacing w:before="0" w:beforeAutospacing="0" w:after="0" w:afterAutospacing="0"/>
              <w:ind w:left="0" w:right="0"/>
              <w:jc w:val="left"/>
              <w:rPr>
                <w:rFonts w:hint="eastAsia" w:ascii="宋体" w:hAnsi="宋体" w:cs="宋体"/>
                <w:b/>
                <w:bCs/>
                <w:color w:val="000000"/>
                <w:kern w:val="0"/>
                <w:sz w:val="24"/>
              </w:rPr>
            </w:pPr>
            <w:r>
              <w:rPr>
                <w:rFonts w:hint="eastAsia" w:ascii="宋体" w:hAnsi="宋体" w:cs="宋体"/>
                <w:b/>
                <w:bCs/>
                <w:color w:val="000000"/>
                <w:kern w:val="0"/>
                <w:sz w:val="24"/>
              </w:rPr>
              <w:t>二、功能及模式</w:t>
            </w:r>
          </w:p>
        </w:tc>
      </w:tr>
      <w:tr w14:paraId="563A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2B09CFDC">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2.1 输出能量类型：超声能量、电外科能量；</w:t>
            </w:r>
          </w:p>
        </w:tc>
      </w:tr>
      <w:tr w14:paraId="28C4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700899BB">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2.2单极功能：</w:t>
            </w:r>
            <w:r>
              <w:rPr>
                <w:rFonts w:hint="eastAsia" w:ascii="宋体" w:hAnsi="宋体" w:cs="宋体"/>
                <w:kern w:val="0"/>
                <w:sz w:val="24"/>
              </w:rPr>
              <w:t>≥</w:t>
            </w:r>
            <w:r>
              <w:rPr>
                <w:rFonts w:hint="eastAsia" w:ascii="宋体" w:hAnsi="宋体" w:cs="宋体"/>
                <w:color w:val="000000"/>
                <w:kern w:val="0"/>
                <w:sz w:val="24"/>
              </w:rPr>
              <w:t>10种单极模式；</w:t>
            </w:r>
          </w:p>
        </w:tc>
      </w:tr>
      <w:tr w14:paraId="3067A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39EF2168">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color w:val="000000"/>
                <w:kern w:val="0"/>
                <w:sz w:val="24"/>
              </w:rPr>
              <w:t>2.2.1单极切割模式：具备低压切、纯切、混切（普通</w:t>
            </w:r>
            <w:r>
              <w:rPr>
                <w:rFonts w:hint="eastAsia" w:ascii="宋体" w:hAnsi="宋体" w:cs="宋体"/>
                <w:kern w:val="0"/>
                <w:sz w:val="24"/>
              </w:rPr>
              <w:t>及单极腔镜）等；</w:t>
            </w:r>
          </w:p>
        </w:tc>
      </w:tr>
      <w:tr w14:paraId="448B3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383A82AE">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2.2.2单极凝血模式：具备干燥、电灼、喷凝（普通及单极腔镜）等模式；</w:t>
            </w:r>
          </w:p>
        </w:tc>
      </w:tr>
      <w:tr w14:paraId="618F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59C4836F">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2.3</w:t>
            </w:r>
            <w:r>
              <w:rPr>
                <w:rFonts w:hint="eastAsia" w:ascii="宋体" w:hAnsi="宋体" w:cs="宋体"/>
                <w:kern w:val="0"/>
                <w:sz w:val="24"/>
              </w:rPr>
              <w:tab/>
            </w:r>
            <w:r>
              <w:rPr>
                <w:rFonts w:hint="eastAsia" w:ascii="宋体" w:hAnsi="宋体" w:cs="宋体"/>
                <w:kern w:val="0"/>
                <w:sz w:val="24"/>
              </w:rPr>
              <w:t>双极功能：≥3种双极模式；</w:t>
            </w:r>
          </w:p>
        </w:tc>
      </w:tr>
      <w:tr w14:paraId="4F3D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6EF07FEF">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2.4</w:t>
            </w:r>
            <w:r>
              <w:rPr>
                <w:rFonts w:hint="eastAsia" w:ascii="宋体" w:hAnsi="宋体" w:cs="宋体"/>
                <w:kern w:val="0"/>
                <w:sz w:val="24"/>
              </w:rPr>
              <w:tab/>
            </w:r>
            <w:r>
              <w:rPr>
                <w:rFonts w:hint="eastAsia" w:ascii="宋体" w:hAnsi="宋体" w:cs="宋体"/>
                <w:kern w:val="0"/>
                <w:sz w:val="24"/>
              </w:rPr>
              <w:t>超声功能：具备切割及止血功能；</w:t>
            </w:r>
          </w:p>
        </w:tc>
      </w:tr>
      <w:tr w14:paraId="257B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41BCE9DD">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★2.4.1 闭合血管直径：≥5mm；</w:t>
            </w:r>
          </w:p>
        </w:tc>
      </w:tr>
      <w:tr w14:paraId="1D2D6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2D5A0485">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kern w:val="0"/>
                <w:sz w:val="24"/>
              </w:rPr>
              <w:t>★</w:t>
            </w:r>
            <w:r>
              <w:rPr>
                <w:rFonts w:hint="eastAsia" w:ascii="宋体" w:hAnsi="宋体" w:cs="宋体"/>
                <w:color w:val="000000"/>
                <w:kern w:val="0"/>
                <w:sz w:val="24"/>
              </w:rPr>
              <w:t>2.5支持手动调节中性电极灵敏度，适配多种品类中性电极与特殊患者；</w:t>
            </w:r>
          </w:p>
        </w:tc>
      </w:tr>
      <w:tr w14:paraId="7F44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C583B71">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2.6 只需连接一个脚踏即可按需匹配单极、双极及超声刀模式使用；</w:t>
            </w:r>
          </w:p>
        </w:tc>
      </w:tr>
      <w:tr w14:paraId="0134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45CE757">
            <w:pPr>
              <w:keepNext w:val="0"/>
              <w:keepLines w:val="0"/>
              <w:suppressLineNumbers w:val="0"/>
              <w:spacing w:before="0" w:beforeAutospacing="0" w:after="0" w:afterAutospacing="0"/>
              <w:ind w:left="0" w:right="0"/>
              <w:jc w:val="left"/>
              <w:rPr>
                <w:rFonts w:hint="eastAsia" w:ascii="宋体" w:hAnsi="宋体" w:cs="宋体"/>
                <w:color w:val="000000"/>
                <w:kern w:val="0"/>
                <w:sz w:val="24"/>
              </w:rPr>
            </w:pPr>
            <w:r>
              <w:rPr>
                <w:rFonts w:hint="eastAsia" w:ascii="宋体" w:hAnsi="宋体" w:cs="宋体"/>
                <w:color w:val="000000"/>
                <w:kern w:val="0"/>
                <w:sz w:val="24"/>
              </w:rPr>
              <w:t>★2.7支持超声刀、电刀同时使用，能够满足两把能量器械的需求；</w:t>
            </w:r>
          </w:p>
        </w:tc>
      </w:tr>
      <w:tr w14:paraId="1F29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602A5C44">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b/>
                <w:bCs/>
                <w:kern w:val="0"/>
                <w:sz w:val="24"/>
              </w:rPr>
              <w:t>三.功率及档位要求</w:t>
            </w:r>
          </w:p>
        </w:tc>
      </w:tr>
      <w:tr w14:paraId="3C36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26BAA15C">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3.1</w:t>
            </w:r>
            <w:r>
              <w:rPr>
                <w:rFonts w:hint="eastAsia" w:ascii="宋体" w:hAnsi="宋体" w:cs="宋体"/>
                <w:kern w:val="0"/>
                <w:sz w:val="24"/>
              </w:rPr>
              <w:tab/>
            </w:r>
            <w:r>
              <w:rPr>
                <w:rFonts w:hint="eastAsia" w:ascii="宋体" w:hAnsi="宋体" w:cs="宋体"/>
                <w:kern w:val="0"/>
                <w:sz w:val="24"/>
              </w:rPr>
              <w:t>电切功率：0-300W，可以调节；</w:t>
            </w:r>
          </w:p>
        </w:tc>
      </w:tr>
      <w:tr w14:paraId="17F3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293AA4EC">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3.2</w:t>
            </w:r>
            <w:r>
              <w:rPr>
                <w:rFonts w:hint="eastAsia" w:ascii="宋体" w:hAnsi="宋体" w:cs="宋体"/>
                <w:kern w:val="0"/>
                <w:sz w:val="24"/>
              </w:rPr>
              <w:tab/>
            </w:r>
            <w:r>
              <w:rPr>
                <w:rFonts w:hint="eastAsia" w:ascii="宋体" w:hAnsi="宋体" w:cs="宋体"/>
                <w:kern w:val="0"/>
                <w:sz w:val="24"/>
              </w:rPr>
              <w:t>电凝功率：0-120W，可以调节；</w:t>
            </w:r>
          </w:p>
        </w:tc>
      </w:tr>
      <w:tr w14:paraId="2AD8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07A37BF5">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3.3</w:t>
            </w:r>
            <w:r>
              <w:rPr>
                <w:rFonts w:hint="eastAsia" w:ascii="宋体" w:hAnsi="宋体" w:cs="宋体"/>
                <w:kern w:val="0"/>
                <w:sz w:val="24"/>
              </w:rPr>
              <w:tab/>
            </w:r>
            <w:r>
              <w:rPr>
                <w:rFonts w:hint="eastAsia" w:ascii="宋体" w:hAnsi="宋体" w:cs="宋体"/>
                <w:kern w:val="0"/>
                <w:sz w:val="24"/>
              </w:rPr>
              <w:t>双极功率：0-70W，可以调节；</w:t>
            </w:r>
          </w:p>
        </w:tc>
      </w:tr>
      <w:tr w14:paraId="420C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78BE07E9">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3.4</w:t>
            </w:r>
            <w:r>
              <w:rPr>
                <w:rFonts w:hint="eastAsia" w:ascii="宋体" w:hAnsi="宋体" w:cs="宋体"/>
                <w:kern w:val="0"/>
                <w:sz w:val="24"/>
              </w:rPr>
              <w:tab/>
            </w:r>
            <w:r>
              <w:rPr>
                <w:rFonts w:hint="eastAsia" w:ascii="宋体" w:hAnsi="宋体" w:cs="宋体"/>
                <w:kern w:val="0"/>
                <w:sz w:val="24"/>
              </w:rPr>
              <w:t>具备超声能量档位设置功能；</w:t>
            </w:r>
          </w:p>
        </w:tc>
      </w:tr>
      <w:tr w14:paraId="4677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3F5CC485">
            <w:pPr>
              <w:keepNext w:val="0"/>
              <w:keepLines w:val="0"/>
              <w:suppressLineNumbers w:val="0"/>
              <w:spacing w:before="0" w:beforeAutospacing="0" w:after="0" w:afterAutospacing="0"/>
              <w:ind w:left="0" w:right="0"/>
              <w:jc w:val="left"/>
              <w:rPr>
                <w:rFonts w:hint="eastAsia" w:ascii="宋体" w:hAnsi="宋体" w:cs="宋体"/>
                <w:b/>
                <w:bCs/>
                <w:kern w:val="0"/>
                <w:sz w:val="24"/>
              </w:rPr>
            </w:pPr>
            <w:r>
              <w:rPr>
                <w:rFonts w:hint="eastAsia" w:ascii="宋体" w:hAnsi="宋体" w:cs="宋体"/>
                <w:b/>
                <w:bCs/>
                <w:kern w:val="0"/>
                <w:sz w:val="24"/>
              </w:rPr>
              <w:t>四.其他功能要求</w:t>
            </w:r>
          </w:p>
        </w:tc>
      </w:tr>
      <w:tr w14:paraId="301F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0FABFFF4">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4.1</w:t>
            </w:r>
            <w:r>
              <w:rPr>
                <w:rFonts w:hint="eastAsia" w:ascii="宋体" w:hAnsi="宋体" w:cs="宋体"/>
                <w:kern w:val="0"/>
                <w:sz w:val="24"/>
              </w:rPr>
              <w:tab/>
            </w:r>
            <w:r>
              <w:rPr>
                <w:rFonts w:hint="eastAsia" w:ascii="宋体" w:hAnsi="宋体" w:cs="宋体"/>
                <w:kern w:val="0"/>
                <w:sz w:val="24"/>
              </w:rPr>
              <w:t>接口功能：具有≥4类不同的器械接口；</w:t>
            </w:r>
          </w:p>
        </w:tc>
      </w:tr>
      <w:tr w14:paraId="5CFF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53ED6B98">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4.2输出功率显示：可以以数字码表双显示方式显示；</w:t>
            </w:r>
          </w:p>
        </w:tc>
      </w:tr>
      <w:tr w14:paraId="002F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1E9777C0">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4.3</w:t>
            </w:r>
            <w:r>
              <w:rPr>
                <w:rFonts w:hint="eastAsia" w:ascii="宋体" w:hAnsi="宋体" w:cs="宋体"/>
                <w:kern w:val="0"/>
                <w:sz w:val="24"/>
              </w:rPr>
              <w:tab/>
            </w:r>
            <w:r>
              <w:rPr>
                <w:rFonts w:hint="eastAsia" w:ascii="宋体" w:hAnsi="宋体" w:cs="宋体"/>
                <w:kern w:val="0"/>
                <w:sz w:val="24"/>
              </w:rPr>
              <w:t>特殊模式：具备多脚踏模式；</w:t>
            </w:r>
          </w:p>
        </w:tc>
      </w:tr>
      <w:tr w14:paraId="2EB9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4CD2DD1D">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4.4</w:t>
            </w:r>
            <w:r>
              <w:rPr>
                <w:rFonts w:hint="eastAsia" w:ascii="宋体" w:hAnsi="宋体" w:cs="宋体"/>
                <w:kern w:val="0"/>
                <w:sz w:val="24"/>
              </w:rPr>
              <w:tab/>
            </w:r>
            <w:r>
              <w:rPr>
                <w:rFonts w:hint="eastAsia" w:ascii="宋体" w:hAnsi="宋体" w:cs="宋体"/>
                <w:kern w:val="0"/>
                <w:sz w:val="24"/>
              </w:rPr>
              <w:t>语言调控：有多种语言进行选择，可以设置中文菜单；</w:t>
            </w:r>
          </w:p>
        </w:tc>
      </w:tr>
      <w:tr w14:paraId="3E47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6BC9F192">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4.5 CQM技术：具备接触质量监控系统，监测中性电极回路，如发生中性电极撕脱，主机发出警报音并在显示屏提示报错，同时停止能量输出；</w:t>
            </w:r>
          </w:p>
        </w:tc>
      </w:tr>
      <w:tr w14:paraId="1B673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2E34A587">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4.6</w:t>
            </w:r>
            <w:r>
              <w:rPr>
                <w:rFonts w:hint="eastAsia" w:ascii="宋体" w:hAnsi="宋体" w:cs="宋体"/>
                <w:kern w:val="0"/>
                <w:sz w:val="24"/>
              </w:rPr>
              <w:tab/>
            </w:r>
            <w:r>
              <w:rPr>
                <w:rFonts w:hint="eastAsia" w:ascii="宋体" w:hAnsi="宋体" w:cs="宋体"/>
                <w:kern w:val="0"/>
                <w:sz w:val="24"/>
              </w:rPr>
              <w:t>升级接口：USB接口实现系统升级；</w:t>
            </w:r>
          </w:p>
        </w:tc>
      </w:tr>
      <w:tr w14:paraId="1A57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70CC40CE">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4.7</w:t>
            </w:r>
            <w:r>
              <w:rPr>
                <w:rFonts w:hint="eastAsia" w:ascii="宋体" w:hAnsi="宋体" w:cs="宋体"/>
                <w:kern w:val="0"/>
                <w:sz w:val="24"/>
              </w:rPr>
              <w:tab/>
            </w:r>
            <w:r>
              <w:rPr>
                <w:rFonts w:hint="eastAsia" w:ascii="宋体" w:hAnsi="宋体" w:cs="宋体"/>
                <w:kern w:val="0"/>
                <w:sz w:val="24"/>
              </w:rPr>
              <w:t>互联接口：通过开放设备物联网接口协议，提供智能医疗数据互联；</w:t>
            </w:r>
          </w:p>
        </w:tc>
      </w:tr>
      <w:tr w14:paraId="3608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5BAC0DC7">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4.8</w:t>
            </w:r>
            <w:r>
              <w:rPr>
                <w:rFonts w:hint="eastAsia" w:ascii="宋体" w:hAnsi="宋体" w:cs="宋体"/>
                <w:kern w:val="0"/>
                <w:sz w:val="24"/>
              </w:rPr>
              <w:tab/>
            </w:r>
            <w:r>
              <w:rPr>
                <w:rFonts w:hint="eastAsia" w:ascii="宋体" w:hAnsi="宋体" w:cs="宋体"/>
                <w:kern w:val="0"/>
                <w:sz w:val="24"/>
              </w:rPr>
              <w:t>兼容性：可兼容其他常用品牌电外科耗材；</w:t>
            </w:r>
          </w:p>
        </w:tc>
      </w:tr>
      <w:tr w14:paraId="115D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022B24EC">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★4.9 超声刀刀头为带量采购中标产品；</w:t>
            </w:r>
          </w:p>
        </w:tc>
      </w:tr>
      <w:tr w14:paraId="08D68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594C3C1A">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sz w:val="24"/>
              </w:rPr>
              <w:t>五、配置清单：</w:t>
            </w:r>
          </w:p>
        </w:tc>
      </w:tr>
      <w:tr w14:paraId="2D2E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6C49AB1B">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5.1 超声转换器 2个；</w:t>
            </w:r>
          </w:p>
        </w:tc>
      </w:tr>
      <w:tr w14:paraId="6BD42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6" w:type="dxa"/>
            <w:noWrap w:val="0"/>
            <w:vAlign w:val="top"/>
          </w:tcPr>
          <w:p w14:paraId="39F54252">
            <w:pPr>
              <w:keepNext w:val="0"/>
              <w:keepLines w:val="0"/>
              <w:suppressLineNumbers w:val="0"/>
              <w:spacing w:before="0" w:beforeAutospacing="0" w:after="0" w:afterAutospacing="0"/>
              <w:ind w:left="0" w:right="0"/>
              <w:jc w:val="left"/>
              <w:rPr>
                <w:rFonts w:hint="eastAsia" w:ascii="宋体" w:hAnsi="宋体" w:cs="宋体"/>
                <w:kern w:val="0"/>
                <w:sz w:val="24"/>
              </w:rPr>
            </w:pPr>
            <w:r>
              <w:rPr>
                <w:rFonts w:hint="eastAsia" w:ascii="宋体" w:hAnsi="宋体" w:cs="宋体"/>
                <w:kern w:val="0"/>
                <w:sz w:val="24"/>
              </w:rPr>
              <w:t>5.2 一次性使用超声软组织刀头  4个（各类型号可选）。</w:t>
            </w:r>
          </w:p>
        </w:tc>
      </w:tr>
    </w:tbl>
    <w:p w14:paraId="57F89597">
      <w:pPr>
        <w:jc w:val="left"/>
        <w:rPr>
          <w:rFonts w:hint="eastAsia" w:ascii="宋体" w:hAnsi="宋体" w:cs="宋体"/>
          <w:b/>
          <w:bCs/>
          <w:sz w:val="24"/>
        </w:rPr>
      </w:pPr>
    </w:p>
    <w:p w14:paraId="49690AA1">
      <w:pPr>
        <w:jc w:val="left"/>
        <w:rPr>
          <w:rFonts w:hint="eastAsia" w:ascii="宋体" w:hAnsi="宋体" w:cs="宋体"/>
          <w:b/>
          <w:sz w:val="24"/>
        </w:rPr>
      </w:pPr>
      <w:r>
        <w:rPr>
          <w:rFonts w:hint="eastAsia" w:ascii="宋体" w:hAnsi="宋体" w:cs="宋体"/>
          <w:b/>
          <w:sz w:val="24"/>
        </w:rPr>
        <w:t>5、除颤仪（AED）</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F8C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76CB7392">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★1、≥7英寸彩屏，分辨率≥800×480,可存储≥1通道ECG波形，整机重量(含电池)≤3kg；</w:t>
            </w:r>
          </w:p>
        </w:tc>
      </w:tr>
      <w:tr w14:paraId="65E8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162F5BC8">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2、设备具备便携把手，具备高便携性；</w:t>
            </w:r>
          </w:p>
        </w:tc>
      </w:tr>
      <w:tr w14:paraId="43B2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70CDBF18">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★3、抗冲击/跌落性能：具备优异的抗冲击/跌落性能，机器六面均可承受≥1.5m跌落冲击；</w:t>
            </w:r>
          </w:p>
        </w:tc>
      </w:tr>
      <w:tr w14:paraId="1337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0BF4DFF5">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★4.防尘防水级别≥IP55；</w:t>
            </w:r>
          </w:p>
        </w:tc>
      </w:tr>
      <w:tr w14:paraId="3312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5BFF259E">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5.工作温度范围至少满足-5℃ - 50℃,且从室温环境下进入-20℃环境后，工作时长≥60分钟；</w:t>
            </w:r>
          </w:p>
        </w:tc>
      </w:tr>
      <w:tr w14:paraId="0865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1F4BDF22">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6.采用双相波技术双相指数截断(BTE)波形，波形参数可根据病人阻抗进行自动补偿；</w:t>
            </w:r>
          </w:p>
        </w:tc>
      </w:tr>
      <w:tr w14:paraId="6C46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0EC342CF">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7.最大除颤能量可达360J,首次除颤能量可设置：</w:t>
            </w:r>
          </w:p>
        </w:tc>
      </w:tr>
      <w:tr w14:paraId="3FC1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0C9A80A3">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成人除颤能量：100/150/170/200/300/360J,</w:t>
            </w:r>
          </w:p>
        </w:tc>
      </w:tr>
      <w:tr w14:paraId="5DA3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0E45F89E">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小儿除颤能量：10/15/20/30/50/70/100J;</w:t>
            </w:r>
          </w:p>
        </w:tc>
      </w:tr>
      <w:tr w14:paraId="3E12E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363DA510">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8.从开机到200J放电准备就绪用时≤7s;</w:t>
            </w:r>
          </w:p>
        </w:tc>
      </w:tr>
      <w:tr w14:paraId="7A4B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77D72F62">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9.在待机状态，电极片与主机预先连接</w:t>
            </w:r>
          </w:p>
        </w:tc>
      </w:tr>
      <w:tr w14:paraId="790B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4DD168E4">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10.提供智能语音播报</w:t>
            </w:r>
          </w:p>
        </w:tc>
      </w:tr>
      <w:tr w14:paraId="6120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5F2A527D">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11.电池待机寿命≥5年</w:t>
            </w:r>
          </w:p>
        </w:tc>
      </w:tr>
      <w:tr w14:paraId="0837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2D71A95C">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12.至少可支持300次200J除颤治疗或200次360J除颤治疗；</w:t>
            </w:r>
          </w:p>
        </w:tc>
      </w:tr>
      <w:tr w14:paraId="6D0A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3E373FD5">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13.具有电池低电量报警提示功能</w:t>
            </w:r>
          </w:p>
        </w:tc>
      </w:tr>
      <w:tr w14:paraId="68FB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6736E245">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14.提供中英文双语支持，包括界面显示和语音提示，可一键快速切换中英文</w:t>
            </w:r>
          </w:p>
        </w:tc>
      </w:tr>
      <w:tr w14:paraId="086C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1378D369">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15.支持成人/小儿患者类型快速一键切换，可根据病人类型自动切换提示信息、除颤能量和CPR按压模式；</w:t>
            </w:r>
          </w:p>
        </w:tc>
      </w:tr>
      <w:tr w14:paraId="5FC0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55E9C9B0">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16.CPR按压模式支持配置30:2,15:2和仅按压模式。在 CPR仅按压过程中持续提供操作指导和剩余按压次数语音提示；</w:t>
            </w:r>
          </w:p>
        </w:tc>
      </w:tr>
      <w:tr w14:paraId="2453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567C6A5C">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17.存储容量：设备的内部存储容量≥1GB,可存储≥1000份自检报告；</w:t>
            </w:r>
          </w:p>
        </w:tc>
      </w:tr>
      <w:tr w14:paraId="6D97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13CF5B6D">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18.具备录音功能，可保存60分钟抢救现场录音，支持USB接口，可通过外部USB闪存设备导出抢救记录数据；</w:t>
            </w:r>
          </w:p>
        </w:tc>
      </w:tr>
      <w:tr w14:paraId="5667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72379589">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19.设备具有用户自检和设备自检功能。支持每日、每周、每月、每季度的设备自检；</w:t>
            </w:r>
          </w:p>
        </w:tc>
      </w:tr>
      <w:tr w14:paraId="0DC8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14:paraId="7543F5AB">
            <w:pPr>
              <w:keepNext w:val="0"/>
              <w:keepLines w:val="0"/>
              <w:suppressLineNumbers w:val="0"/>
              <w:spacing w:before="0" w:beforeAutospacing="0" w:after="0" w:afterAutospacing="0" w:line="220" w:lineRule="atLeast"/>
              <w:ind w:left="0" w:right="0"/>
              <w:jc w:val="left"/>
              <w:rPr>
                <w:rFonts w:hint="eastAsia" w:ascii="宋体" w:hAnsi="宋体" w:cs="宋体"/>
                <w:kern w:val="0"/>
                <w:sz w:val="24"/>
              </w:rPr>
            </w:pPr>
            <w:r>
              <w:rPr>
                <w:rFonts w:hint="eastAsia" w:ascii="宋体" w:hAnsi="宋体" w:cs="宋体"/>
                <w:kern w:val="0"/>
                <w:sz w:val="24"/>
              </w:rPr>
              <w:t>20.配备AED存放盒或存放柜。</w:t>
            </w:r>
          </w:p>
        </w:tc>
      </w:tr>
    </w:tbl>
    <w:p w14:paraId="73BFDBF0">
      <w:pPr>
        <w:rPr>
          <w:rFonts w:hint="eastAsia"/>
        </w:rPr>
      </w:pPr>
    </w:p>
    <w:p w14:paraId="5CE13556">
      <w:pPr>
        <w:rPr>
          <w:rFonts w:hint="eastAsia"/>
        </w:rPr>
      </w:pPr>
    </w:p>
    <w:p w14:paraId="39C0B9FC">
      <w:pPr>
        <w:rPr>
          <w:rFonts w:hint="eastAsia"/>
        </w:rPr>
        <w:sectPr>
          <w:footnotePr>
            <w:numFmt w:val="decimalEnclosedCircleChinese"/>
            <w:numRestart w:val="eachPage"/>
          </w:footnotePr>
          <w:type w:val="continuous"/>
          <w:pgSz w:w="11906" w:h="16838"/>
          <w:pgMar w:top="1134" w:right="1134" w:bottom="1134" w:left="1134" w:header="851" w:footer="851" w:gutter="0"/>
          <w:cols w:space="720" w:num="1"/>
          <w:docGrid w:linePitch="312" w:charSpace="0"/>
        </w:sectPr>
      </w:pPr>
      <w:r>
        <w:rPr>
          <w:rFonts w:hint="eastAsia" w:ascii="宋体" w:hAnsi="宋体" w:cs="宋体"/>
          <w:sz w:val="24"/>
        </w:rPr>
        <w:t>注：本章中标注“▲”的产品为核心产品；标注“*”的参数为实质性响应参数，负偏离投标无效；标注★参数为重要技术</w:t>
      </w:r>
      <w:r>
        <w:rPr>
          <w:rFonts w:hint="eastAsia" w:ascii="宋体" w:hAnsi="宋体" w:cs="宋体"/>
          <w:sz w:val="24"/>
          <w:lang w:eastAsia="zh-Hans"/>
        </w:rPr>
        <w:t>参数</w:t>
      </w:r>
      <w:r>
        <w:rPr>
          <w:rFonts w:hint="eastAsia" w:ascii="宋体" w:hAnsi="宋体" w:cs="宋体"/>
          <w:sz w:val="24"/>
        </w:rPr>
        <w:t>评分项。</w:t>
      </w:r>
    </w:p>
    <w:p w14:paraId="34D74986">
      <w:pPr>
        <w:pStyle w:val="2"/>
        <w:widowControl/>
        <w:spacing w:before="0" w:after="0" w:line="240" w:lineRule="auto"/>
        <w:jc w:val="center"/>
        <w:rPr>
          <w:rFonts w:hint="eastAsia" w:ascii="宋体" w:hAnsi="宋体" w:eastAsia="仿宋"/>
        </w:rPr>
      </w:pPr>
      <w:bookmarkStart w:id="788" w:name="_Toc528760027"/>
      <w:bookmarkStart w:id="789" w:name="_Toc445554765"/>
      <w:bookmarkStart w:id="790" w:name="_Toc466024564"/>
      <w:r>
        <w:rPr>
          <w:rFonts w:hint="eastAsia" w:ascii="宋体" w:hAnsi="宋体" w:eastAsia="仿宋"/>
        </w:rPr>
        <w:t>第四章  资格审查和评标办法（综合评分法）</w:t>
      </w:r>
      <w:bookmarkEnd w:id="788"/>
    </w:p>
    <w:bookmarkEnd w:id="775"/>
    <w:bookmarkEnd w:id="776"/>
    <w:bookmarkEnd w:id="777"/>
    <w:bookmarkEnd w:id="778"/>
    <w:bookmarkEnd w:id="779"/>
    <w:bookmarkEnd w:id="780"/>
    <w:bookmarkEnd w:id="781"/>
    <w:bookmarkEnd w:id="782"/>
    <w:bookmarkEnd w:id="783"/>
    <w:bookmarkEnd w:id="789"/>
    <w:bookmarkEnd w:id="790"/>
    <w:p w14:paraId="6C03DEC9">
      <w:pPr>
        <w:pStyle w:val="3"/>
        <w:jc w:val="center"/>
        <w:rPr>
          <w:rFonts w:hint="eastAsia" w:eastAsia="仿宋"/>
        </w:rPr>
      </w:pPr>
      <w:r>
        <w:rPr>
          <w:rFonts w:hint="eastAsia" w:eastAsia="仿宋"/>
        </w:rPr>
        <w:t>第一节  资格审查</w:t>
      </w:r>
    </w:p>
    <w:p w14:paraId="199564D0">
      <w:pPr>
        <w:spacing w:line="360" w:lineRule="auto"/>
        <w:jc w:val="center"/>
        <w:rPr>
          <w:rFonts w:hint="eastAsia" w:eastAsia="仿宋"/>
          <w:b/>
          <w:sz w:val="28"/>
          <w:szCs w:val="28"/>
        </w:rPr>
      </w:pPr>
      <w:r>
        <w:rPr>
          <w:rFonts w:hint="eastAsia" w:eastAsia="仿宋"/>
          <w:b/>
          <w:sz w:val="28"/>
          <w:szCs w:val="28"/>
        </w:rPr>
        <w:t>资格审查办法前附表</w:t>
      </w:r>
    </w:p>
    <w:p w14:paraId="5AF7F2D0">
      <w:pPr>
        <w:widowControl/>
        <w:adjustRightInd w:val="0"/>
        <w:snapToGrid w:val="0"/>
        <w:spacing w:before="240" w:beforeLines="100" w:after="120" w:afterLines="50" w:line="360" w:lineRule="auto"/>
        <w:ind w:firstLine="482" w:firstLineChars="200"/>
        <w:rPr>
          <w:rFonts w:hint="eastAsia" w:ascii="宋体" w:hAnsi="宋体" w:eastAsia="仿宋"/>
          <w:b/>
          <w:bCs/>
          <w:sz w:val="24"/>
        </w:rPr>
      </w:pPr>
      <w:r>
        <w:rPr>
          <w:rFonts w:hint="eastAsia" w:ascii="宋体" w:hAnsi="宋体" w:eastAsia="仿宋"/>
          <w:b/>
          <w:bCs/>
          <w:sz w:val="24"/>
        </w:rPr>
        <w:t>本《资格审查办法前附表》是对本节《资格审查》的具体补充和修改，如有不一致，以本《资格审查办法前附表》为准。</w:t>
      </w:r>
    </w:p>
    <w:tbl>
      <w:tblPr>
        <w:tblStyle w:val="47"/>
        <w:tblW w:w="11304"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404"/>
        <w:gridCol w:w="6814"/>
        <w:gridCol w:w="2282"/>
      </w:tblGrid>
      <w:tr w14:paraId="18F5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04" w:type="dxa"/>
            <w:noWrap w:val="0"/>
            <w:vAlign w:val="center"/>
          </w:tcPr>
          <w:p w14:paraId="7ED0B17B">
            <w:pPr>
              <w:keepNext w:val="0"/>
              <w:keepLines w:val="0"/>
              <w:suppressLineNumbers w:val="0"/>
              <w:spacing w:before="0" w:beforeAutospacing="0" w:after="0" w:afterAutospacing="0"/>
              <w:ind w:left="0" w:right="0"/>
              <w:jc w:val="center"/>
              <w:rPr>
                <w:rFonts w:hint="default" w:ascii="宋体" w:hAnsi="宋体" w:eastAsia="仿宋" w:cs="Times New Roman"/>
                <w:b/>
                <w:sz w:val="22"/>
                <w:szCs w:val="22"/>
              </w:rPr>
            </w:pPr>
            <w:r>
              <w:rPr>
                <w:rFonts w:hint="eastAsia" w:ascii="宋体" w:hAnsi="宋体" w:eastAsia="仿宋" w:cs="Times New Roman"/>
                <w:b/>
                <w:sz w:val="22"/>
                <w:szCs w:val="22"/>
              </w:rPr>
              <w:t>评审项</w:t>
            </w:r>
          </w:p>
        </w:tc>
        <w:tc>
          <w:tcPr>
            <w:tcW w:w="1404" w:type="dxa"/>
            <w:noWrap w:val="0"/>
            <w:vAlign w:val="center"/>
          </w:tcPr>
          <w:p w14:paraId="30BC43F9">
            <w:pPr>
              <w:keepNext w:val="0"/>
              <w:keepLines w:val="0"/>
              <w:suppressLineNumbers w:val="0"/>
              <w:spacing w:before="0" w:beforeAutospacing="0" w:after="0" w:afterAutospacing="0"/>
              <w:ind w:left="0" w:right="0"/>
              <w:jc w:val="center"/>
              <w:rPr>
                <w:rFonts w:hint="eastAsia" w:ascii="宋体" w:hAnsi="宋体" w:cs="Times New Roman"/>
                <w:b/>
                <w:sz w:val="22"/>
                <w:szCs w:val="22"/>
              </w:rPr>
            </w:pPr>
            <w:r>
              <w:rPr>
                <w:rFonts w:hint="eastAsia" w:ascii="宋体" w:hAnsi="宋体" w:eastAsia="仿宋" w:cs="Times New Roman"/>
                <w:b/>
                <w:sz w:val="22"/>
                <w:szCs w:val="22"/>
              </w:rPr>
              <w:t>审查因素</w:t>
            </w:r>
          </w:p>
        </w:tc>
        <w:tc>
          <w:tcPr>
            <w:tcW w:w="6814" w:type="dxa"/>
            <w:noWrap w:val="0"/>
            <w:vAlign w:val="center"/>
          </w:tcPr>
          <w:p w14:paraId="0FED7408">
            <w:pPr>
              <w:keepNext w:val="0"/>
              <w:keepLines w:val="0"/>
              <w:suppressLineNumbers w:val="0"/>
              <w:spacing w:before="0" w:beforeAutospacing="0" w:after="0" w:afterAutospacing="0"/>
              <w:ind w:left="0" w:right="0"/>
              <w:jc w:val="center"/>
              <w:rPr>
                <w:rFonts w:hint="eastAsia" w:ascii="宋体" w:hAnsi="宋体" w:cs="Times New Roman"/>
                <w:b/>
                <w:sz w:val="22"/>
                <w:szCs w:val="22"/>
              </w:rPr>
            </w:pPr>
            <w:r>
              <w:rPr>
                <w:rFonts w:hint="eastAsia" w:ascii="宋体" w:hAnsi="宋体" w:eastAsia="仿宋" w:cs="Times New Roman"/>
                <w:b/>
                <w:sz w:val="22"/>
                <w:szCs w:val="22"/>
              </w:rPr>
              <w:t>审查标准</w:t>
            </w:r>
          </w:p>
        </w:tc>
        <w:tc>
          <w:tcPr>
            <w:tcW w:w="2282" w:type="dxa"/>
            <w:noWrap w:val="0"/>
            <w:vAlign w:val="center"/>
          </w:tcPr>
          <w:p w14:paraId="232E5899">
            <w:pPr>
              <w:keepNext w:val="0"/>
              <w:keepLines w:val="0"/>
              <w:suppressLineNumbers w:val="0"/>
              <w:spacing w:before="0" w:beforeAutospacing="0" w:after="0" w:afterAutospacing="0"/>
              <w:ind w:left="0" w:right="0"/>
              <w:jc w:val="center"/>
              <w:rPr>
                <w:rFonts w:hint="eastAsia" w:ascii="宋体" w:hAnsi="宋体" w:cs="Times New Roman"/>
                <w:b/>
                <w:sz w:val="22"/>
                <w:szCs w:val="22"/>
              </w:rPr>
            </w:pPr>
            <w:r>
              <w:rPr>
                <w:rFonts w:hint="eastAsia" w:ascii="宋体" w:hAnsi="宋体" w:eastAsia="仿宋" w:cs="Times New Roman"/>
                <w:b/>
                <w:sz w:val="22"/>
                <w:szCs w:val="22"/>
              </w:rPr>
              <w:t>备注</w:t>
            </w:r>
          </w:p>
        </w:tc>
      </w:tr>
      <w:tr w14:paraId="7441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trPr>
        <w:tc>
          <w:tcPr>
            <w:tcW w:w="804" w:type="dxa"/>
            <w:vMerge w:val="restart"/>
            <w:noWrap w:val="0"/>
            <w:vAlign w:val="center"/>
          </w:tcPr>
          <w:p w14:paraId="104CF0A2">
            <w:pPr>
              <w:keepNext w:val="0"/>
              <w:keepLines w:val="0"/>
              <w:suppressLineNumbers w:val="0"/>
              <w:spacing w:before="0" w:beforeAutospacing="0" w:after="0" w:afterAutospacing="0"/>
              <w:ind w:left="0" w:right="0"/>
              <w:jc w:val="center"/>
              <w:rPr>
                <w:rFonts w:hint="eastAsia" w:ascii="宋体" w:hAnsi="宋体" w:eastAsia="仿宋" w:cs="Times New Roman"/>
                <w:sz w:val="22"/>
                <w:szCs w:val="22"/>
              </w:rPr>
            </w:pPr>
            <w:r>
              <w:rPr>
                <w:rFonts w:hint="eastAsia" w:ascii="宋体" w:hAnsi="宋体" w:eastAsia="仿宋" w:cs="Times New Roman"/>
                <w:sz w:val="22"/>
                <w:szCs w:val="22"/>
              </w:rPr>
              <w:t>审查</w:t>
            </w:r>
          </w:p>
          <w:p w14:paraId="6BF4988B">
            <w:pPr>
              <w:keepNext w:val="0"/>
              <w:keepLines w:val="0"/>
              <w:suppressLineNumbers w:val="0"/>
              <w:spacing w:before="0" w:beforeAutospacing="0" w:after="0" w:afterAutospacing="0"/>
              <w:ind w:left="0" w:right="0"/>
              <w:jc w:val="center"/>
              <w:rPr>
                <w:rFonts w:hint="eastAsia" w:ascii="宋体" w:hAnsi="宋体" w:cs="Times New Roman"/>
                <w:sz w:val="22"/>
                <w:szCs w:val="22"/>
              </w:rPr>
            </w:pPr>
            <w:r>
              <w:rPr>
                <w:rFonts w:hint="eastAsia" w:ascii="宋体" w:hAnsi="宋体" w:eastAsia="仿宋" w:cs="Times New Roman"/>
                <w:sz w:val="22"/>
                <w:szCs w:val="22"/>
              </w:rPr>
              <w:t>标准</w:t>
            </w:r>
          </w:p>
        </w:tc>
        <w:tc>
          <w:tcPr>
            <w:tcW w:w="1404" w:type="dxa"/>
            <w:noWrap w:val="0"/>
            <w:vAlign w:val="center"/>
          </w:tcPr>
          <w:p w14:paraId="300D6578">
            <w:pPr>
              <w:keepNext w:val="0"/>
              <w:keepLines w:val="0"/>
              <w:suppressLineNumbers w:val="0"/>
              <w:spacing w:before="0" w:beforeAutospacing="0" w:after="50" w:afterAutospacing="0" w:line="360" w:lineRule="auto"/>
              <w:ind w:left="0" w:right="-10"/>
              <w:jc w:val="center"/>
              <w:rPr>
                <w:rFonts w:hint="default" w:ascii="宋体" w:hAnsi="宋体" w:cs="Times New Roman"/>
                <w:sz w:val="22"/>
                <w:szCs w:val="22"/>
              </w:rPr>
            </w:pPr>
            <w:r>
              <w:rPr>
                <w:rFonts w:hint="eastAsia" w:ascii="宋体" w:hAnsi="宋体" w:eastAsia="仿宋" w:cs="Times New Roman"/>
                <w:kern w:val="0"/>
                <w:sz w:val="22"/>
                <w:szCs w:val="22"/>
              </w:rPr>
              <w:t>营业执照等证明文件</w:t>
            </w:r>
          </w:p>
        </w:tc>
        <w:tc>
          <w:tcPr>
            <w:tcW w:w="6814" w:type="dxa"/>
            <w:noWrap w:val="0"/>
            <w:vAlign w:val="center"/>
          </w:tcPr>
          <w:p w14:paraId="4072093B">
            <w:pPr>
              <w:pStyle w:val="148"/>
              <w:keepNext w:val="0"/>
              <w:keepLines w:val="0"/>
              <w:suppressLineNumbers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（1）投标人为企业（包括合伙企业）的，应提供有效的营业执照；</w:t>
            </w:r>
          </w:p>
          <w:p w14:paraId="269A3841">
            <w:pPr>
              <w:pStyle w:val="148"/>
              <w:keepNext w:val="0"/>
              <w:keepLines w:val="0"/>
              <w:suppressLineNumbers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（2）投标人为事业单位的，应提供有效的事业单位法人证书；</w:t>
            </w:r>
          </w:p>
          <w:p w14:paraId="306B5FED">
            <w:pPr>
              <w:pStyle w:val="148"/>
              <w:keepNext w:val="0"/>
              <w:keepLines w:val="0"/>
              <w:suppressLineNumbers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（3）投标人是非企业机构的，应提供有效的执业许可证或登记证书等证明文件；</w:t>
            </w:r>
          </w:p>
          <w:p w14:paraId="5A37B993">
            <w:pPr>
              <w:pStyle w:val="148"/>
              <w:keepNext w:val="0"/>
              <w:keepLines w:val="0"/>
              <w:suppressLineNumbers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（4）投标人是个体工商户的，应提供有效的个体工商户营业执照；</w:t>
            </w:r>
          </w:p>
          <w:p w14:paraId="076A2B78">
            <w:pPr>
              <w:pStyle w:val="148"/>
              <w:keepNext w:val="0"/>
              <w:keepLines w:val="0"/>
              <w:suppressLineNumbers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（5）投标人是自然人的，应提供有效的自然人身份证明。</w:t>
            </w:r>
          </w:p>
        </w:tc>
        <w:tc>
          <w:tcPr>
            <w:tcW w:w="2282" w:type="dxa"/>
            <w:noWrap w:val="0"/>
            <w:vAlign w:val="center"/>
          </w:tcPr>
          <w:p w14:paraId="2A144E14">
            <w:pPr>
              <w:keepNext w:val="0"/>
              <w:keepLines w:val="0"/>
              <w:widowControl/>
              <w:suppressLineNumbers w:val="0"/>
              <w:adjustRightInd w:val="0"/>
              <w:spacing w:before="0" w:beforeAutospacing="0" w:after="0" w:afterAutospacing="0"/>
              <w:ind w:left="0" w:right="0"/>
              <w:jc w:val="center"/>
              <w:rPr>
                <w:rFonts w:hint="eastAsia" w:ascii="宋体" w:hAnsi="宋体" w:eastAsia="仿宋" w:cs="Times New Roman"/>
                <w:kern w:val="0"/>
                <w:sz w:val="22"/>
                <w:szCs w:val="22"/>
              </w:rPr>
            </w:pPr>
            <w:r>
              <w:rPr>
                <w:rFonts w:hint="eastAsia" w:ascii="宋体" w:hAnsi="宋体" w:eastAsia="仿宋" w:cs="Times New Roman"/>
                <w:kern w:val="0"/>
                <w:sz w:val="22"/>
                <w:szCs w:val="22"/>
              </w:rPr>
              <w:t>提供材料扫描件或电子证照，应完整的体现出材料或电子证照全部内容。</w:t>
            </w:r>
          </w:p>
        </w:tc>
      </w:tr>
      <w:tr w14:paraId="386FC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04" w:type="dxa"/>
            <w:vMerge w:val="continue"/>
            <w:noWrap w:val="0"/>
            <w:vAlign w:val="center"/>
          </w:tcPr>
          <w:p w14:paraId="51E92D19">
            <w:pPr>
              <w:keepNext w:val="0"/>
              <w:keepLines w:val="0"/>
              <w:suppressLineNumbers w:val="0"/>
              <w:spacing w:before="0" w:beforeAutospacing="0" w:after="0" w:afterAutospacing="0"/>
              <w:ind w:left="0" w:right="0"/>
              <w:rPr>
                <w:rFonts w:hint="eastAsia" w:ascii="宋体" w:hAnsi="宋体" w:cs="Times New Roman"/>
                <w:sz w:val="22"/>
                <w:szCs w:val="22"/>
              </w:rPr>
            </w:pPr>
          </w:p>
        </w:tc>
        <w:tc>
          <w:tcPr>
            <w:tcW w:w="1404" w:type="dxa"/>
            <w:noWrap w:val="0"/>
            <w:vAlign w:val="center"/>
          </w:tcPr>
          <w:p w14:paraId="309EB028">
            <w:pPr>
              <w:pStyle w:val="148"/>
              <w:keepNext w:val="0"/>
              <w:keepLines w:val="0"/>
              <w:suppressLineNumbers w:val="0"/>
              <w:adjustRightInd w:val="0"/>
              <w:spacing w:before="0" w:beforeAutospacing="0" w:after="0" w:afterAutospacing="0"/>
              <w:ind w:left="0" w:right="0"/>
              <w:rPr>
                <w:rFonts w:hint="eastAsia" w:ascii="宋体" w:hAnsi="宋体" w:cs="Times New Roman"/>
                <w:sz w:val="22"/>
                <w:szCs w:val="22"/>
              </w:rPr>
            </w:pPr>
            <w:r>
              <w:rPr>
                <w:rFonts w:hint="eastAsia" w:ascii="宋体" w:hAnsi="宋体" w:eastAsia="仿宋" w:cs="Times New Roman"/>
                <w:sz w:val="22"/>
                <w:szCs w:val="22"/>
              </w:rPr>
              <w:t>书面声明</w:t>
            </w:r>
          </w:p>
        </w:tc>
        <w:tc>
          <w:tcPr>
            <w:tcW w:w="6814" w:type="dxa"/>
            <w:noWrap w:val="0"/>
            <w:vAlign w:val="center"/>
          </w:tcPr>
          <w:p w14:paraId="0EC9681C">
            <w:pPr>
              <w:pStyle w:val="148"/>
              <w:keepNext w:val="0"/>
              <w:keepLines w:val="0"/>
              <w:suppressLineNumbers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按规定格式提供声明：参加政府采购活动前三年内，在经营活动中没有重大违法记录。</w:t>
            </w:r>
          </w:p>
        </w:tc>
        <w:tc>
          <w:tcPr>
            <w:tcW w:w="2282" w:type="dxa"/>
            <w:noWrap w:val="0"/>
            <w:vAlign w:val="center"/>
          </w:tcPr>
          <w:p w14:paraId="2FEC448C">
            <w:pPr>
              <w:keepNext w:val="0"/>
              <w:keepLines w:val="0"/>
              <w:widowControl/>
              <w:suppressLineNumbers w:val="0"/>
              <w:adjustRightInd w:val="0"/>
              <w:spacing w:before="0" w:beforeAutospacing="0" w:after="0" w:afterAutospacing="0"/>
              <w:ind w:left="0" w:right="0"/>
              <w:jc w:val="center"/>
              <w:rPr>
                <w:rFonts w:hint="eastAsia" w:ascii="宋体" w:hAnsi="宋体" w:cs="Times New Roman"/>
                <w:kern w:val="0"/>
                <w:sz w:val="22"/>
                <w:szCs w:val="22"/>
              </w:rPr>
            </w:pPr>
            <w:r>
              <w:rPr>
                <w:rFonts w:hint="eastAsia" w:ascii="宋体" w:hAnsi="宋体" w:eastAsia="仿宋" w:cs="Times New Roman"/>
                <w:kern w:val="0"/>
                <w:sz w:val="22"/>
                <w:szCs w:val="22"/>
              </w:rPr>
              <w:t>提供原件扫描件</w:t>
            </w:r>
          </w:p>
        </w:tc>
      </w:tr>
      <w:tr w14:paraId="2039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04" w:type="dxa"/>
            <w:vMerge w:val="continue"/>
            <w:noWrap w:val="0"/>
            <w:vAlign w:val="center"/>
          </w:tcPr>
          <w:p w14:paraId="3ECDB0CE">
            <w:pPr>
              <w:keepNext w:val="0"/>
              <w:keepLines w:val="0"/>
              <w:suppressLineNumbers w:val="0"/>
              <w:spacing w:before="0" w:beforeAutospacing="0" w:after="0" w:afterAutospacing="0"/>
              <w:ind w:left="0" w:right="0"/>
              <w:rPr>
                <w:rFonts w:hint="eastAsia" w:ascii="宋体" w:hAnsi="宋体" w:cs="Times New Roman"/>
                <w:sz w:val="22"/>
                <w:szCs w:val="22"/>
              </w:rPr>
            </w:pPr>
          </w:p>
        </w:tc>
        <w:tc>
          <w:tcPr>
            <w:tcW w:w="1404" w:type="dxa"/>
            <w:noWrap w:val="0"/>
            <w:vAlign w:val="center"/>
          </w:tcPr>
          <w:p w14:paraId="3F3EB58A">
            <w:pPr>
              <w:pStyle w:val="148"/>
              <w:keepNext w:val="0"/>
              <w:keepLines w:val="0"/>
              <w:suppressLineNumbers w:val="0"/>
              <w:adjustRightInd w:val="0"/>
              <w:spacing w:before="0" w:beforeAutospacing="0" w:after="0" w:afterAutospacing="0"/>
              <w:ind w:left="0" w:right="0"/>
              <w:rPr>
                <w:rFonts w:hint="default" w:ascii="宋体" w:hAnsi="宋体" w:cs="Times New Roman"/>
                <w:sz w:val="22"/>
                <w:szCs w:val="22"/>
              </w:rPr>
            </w:pPr>
            <w:r>
              <w:rPr>
                <w:rFonts w:hint="eastAsia" w:ascii="宋体" w:hAnsi="宋体" w:eastAsia="仿宋" w:cs="Times New Roman"/>
                <w:sz w:val="22"/>
                <w:szCs w:val="22"/>
              </w:rPr>
              <w:t>资质条件</w:t>
            </w:r>
          </w:p>
        </w:tc>
        <w:tc>
          <w:tcPr>
            <w:tcW w:w="6814" w:type="dxa"/>
            <w:noWrap w:val="0"/>
            <w:vAlign w:val="center"/>
          </w:tcPr>
          <w:p w14:paraId="0822965F">
            <w:pPr>
              <w:pStyle w:val="148"/>
              <w:keepNext w:val="0"/>
              <w:keepLines w:val="0"/>
              <w:suppressLineNumbers w:val="0"/>
              <w:adjustRightInd w:val="0"/>
              <w:spacing w:before="0" w:beforeAutospacing="0" w:after="0" w:afterAutospacing="0"/>
              <w:ind w:left="0" w:right="0"/>
              <w:rPr>
                <w:rFonts w:hint="default" w:ascii="宋体" w:hAnsi="宋体" w:cs="Times New Roman"/>
                <w:sz w:val="22"/>
                <w:szCs w:val="22"/>
              </w:rPr>
            </w:pPr>
            <w:r>
              <w:rPr>
                <w:rFonts w:hint="eastAsia" w:ascii="宋体" w:hAnsi="宋体" w:eastAsia="仿宋" w:cs="Times New Roman"/>
                <w:sz w:val="22"/>
                <w:szCs w:val="22"/>
              </w:rPr>
              <w:t>符合第二章“投标人须知”规定</w:t>
            </w:r>
          </w:p>
        </w:tc>
        <w:tc>
          <w:tcPr>
            <w:tcW w:w="2282" w:type="dxa"/>
            <w:noWrap w:val="0"/>
            <w:vAlign w:val="center"/>
          </w:tcPr>
          <w:p w14:paraId="084E5B2C">
            <w:pPr>
              <w:keepNext w:val="0"/>
              <w:keepLines w:val="0"/>
              <w:widowControl/>
              <w:suppressLineNumbers w:val="0"/>
              <w:adjustRightInd w:val="0"/>
              <w:spacing w:before="0" w:beforeAutospacing="0" w:after="0" w:afterAutospacing="0"/>
              <w:ind w:left="0" w:right="0"/>
              <w:jc w:val="center"/>
              <w:rPr>
                <w:rFonts w:hint="eastAsia" w:ascii="宋体" w:hAnsi="宋体" w:cs="Times New Roman"/>
                <w:kern w:val="0"/>
                <w:sz w:val="22"/>
                <w:szCs w:val="22"/>
              </w:rPr>
            </w:pPr>
            <w:r>
              <w:rPr>
                <w:rFonts w:hint="eastAsia" w:ascii="宋体" w:hAnsi="宋体" w:eastAsia="仿宋" w:cs="Times New Roman"/>
                <w:kern w:val="0"/>
                <w:sz w:val="22"/>
                <w:szCs w:val="22"/>
              </w:rPr>
              <w:t>提供原件扫描件</w:t>
            </w:r>
          </w:p>
        </w:tc>
      </w:tr>
      <w:tr w14:paraId="7D0B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804" w:type="dxa"/>
            <w:vMerge w:val="continue"/>
            <w:noWrap w:val="0"/>
            <w:vAlign w:val="center"/>
          </w:tcPr>
          <w:p w14:paraId="5F291C17">
            <w:pPr>
              <w:keepNext w:val="0"/>
              <w:keepLines w:val="0"/>
              <w:suppressLineNumbers w:val="0"/>
              <w:spacing w:before="0" w:beforeAutospacing="0" w:after="0" w:afterAutospacing="0"/>
              <w:ind w:left="0" w:right="0"/>
              <w:rPr>
                <w:rFonts w:hint="eastAsia" w:ascii="宋体" w:hAnsi="宋体" w:cs="Times New Roman"/>
                <w:sz w:val="22"/>
                <w:szCs w:val="22"/>
              </w:rPr>
            </w:pPr>
          </w:p>
        </w:tc>
        <w:tc>
          <w:tcPr>
            <w:tcW w:w="1404" w:type="dxa"/>
            <w:noWrap w:val="0"/>
            <w:vAlign w:val="center"/>
          </w:tcPr>
          <w:p w14:paraId="159E795D">
            <w:pPr>
              <w:pStyle w:val="148"/>
              <w:keepNext w:val="0"/>
              <w:keepLines w:val="0"/>
              <w:suppressLineNumbers w:val="0"/>
              <w:adjustRightInd w:val="0"/>
              <w:spacing w:before="0" w:beforeAutospacing="0" w:after="0" w:afterAutospacing="0"/>
              <w:ind w:left="0" w:right="0"/>
              <w:rPr>
                <w:rFonts w:hint="default" w:ascii="宋体" w:hAnsi="宋体" w:cs="Times New Roman"/>
                <w:sz w:val="22"/>
                <w:szCs w:val="22"/>
              </w:rPr>
            </w:pPr>
            <w:r>
              <w:rPr>
                <w:rFonts w:hint="eastAsia" w:ascii="宋体" w:hAnsi="宋体" w:eastAsia="仿宋" w:cs="Times New Roman"/>
                <w:sz w:val="22"/>
                <w:szCs w:val="22"/>
              </w:rPr>
              <w:t>业绩要求</w:t>
            </w:r>
          </w:p>
        </w:tc>
        <w:tc>
          <w:tcPr>
            <w:tcW w:w="6814" w:type="dxa"/>
            <w:noWrap w:val="0"/>
            <w:vAlign w:val="center"/>
          </w:tcPr>
          <w:p w14:paraId="490725B7">
            <w:pPr>
              <w:pStyle w:val="148"/>
              <w:keepNext w:val="0"/>
              <w:keepLines w:val="0"/>
              <w:suppressLineNumbers w:val="0"/>
              <w:adjustRightInd w:val="0"/>
              <w:spacing w:before="0" w:beforeAutospacing="0" w:after="0" w:afterAutospacing="0"/>
              <w:ind w:left="0" w:right="0"/>
              <w:rPr>
                <w:rFonts w:hint="default" w:ascii="宋体" w:hAnsi="宋体" w:cs="Times New Roman"/>
                <w:sz w:val="22"/>
                <w:szCs w:val="22"/>
              </w:rPr>
            </w:pPr>
            <w:r>
              <w:rPr>
                <w:rFonts w:hint="eastAsia" w:ascii="宋体" w:hAnsi="宋体" w:eastAsia="仿宋" w:cs="Times New Roman"/>
                <w:sz w:val="22"/>
                <w:szCs w:val="22"/>
              </w:rPr>
              <w:t>符合第二章“投标人须知”规定</w:t>
            </w:r>
          </w:p>
        </w:tc>
        <w:tc>
          <w:tcPr>
            <w:tcW w:w="2282" w:type="dxa"/>
            <w:noWrap w:val="0"/>
            <w:vAlign w:val="center"/>
          </w:tcPr>
          <w:p w14:paraId="7FAB59F1">
            <w:pPr>
              <w:keepNext w:val="0"/>
              <w:keepLines w:val="0"/>
              <w:widowControl/>
              <w:suppressLineNumbers w:val="0"/>
              <w:adjustRightInd w:val="0"/>
              <w:spacing w:before="0" w:beforeAutospacing="0" w:after="0" w:afterAutospacing="0"/>
              <w:ind w:left="0" w:right="0"/>
              <w:jc w:val="center"/>
              <w:rPr>
                <w:rFonts w:hint="eastAsia" w:ascii="宋体" w:hAnsi="宋体" w:cs="Times New Roman"/>
                <w:kern w:val="0"/>
                <w:sz w:val="22"/>
                <w:szCs w:val="22"/>
              </w:rPr>
            </w:pPr>
            <w:r>
              <w:rPr>
                <w:rFonts w:hint="eastAsia" w:ascii="宋体" w:hAnsi="宋体" w:eastAsia="仿宋" w:cs="Times New Roman"/>
                <w:kern w:val="0"/>
                <w:sz w:val="22"/>
                <w:szCs w:val="22"/>
              </w:rPr>
              <w:t>提供合同原件扫描件</w:t>
            </w:r>
          </w:p>
        </w:tc>
      </w:tr>
      <w:tr w14:paraId="46B4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04" w:type="dxa"/>
            <w:vMerge w:val="continue"/>
            <w:noWrap w:val="0"/>
            <w:vAlign w:val="center"/>
          </w:tcPr>
          <w:p w14:paraId="3AD1AEFD">
            <w:pPr>
              <w:keepNext w:val="0"/>
              <w:keepLines w:val="0"/>
              <w:suppressLineNumbers w:val="0"/>
              <w:spacing w:before="0" w:beforeAutospacing="0" w:after="0" w:afterAutospacing="0"/>
              <w:ind w:left="0" w:right="0"/>
              <w:rPr>
                <w:rFonts w:hint="eastAsia" w:ascii="宋体" w:hAnsi="宋体" w:cs="Times New Roman"/>
                <w:sz w:val="22"/>
                <w:szCs w:val="22"/>
              </w:rPr>
            </w:pPr>
          </w:p>
        </w:tc>
        <w:tc>
          <w:tcPr>
            <w:tcW w:w="1404" w:type="dxa"/>
            <w:noWrap w:val="0"/>
            <w:vAlign w:val="center"/>
          </w:tcPr>
          <w:p w14:paraId="51DA7BF3">
            <w:pPr>
              <w:pStyle w:val="148"/>
              <w:keepNext w:val="0"/>
              <w:keepLines w:val="0"/>
              <w:suppressLineNumbers w:val="0"/>
              <w:adjustRightInd w:val="0"/>
              <w:spacing w:before="0" w:beforeAutospacing="0" w:after="0" w:afterAutospacing="0"/>
              <w:ind w:left="0" w:right="0"/>
              <w:rPr>
                <w:rFonts w:hint="eastAsia" w:ascii="宋体" w:hAnsi="宋体" w:cs="Times New Roman"/>
                <w:sz w:val="22"/>
                <w:szCs w:val="22"/>
              </w:rPr>
            </w:pPr>
            <w:r>
              <w:rPr>
                <w:rFonts w:hint="eastAsia" w:ascii="宋体" w:hAnsi="宋体" w:eastAsia="仿宋" w:cs="Times New Roman"/>
                <w:sz w:val="22"/>
                <w:szCs w:val="22"/>
              </w:rPr>
              <w:t>联合体资格</w:t>
            </w:r>
          </w:p>
        </w:tc>
        <w:tc>
          <w:tcPr>
            <w:tcW w:w="6814" w:type="dxa"/>
            <w:noWrap w:val="0"/>
            <w:vAlign w:val="center"/>
          </w:tcPr>
          <w:p w14:paraId="6A94BBEB">
            <w:pPr>
              <w:pStyle w:val="148"/>
              <w:keepNext w:val="0"/>
              <w:keepLines w:val="0"/>
              <w:suppressLineNumbers w:val="0"/>
              <w:adjustRightInd w:val="0"/>
              <w:spacing w:before="0" w:beforeAutospacing="0" w:after="0" w:afterAutospacing="0"/>
              <w:ind w:left="0" w:right="0"/>
              <w:rPr>
                <w:rFonts w:hint="eastAsia" w:ascii="宋体" w:hAnsi="宋体" w:cs="Times New Roman"/>
                <w:sz w:val="22"/>
                <w:szCs w:val="22"/>
              </w:rPr>
            </w:pPr>
            <w:r>
              <w:rPr>
                <w:rFonts w:hint="eastAsia" w:ascii="宋体" w:hAnsi="宋体" w:eastAsia="仿宋" w:cs="Times New Roman"/>
                <w:sz w:val="22"/>
                <w:szCs w:val="22"/>
              </w:rPr>
              <w:t>符合第二章“投标人须知”规定（如允许）</w:t>
            </w:r>
          </w:p>
        </w:tc>
        <w:tc>
          <w:tcPr>
            <w:tcW w:w="2282" w:type="dxa"/>
            <w:noWrap w:val="0"/>
            <w:vAlign w:val="center"/>
          </w:tcPr>
          <w:p w14:paraId="09FADCFA">
            <w:pPr>
              <w:keepNext w:val="0"/>
              <w:keepLines w:val="0"/>
              <w:widowControl/>
              <w:suppressLineNumbers w:val="0"/>
              <w:adjustRightInd w:val="0"/>
              <w:spacing w:before="0" w:beforeAutospacing="0" w:after="0" w:afterAutospacing="0"/>
              <w:ind w:left="0" w:right="0"/>
              <w:jc w:val="center"/>
              <w:rPr>
                <w:rFonts w:hint="default" w:ascii="宋体" w:hAnsi="宋体" w:cs="Times New Roman"/>
                <w:kern w:val="0"/>
                <w:sz w:val="22"/>
                <w:szCs w:val="22"/>
              </w:rPr>
            </w:pPr>
          </w:p>
        </w:tc>
      </w:tr>
      <w:tr w14:paraId="30D6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804" w:type="dxa"/>
            <w:vMerge w:val="continue"/>
            <w:noWrap w:val="0"/>
            <w:vAlign w:val="center"/>
          </w:tcPr>
          <w:p w14:paraId="652929F5">
            <w:pPr>
              <w:keepNext w:val="0"/>
              <w:keepLines w:val="0"/>
              <w:suppressLineNumbers w:val="0"/>
              <w:spacing w:before="0" w:beforeAutospacing="0" w:after="0" w:afterAutospacing="0"/>
              <w:ind w:left="0" w:right="0"/>
              <w:rPr>
                <w:rFonts w:hint="eastAsia" w:ascii="宋体" w:hAnsi="宋体" w:cs="Times New Roman"/>
                <w:sz w:val="22"/>
                <w:szCs w:val="22"/>
              </w:rPr>
            </w:pPr>
          </w:p>
        </w:tc>
        <w:tc>
          <w:tcPr>
            <w:tcW w:w="1404" w:type="dxa"/>
            <w:noWrap w:val="0"/>
            <w:vAlign w:val="center"/>
          </w:tcPr>
          <w:p w14:paraId="7822A77F">
            <w:pPr>
              <w:pStyle w:val="148"/>
              <w:keepNext w:val="0"/>
              <w:keepLines w:val="0"/>
              <w:suppressLineNumbers w:val="0"/>
              <w:adjustRightInd w:val="0"/>
              <w:spacing w:before="0" w:beforeAutospacing="0" w:after="0" w:afterAutospacing="0"/>
              <w:ind w:left="0" w:right="0"/>
              <w:rPr>
                <w:rFonts w:hint="eastAsia" w:ascii="宋体" w:hAnsi="宋体" w:cs="Times New Roman"/>
                <w:sz w:val="22"/>
                <w:szCs w:val="22"/>
              </w:rPr>
            </w:pPr>
            <w:r>
              <w:rPr>
                <w:rFonts w:hint="eastAsia" w:ascii="宋体" w:hAnsi="宋体" w:eastAsia="仿宋" w:cs="Times New Roman"/>
                <w:sz w:val="22"/>
                <w:szCs w:val="22"/>
              </w:rPr>
              <w:t>信用状况</w:t>
            </w:r>
          </w:p>
        </w:tc>
        <w:tc>
          <w:tcPr>
            <w:tcW w:w="6814" w:type="dxa"/>
            <w:noWrap w:val="0"/>
            <w:vAlign w:val="center"/>
          </w:tcPr>
          <w:p w14:paraId="13F9EF3C">
            <w:pPr>
              <w:pStyle w:val="148"/>
              <w:keepNext w:val="0"/>
              <w:keepLines w:val="0"/>
              <w:suppressLineNumbers w:val="0"/>
              <w:overflowPunct w:val="0"/>
              <w:autoSpaceDE w:val="0"/>
              <w:autoSpaceDN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符合第二章“投标人须知”规定</w:t>
            </w:r>
          </w:p>
          <w:p w14:paraId="25F600D6">
            <w:pPr>
              <w:pStyle w:val="148"/>
              <w:keepNext w:val="0"/>
              <w:keepLines w:val="0"/>
              <w:suppressLineNumbers w:val="0"/>
              <w:overflowPunct w:val="0"/>
              <w:autoSpaceDE w:val="0"/>
              <w:autoSpaceDN w:val="0"/>
              <w:adjustRightInd w:val="0"/>
              <w:spacing w:before="0" w:beforeAutospacing="0" w:after="0" w:afterAutospacing="0"/>
              <w:ind w:left="0" w:right="0"/>
              <w:rPr>
                <w:rFonts w:hint="eastAsia" w:ascii="宋体" w:hAnsi="宋体" w:eastAsia="仿宋" w:cs="Times New Roman"/>
                <w:sz w:val="22"/>
                <w:szCs w:val="22"/>
              </w:rPr>
            </w:pPr>
            <w:r>
              <w:rPr>
                <w:rFonts w:hint="eastAsia" w:ascii="宋体" w:hAnsi="宋体" w:eastAsia="仿宋" w:cs="Times New Roman"/>
                <w:sz w:val="22"/>
                <w:szCs w:val="22"/>
              </w:rPr>
              <w:t>信用状况只依据下述查询平台（网址）发布的信息：</w:t>
            </w:r>
          </w:p>
          <w:p w14:paraId="7DDBAB1F">
            <w:pPr>
              <w:pStyle w:val="148"/>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sz w:val="22"/>
                <w:szCs w:val="22"/>
              </w:rPr>
            </w:pPr>
            <w:r>
              <w:rPr>
                <w:rFonts w:hint="eastAsia" w:ascii="宋体" w:hAnsi="宋体" w:eastAsia="仿宋" w:cs="Times New Roman"/>
                <w:sz w:val="22"/>
                <w:szCs w:val="22"/>
              </w:rPr>
              <w:t>（</w:t>
            </w:r>
            <w:r>
              <w:rPr>
                <w:rFonts w:hint="default" w:ascii="Calibri" w:hAnsi="Calibri" w:eastAsia="仿宋" w:cs="Times New Roman"/>
                <w:sz w:val="22"/>
                <w:szCs w:val="22"/>
              </w:rPr>
              <w:t>1</w:t>
            </w:r>
            <w:r>
              <w:rPr>
                <w:rFonts w:hint="eastAsia" w:ascii="宋体" w:hAnsi="宋体" w:eastAsia="仿宋" w:cs="Times New Roman"/>
                <w:sz w:val="22"/>
                <w:szCs w:val="22"/>
              </w:rPr>
              <w:t>）信用中国</w:t>
            </w:r>
            <w:r>
              <w:rPr>
                <w:rFonts w:hint="default" w:ascii="Calibri" w:hAnsi="Calibri" w:eastAsia="仿宋" w:cs="Times New Roman"/>
                <w:sz w:val="22"/>
                <w:szCs w:val="22"/>
              </w:rPr>
              <w:t>网站（www.creditchina.gov.cn）；</w:t>
            </w:r>
          </w:p>
          <w:p w14:paraId="1606A754">
            <w:pPr>
              <w:pStyle w:val="148"/>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sz w:val="22"/>
                <w:szCs w:val="22"/>
              </w:rPr>
            </w:pPr>
            <w:r>
              <w:rPr>
                <w:rFonts w:hint="default" w:ascii="Calibri" w:hAnsi="Calibri" w:eastAsia="仿宋" w:cs="Times New Roman"/>
                <w:sz w:val="22"/>
                <w:szCs w:val="22"/>
              </w:rPr>
              <w:t>（2）中国执行信息公开网（http://zxgk.court.gov.cn/）</w:t>
            </w:r>
            <w:r>
              <w:rPr>
                <w:rFonts w:hint="eastAsia" w:ascii="Calibri" w:hAnsi="Calibri" w:eastAsia="仿宋" w:cs="Times New Roman"/>
                <w:sz w:val="22"/>
                <w:szCs w:val="22"/>
              </w:rPr>
              <w:t>；</w:t>
            </w:r>
          </w:p>
          <w:p w14:paraId="1FCDBEC6">
            <w:pPr>
              <w:pStyle w:val="148"/>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sz w:val="22"/>
                <w:szCs w:val="22"/>
              </w:rPr>
            </w:pPr>
            <w:r>
              <w:rPr>
                <w:rFonts w:hint="eastAsia" w:ascii="Calibri" w:hAnsi="Calibri" w:eastAsia="仿宋" w:cs="Times New Roman"/>
                <w:sz w:val="22"/>
                <w:szCs w:val="22"/>
              </w:rPr>
              <w:t>（3）</w:t>
            </w:r>
            <w:r>
              <w:rPr>
                <w:rFonts w:hint="default" w:ascii="Calibri" w:hAnsi="Calibri" w:eastAsia="仿宋" w:cs="Times New Roman"/>
                <w:sz w:val="22"/>
                <w:szCs w:val="22"/>
              </w:rPr>
              <w:t>中国政府采购网（http://www.ccgp.gov.cn/）</w:t>
            </w:r>
            <w:r>
              <w:rPr>
                <w:rFonts w:hint="eastAsia" w:ascii="Calibri" w:hAnsi="Calibri" w:eastAsia="仿宋" w:cs="Times New Roman"/>
                <w:sz w:val="22"/>
                <w:szCs w:val="22"/>
              </w:rPr>
              <w:t>；</w:t>
            </w:r>
          </w:p>
          <w:p w14:paraId="54F71D65">
            <w:pPr>
              <w:pStyle w:val="148"/>
              <w:keepNext w:val="0"/>
              <w:keepLines w:val="0"/>
              <w:suppressLineNumbers w:val="0"/>
              <w:overflowPunct w:val="0"/>
              <w:autoSpaceDE w:val="0"/>
              <w:autoSpaceDN w:val="0"/>
              <w:adjustRightInd w:val="0"/>
              <w:spacing w:before="0" w:beforeAutospacing="0" w:after="0" w:afterAutospacing="0"/>
              <w:ind w:left="0" w:right="0"/>
              <w:rPr>
                <w:rFonts w:hint="eastAsia" w:ascii="宋体" w:hAnsi="宋体" w:cs="Times New Roman"/>
                <w:sz w:val="22"/>
                <w:szCs w:val="22"/>
              </w:rPr>
            </w:pPr>
            <w:r>
              <w:rPr>
                <w:rFonts w:hint="default" w:ascii="Calibri" w:hAnsi="Calibri" w:eastAsia="仿宋" w:cs="Times New Roman"/>
                <w:sz w:val="22"/>
                <w:szCs w:val="22"/>
              </w:rPr>
              <w:t>（4）国家企业信用信息公示系统（http://www.gsxt.gov.cn/）</w:t>
            </w:r>
          </w:p>
        </w:tc>
        <w:tc>
          <w:tcPr>
            <w:tcW w:w="2282" w:type="dxa"/>
            <w:noWrap w:val="0"/>
            <w:vAlign w:val="center"/>
          </w:tcPr>
          <w:p w14:paraId="3BA99E28">
            <w:pPr>
              <w:keepNext w:val="0"/>
              <w:keepLines w:val="0"/>
              <w:widowControl/>
              <w:suppressLineNumbers w:val="0"/>
              <w:adjustRightInd w:val="0"/>
              <w:spacing w:before="0" w:beforeAutospacing="0" w:after="0" w:afterAutospacing="0"/>
              <w:ind w:left="0" w:right="0"/>
              <w:jc w:val="center"/>
              <w:rPr>
                <w:rFonts w:hint="default" w:ascii="宋体" w:hAnsi="宋体" w:cs="Times New Roman"/>
                <w:kern w:val="0"/>
                <w:sz w:val="22"/>
                <w:szCs w:val="22"/>
              </w:rPr>
            </w:pPr>
          </w:p>
        </w:tc>
      </w:tr>
      <w:tr w14:paraId="3BA9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804" w:type="dxa"/>
            <w:vMerge w:val="continue"/>
            <w:noWrap w:val="0"/>
            <w:vAlign w:val="center"/>
          </w:tcPr>
          <w:p w14:paraId="492ABD03">
            <w:pPr>
              <w:keepNext w:val="0"/>
              <w:keepLines w:val="0"/>
              <w:suppressLineNumbers w:val="0"/>
              <w:spacing w:before="0" w:beforeAutospacing="0" w:after="0" w:afterAutospacing="0"/>
              <w:ind w:left="0" w:right="0"/>
              <w:rPr>
                <w:rFonts w:hint="eastAsia" w:ascii="宋体" w:hAnsi="宋体" w:cs="Times New Roman"/>
                <w:sz w:val="22"/>
                <w:szCs w:val="22"/>
              </w:rPr>
            </w:pPr>
          </w:p>
        </w:tc>
        <w:tc>
          <w:tcPr>
            <w:tcW w:w="1404" w:type="dxa"/>
            <w:noWrap w:val="0"/>
            <w:vAlign w:val="center"/>
          </w:tcPr>
          <w:p w14:paraId="6EE94163">
            <w:pPr>
              <w:pStyle w:val="148"/>
              <w:keepNext w:val="0"/>
              <w:keepLines w:val="0"/>
              <w:suppressLineNumbers w:val="0"/>
              <w:topLinePunct/>
              <w:spacing w:before="0" w:beforeAutospacing="0" w:after="0" w:afterAutospacing="0"/>
              <w:ind w:left="0" w:right="0"/>
              <w:rPr>
                <w:rFonts w:hint="default" w:ascii="宋体" w:hAnsi="宋体" w:cs="Times New Roman"/>
                <w:sz w:val="22"/>
                <w:szCs w:val="22"/>
              </w:rPr>
            </w:pPr>
            <w:r>
              <w:rPr>
                <w:rFonts w:hint="eastAsia" w:ascii="宋体" w:hAnsi="宋体" w:eastAsia="仿宋" w:cs="Times New Roman"/>
                <w:sz w:val="22"/>
                <w:szCs w:val="22"/>
              </w:rPr>
              <w:t>不存在禁止参与投标的情形</w:t>
            </w:r>
          </w:p>
        </w:tc>
        <w:tc>
          <w:tcPr>
            <w:tcW w:w="6814" w:type="dxa"/>
            <w:noWrap w:val="0"/>
            <w:vAlign w:val="center"/>
          </w:tcPr>
          <w:p w14:paraId="378A9BF6">
            <w:pPr>
              <w:pStyle w:val="148"/>
              <w:keepNext w:val="0"/>
              <w:keepLines w:val="0"/>
              <w:suppressLineNumbers w:val="0"/>
              <w:topLinePunct/>
              <w:spacing w:before="0" w:beforeAutospacing="0" w:after="0" w:afterAutospacing="0"/>
              <w:ind w:left="0" w:right="0"/>
              <w:rPr>
                <w:rFonts w:hint="default" w:ascii="宋体" w:hAnsi="宋体" w:cs="Times New Roman"/>
                <w:sz w:val="22"/>
                <w:szCs w:val="22"/>
              </w:rPr>
            </w:pPr>
            <w:r>
              <w:rPr>
                <w:rFonts w:hint="eastAsia" w:ascii="宋体" w:hAnsi="宋体" w:eastAsia="仿宋" w:cs="Times New Roman"/>
                <w:sz w:val="22"/>
                <w:szCs w:val="22"/>
              </w:rPr>
              <w:t>不存在第二章“投标人须知”第1.4.3项规定的任何一种情形</w:t>
            </w:r>
          </w:p>
        </w:tc>
        <w:tc>
          <w:tcPr>
            <w:tcW w:w="2282" w:type="dxa"/>
            <w:noWrap w:val="0"/>
            <w:vAlign w:val="center"/>
          </w:tcPr>
          <w:p w14:paraId="0C85086F">
            <w:pPr>
              <w:keepNext w:val="0"/>
              <w:keepLines w:val="0"/>
              <w:widowControl/>
              <w:suppressLineNumbers w:val="0"/>
              <w:adjustRightInd w:val="0"/>
              <w:spacing w:before="0" w:beforeAutospacing="0" w:after="0" w:afterAutospacing="0"/>
              <w:ind w:left="0" w:right="0"/>
              <w:jc w:val="center"/>
              <w:rPr>
                <w:rFonts w:hint="default" w:ascii="宋体" w:hAnsi="宋体" w:cs="Times New Roman"/>
                <w:kern w:val="0"/>
                <w:sz w:val="22"/>
                <w:szCs w:val="22"/>
              </w:rPr>
            </w:pPr>
          </w:p>
        </w:tc>
      </w:tr>
    </w:tbl>
    <w:p w14:paraId="6C8FAE95">
      <w:pPr>
        <w:pStyle w:val="149"/>
        <w:adjustRightInd w:val="0"/>
        <w:snapToGrid w:val="0"/>
        <w:spacing w:before="0" w:line="360" w:lineRule="auto"/>
        <w:ind w:firstLine="482" w:firstLineChars="200"/>
        <w:jc w:val="center"/>
        <w:rPr>
          <w:rFonts w:ascii="宋体" w:hAnsi="宋体" w:eastAsia="仿宋"/>
          <w:b/>
          <w:sz w:val="24"/>
          <w:szCs w:val="24"/>
        </w:rPr>
        <w:sectPr>
          <w:headerReference r:id="rId9" w:type="default"/>
          <w:footerReference r:id="rId10"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51CED3C2">
      <w:pPr>
        <w:pStyle w:val="3"/>
        <w:rPr>
          <w:rStyle w:val="98"/>
          <w:rFonts w:hint="eastAsia" w:ascii="宋体" w:hAnsi="宋体" w:eastAsia="仿宋"/>
          <w:b/>
          <w:bCs/>
          <w:sz w:val="24"/>
          <w:szCs w:val="24"/>
        </w:rPr>
      </w:pPr>
      <w:bookmarkStart w:id="791" w:name="_Toc417623587"/>
      <w:bookmarkStart w:id="792" w:name="_Toc324404867"/>
      <w:r>
        <w:rPr>
          <w:rStyle w:val="98"/>
          <w:rFonts w:hint="eastAsia" w:ascii="宋体" w:hAnsi="宋体" w:eastAsia="仿宋"/>
          <w:b/>
          <w:bCs/>
          <w:sz w:val="24"/>
          <w:szCs w:val="24"/>
        </w:rPr>
        <w:t>1. 资格审查办法</w:t>
      </w:r>
      <w:bookmarkEnd w:id="791"/>
      <w:bookmarkEnd w:id="792"/>
    </w:p>
    <w:p w14:paraId="00E0E9A1">
      <w:pPr>
        <w:snapToGrid w:val="0"/>
        <w:spacing w:line="360" w:lineRule="auto"/>
        <w:ind w:firstLine="480" w:firstLineChars="200"/>
        <w:rPr>
          <w:rFonts w:hint="eastAsia" w:ascii="宋体" w:hAnsi="宋体" w:eastAsia="仿宋"/>
          <w:sz w:val="24"/>
        </w:rPr>
      </w:pPr>
      <w:bookmarkStart w:id="793" w:name="_Hlk44246459"/>
      <w:r>
        <w:rPr>
          <w:rFonts w:hint="eastAsia" w:ascii="宋体" w:hAnsi="宋体" w:eastAsia="仿宋"/>
          <w:sz w:val="24"/>
        </w:rPr>
        <w:t>公开招标采购项目开标结束后，采购人或者采购代理机构应当依法组建资格审查小组，按资格审查办法前附表中的审查标准对投标人的资格进行审查。符合本章第2条规定审查标准的申请人均通过资格审查。</w:t>
      </w:r>
    </w:p>
    <w:bookmarkEnd w:id="793"/>
    <w:p w14:paraId="4C863BFD">
      <w:pPr>
        <w:pStyle w:val="3"/>
        <w:rPr>
          <w:rStyle w:val="98"/>
          <w:rFonts w:hint="eastAsia" w:ascii="宋体" w:hAnsi="宋体" w:eastAsia="仿宋"/>
          <w:b/>
          <w:bCs/>
          <w:sz w:val="24"/>
          <w:szCs w:val="24"/>
        </w:rPr>
      </w:pPr>
      <w:r>
        <w:rPr>
          <w:rStyle w:val="98"/>
          <w:rFonts w:hint="eastAsia" w:ascii="宋体" w:hAnsi="宋体" w:eastAsia="仿宋"/>
          <w:b/>
          <w:bCs/>
          <w:sz w:val="24"/>
          <w:szCs w:val="24"/>
        </w:rPr>
        <w:t>2. 资格审查标准</w:t>
      </w:r>
    </w:p>
    <w:p w14:paraId="554F0147">
      <w:pPr>
        <w:spacing w:line="360" w:lineRule="auto"/>
        <w:ind w:firstLine="480" w:firstLineChars="200"/>
        <w:rPr>
          <w:rFonts w:hint="eastAsia" w:ascii="宋体" w:hAnsi="宋体" w:eastAsia="仿宋"/>
          <w:sz w:val="24"/>
        </w:rPr>
      </w:pPr>
      <w:r>
        <w:rPr>
          <w:rFonts w:hint="eastAsia" w:ascii="宋体" w:hAnsi="宋体" w:eastAsia="仿宋"/>
          <w:sz w:val="24"/>
        </w:rPr>
        <w:t>审查标准：见资格审查办法前附表。</w:t>
      </w:r>
    </w:p>
    <w:p w14:paraId="41EBFAC0">
      <w:pPr>
        <w:pStyle w:val="3"/>
        <w:rPr>
          <w:rStyle w:val="98"/>
          <w:rFonts w:hint="eastAsia" w:ascii="宋体" w:hAnsi="宋体" w:eastAsia="仿宋"/>
          <w:b/>
          <w:bCs/>
          <w:sz w:val="24"/>
          <w:szCs w:val="24"/>
        </w:rPr>
      </w:pPr>
      <w:r>
        <w:rPr>
          <w:rStyle w:val="98"/>
          <w:rFonts w:hint="eastAsia" w:ascii="宋体" w:hAnsi="宋体" w:eastAsia="仿宋"/>
          <w:b/>
          <w:bCs/>
          <w:sz w:val="24"/>
          <w:szCs w:val="24"/>
        </w:rPr>
        <w:t>3. 资格审查程序</w:t>
      </w:r>
    </w:p>
    <w:p w14:paraId="0992B03A">
      <w:pPr>
        <w:pStyle w:val="4"/>
        <w:adjustRightInd w:val="0"/>
        <w:ind w:firstLine="482" w:firstLineChars="200"/>
        <w:rPr>
          <w:rFonts w:hint="eastAsia" w:eastAsia="仿宋"/>
          <w:sz w:val="24"/>
          <w:lang w:eastAsia="zh-CN"/>
        </w:rPr>
      </w:pPr>
      <w:r>
        <w:rPr>
          <w:rFonts w:hint="eastAsia" w:eastAsia="仿宋"/>
          <w:sz w:val="24"/>
          <w:lang w:eastAsia="zh-CN"/>
        </w:rPr>
        <w:t>3.1 资格审查</w:t>
      </w:r>
    </w:p>
    <w:p w14:paraId="68F63F00">
      <w:pPr>
        <w:snapToGrid w:val="0"/>
        <w:spacing w:line="360" w:lineRule="auto"/>
        <w:ind w:firstLine="480" w:firstLineChars="200"/>
        <w:rPr>
          <w:rFonts w:hint="eastAsia" w:ascii="宋体" w:hAnsi="宋体" w:eastAsia="仿宋"/>
          <w:sz w:val="24"/>
        </w:rPr>
      </w:pPr>
      <w:r>
        <w:rPr>
          <w:rFonts w:hint="eastAsia" w:ascii="宋体" w:hAnsi="宋体" w:eastAsia="仿宋"/>
          <w:sz w:val="24"/>
        </w:rPr>
        <w:t>3.1.1 资格审查小组按照规定的资格审查标准，对各投标人依次进行审查。有一项不符合审查标准的，资格审查不合格，其投标无效。</w:t>
      </w:r>
    </w:p>
    <w:p w14:paraId="27A6FE13">
      <w:pPr>
        <w:snapToGrid w:val="0"/>
        <w:spacing w:line="360" w:lineRule="auto"/>
        <w:ind w:firstLine="480" w:firstLineChars="200"/>
        <w:rPr>
          <w:rFonts w:ascii="宋体" w:hAnsi="宋体" w:eastAsia="仿宋"/>
          <w:sz w:val="24"/>
        </w:rPr>
      </w:pPr>
      <w:r>
        <w:rPr>
          <w:rFonts w:ascii="宋体" w:hAnsi="宋体" w:eastAsia="仿宋"/>
          <w:sz w:val="24"/>
        </w:rPr>
        <w:t>3.</w:t>
      </w:r>
      <w:r>
        <w:rPr>
          <w:rFonts w:hint="eastAsia" w:ascii="宋体" w:hAnsi="宋体" w:eastAsia="仿宋"/>
          <w:sz w:val="24"/>
        </w:rPr>
        <w:t>1.</w:t>
      </w:r>
      <w:r>
        <w:rPr>
          <w:rFonts w:ascii="宋体" w:hAnsi="宋体" w:eastAsia="仿宋"/>
          <w:sz w:val="24"/>
        </w:rPr>
        <w:t>2</w:t>
      </w:r>
      <w:r>
        <w:rPr>
          <w:rFonts w:hint="eastAsia" w:ascii="宋体" w:hAnsi="宋体" w:eastAsia="仿宋"/>
          <w:sz w:val="24"/>
        </w:rPr>
        <w:t xml:space="preserve"> </w:t>
      </w:r>
      <w:r>
        <w:rPr>
          <w:rFonts w:ascii="宋体" w:hAnsi="宋体" w:eastAsia="仿宋"/>
          <w:sz w:val="24"/>
        </w:rPr>
        <w:t>投标人有以下情形之一的，</w:t>
      </w:r>
      <w:r>
        <w:rPr>
          <w:rFonts w:hint="eastAsia" w:ascii="宋体" w:hAnsi="宋体" w:eastAsia="仿宋"/>
          <w:sz w:val="24"/>
        </w:rPr>
        <w:t>资格审查不合格，其投标无效</w:t>
      </w:r>
      <w:r>
        <w:rPr>
          <w:rFonts w:ascii="宋体" w:hAnsi="宋体" w:eastAsia="仿宋"/>
          <w:sz w:val="24"/>
        </w:rPr>
        <w:t>：</w:t>
      </w:r>
    </w:p>
    <w:p w14:paraId="59F96261">
      <w:pPr>
        <w:snapToGrid w:val="0"/>
        <w:spacing w:line="360" w:lineRule="auto"/>
        <w:ind w:firstLine="480" w:firstLineChars="200"/>
        <w:rPr>
          <w:rFonts w:hint="eastAsia" w:ascii="宋体" w:hAnsi="宋体" w:eastAsia="仿宋"/>
          <w:sz w:val="24"/>
        </w:rPr>
      </w:pPr>
      <w:r>
        <w:rPr>
          <w:rFonts w:ascii="宋体" w:hAnsi="宋体" w:eastAsia="仿宋"/>
          <w:sz w:val="24"/>
        </w:rPr>
        <w:t>（</w:t>
      </w:r>
      <w:r>
        <w:rPr>
          <w:rFonts w:hint="eastAsia" w:ascii="宋体" w:hAnsi="宋体" w:eastAsia="仿宋"/>
          <w:sz w:val="24"/>
        </w:rPr>
        <w:t>1</w:t>
      </w:r>
      <w:r>
        <w:rPr>
          <w:rFonts w:ascii="宋体" w:hAnsi="宋体" w:eastAsia="仿宋"/>
          <w:sz w:val="24"/>
        </w:rPr>
        <w:t>）有弄虚作假、</w:t>
      </w:r>
      <w:r>
        <w:rPr>
          <w:rFonts w:hint="eastAsia" w:ascii="宋体" w:hAnsi="宋体" w:eastAsia="仿宋"/>
          <w:sz w:val="24"/>
        </w:rPr>
        <w:t>向资格审查小组</w:t>
      </w:r>
      <w:r>
        <w:rPr>
          <w:rFonts w:ascii="宋体" w:hAnsi="宋体" w:eastAsia="仿宋"/>
          <w:sz w:val="24"/>
        </w:rPr>
        <w:t>行贿等违法行为</w:t>
      </w:r>
      <w:r>
        <w:rPr>
          <w:rFonts w:hint="eastAsia" w:ascii="宋体" w:hAnsi="宋体" w:eastAsia="仿宋"/>
          <w:sz w:val="24"/>
        </w:rPr>
        <w:t>；</w:t>
      </w:r>
    </w:p>
    <w:p w14:paraId="3AA3B61F">
      <w:pPr>
        <w:snapToGrid w:val="0"/>
        <w:spacing w:line="360" w:lineRule="auto"/>
        <w:ind w:firstLine="480" w:firstLineChars="200"/>
        <w:rPr>
          <w:rFonts w:ascii="宋体" w:hAnsi="宋体" w:eastAsia="仿宋"/>
          <w:sz w:val="24"/>
        </w:rPr>
      </w:pPr>
      <w:r>
        <w:rPr>
          <w:rFonts w:hint="eastAsia" w:ascii="宋体" w:hAnsi="宋体" w:eastAsia="仿宋"/>
          <w:sz w:val="24"/>
        </w:rPr>
        <w:t>（2）不按照资格审查小组要求澄清、补正的</w:t>
      </w:r>
      <w:r>
        <w:rPr>
          <w:rFonts w:ascii="宋体" w:hAnsi="宋体" w:eastAsia="仿宋"/>
          <w:sz w:val="24"/>
        </w:rPr>
        <w:t>。</w:t>
      </w:r>
    </w:p>
    <w:p w14:paraId="433D3004">
      <w:pPr>
        <w:pStyle w:val="4"/>
        <w:adjustRightInd w:val="0"/>
        <w:ind w:firstLine="482" w:firstLineChars="200"/>
        <w:rPr>
          <w:rFonts w:hint="eastAsia" w:eastAsia="仿宋"/>
          <w:sz w:val="24"/>
          <w:lang w:eastAsia="zh-CN"/>
        </w:rPr>
      </w:pPr>
      <w:r>
        <w:rPr>
          <w:rFonts w:hint="eastAsia" w:eastAsia="仿宋"/>
          <w:sz w:val="24"/>
          <w:lang w:eastAsia="zh-CN"/>
        </w:rPr>
        <w:t>3.2 投标文件澄清</w:t>
      </w:r>
    </w:p>
    <w:p w14:paraId="6C021D3D">
      <w:pPr>
        <w:snapToGrid w:val="0"/>
        <w:spacing w:line="360" w:lineRule="auto"/>
        <w:ind w:firstLine="480" w:firstLineChars="200"/>
        <w:rPr>
          <w:rFonts w:ascii="宋体" w:hAnsi="宋体" w:eastAsia="仿宋"/>
          <w:sz w:val="24"/>
        </w:rPr>
      </w:pPr>
      <w:r>
        <w:rPr>
          <w:rFonts w:ascii="宋体" w:hAnsi="宋体" w:eastAsia="仿宋"/>
          <w:sz w:val="24"/>
        </w:rPr>
        <w:t>3.</w:t>
      </w:r>
      <w:r>
        <w:rPr>
          <w:rFonts w:hint="eastAsia" w:ascii="宋体" w:hAnsi="宋体" w:eastAsia="仿宋"/>
          <w:sz w:val="24"/>
        </w:rPr>
        <w:t>2</w:t>
      </w:r>
      <w:r>
        <w:rPr>
          <w:rFonts w:ascii="宋体" w:hAnsi="宋体" w:eastAsia="仿宋"/>
          <w:sz w:val="24"/>
        </w:rPr>
        <w:t>.1</w:t>
      </w:r>
      <w:r>
        <w:rPr>
          <w:rFonts w:hint="eastAsia" w:ascii="宋体" w:hAnsi="宋体" w:eastAsia="仿宋"/>
          <w:sz w:val="24"/>
        </w:rPr>
        <w:t xml:space="preserve"> </w:t>
      </w:r>
      <w:r>
        <w:rPr>
          <w:rFonts w:ascii="宋体" w:hAnsi="宋体" w:eastAsia="仿宋"/>
          <w:sz w:val="24"/>
        </w:rPr>
        <w:t>在</w:t>
      </w:r>
      <w:r>
        <w:rPr>
          <w:rFonts w:hint="eastAsia" w:ascii="宋体" w:hAnsi="宋体" w:eastAsia="仿宋"/>
          <w:sz w:val="24"/>
        </w:rPr>
        <w:t>资格审查</w:t>
      </w:r>
      <w:r>
        <w:rPr>
          <w:rFonts w:ascii="宋体" w:hAnsi="宋体" w:eastAsia="仿宋"/>
          <w:sz w:val="24"/>
        </w:rPr>
        <w:t>过程中，</w:t>
      </w:r>
      <w:r>
        <w:rPr>
          <w:rFonts w:hint="eastAsia" w:ascii="宋体" w:hAnsi="宋体" w:eastAsia="仿宋"/>
          <w:sz w:val="24"/>
        </w:rPr>
        <w:t>资格审查小组</w:t>
      </w:r>
      <w:r>
        <w:rPr>
          <w:rFonts w:ascii="宋体" w:hAnsi="宋体" w:eastAsia="仿宋"/>
          <w:sz w:val="24"/>
        </w:rPr>
        <w:t>可以书面形式要求投标人对投标文件中含义不明确、对同类问题表述不一致或者有明显文字错误的内容作必要的澄清、说明或补正。澄清、说明或补正应以书面方式进行。</w:t>
      </w:r>
      <w:r>
        <w:rPr>
          <w:rFonts w:hint="eastAsia" w:ascii="宋体" w:hAnsi="宋体" w:eastAsia="仿宋"/>
          <w:sz w:val="24"/>
        </w:rPr>
        <w:t>资格审查小组</w:t>
      </w:r>
      <w:r>
        <w:rPr>
          <w:rFonts w:ascii="宋体" w:hAnsi="宋体" w:eastAsia="仿宋"/>
          <w:sz w:val="24"/>
        </w:rPr>
        <w:t>不接受投标人主动提出的澄清、说明或补正。</w:t>
      </w:r>
    </w:p>
    <w:p w14:paraId="25E9472F">
      <w:pPr>
        <w:snapToGrid w:val="0"/>
        <w:spacing w:line="360" w:lineRule="auto"/>
        <w:ind w:firstLine="480" w:firstLineChars="200"/>
        <w:rPr>
          <w:rFonts w:ascii="宋体" w:hAnsi="宋体" w:eastAsia="仿宋"/>
          <w:sz w:val="24"/>
        </w:rPr>
      </w:pPr>
      <w:r>
        <w:rPr>
          <w:rFonts w:ascii="宋体" w:hAnsi="宋体" w:eastAsia="仿宋"/>
          <w:sz w:val="24"/>
        </w:rPr>
        <w:t>3.</w:t>
      </w:r>
      <w:r>
        <w:rPr>
          <w:rFonts w:hint="eastAsia" w:ascii="宋体" w:hAnsi="宋体" w:eastAsia="仿宋"/>
          <w:sz w:val="24"/>
        </w:rPr>
        <w:t>2</w:t>
      </w:r>
      <w:r>
        <w:rPr>
          <w:rFonts w:ascii="宋体" w:hAnsi="宋体" w:eastAsia="仿宋"/>
          <w:sz w:val="24"/>
        </w:rPr>
        <w:t>.2</w:t>
      </w:r>
      <w:r>
        <w:rPr>
          <w:rFonts w:hint="eastAsia" w:ascii="宋体" w:hAnsi="宋体" w:eastAsia="仿宋"/>
          <w:sz w:val="24"/>
        </w:rPr>
        <w:t xml:space="preserve"> </w:t>
      </w:r>
      <w:r>
        <w:rPr>
          <w:rFonts w:ascii="宋体" w:hAnsi="宋体" w:eastAsia="仿宋"/>
          <w:sz w:val="24"/>
        </w:rPr>
        <w:t>澄清、说明或补正不得超出投标文件的范围且不得改变投标文件的实质性内容，并构成投标文件的组成部分。</w:t>
      </w:r>
    </w:p>
    <w:p w14:paraId="612B978D">
      <w:pPr>
        <w:snapToGrid w:val="0"/>
        <w:spacing w:line="360" w:lineRule="auto"/>
        <w:ind w:firstLine="480" w:firstLineChars="200"/>
        <w:rPr>
          <w:rFonts w:ascii="宋体" w:hAnsi="宋体" w:eastAsia="仿宋"/>
          <w:sz w:val="24"/>
        </w:rPr>
      </w:pPr>
      <w:r>
        <w:rPr>
          <w:rFonts w:ascii="宋体" w:hAnsi="宋体" w:eastAsia="仿宋"/>
          <w:sz w:val="24"/>
        </w:rPr>
        <w:t>3.</w:t>
      </w:r>
      <w:r>
        <w:rPr>
          <w:rFonts w:hint="eastAsia" w:ascii="宋体" w:hAnsi="宋体" w:eastAsia="仿宋"/>
          <w:sz w:val="24"/>
        </w:rPr>
        <w:t>2</w:t>
      </w:r>
      <w:r>
        <w:rPr>
          <w:rFonts w:ascii="宋体" w:hAnsi="宋体" w:eastAsia="仿宋"/>
          <w:sz w:val="24"/>
        </w:rPr>
        <w:t>.3</w:t>
      </w:r>
      <w:r>
        <w:rPr>
          <w:rFonts w:hint="eastAsia" w:ascii="宋体" w:hAnsi="宋体" w:eastAsia="仿宋"/>
          <w:sz w:val="24"/>
        </w:rPr>
        <w:t xml:space="preserve"> 资格审查小组</w:t>
      </w:r>
      <w:r>
        <w:rPr>
          <w:rFonts w:ascii="宋体" w:hAnsi="宋体" w:eastAsia="仿宋"/>
          <w:sz w:val="24"/>
        </w:rPr>
        <w:t>对投标人提交的澄清、说明或补正有疑问的，可以要求投标人进一步澄清、说明或补正，直至满足</w:t>
      </w:r>
      <w:r>
        <w:rPr>
          <w:rFonts w:hint="eastAsia" w:ascii="宋体" w:hAnsi="宋体" w:eastAsia="仿宋"/>
          <w:sz w:val="24"/>
        </w:rPr>
        <w:t>资格审查小组</w:t>
      </w:r>
      <w:r>
        <w:rPr>
          <w:rFonts w:ascii="宋体" w:hAnsi="宋体" w:eastAsia="仿宋"/>
          <w:sz w:val="24"/>
        </w:rPr>
        <w:t>的要求。</w:t>
      </w:r>
    </w:p>
    <w:p w14:paraId="4FDE5C8D">
      <w:pPr>
        <w:pStyle w:val="4"/>
        <w:adjustRightInd w:val="0"/>
        <w:ind w:firstLine="482" w:firstLineChars="200"/>
        <w:rPr>
          <w:rFonts w:hint="eastAsia" w:eastAsia="仿宋"/>
          <w:sz w:val="24"/>
          <w:lang w:eastAsia="zh-CN"/>
        </w:rPr>
      </w:pPr>
      <w:r>
        <w:rPr>
          <w:rFonts w:hint="eastAsia" w:eastAsia="仿宋"/>
          <w:sz w:val="24"/>
          <w:lang w:eastAsia="zh-CN"/>
        </w:rPr>
        <w:t>3.3 资格审查结果</w:t>
      </w:r>
    </w:p>
    <w:p w14:paraId="2D3363BC">
      <w:pPr>
        <w:snapToGrid w:val="0"/>
        <w:spacing w:line="360" w:lineRule="auto"/>
        <w:ind w:firstLine="480" w:firstLineChars="200"/>
        <w:rPr>
          <w:rFonts w:ascii="宋体" w:hAnsi="宋体" w:eastAsia="仿宋"/>
          <w:sz w:val="24"/>
        </w:rPr>
      </w:pPr>
      <w:r>
        <w:rPr>
          <w:rFonts w:ascii="宋体" w:hAnsi="宋体" w:eastAsia="仿宋"/>
          <w:sz w:val="24"/>
        </w:rPr>
        <w:t>3.</w:t>
      </w:r>
      <w:r>
        <w:rPr>
          <w:rFonts w:hint="eastAsia" w:ascii="宋体" w:hAnsi="宋体" w:eastAsia="仿宋"/>
          <w:sz w:val="24"/>
        </w:rPr>
        <w:t>3</w:t>
      </w:r>
      <w:r>
        <w:rPr>
          <w:rFonts w:ascii="宋体" w:hAnsi="宋体" w:eastAsia="仿宋"/>
          <w:sz w:val="24"/>
        </w:rPr>
        <w:t>.1</w:t>
      </w:r>
      <w:r>
        <w:rPr>
          <w:rFonts w:hint="eastAsia" w:ascii="宋体" w:hAnsi="宋体" w:eastAsia="仿宋"/>
          <w:sz w:val="24"/>
        </w:rPr>
        <w:t xml:space="preserve"> 资格审查完成后，资格审查小组应该出具各投标人资格审查结果的书面意见</w:t>
      </w:r>
      <w:r>
        <w:rPr>
          <w:rFonts w:ascii="宋体" w:hAnsi="宋体" w:eastAsia="仿宋"/>
          <w:sz w:val="24"/>
        </w:rPr>
        <w:t>。</w:t>
      </w:r>
    </w:p>
    <w:p w14:paraId="1105A2BA">
      <w:pPr>
        <w:snapToGrid w:val="0"/>
        <w:spacing w:line="360" w:lineRule="auto"/>
        <w:ind w:firstLine="480" w:firstLineChars="200"/>
        <w:rPr>
          <w:rFonts w:ascii="宋体" w:hAnsi="宋体" w:eastAsia="仿宋"/>
          <w:sz w:val="24"/>
        </w:rPr>
      </w:pPr>
      <w:r>
        <w:rPr>
          <w:rFonts w:ascii="宋体" w:hAnsi="宋体" w:eastAsia="仿宋"/>
          <w:sz w:val="24"/>
        </w:rPr>
        <w:t>3.</w:t>
      </w:r>
      <w:r>
        <w:rPr>
          <w:rFonts w:hint="eastAsia" w:ascii="宋体" w:hAnsi="宋体" w:eastAsia="仿宋"/>
          <w:sz w:val="24"/>
        </w:rPr>
        <w:t>3</w:t>
      </w:r>
      <w:r>
        <w:rPr>
          <w:rFonts w:ascii="宋体" w:hAnsi="宋体" w:eastAsia="仿宋"/>
          <w:sz w:val="24"/>
        </w:rPr>
        <w:t>.2</w:t>
      </w:r>
      <w:r>
        <w:rPr>
          <w:rFonts w:hint="eastAsia" w:ascii="宋体" w:hAnsi="宋体" w:eastAsia="仿宋"/>
          <w:sz w:val="24"/>
        </w:rPr>
        <w:t xml:space="preserve"> 只有通过资格审查的投标人才能进入下一步的评标程序</w:t>
      </w:r>
      <w:r>
        <w:rPr>
          <w:rFonts w:ascii="宋体" w:hAnsi="宋体" w:eastAsia="仿宋"/>
          <w:sz w:val="24"/>
        </w:rPr>
        <w:t>。</w:t>
      </w:r>
    </w:p>
    <w:p w14:paraId="15D929E5">
      <w:pPr>
        <w:snapToGrid w:val="0"/>
        <w:spacing w:line="360" w:lineRule="auto"/>
        <w:ind w:firstLine="480" w:firstLineChars="200"/>
        <w:rPr>
          <w:rFonts w:hint="eastAsia" w:ascii="宋体" w:hAnsi="宋体" w:eastAsia="仿宋"/>
          <w:sz w:val="24"/>
        </w:rPr>
      </w:pPr>
      <w:r>
        <w:rPr>
          <w:rFonts w:hint="eastAsia" w:ascii="宋体" w:hAnsi="宋体" w:eastAsia="仿宋"/>
          <w:sz w:val="24"/>
        </w:rPr>
        <w:t>3.3.3 合格投标人不足3家的，按废标处理。</w:t>
      </w:r>
    </w:p>
    <w:p w14:paraId="6B65D755">
      <w:pPr>
        <w:pStyle w:val="3"/>
        <w:jc w:val="center"/>
        <w:rPr>
          <w:rFonts w:hint="eastAsia" w:eastAsia="仿宋"/>
        </w:rPr>
      </w:pPr>
      <w:r>
        <w:rPr>
          <w:rFonts w:hint="eastAsia" w:eastAsia="仿宋"/>
        </w:rPr>
        <w:br w:type="page"/>
      </w:r>
      <w:r>
        <w:rPr>
          <w:rFonts w:hint="eastAsia" w:eastAsia="仿宋"/>
        </w:rPr>
        <w:t>第二节  评标办法</w:t>
      </w:r>
    </w:p>
    <w:p w14:paraId="3FA06B8D">
      <w:pPr>
        <w:pStyle w:val="149"/>
        <w:adjustRightInd w:val="0"/>
        <w:snapToGrid w:val="0"/>
        <w:spacing w:before="0" w:line="360" w:lineRule="auto"/>
        <w:ind w:firstLine="562" w:firstLineChars="200"/>
        <w:jc w:val="center"/>
        <w:rPr>
          <w:rFonts w:hint="eastAsia" w:ascii="宋体" w:hAnsi="宋体" w:eastAsia="仿宋"/>
          <w:b/>
        </w:rPr>
      </w:pPr>
      <w:r>
        <w:rPr>
          <w:rFonts w:hint="eastAsia" w:ascii="宋体" w:hAnsi="宋体" w:eastAsia="仿宋"/>
          <w:b/>
        </w:rPr>
        <w:t>评标办法前附表</w:t>
      </w:r>
    </w:p>
    <w:p w14:paraId="5AF8B4C0">
      <w:pPr>
        <w:widowControl/>
        <w:adjustRightInd w:val="0"/>
        <w:snapToGrid w:val="0"/>
        <w:spacing w:before="240" w:beforeLines="100" w:after="120" w:afterLines="50" w:line="360" w:lineRule="auto"/>
        <w:ind w:firstLine="482" w:firstLineChars="200"/>
        <w:rPr>
          <w:rFonts w:hint="eastAsia" w:ascii="宋体" w:hAnsi="宋体" w:eastAsia="仿宋"/>
          <w:b/>
          <w:sz w:val="28"/>
          <w:szCs w:val="28"/>
        </w:rPr>
      </w:pPr>
      <w:r>
        <w:rPr>
          <w:rFonts w:hint="eastAsia" w:ascii="宋体" w:hAnsi="宋体" w:eastAsia="仿宋"/>
          <w:b/>
          <w:bCs/>
          <w:sz w:val="24"/>
        </w:rPr>
        <w:t>本《评标办法前附表》是对本节《评标办法》的具体补充和修改，如有不一致，以本《评标办法前附表》为准。</w:t>
      </w:r>
    </w:p>
    <w:p w14:paraId="4C86E765">
      <w:pPr>
        <w:pStyle w:val="149"/>
        <w:adjustRightInd w:val="0"/>
        <w:snapToGrid w:val="0"/>
        <w:spacing w:before="0" w:line="360" w:lineRule="auto"/>
        <w:ind w:firstLine="482" w:firstLineChars="200"/>
        <w:rPr>
          <w:rFonts w:hint="eastAsia" w:ascii="方正仿宋_GB2312" w:hAnsi="宋体" w:eastAsia="方正仿宋_GB2312"/>
          <w:b/>
          <w:i/>
          <w:sz w:val="24"/>
          <w:szCs w:val="24"/>
        </w:rPr>
      </w:pPr>
      <w:r>
        <w:rPr>
          <w:rFonts w:hint="eastAsia" w:ascii="宋体" w:hAnsi="宋体" w:eastAsia="仿宋"/>
          <w:b/>
          <w:sz w:val="24"/>
          <w:szCs w:val="24"/>
        </w:rPr>
        <w:t>1. 符合性审查标准</w:t>
      </w:r>
    </w:p>
    <w:tbl>
      <w:tblPr>
        <w:tblStyle w:val="47"/>
        <w:tblW w:w="96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877"/>
        <w:gridCol w:w="1843"/>
        <w:gridCol w:w="4225"/>
        <w:gridCol w:w="1843"/>
      </w:tblGrid>
      <w:tr w14:paraId="5D205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noWrap w:val="0"/>
            <w:vAlign w:val="center"/>
          </w:tcPr>
          <w:p w14:paraId="0FBCD935">
            <w:pPr>
              <w:keepNext w:val="0"/>
              <w:keepLines w:val="0"/>
              <w:widowControl/>
              <w:suppressLineNumbers w:val="0"/>
              <w:spacing w:before="0" w:beforeAutospacing="0" w:after="0" w:afterAutospacing="0"/>
              <w:ind w:left="0" w:right="0"/>
              <w:jc w:val="center"/>
              <w:rPr>
                <w:rFonts w:hint="eastAsia" w:ascii="宋体" w:hAnsi="宋体" w:cs="Times New Roman"/>
                <w:b/>
                <w:kern w:val="0"/>
                <w:sz w:val="24"/>
              </w:rPr>
            </w:pPr>
            <w:r>
              <w:rPr>
                <w:rFonts w:hint="eastAsia" w:ascii="宋体" w:hAnsi="宋体" w:eastAsia="仿宋" w:cs="Times New Roman"/>
                <w:b/>
                <w:kern w:val="0"/>
                <w:sz w:val="24"/>
              </w:rPr>
              <w:t>条款号</w:t>
            </w:r>
          </w:p>
        </w:tc>
        <w:tc>
          <w:tcPr>
            <w:tcW w:w="877" w:type="dxa"/>
            <w:noWrap w:val="0"/>
            <w:vAlign w:val="center"/>
          </w:tcPr>
          <w:p w14:paraId="7F41E278">
            <w:pPr>
              <w:keepNext w:val="0"/>
              <w:keepLines w:val="0"/>
              <w:widowControl/>
              <w:suppressLineNumbers w:val="0"/>
              <w:spacing w:before="0" w:beforeAutospacing="0" w:after="0" w:afterAutospacing="0"/>
              <w:ind w:left="0" w:right="0"/>
              <w:jc w:val="center"/>
              <w:rPr>
                <w:rFonts w:hint="eastAsia" w:ascii="宋体" w:hAnsi="宋体" w:cs="Times New Roman"/>
                <w:b/>
                <w:kern w:val="0"/>
                <w:sz w:val="24"/>
              </w:rPr>
            </w:pPr>
            <w:r>
              <w:rPr>
                <w:rFonts w:hint="eastAsia" w:ascii="宋体" w:hAnsi="宋体" w:eastAsia="仿宋" w:cs="Times New Roman"/>
                <w:b/>
                <w:kern w:val="0"/>
                <w:sz w:val="24"/>
              </w:rPr>
              <w:t>评审项</w:t>
            </w:r>
          </w:p>
        </w:tc>
        <w:tc>
          <w:tcPr>
            <w:tcW w:w="1843" w:type="dxa"/>
            <w:noWrap w:val="0"/>
            <w:vAlign w:val="center"/>
          </w:tcPr>
          <w:p w14:paraId="51E2D5A5">
            <w:pPr>
              <w:keepNext w:val="0"/>
              <w:keepLines w:val="0"/>
              <w:widowControl/>
              <w:suppressLineNumbers w:val="0"/>
              <w:spacing w:before="0" w:beforeAutospacing="0" w:after="0" w:afterAutospacing="0"/>
              <w:ind w:left="0" w:right="0"/>
              <w:jc w:val="center"/>
              <w:rPr>
                <w:rFonts w:hint="default" w:ascii="宋体" w:hAnsi="宋体" w:cs="Times New Roman"/>
                <w:b/>
                <w:kern w:val="0"/>
                <w:sz w:val="24"/>
              </w:rPr>
            </w:pPr>
            <w:r>
              <w:rPr>
                <w:rFonts w:hint="eastAsia" w:ascii="宋体" w:hAnsi="宋体" w:eastAsia="仿宋" w:cs="Times New Roman"/>
                <w:b/>
                <w:kern w:val="0"/>
                <w:sz w:val="24"/>
              </w:rPr>
              <w:t>评审因素</w:t>
            </w:r>
          </w:p>
        </w:tc>
        <w:tc>
          <w:tcPr>
            <w:tcW w:w="4225" w:type="dxa"/>
            <w:noWrap w:val="0"/>
            <w:vAlign w:val="center"/>
          </w:tcPr>
          <w:p w14:paraId="4A6C143E">
            <w:pPr>
              <w:keepNext w:val="0"/>
              <w:keepLines w:val="0"/>
              <w:widowControl/>
              <w:suppressLineNumbers w:val="0"/>
              <w:spacing w:before="0" w:beforeAutospacing="0" w:after="0" w:afterAutospacing="0"/>
              <w:ind w:left="0" w:right="0"/>
              <w:jc w:val="center"/>
              <w:rPr>
                <w:rFonts w:hint="default" w:ascii="宋体" w:hAnsi="宋体" w:cs="Times New Roman"/>
                <w:b/>
                <w:kern w:val="0"/>
                <w:sz w:val="24"/>
              </w:rPr>
            </w:pPr>
            <w:r>
              <w:rPr>
                <w:rFonts w:hint="eastAsia" w:ascii="宋体" w:hAnsi="宋体" w:eastAsia="仿宋" w:cs="Times New Roman"/>
                <w:b/>
                <w:kern w:val="0"/>
                <w:sz w:val="24"/>
              </w:rPr>
              <w:t>评审标准</w:t>
            </w:r>
          </w:p>
        </w:tc>
        <w:tc>
          <w:tcPr>
            <w:tcW w:w="1843" w:type="dxa"/>
            <w:noWrap w:val="0"/>
            <w:vAlign w:val="top"/>
          </w:tcPr>
          <w:p w14:paraId="3EEDDCD0">
            <w:pPr>
              <w:keepNext w:val="0"/>
              <w:keepLines w:val="0"/>
              <w:widowControl/>
              <w:suppressLineNumbers w:val="0"/>
              <w:spacing w:before="0" w:beforeAutospacing="0" w:after="0" w:afterAutospacing="0"/>
              <w:ind w:left="0" w:right="0"/>
              <w:jc w:val="center"/>
              <w:rPr>
                <w:rFonts w:hint="eastAsia" w:ascii="宋体" w:hAnsi="宋体" w:cs="Times New Roman"/>
                <w:b/>
                <w:kern w:val="0"/>
                <w:sz w:val="24"/>
              </w:rPr>
            </w:pPr>
            <w:r>
              <w:rPr>
                <w:rFonts w:hint="eastAsia" w:ascii="宋体" w:hAnsi="宋体" w:eastAsia="仿宋" w:cs="Times New Roman"/>
                <w:b/>
                <w:kern w:val="0"/>
                <w:sz w:val="24"/>
              </w:rPr>
              <w:t>备注</w:t>
            </w:r>
          </w:p>
        </w:tc>
      </w:tr>
      <w:tr w14:paraId="47F9A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17C37679">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r>
              <w:rPr>
                <w:rFonts w:hint="eastAsia" w:ascii="宋体" w:hAnsi="宋体" w:eastAsia="仿宋" w:cs="Times New Roman"/>
                <w:kern w:val="0"/>
                <w:sz w:val="24"/>
              </w:rPr>
              <w:t>3.1.1</w:t>
            </w:r>
          </w:p>
        </w:tc>
        <w:tc>
          <w:tcPr>
            <w:tcW w:w="877" w:type="dxa"/>
            <w:vMerge w:val="restart"/>
            <w:noWrap w:val="0"/>
            <w:vAlign w:val="center"/>
          </w:tcPr>
          <w:p w14:paraId="7563E4FC">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r>
              <w:rPr>
                <w:rFonts w:hint="eastAsia" w:ascii="宋体" w:hAnsi="宋体" w:eastAsia="仿宋" w:cs="Times New Roman"/>
                <w:kern w:val="0"/>
                <w:sz w:val="24"/>
              </w:rPr>
              <w:t>形式评审</w:t>
            </w:r>
          </w:p>
        </w:tc>
        <w:tc>
          <w:tcPr>
            <w:tcW w:w="1843" w:type="dxa"/>
            <w:noWrap w:val="0"/>
            <w:vAlign w:val="center"/>
          </w:tcPr>
          <w:p w14:paraId="25F89BD5">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投标人名称</w:t>
            </w:r>
          </w:p>
        </w:tc>
        <w:tc>
          <w:tcPr>
            <w:tcW w:w="4225" w:type="dxa"/>
            <w:noWrap w:val="0"/>
            <w:vAlign w:val="center"/>
          </w:tcPr>
          <w:p w14:paraId="230A6E1F">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与营业执照（或事业单位法人证书等证明材料）一致</w:t>
            </w:r>
          </w:p>
        </w:tc>
        <w:tc>
          <w:tcPr>
            <w:tcW w:w="1843" w:type="dxa"/>
            <w:noWrap w:val="0"/>
            <w:vAlign w:val="top"/>
          </w:tcPr>
          <w:p w14:paraId="2025ADD0">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5B825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74F90D1">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3F6861E5">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6FF06819">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投标文件签署</w:t>
            </w:r>
          </w:p>
        </w:tc>
        <w:tc>
          <w:tcPr>
            <w:tcW w:w="4225" w:type="dxa"/>
            <w:noWrap w:val="0"/>
            <w:vAlign w:val="center"/>
          </w:tcPr>
          <w:p w14:paraId="284670D6">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投标文件签字盖章符合招标文件规定</w:t>
            </w:r>
          </w:p>
        </w:tc>
        <w:tc>
          <w:tcPr>
            <w:tcW w:w="1843" w:type="dxa"/>
            <w:noWrap w:val="0"/>
            <w:vAlign w:val="top"/>
          </w:tcPr>
          <w:p w14:paraId="14239D4D">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55CB6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3D946E2F">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5F8B5A51">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00ED650D">
            <w:pPr>
              <w:keepNext w:val="0"/>
              <w:keepLines w:val="0"/>
              <w:suppressLineNumbers w:val="0"/>
              <w:spacing w:before="0" w:beforeAutospacing="0" w:after="0" w:afterAutospacing="0" w:line="240" w:lineRule="exact"/>
              <w:ind w:left="0" w:right="0"/>
              <w:rPr>
                <w:rFonts w:hint="eastAsia" w:ascii="宋体" w:hAnsi="宋体" w:cs="Times New Roman"/>
                <w:sz w:val="24"/>
              </w:rPr>
            </w:pPr>
            <w:r>
              <w:rPr>
                <w:rFonts w:hint="eastAsia" w:ascii="宋体" w:hAnsi="宋体" w:eastAsia="仿宋" w:cs="Times New Roman"/>
                <w:sz w:val="24"/>
              </w:rPr>
              <w:t>法定代表人（单位负责人）身份证明及授权委托书</w:t>
            </w:r>
          </w:p>
        </w:tc>
        <w:tc>
          <w:tcPr>
            <w:tcW w:w="4225" w:type="dxa"/>
            <w:noWrap w:val="0"/>
            <w:vAlign w:val="center"/>
          </w:tcPr>
          <w:p w14:paraId="6FF9F172">
            <w:pPr>
              <w:keepNext w:val="0"/>
              <w:keepLines w:val="0"/>
              <w:suppressLineNumbers w:val="0"/>
              <w:spacing w:before="0" w:beforeAutospacing="0" w:after="0" w:afterAutospacing="0" w:line="240" w:lineRule="exact"/>
              <w:ind w:left="0" w:right="0"/>
              <w:rPr>
                <w:rFonts w:hint="eastAsia" w:ascii="宋体" w:hAnsi="宋体" w:cs="Times New Roman"/>
                <w:sz w:val="24"/>
              </w:rPr>
            </w:pPr>
            <w:r>
              <w:rPr>
                <w:rFonts w:hint="eastAsia" w:ascii="宋体" w:hAnsi="宋体" w:eastAsia="仿宋" w:cs="Times New Roman"/>
                <w:sz w:val="24"/>
              </w:rPr>
              <w:t>法定代表人（单位负责人）身份证明及授权委托书符合招标文件规定的格式，按规定格式签字盖章</w:t>
            </w:r>
          </w:p>
        </w:tc>
        <w:tc>
          <w:tcPr>
            <w:tcW w:w="1843" w:type="dxa"/>
            <w:noWrap w:val="0"/>
            <w:vAlign w:val="top"/>
          </w:tcPr>
          <w:p w14:paraId="6DEAB6E3">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53CF4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1C7ECBF2">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6A555285">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4036D390">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投标文件格式</w:t>
            </w:r>
          </w:p>
        </w:tc>
        <w:tc>
          <w:tcPr>
            <w:tcW w:w="4225" w:type="dxa"/>
            <w:noWrap w:val="0"/>
            <w:vAlign w:val="center"/>
          </w:tcPr>
          <w:p w14:paraId="49F8E318">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符合招标文件给定格式要求，实质性内容齐全，关键内容、字迹清晰可辨</w:t>
            </w:r>
          </w:p>
        </w:tc>
        <w:tc>
          <w:tcPr>
            <w:tcW w:w="1843" w:type="dxa"/>
            <w:noWrap w:val="0"/>
            <w:vAlign w:val="top"/>
          </w:tcPr>
          <w:p w14:paraId="170B950A">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5FC4E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4C0E0F06">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01792FB6">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56C855DA">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联合体投标</w:t>
            </w:r>
          </w:p>
        </w:tc>
        <w:tc>
          <w:tcPr>
            <w:tcW w:w="4225" w:type="dxa"/>
            <w:noWrap w:val="0"/>
            <w:vAlign w:val="center"/>
          </w:tcPr>
          <w:p w14:paraId="20EE354E">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联合体协议书，并明确联合体牵头人（如允许）</w:t>
            </w:r>
          </w:p>
        </w:tc>
        <w:tc>
          <w:tcPr>
            <w:tcW w:w="1843" w:type="dxa"/>
            <w:noWrap w:val="0"/>
            <w:vAlign w:val="top"/>
          </w:tcPr>
          <w:p w14:paraId="565AE428">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595E6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14290624">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16494C66">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695E236E">
            <w:pPr>
              <w:keepNext w:val="0"/>
              <w:keepLines w:val="0"/>
              <w:widowControl/>
              <w:suppressLineNumbers w:val="0"/>
              <w:spacing w:before="0" w:beforeAutospacing="0" w:after="0" w:afterAutospacing="0"/>
              <w:ind w:left="0" w:right="0"/>
              <w:rPr>
                <w:rFonts w:hint="eastAsia" w:ascii="宋体" w:hAnsi="宋体" w:cs="Times New Roman"/>
                <w:kern w:val="0"/>
                <w:sz w:val="24"/>
              </w:rPr>
            </w:pPr>
            <w:r>
              <w:rPr>
                <w:rFonts w:hint="eastAsia" w:ascii="宋体" w:hAnsi="宋体" w:eastAsia="仿宋" w:cs="Times New Roman"/>
                <w:kern w:val="0"/>
                <w:sz w:val="24"/>
              </w:rPr>
              <w:t>投标文件份数</w:t>
            </w:r>
          </w:p>
        </w:tc>
        <w:tc>
          <w:tcPr>
            <w:tcW w:w="4225" w:type="dxa"/>
            <w:noWrap w:val="0"/>
            <w:vAlign w:val="center"/>
          </w:tcPr>
          <w:p w14:paraId="18AF12A6">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r>
              <w:rPr>
                <w:rFonts w:hint="eastAsia" w:ascii="宋体" w:hAnsi="宋体" w:eastAsia="仿宋" w:cs="Times New Roman"/>
                <w:kern w:val="0"/>
                <w:sz w:val="24"/>
              </w:rPr>
              <w:t>符合招标文件要求</w:t>
            </w:r>
          </w:p>
        </w:tc>
        <w:tc>
          <w:tcPr>
            <w:tcW w:w="1843" w:type="dxa"/>
            <w:noWrap w:val="0"/>
            <w:vAlign w:val="top"/>
          </w:tcPr>
          <w:p w14:paraId="078036A0">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5B883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6AE529B">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6E6F84BD">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76727F0A">
            <w:pPr>
              <w:pStyle w:val="148"/>
              <w:keepNext w:val="0"/>
              <w:keepLines w:val="0"/>
              <w:suppressLineNumbers w:val="0"/>
              <w:spacing w:before="0" w:beforeAutospacing="0" w:after="0" w:afterAutospacing="0"/>
              <w:ind w:left="0" w:right="0"/>
              <w:rPr>
                <w:rFonts w:hint="default" w:ascii="宋体" w:hAnsi="宋体" w:cs="Times New Roman"/>
                <w:sz w:val="24"/>
                <w:szCs w:val="24"/>
              </w:rPr>
            </w:pPr>
            <w:r>
              <w:rPr>
                <w:rFonts w:hint="eastAsia" w:ascii="宋体" w:hAnsi="宋体" w:eastAsia="仿宋" w:cs="Times New Roman"/>
                <w:sz w:val="24"/>
                <w:szCs w:val="24"/>
              </w:rPr>
              <w:t>其他要求</w:t>
            </w:r>
          </w:p>
        </w:tc>
        <w:tc>
          <w:tcPr>
            <w:tcW w:w="4225" w:type="dxa"/>
            <w:noWrap w:val="0"/>
            <w:vAlign w:val="center"/>
          </w:tcPr>
          <w:p w14:paraId="52B64021">
            <w:pPr>
              <w:pStyle w:val="148"/>
              <w:keepNext w:val="0"/>
              <w:keepLines w:val="0"/>
              <w:suppressLineNumbers w:val="0"/>
              <w:spacing w:before="0" w:beforeAutospacing="0" w:after="0" w:afterAutospacing="0"/>
              <w:ind w:left="0" w:right="0"/>
              <w:rPr>
                <w:rFonts w:hint="default" w:ascii="宋体" w:hAnsi="宋体" w:cs="Times New Roman"/>
                <w:sz w:val="24"/>
                <w:szCs w:val="24"/>
              </w:rPr>
            </w:pPr>
            <w:r>
              <w:rPr>
                <w:rFonts w:hint="eastAsia" w:ascii="宋体" w:hAnsi="宋体" w:eastAsia="仿宋" w:cs="Times New Roman"/>
                <w:sz w:val="24"/>
                <w:szCs w:val="24"/>
              </w:rPr>
              <w:t>符合第二章“投标人须知”规定</w:t>
            </w:r>
          </w:p>
        </w:tc>
        <w:tc>
          <w:tcPr>
            <w:tcW w:w="1843" w:type="dxa"/>
            <w:noWrap w:val="0"/>
            <w:vAlign w:val="top"/>
          </w:tcPr>
          <w:p w14:paraId="6E2F479B">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p>
        </w:tc>
      </w:tr>
      <w:tr w14:paraId="1B7EA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69E57C88">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r>
              <w:rPr>
                <w:rFonts w:hint="eastAsia" w:ascii="宋体" w:hAnsi="宋体" w:eastAsia="仿宋" w:cs="Times New Roman"/>
                <w:kern w:val="0"/>
                <w:sz w:val="24"/>
              </w:rPr>
              <w:t>3.1.2</w:t>
            </w:r>
          </w:p>
        </w:tc>
        <w:tc>
          <w:tcPr>
            <w:tcW w:w="877" w:type="dxa"/>
            <w:vMerge w:val="restart"/>
            <w:noWrap w:val="0"/>
            <w:vAlign w:val="center"/>
          </w:tcPr>
          <w:p w14:paraId="523CA0AE">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r>
              <w:rPr>
                <w:rFonts w:hint="eastAsia" w:ascii="宋体" w:hAnsi="宋体" w:eastAsia="仿宋" w:cs="Times New Roman"/>
                <w:kern w:val="0"/>
                <w:sz w:val="24"/>
              </w:rPr>
              <w:t>响应性评审</w:t>
            </w:r>
          </w:p>
        </w:tc>
        <w:tc>
          <w:tcPr>
            <w:tcW w:w="1843" w:type="dxa"/>
            <w:noWrap w:val="0"/>
            <w:vAlign w:val="center"/>
          </w:tcPr>
          <w:p w14:paraId="7AFE1157">
            <w:pPr>
              <w:keepNext w:val="0"/>
              <w:keepLines w:val="0"/>
              <w:widowControl/>
              <w:suppressLineNumbers w:val="0"/>
              <w:spacing w:before="0" w:beforeAutospacing="0" w:after="0" w:afterAutospacing="0"/>
              <w:ind w:left="0" w:right="0"/>
              <w:rPr>
                <w:rFonts w:hint="default" w:ascii="宋体" w:hAnsi="宋体" w:cs="Times New Roman"/>
                <w:kern w:val="0"/>
                <w:sz w:val="24"/>
              </w:rPr>
            </w:pPr>
            <w:r>
              <w:rPr>
                <w:rFonts w:hint="eastAsia" w:ascii="宋体" w:hAnsi="宋体" w:eastAsia="仿宋" w:cs="Times New Roman"/>
                <w:kern w:val="0"/>
                <w:sz w:val="24"/>
              </w:rPr>
              <w:t>投标内容</w:t>
            </w:r>
          </w:p>
        </w:tc>
        <w:tc>
          <w:tcPr>
            <w:tcW w:w="4225" w:type="dxa"/>
            <w:noWrap w:val="0"/>
            <w:vAlign w:val="center"/>
          </w:tcPr>
          <w:p w14:paraId="32E7BCD7">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符合招标文件要求</w:t>
            </w:r>
          </w:p>
        </w:tc>
        <w:tc>
          <w:tcPr>
            <w:tcW w:w="1843" w:type="dxa"/>
            <w:noWrap w:val="0"/>
            <w:vAlign w:val="top"/>
          </w:tcPr>
          <w:p w14:paraId="7C55E527">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48716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7350450A">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4C353E58">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29398CB2">
            <w:pPr>
              <w:keepNext w:val="0"/>
              <w:keepLines w:val="0"/>
              <w:widowControl/>
              <w:suppressLineNumbers w:val="0"/>
              <w:spacing w:before="0" w:beforeAutospacing="0" w:after="0" w:afterAutospacing="0"/>
              <w:ind w:left="0" w:right="0"/>
              <w:rPr>
                <w:rFonts w:hint="default" w:ascii="宋体" w:hAnsi="宋体" w:cs="Times New Roman"/>
                <w:kern w:val="0"/>
                <w:sz w:val="24"/>
              </w:rPr>
            </w:pPr>
            <w:r>
              <w:rPr>
                <w:rFonts w:hint="eastAsia" w:ascii="宋体" w:hAnsi="宋体" w:eastAsia="仿宋" w:cs="Times New Roman"/>
                <w:kern w:val="0"/>
                <w:sz w:val="24"/>
              </w:rPr>
              <w:t>投标报价</w:t>
            </w:r>
          </w:p>
        </w:tc>
        <w:tc>
          <w:tcPr>
            <w:tcW w:w="4225" w:type="dxa"/>
            <w:noWrap w:val="0"/>
            <w:vAlign w:val="top"/>
          </w:tcPr>
          <w:p w14:paraId="6AD893B4">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r>
              <w:rPr>
                <w:rFonts w:hint="eastAsia" w:ascii="宋体" w:hAnsi="宋体" w:eastAsia="仿宋" w:cs="仿宋_GB2312"/>
                <w:sz w:val="24"/>
                <w:lang w:val="zh-CN"/>
              </w:rPr>
              <w:t>投标报价不得超过采购预算（最高限价），</w:t>
            </w:r>
            <w:r>
              <w:rPr>
                <w:rFonts w:hint="eastAsia" w:ascii="宋体" w:hAnsi="宋体" w:eastAsia="仿宋" w:cs="Times New Roman"/>
                <w:sz w:val="24"/>
              </w:rPr>
              <w:t>只能有一个有效报价，不得提交选择性报价（按招标文件规定提交备选投标方案的除外）</w:t>
            </w:r>
          </w:p>
        </w:tc>
        <w:tc>
          <w:tcPr>
            <w:tcW w:w="1843" w:type="dxa"/>
            <w:noWrap w:val="0"/>
            <w:vAlign w:val="top"/>
          </w:tcPr>
          <w:p w14:paraId="76701141">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7E72B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6815B7ED">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01DD08AC">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073EE54B">
            <w:pPr>
              <w:keepNext w:val="0"/>
              <w:keepLines w:val="0"/>
              <w:widowControl/>
              <w:suppressLineNumbers w:val="0"/>
              <w:spacing w:before="0" w:beforeAutospacing="0" w:after="0" w:afterAutospacing="0"/>
              <w:ind w:left="0" w:right="0"/>
              <w:rPr>
                <w:rFonts w:hint="eastAsia" w:ascii="宋体" w:hAnsi="宋体" w:cs="Times New Roman"/>
                <w:kern w:val="0"/>
                <w:sz w:val="24"/>
              </w:rPr>
            </w:pPr>
            <w:r>
              <w:rPr>
                <w:rFonts w:hint="eastAsia" w:ascii="宋体" w:hAnsi="宋体" w:eastAsia="仿宋" w:cs="Times New Roman"/>
                <w:kern w:val="0"/>
                <w:sz w:val="24"/>
              </w:rPr>
              <w:t>交货期、交货地点</w:t>
            </w:r>
          </w:p>
        </w:tc>
        <w:tc>
          <w:tcPr>
            <w:tcW w:w="4225" w:type="dxa"/>
            <w:noWrap w:val="0"/>
            <w:vAlign w:val="center"/>
          </w:tcPr>
          <w:p w14:paraId="49A3BF12">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r>
              <w:rPr>
                <w:rFonts w:hint="eastAsia" w:ascii="宋体" w:hAnsi="宋体" w:eastAsia="仿宋" w:cs="Times New Roman"/>
                <w:kern w:val="0"/>
                <w:sz w:val="24"/>
              </w:rPr>
              <w:t>符合招标文件的要求</w:t>
            </w:r>
          </w:p>
        </w:tc>
        <w:tc>
          <w:tcPr>
            <w:tcW w:w="1843" w:type="dxa"/>
            <w:noWrap w:val="0"/>
            <w:vAlign w:val="top"/>
          </w:tcPr>
          <w:p w14:paraId="0122A2CA">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09A20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20D4BE87">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5284732B">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1CDF28FB">
            <w:pPr>
              <w:keepNext w:val="0"/>
              <w:keepLines w:val="0"/>
              <w:widowControl/>
              <w:suppressLineNumbers w:val="0"/>
              <w:spacing w:before="0" w:beforeAutospacing="0" w:after="0" w:afterAutospacing="0"/>
              <w:ind w:left="0" w:right="0"/>
              <w:rPr>
                <w:rFonts w:hint="eastAsia" w:ascii="宋体" w:hAnsi="宋体" w:cs="Times New Roman"/>
                <w:kern w:val="0"/>
                <w:sz w:val="24"/>
              </w:rPr>
            </w:pPr>
            <w:r>
              <w:rPr>
                <w:rFonts w:hint="eastAsia" w:ascii="宋体" w:hAnsi="宋体" w:eastAsia="仿宋" w:cs="Times New Roman"/>
                <w:kern w:val="0"/>
                <w:sz w:val="24"/>
              </w:rPr>
              <w:t>质保期、付款方式</w:t>
            </w:r>
          </w:p>
        </w:tc>
        <w:tc>
          <w:tcPr>
            <w:tcW w:w="4225" w:type="dxa"/>
            <w:noWrap w:val="0"/>
            <w:vAlign w:val="center"/>
          </w:tcPr>
          <w:p w14:paraId="43371B37">
            <w:pPr>
              <w:keepNext w:val="0"/>
              <w:keepLines w:val="0"/>
              <w:widowControl/>
              <w:suppressLineNumbers w:val="0"/>
              <w:spacing w:before="0" w:beforeAutospacing="0" w:after="0" w:afterAutospacing="0"/>
              <w:ind w:left="0" w:right="0"/>
              <w:jc w:val="left"/>
              <w:rPr>
                <w:rFonts w:hint="eastAsia" w:ascii="宋体" w:hAnsi="宋体" w:cs="Times New Roman"/>
                <w:kern w:val="0"/>
                <w:sz w:val="24"/>
              </w:rPr>
            </w:pPr>
            <w:r>
              <w:rPr>
                <w:rFonts w:hint="eastAsia" w:ascii="宋体" w:hAnsi="宋体" w:eastAsia="仿宋" w:cs="Times New Roman"/>
                <w:kern w:val="0"/>
                <w:sz w:val="24"/>
              </w:rPr>
              <w:t>符合招标文件的要求</w:t>
            </w:r>
          </w:p>
        </w:tc>
        <w:tc>
          <w:tcPr>
            <w:tcW w:w="1843" w:type="dxa"/>
            <w:noWrap w:val="0"/>
            <w:vAlign w:val="top"/>
          </w:tcPr>
          <w:p w14:paraId="18A290E8">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261FE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799147B0">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7DE3A0A3">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059F0F6C">
            <w:pPr>
              <w:keepNext w:val="0"/>
              <w:keepLines w:val="0"/>
              <w:widowControl/>
              <w:suppressLineNumbers w:val="0"/>
              <w:spacing w:before="0" w:beforeAutospacing="0" w:after="0" w:afterAutospacing="0"/>
              <w:ind w:left="0" w:right="0"/>
              <w:rPr>
                <w:rFonts w:hint="default" w:ascii="宋体" w:hAnsi="宋体" w:cs="Times New Roman"/>
                <w:kern w:val="0"/>
                <w:sz w:val="24"/>
              </w:rPr>
            </w:pPr>
            <w:r>
              <w:rPr>
                <w:rFonts w:hint="eastAsia" w:ascii="宋体" w:hAnsi="宋体" w:eastAsia="仿宋" w:cs="Times New Roman"/>
                <w:kern w:val="0"/>
                <w:sz w:val="24"/>
              </w:rPr>
              <w:t>技术规格</w:t>
            </w:r>
          </w:p>
        </w:tc>
        <w:tc>
          <w:tcPr>
            <w:tcW w:w="4225" w:type="dxa"/>
            <w:noWrap w:val="0"/>
            <w:vAlign w:val="center"/>
          </w:tcPr>
          <w:p w14:paraId="5E3AB3A7">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符合实质性要求，偏离范围和项数符合招标文件规定</w:t>
            </w:r>
          </w:p>
        </w:tc>
        <w:tc>
          <w:tcPr>
            <w:tcW w:w="1843" w:type="dxa"/>
            <w:noWrap w:val="0"/>
            <w:vAlign w:val="top"/>
          </w:tcPr>
          <w:p w14:paraId="651BD4DD">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57159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2513FD6E">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62FBB897">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58CD189D">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投标保证金</w:t>
            </w:r>
          </w:p>
        </w:tc>
        <w:tc>
          <w:tcPr>
            <w:tcW w:w="4225" w:type="dxa"/>
            <w:noWrap w:val="0"/>
            <w:vAlign w:val="center"/>
          </w:tcPr>
          <w:p w14:paraId="53D81644">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符合招标文件要求</w:t>
            </w:r>
          </w:p>
        </w:tc>
        <w:tc>
          <w:tcPr>
            <w:tcW w:w="1843" w:type="dxa"/>
            <w:noWrap w:val="0"/>
            <w:vAlign w:val="top"/>
          </w:tcPr>
          <w:p w14:paraId="6B162BDC">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71686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03FB63D5">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30A5B42C">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652B5C90">
            <w:pPr>
              <w:keepNext w:val="0"/>
              <w:keepLines w:val="0"/>
              <w:widowControl/>
              <w:suppressLineNumbers w:val="0"/>
              <w:spacing w:before="0" w:beforeAutospacing="0" w:after="0" w:afterAutospacing="0"/>
              <w:ind w:left="0" w:right="0"/>
              <w:rPr>
                <w:rFonts w:hint="default" w:ascii="宋体" w:hAnsi="宋体" w:cs="Times New Roman"/>
                <w:kern w:val="0"/>
                <w:sz w:val="24"/>
              </w:rPr>
            </w:pPr>
            <w:r>
              <w:rPr>
                <w:rFonts w:hint="eastAsia" w:ascii="宋体" w:hAnsi="宋体" w:eastAsia="仿宋" w:cs="Times New Roman"/>
                <w:kern w:val="0"/>
                <w:sz w:val="24"/>
              </w:rPr>
              <w:t>投标有效期</w:t>
            </w:r>
          </w:p>
        </w:tc>
        <w:tc>
          <w:tcPr>
            <w:tcW w:w="4225" w:type="dxa"/>
            <w:noWrap w:val="0"/>
            <w:vAlign w:val="center"/>
          </w:tcPr>
          <w:p w14:paraId="42BD17F2">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符合招标文件要求</w:t>
            </w:r>
          </w:p>
        </w:tc>
        <w:tc>
          <w:tcPr>
            <w:tcW w:w="1843" w:type="dxa"/>
            <w:noWrap w:val="0"/>
            <w:vAlign w:val="top"/>
          </w:tcPr>
          <w:p w14:paraId="1E3CF021">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59573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385A77B9">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463C91CE">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3F7D7F66">
            <w:pPr>
              <w:keepNext w:val="0"/>
              <w:keepLines w:val="0"/>
              <w:widowControl/>
              <w:suppressLineNumbers w:val="0"/>
              <w:spacing w:before="0" w:beforeAutospacing="0" w:after="0" w:afterAutospacing="0"/>
              <w:ind w:left="0" w:right="0"/>
              <w:rPr>
                <w:rFonts w:hint="default" w:ascii="宋体" w:hAnsi="宋体" w:cs="Times New Roman"/>
                <w:kern w:val="0"/>
                <w:sz w:val="24"/>
              </w:rPr>
            </w:pPr>
            <w:r>
              <w:rPr>
                <w:rFonts w:hint="eastAsia" w:ascii="宋体" w:hAnsi="宋体" w:eastAsia="仿宋" w:cs="Times New Roman"/>
                <w:kern w:val="0"/>
                <w:sz w:val="24"/>
              </w:rPr>
              <w:t>权利义务</w:t>
            </w:r>
          </w:p>
        </w:tc>
        <w:tc>
          <w:tcPr>
            <w:tcW w:w="4225" w:type="dxa"/>
            <w:noWrap w:val="0"/>
            <w:vAlign w:val="center"/>
          </w:tcPr>
          <w:p w14:paraId="125C7082">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r>
              <w:rPr>
                <w:rFonts w:hint="eastAsia" w:ascii="宋体" w:hAnsi="宋体" w:eastAsia="仿宋" w:cs="Times New Roman"/>
                <w:kern w:val="0"/>
                <w:sz w:val="24"/>
              </w:rPr>
              <w:t>符合招标文件合同条款要求，未另行设定采购人不能接受的采购人应承担的义务，未对投标人的义务予以削弱</w:t>
            </w:r>
          </w:p>
        </w:tc>
        <w:tc>
          <w:tcPr>
            <w:tcW w:w="1843" w:type="dxa"/>
            <w:noWrap w:val="0"/>
            <w:vAlign w:val="top"/>
          </w:tcPr>
          <w:p w14:paraId="595BEFAA">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27A55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DFDE2D9">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7CBB90F3">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648E79F1">
            <w:pPr>
              <w:pStyle w:val="148"/>
              <w:keepNext w:val="0"/>
              <w:keepLines w:val="0"/>
              <w:suppressLineNumbers w:val="0"/>
              <w:adjustRightInd w:val="0"/>
              <w:spacing w:before="0" w:beforeAutospacing="0" w:after="0" w:afterAutospacing="0"/>
              <w:ind w:left="0" w:right="0"/>
              <w:rPr>
                <w:rFonts w:hint="default" w:ascii="宋体" w:hAnsi="宋体" w:cs="Times New Roman"/>
                <w:sz w:val="24"/>
                <w:szCs w:val="24"/>
              </w:rPr>
            </w:pPr>
            <w:r>
              <w:rPr>
                <w:rFonts w:hint="eastAsia" w:ascii="宋体" w:hAnsi="宋体" w:eastAsia="仿宋" w:cs="Times New Roman"/>
                <w:sz w:val="24"/>
                <w:szCs w:val="24"/>
              </w:rPr>
              <w:t>进口产品</w:t>
            </w:r>
          </w:p>
        </w:tc>
        <w:tc>
          <w:tcPr>
            <w:tcW w:w="4225" w:type="dxa"/>
            <w:noWrap w:val="0"/>
            <w:vAlign w:val="center"/>
          </w:tcPr>
          <w:p w14:paraId="23EBB143">
            <w:pPr>
              <w:pStyle w:val="148"/>
              <w:keepNext w:val="0"/>
              <w:keepLines w:val="0"/>
              <w:suppressLineNumbers w:val="0"/>
              <w:adjustRightInd w:val="0"/>
              <w:spacing w:before="0" w:beforeAutospacing="0" w:after="0" w:afterAutospacing="0"/>
              <w:ind w:left="0" w:right="0"/>
              <w:rPr>
                <w:rFonts w:hint="default" w:ascii="宋体" w:hAnsi="宋体" w:cs="Times New Roman"/>
                <w:sz w:val="24"/>
                <w:szCs w:val="24"/>
              </w:rPr>
            </w:pPr>
            <w:r>
              <w:rPr>
                <w:rFonts w:hint="eastAsia" w:ascii="宋体" w:hAnsi="宋体" w:eastAsia="仿宋" w:cs="Times New Roman"/>
                <w:sz w:val="24"/>
                <w:szCs w:val="24"/>
              </w:rPr>
              <w:t>不接受进口产品投标的，投标产品不得为进口产品（执行</w:t>
            </w:r>
            <w:r>
              <w:rPr>
                <w:rFonts w:hint="default" w:ascii="宋体" w:hAnsi="宋体" w:eastAsia="仿宋" w:cs="Times New Roman"/>
                <w:sz w:val="24"/>
                <w:szCs w:val="24"/>
              </w:rPr>
              <w:t>财办库【2008】248号</w:t>
            </w:r>
            <w:r>
              <w:rPr>
                <w:rFonts w:hint="eastAsia" w:ascii="宋体" w:hAnsi="宋体" w:eastAsia="仿宋" w:cs="Times New Roman"/>
                <w:sz w:val="24"/>
                <w:szCs w:val="24"/>
              </w:rPr>
              <w:t>文件规定）</w:t>
            </w:r>
          </w:p>
        </w:tc>
        <w:tc>
          <w:tcPr>
            <w:tcW w:w="1843" w:type="dxa"/>
            <w:noWrap w:val="0"/>
            <w:vAlign w:val="top"/>
          </w:tcPr>
          <w:p w14:paraId="12421355">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r w14:paraId="41AA8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13B0BE79">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877" w:type="dxa"/>
            <w:vMerge w:val="continue"/>
            <w:noWrap w:val="0"/>
            <w:vAlign w:val="center"/>
          </w:tcPr>
          <w:p w14:paraId="44C2EA39">
            <w:pPr>
              <w:keepNext w:val="0"/>
              <w:keepLines w:val="0"/>
              <w:widowControl/>
              <w:suppressLineNumbers w:val="0"/>
              <w:spacing w:before="0" w:beforeAutospacing="0" w:after="0" w:afterAutospacing="0"/>
              <w:ind w:left="0" w:right="0"/>
              <w:jc w:val="center"/>
              <w:rPr>
                <w:rFonts w:hint="eastAsia" w:ascii="宋体" w:hAnsi="宋体" w:cs="Times New Roman"/>
                <w:kern w:val="0"/>
                <w:sz w:val="24"/>
              </w:rPr>
            </w:pPr>
          </w:p>
        </w:tc>
        <w:tc>
          <w:tcPr>
            <w:tcW w:w="1843" w:type="dxa"/>
            <w:noWrap w:val="0"/>
            <w:vAlign w:val="center"/>
          </w:tcPr>
          <w:p w14:paraId="65560457">
            <w:pPr>
              <w:pStyle w:val="148"/>
              <w:keepNext w:val="0"/>
              <w:keepLines w:val="0"/>
              <w:suppressLineNumbers w:val="0"/>
              <w:spacing w:before="0" w:beforeAutospacing="0" w:after="0" w:afterAutospacing="0"/>
              <w:ind w:left="0" w:right="0"/>
              <w:rPr>
                <w:rFonts w:hint="default" w:ascii="宋体" w:hAnsi="宋体" w:cs="Times New Roman"/>
                <w:sz w:val="24"/>
                <w:szCs w:val="24"/>
              </w:rPr>
            </w:pPr>
            <w:r>
              <w:rPr>
                <w:rFonts w:hint="eastAsia" w:ascii="宋体" w:hAnsi="宋体" w:eastAsia="仿宋" w:cs="Times New Roman"/>
                <w:sz w:val="24"/>
                <w:szCs w:val="24"/>
              </w:rPr>
              <w:t>其他要求</w:t>
            </w:r>
          </w:p>
        </w:tc>
        <w:tc>
          <w:tcPr>
            <w:tcW w:w="4225" w:type="dxa"/>
            <w:noWrap w:val="0"/>
            <w:vAlign w:val="center"/>
          </w:tcPr>
          <w:p w14:paraId="25F29F3A">
            <w:pPr>
              <w:pStyle w:val="148"/>
              <w:keepNext w:val="0"/>
              <w:keepLines w:val="0"/>
              <w:suppressLineNumbers w:val="0"/>
              <w:spacing w:before="0" w:beforeAutospacing="0" w:after="0" w:afterAutospacing="0"/>
              <w:ind w:left="0" w:right="0"/>
              <w:rPr>
                <w:rFonts w:hint="default" w:ascii="宋体" w:hAnsi="宋体" w:cs="Times New Roman"/>
                <w:sz w:val="24"/>
                <w:szCs w:val="24"/>
              </w:rPr>
            </w:pPr>
            <w:r>
              <w:rPr>
                <w:rFonts w:hint="eastAsia" w:ascii="宋体" w:hAnsi="宋体" w:eastAsia="仿宋" w:cs="Times New Roman"/>
                <w:sz w:val="24"/>
                <w:szCs w:val="24"/>
              </w:rPr>
              <w:t>符合第二章“投标人须知”规定</w:t>
            </w:r>
          </w:p>
        </w:tc>
        <w:tc>
          <w:tcPr>
            <w:tcW w:w="1843" w:type="dxa"/>
            <w:noWrap w:val="0"/>
            <w:vAlign w:val="top"/>
          </w:tcPr>
          <w:p w14:paraId="220350FE">
            <w:pPr>
              <w:keepNext w:val="0"/>
              <w:keepLines w:val="0"/>
              <w:widowControl/>
              <w:suppressLineNumbers w:val="0"/>
              <w:spacing w:before="0" w:beforeAutospacing="0" w:after="0" w:afterAutospacing="0"/>
              <w:ind w:left="0" w:right="0"/>
              <w:jc w:val="left"/>
              <w:rPr>
                <w:rFonts w:hint="default" w:ascii="宋体" w:hAnsi="宋体" w:cs="Times New Roman"/>
                <w:kern w:val="0"/>
                <w:sz w:val="24"/>
              </w:rPr>
            </w:pPr>
          </w:p>
        </w:tc>
      </w:tr>
    </w:tbl>
    <w:p w14:paraId="62648333">
      <w:pPr>
        <w:pStyle w:val="149"/>
        <w:adjustRightInd w:val="0"/>
        <w:snapToGrid w:val="0"/>
        <w:spacing w:before="0" w:line="360" w:lineRule="auto"/>
        <w:ind w:firstLine="482" w:firstLineChars="200"/>
        <w:rPr>
          <w:rFonts w:ascii="宋体" w:hAnsi="宋体" w:eastAsia="仿宋"/>
          <w:b/>
          <w:sz w:val="24"/>
          <w:szCs w:val="24"/>
        </w:rPr>
      </w:pPr>
      <w:r>
        <w:rPr>
          <w:rFonts w:ascii="宋体" w:hAnsi="宋体" w:eastAsia="仿宋"/>
          <w:b/>
          <w:sz w:val="24"/>
          <w:szCs w:val="24"/>
        </w:rPr>
        <w:br w:type="page"/>
      </w:r>
      <w:r>
        <w:rPr>
          <w:rFonts w:hint="eastAsia" w:ascii="宋体" w:hAnsi="宋体" w:eastAsia="仿宋"/>
          <w:b/>
          <w:sz w:val="24"/>
          <w:szCs w:val="24"/>
        </w:rPr>
        <w:t>01包 2、详细评审标准</w:t>
      </w:r>
    </w:p>
    <w:tbl>
      <w:tblPr>
        <w:tblStyle w:val="47"/>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708"/>
        <w:gridCol w:w="1701"/>
        <w:gridCol w:w="4225"/>
        <w:gridCol w:w="2012"/>
      </w:tblGrid>
      <w:tr w14:paraId="2B295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09" w:type="dxa"/>
            <w:gridSpan w:val="2"/>
            <w:noWrap w:val="0"/>
            <w:vAlign w:val="center"/>
          </w:tcPr>
          <w:p w14:paraId="1889F341">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条款号</w:t>
            </w:r>
          </w:p>
        </w:tc>
        <w:tc>
          <w:tcPr>
            <w:tcW w:w="1701" w:type="dxa"/>
            <w:noWrap w:val="0"/>
            <w:vAlign w:val="center"/>
          </w:tcPr>
          <w:p w14:paraId="57F7C66F">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条款内容</w:t>
            </w:r>
          </w:p>
        </w:tc>
        <w:tc>
          <w:tcPr>
            <w:tcW w:w="4225" w:type="dxa"/>
            <w:noWrap w:val="0"/>
            <w:vAlign w:val="center"/>
          </w:tcPr>
          <w:p w14:paraId="0068A8F4">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编列内容</w:t>
            </w:r>
          </w:p>
        </w:tc>
        <w:tc>
          <w:tcPr>
            <w:tcW w:w="2012" w:type="dxa"/>
            <w:noWrap w:val="0"/>
            <w:vAlign w:val="center"/>
          </w:tcPr>
          <w:p w14:paraId="176D040B">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
                <w:kern w:val="0"/>
                <w:sz w:val="24"/>
              </w:rPr>
            </w:pPr>
            <w:r>
              <w:rPr>
                <w:rFonts w:hint="eastAsia" w:ascii="仿宋" w:hAnsi="仿宋" w:eastAsia="仿宋" w:cs="仿宋"/>
                <w:b/>
                <w:kern w:val="0"/>
                <w:sz w:val="24"/>
              </w:rPr>
              <w:t>备注</w:t>
            </w:r>
          </w:p>
        </w:tc>
      </w:tr>
      <w:tr w14:paraId="270D7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09" w:type="dxa"/>
            <w:gridSpan w:val="2"/>
            <w:noWrap w:val="0"/>
            <w:vAlign w:val="center"/>
          </w:tcPr>
          <w:p w14:paraId="6D1DF926">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sz w:val="24"/>
              </w:rPr>
              <w:t>3.2.1</w:t>
            </w:r>
          </w:p>
        </w:tc>
        <w:tc>
          <w:tcPr>
            <w:tcW w:w="1701" w:type="dxa"/>
            <w:noWrap w:val="0"/>
            <w:vAlign w:val="center"/>
          </w:tcPr>
          <w:p w14:paraId="07796604">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分值构成</w:t>
            </w:r>
          </w:p>
          <w:p w14:paraId="171ECF91">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（总分100分）</w:t>
            </w:r>
          </w:p>
        </w:tc>
        <w:tc>
          <w:tcPr>
            <w:tcW w:w="4225" w:type="dxa"/>
            <w:noWrap w:val="0"/>
            <w:vAlign w:val="center"/>
          </w:tcPr>
          <w:p w14:paraId="4F460C1C">
            <w:pPr>
              <w:keepNext w:val="0"/>
              <w:keepLines w:val="0"/>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商务技术部分：</w:t>
            </w:r>
            <w:r>
              <w:rPr>
                <w:rFonts w:hint="eastAsia" w:ascii="仿宋" w:hAnsi="仿宋" w:eastAsia="仿宋" w:cs="仿宋"/>
                <w:sz w:val="24"/>
                <w:u w:val="single"/>
              </w:rPr>
              <w:t>70</w:t>
            </w:r>
            <w:r>
              <w:rPr>
                <w:rFonts w:hint="eastAsia" w:ascii="仿宋" w:hAnsi="仿宋" w:eastAsia="仿宋" w:cs="仿宋"/>
                <w:sz w:val="24"/>
              </w:rPr>
              <w:t>分</w:t>
            </w:r>
          </w:p>
          <w:p w14:paraId="2D8106FB">
            <w:pPr>
              <w:keepNext w:val="0"/>
              <w:keepLines w:val="0"/>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投标报价：</w:t>
            </w:r>
            <w:r>
              <w:rPr>
                <w:rFonts w:hint="eastAsia" w:ascii="仿宋" w:hAnsi="仿宋" w:eastAsia="仿宋" w:cs="仿宋"/>
                <w:sz w:val="24"/>
                <w:u w:val="single"/>
              </w:rPr>
              <w:t>30</w:t>
            </w:r>
            <w:r>
              <w:rPr>
                <w:rFonts w:hint="eastAsia" w:ascii="仿宋" w:hAnsi="仿宋" w:eastAsia="仿宋" w:cs="仿宋"/>
                <w:sz w:val="24"/>
              </w:rPr>
              <w:t>分</w:t>
            </w:r>
          </w:p>
        </w:tc>
        <w:tc>
          <w:tcPr>
            <w:tcW w:w="2012" w:type="dxa"/>
            <w:noWrap w:val="0"/>
            <w:vAlign w:val="top"/>
          </w:tcPr>
          <w:p w14:paraId="7FDC3604">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仿宋"/>
                <w:kern w:val="0"/>
                <w:sz w:val="24"/>
              </w:rPr>
            </w:pPr>
          </w:p>
        </w:tc>
      </w:tr>
      <w:tr w14:paraId="6DB826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09" w:type="dxa"/>
            <w:gridSpan w:val="2"/>
            <w:noWrap w:val="0"/>
            <w:vAlign w:val="center"/>
          </w:tcPr>
          <w:p w14:paraId="5162372B">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3.2.2</w:t>
            </w:r>
          </w:p>
        </w:tc>
        <w:tc>
          <w:tcPr>
            <w:tcW w:w="1701" w:type="dxa"/>
            <w:noWrap w:val="0"/>
            <w:vAlign w:val="center"/>
          </w:tcPr>
          <w:p w14:paraId="56323405">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评标基准价计算方法</w:t>
            </w:r>
          </w:p>
        </w:tc>
        <w:tc>
          <w:tcPr>
            <w:tcW w:w="4225" w:type="dxa"/>
            <w:noWrap w:val="0"/>
            <w:vAlign w:val="center"/>
          </w:tcPr>
          <w:p w14:paraId="7365FBA4">
            <w:pPr>
              <w:keepNext w:val="0"/>
              <w:keepLines w:val="0"/>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有效的投标报价中的最低价作为评标基准价</w:t>
            </w:r>
          </w:p>
        </w:tc>
        <w:tc>
          <w:tcPr>
            <w:tcW w:w="2012" w:type="dxa"/>
            <w:noWrap w:val="0"/>
            <w:vAlign w:val="center"/>
          </w:tcPr>
          <w:p w14:paraId="159E3FEC">
            <w:pPr>
              <w:keepNext w:val="0"/>
              <w:keepLines w:val="0"/>
              <w:suppressLineNumbers w:val="0"/>
              <w:snapToGrid w:val="0"/>
              <w:spacing w:before="0" w:beforeAutospacing="0" w:after="0" w:afterAutospacing="0" w:line="288" w:lineRule="auto"/>
              <w:ind w:left="-38" w:right="0"/>
              <w:rPr>
                <w:rFonts w:hint="eastAsia" w:ascii="仿宋" w:hAnsi="仿宋" w:eastAsia="仿宋" w:cs="仿宋"/>
                <w:sz w:val="24"/>
              </w:rPr>
            </w:pPr>
            <w:r>
              <w:rPr>
                <w:rFonts w:hint="eastAsia" w:ascii="仿宋" w:hAnsi="仿宋" w:eastAsia="仿宋" w:cs="仿宋"/>
                <w:sz w:val="24"/>
              </w:rPr>
              <w:t>符合价格扣除政策的，用扣除后的价格参与计算、评分</w:t>
            </w:r>
          </w:p>
        </w:tc>
      </w:tr>
      <w:tr w14:paraId="6CF4D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09" w:type="dxa"/>
            <w:gridSpan w:val="2"/>
            <w:noWrap w:val="0"/>
            <w:vAlign w:val="center"/>
          </w:tcPr>
          <w:p w14:paraId="2A742E58">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条款号</w:t>
            </w:r>
          </w:p>
        </w:tc>
        <w:tc>
          <w:tcPr>
            <w:tcW w:w="1701" w:type="dxa"/>
            <w:noWrap w:val="0"/>
            <w:vAlign w:val="center"/>
          </w:tcPr>
          <w:p w14:paraId="22BB7391">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评分因素</w:t>
            </w:r>
          </w:p>
        </w:tc>
        <w:tc>
          <w:tcPr>
            <w:tcW w:w="6237" w:type="dxa"/>
            <w:gridSpan w:val="2"/>
            <w:noWrap w:val="0"/>
            <w:vAlign w:val="center"/>
          </w:tcPr>
          <w:p w14:paraId="3D8EBBE1">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
                <w:kern w:val="0"/>
                <w:sz w:val="24"/>
              </w:rPr>
            </w:pPr>
            <w:r>
              <w:rPr>
                <w:rFonts w:hint="eastAsia" w:ascii="仿宋" w:hAnsi="仿宋" w:eastAsia="仿宋" w:cs="仿宋"/>
                <w:b/>
                <w:sz w:val="24"/>
              </w:rPr>
              <w:t>评分标准</w:t>
            </w:r>
          </w:p>
        </w:tc>
      </w:tr>
      <w:tr w14:paraId="35CA4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01" w:type="dxa"/>
            <w:vMerge w:val="restart"/>
            <w:noWrap w:val="0"/>
            <w:vAlign w:val="center"/>
          </w:tcPr>
          <w:p w14:paraId="375EB28C">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3.2.3（1）</w:t>
            </w:r>
          </w:p>
          <w:p w14:paraId="4D9AFF8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商务技术</w:t>
            </w:r>
          </w:p>
          <w:p w14:paraId="159F1EE1">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部分</w:t>
            </w:r>
          </w:p>
        </w:tc>
        <w:tc>
          <w:tcPr>
            <w:tcW w:w="708" w:type="dxa"/>
            <w:noWrap w:val="0"/>
            <w:vAlign w:val="center"/>
          </w:tcPr>
          <w:p w14:paraId="1789CE70">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1</w:t>
            </w:r>
          </w:p>
        </w:tc>
        <w:tc>
          <w:tcPr>
            <w:tcW w:w="1701" w:type="dxa"/>
            <w:noWrap w:val="0"/>
            <w:vAlign w:val="center"/>
          </w:tcPr>
          <w:p w14:paraId="6140173D">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技术参数或要求的响应性（40分）</w:t>
            </w:r>
          </w:p>
        </w:tc>
        <w:tc>
          <w:tcPr>
            <w:tcW w:w="6237" w:type="dxa"/>
            <w:gridSpan w:val="2"/>
            <w:noWrap w:val="0"/>
            <w:vAlign w:val="center"/>
          </w:tcPr>
          <w:p w14:paraId="32EB1FAD">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 xml:space="preserve">根据技术参数及要求的响应情况进行综合打分，所投产品全部参数及要求完全满足招标文件的，得满分40分： </w:t>
            </w:r>
          </w:p>
          <w:p w14:paraId="6AD8C37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b/>
                <w:bCs/>
                <w:kern w:val="0"/>
                <w:sz w:val="24"/>
              </w:rPr>
            </w:pPr>
            <w:r>
              <w:rPr>
                <w:rFonts w:hint="eastAsia" w:ascii="仿宋" w:hAnsi="仿宋" w:eastAsia="仿宋" w:cs="仿宋"/>
                <w:kern w:val="0"/>
                <w:sz w:val="24"/>
              </w:rPr>
              <w:t>1、小星号（“</w:t>
            </w:r>
            <w:r>
              <w:rPr>
                <w:rFonts w:hint="eastAsia" w:ascii="仿宋" w:hAnsi="仿宋" w:eastAsia="仿宋" w:cs="仿宋"/>
                <w:b/>
                <w:bCs/>
                <w:kern w:val="0"/>
                <w:sz w:val="24"/>
              </w:rPr>
              <w:t>*</w:t>
            </w:r>
            <w:r>
              <w:rPr>
                <w:rFonts w:hint="eastAsia" w:ascii="仿宋" w:hAnsi="仿宋" w:eastAsia="仿宋" w:cs="仿宋"/>
                <w:kern w:val="0"/>
                <w:sz w:val="24"/>
              </w:rPr>
              <w:t>”）</w:t>
            </w:r>
            <w:r>
              <w:rPr>
                <w:rFonts w:hint="eastAsia" w:ascii="仿宋" w:hAnsi="仿宋" w:eastAsia="仿宋" w:cs="仿宋"/>
                <w:kern w:val="0"/>
                <w:sz w:val="24"/>
                <w:lang w:eastAsia="zh-Hans"/>
              </w:rPr>
              <w:t>的参数</w:t>
            </w:r>
            <w:r>
              <w:rPr>
                <w:rFonts w:hint="eastAsia" w:ascii="仿宋" w:hAnsi="仿宋" w:eastAsia="仿宋" w:cs="仿宋"/>
                <w:kern w:val="0"/>
                <w:sz w:val="24"/>
              </w:rPr>
              <w:t>为实质性响应参数，</w:t>
            </w:r>
            <w:r>
              <w:rPr>
                <w:rFonts w:hint="eastAsia" w:ascii="仿宋" w:hAnsi="仿宋" w:eastAsia="仿宋" w:cs="仿宋"/>
                <w:b/>
                <w:bCs/>
                <w:kern w:val="0"/>
                <w:sz w:val="24"/>
              </w:rPr>
              <w:t>负偏离投标无效；</w:t>
            </w:r>
          </w:p>
          <w:p w14:paraId="0B8BA01A">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lang w:eastAsia="zh-Hans"/>
              </w:rPr>
              <w:t>标注</w:t>
            </w:r>
            <w:r>
              <w:rPr>
                <w:rFonts w:hint="eastAsia" w:ascii="仿宋" w:hAnsi="仿宋" w:eastAsia="仿宋" w:cs="仿宋"/>
                <w:kern w:val="0"/>
                <w:sz w:val="24"/>
              </w:rPr>
              <w:t>“★”的参数为重要技术</w:t>
            </w:r>
            <w:r>
              <w:rPr>
                <w:rFonts w:hint="eastAsia" w:ascii="仿宋" w:hAnsi="仿宋" w:eastAsia="仿宋" w:cs="仿宋"/>
                <w:kern w:val="0"/>
                <w:sz w:val="24"/>
                <w:lang w:eastAsia="zh-Hans"/>
              </w:rPr>
              <w:t>参数</w:t>
            </w:r>
            <w:r>
              <w:rPr>
                <w:rFonts w:hint="eastAsia" w:ascii="仿宋" w:hAnsi="仿宋" w:eastAsia="仿宋" w:cs="仿宋"/>
                <w:kern w:val="0"/>
                <w:sz w:val="24"/>
              </w:rPr>
              <w:t>，每满足一项得3分，共9项，满分27分；</w:t>
            </w:r>
          </w:p>
          <w:p w14:paraId="11369F9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w:t>
            </w:r>
            <w:r>
              <w:rPr>
                <w:rFonts w:hint="eastAsia" w:ascii="仿宋" w:hAnsi="仿宋" w:eastAsia="仿宋" w:cs="仿宋"/>
                <w:kern w:val="0"/>
                <w:sz w:val="24"/>
                <w:lang w:eastAsia="zh-Hans"/>
              </w:rPr>
              <w:t>未标注</w:t>
            </w:r>
            <w:r>
              <w:rPr>
                <w:rFonts w:hint="eastAsia" w:ascii="仿宋" w:hAnsi="仿宋" w:eastAsia="仿宋" w:cs="仿宋"/>
                <w:kern w:val="0"/>
                <w:sz w:val="24"/>
              </w:rPr>
              <w:t>“★”的参数为普通技术参数，共31项，在满足18条普通技术参数的基础上，每满足一项得1分，共13分。</w:t>
            </w:r>
          </w:p>
          <w:p w14:paraId="42DCF6C5">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b/>
                <w:bCs/>
                <w:kern w:val="0"/>
                <w:sz w:val="24"/>
                <w:lang w:eastAsia="zh-Hans"/>
              </w:rPr>
              <w:t>注</w:t>
            </w:r>
            <w:r>
              <w:rPr>
                <w:rFonts w:hint="eastAsia" w:ascii="仿宋" w:hAnsi="仿宋" w:eastAsia="仿宋" w:cs="仿宋"/>
                <w:b/>
                <w:bCs/>
                <w:kern w:val="0"/>
                <w:sz w:val="24"/>
              </w:rPr>
              <w:t>：</w:t>
            </w:r>
            <w:r>
              <w:rPr>
                <w:rFonts w:hint="eastAsia" w:ascii="仿宋" w:hAnsi="仿宋" w:eastAsia="仿宋" w:cs="仿宋"/>
                <w:b/>
                <w:bCs/>
                <w:kern w:val="0"/>
                <w:sz w:val="24"/>
                <w:lang w:eastAsia="zh-Hans"/>
              </w:rPr>
              <w:t>1、如某项标识中包含多条技术参数或要求，则该项标识所含内容均需满足或优于招标文件要求，否则不予认可；2、未</w:t>
            </w:r>
            <w:r>
              <w:rPr>
                <w:rFonts w:hint="eastAsia" w:ascii="仿宋" w:hAnsi="仿宋" w:eastAsia="仿宋" w:cs="仿宋"/>
                <w:b/>
                <w:bCs/>
                <w:kern w:val="0"/>
                <w:sz w:val="24"/>
              </w:rPr>
              <w:t>标注</w:t>
            </w:r>
            <w:r>
              <w:rPr>
                <w:rFonts w:hint="eastAsia" w:ascii="仿宋" w:hAnsi="仿宋" w:eastAsia="仿宋" w:cs="仿宋"/>
                <w:kern w:val="0"/>
                <w:sz w:val="24"/>
              </w:rPr>
              <w:t>“★”</w:t>
            </w:r>
            <w:r>
              <w:rPr>
                <w:rFonts w:hint="eastAsia" w:ascii="仿宋" w:hAnsi="仿宋" w:eastAsia="仿宋" w:cs="仿宋"/>
                <w:b/>
                <w:bCs/>
                <w:kern w:val="0"/>
                <w:sz w:val="24"/>
              </w:rPr>
              <w:t>的技术参数响应情况</w:t>
            </w:r>
            <w:r>
              <w:rPr>
                <w:rFonts w:hint="eastAsia" w:ascii="仿宋" w:hAnsi="仿宋" w:eastAsia="仿宋" w:cs="仿宋"/>
                <w:b/>
                <w:bCs/>
                <w:kern w:val="0"/>
                <w:sz w:val="24"/>
                <w:lang w:eastAsia="zh-Hans"/>
              </w:rPr>
              <w:t>以技术规格偏离表</w:t>
            </w:r>
            <w:r>
              <w:rPr>
                <w:rFonts w:hint="eastAsia" w:ascii="仿宋" w:hAnsi="仿宋" w:eastAsia="仿宋" w:cs="仿宋"/>
                <w:b/>
                <w:bCs/>
                <w:kern w:val="0"/>
                <w:sz w:val="24"/>
              </w:rPr>
              <w:t>中</w:t>
            </w:r>
            <w:r>
              <w:rPr>
                <w:rFonts w:hint="eastAsia" w:ascii="仿宋" w:hAnsi="仿宋" w:eastAsia="仿宋" w:cs="仿宋"/>
                <w:b/>
                <w:bCs/>
                <w:kern w:val="0"/>
                <w:sz w:val="24"/>
                <w:lang w:eastAsia="zh-Hans"/>
              </w:rPr>
              <w:t>的响应情况为准</w:t>
            </w:r>
            <w:r>
              <w:rPr>
                <w:rFonts w:hint="eastAsia" w:ascii="仿宋" w:hAnsi="仿宋" w:eastAsia="仿宋" w:cs="仿宋"/>
                <w:b/>
                <w:bCs/>
                <w:kern w:val="0"/>
                <w:sz w:val="24"/>
              </w:rPr>
              <w:t>；</w:t>
            </w:r>
            <w:r>
              <w:rPr>
                <w:rFonts w:hint="eastAsia" w:ascii="仿宋" w:hAnsi="仿宋" w:eastAsia="仿宋" w:cs="仿宋"/>
                <w:b/>
                <w:bCs/>
                <w:kern w:val="0"/>
                <w:sz w:val="24"/>
                <w:lang w:eastAsia="zh-Hans"/>
              </w:rPr>
              <w:t>标注“</w:t>
            </w:r>
            <w:r>
              <w:rPr>
                <w:rFonts w:hint="eastAsia" w:ascii="仿宋" w:hAnsi="仿宋" w:eastAsia="仿宋" w:cs="仿宋"/>
                <w:b/>
                <w:bCs/>
                <w:kern w:val="0"/>
                <w:sz w:val="24"/>
              </w:rPr>
              <w:t>★</w:t>
            </w:r>
            <w:r>
              <w:rPr>
                <w:rFonts w:hint="eastAsia" w:ascii="仿宋" w:hAnsi="仿宋" w:eastAsia="仿宋" w:cs="仿宋"/>
                <w:b/>
                <w:bCs/>
                <w:kern w:val="0"/>
                <w:sz w:val="24"/>
                <w:lang w:eastAsia="zh-Hans"/>
              </w:rPr>
              <w:t>”的条款，须提供相关证明材料</w:t>
            </w:r>
            <w:r>
              <w:rPr>
                <w:rFonts w:hint="eastAsia" w:ascii="仿宋" w:hAnsi="仿宋" w:eastAsia="仿宋" w:cs="仿宋"/>
                <w:b/>
                <w:bCs/>
                <w:kern w:val="0"/>
                <w:sz w:val="24"/>
              </w:rPr>
              <w:t>，</w:t>
            </w:r>
            <w:r>
              <w:rPr>
                <w:rFonts w:hint="eastAsia" w:ascii="仿宋" w:hAnsi="仿宋" w:eastAsia="仿宋" w:cs="仿宋"/>
                <w:b/>
                <w:bCs/>
                <w:kern w:val="0"/>
                <w:sz w:val="24"/>
                <w:lang w:eastAsia="zh-Hans"/>
              </w:rPr>
              <w:t>如招标文件中明确要求证明材料类型，则以招标文件明确要求的材料为准</w:t>
            </w:r>
            <w:r>
              <w:rPr>
                <w:rFonts w:hint="eastAsia" w:ascii="仿宋" w:hAnsi="仿宋" w:eastAsia="仿宋" w:cs="仿宋"/>
                <w:b/>
                <w:bCs/>
                <w:kern w:val="0"/>
                <w:sz w:val="24"/>
              </w:rPr>
              <w:t>，</w:t>
            </w:r>
            <w:r>
              <w:rPr>
                <w:rFonts w:hint="eastAsia" w:ascii="仿宋" w:hAnsi="仿宋" w:eastAsia="仿宋" w:cs="仿宋"/>
                <w:b/>
                <w:bCs/>
                <w:kern w:val="0"/>
                <w:sz w:val="24"/>
                <w:lang w:eastAsia="zh-Hans"/>
              </w:rPr>
              <w:t>如未明确证明材料的类型，则以技术支持资料作为评审依据，技术支持资料包括：医疗器械注册证、具有“CMA”标识且在有效期内的检测或检验报告扫描件</w:t>
            </w:r>
            <w:r>
              <w:rPr>
                <w:rFonts w:hint="eastAsia" w:ascii="仿宋" w:hAnsi="仿宋" w:eastAsia="仿宋" w:cs="仿宋"/>
                <w:b/>
                <w:bCs/>
                <w:kern w:val="0"/>
                <w:sz w:val="24"/>
              </w:rPr>
              <w:t>、产品实物照片</w:t>
            </w:r>
            <w:r>
              <w:rPr>
                <w:rFonts w:hint="eastAsia" w:ascii="仿宋" w:hAnsi="仿宋" w:eastAsia="仿宋" w:cs="仿宋"/>
                <w:b/>
                <w:bCs/>
                <w:kern w:val="0"/>
                <w:sz w:val="24"/>
                <w:lang w:eastAsia="zh-Hans"/>
              </w:rPr>
              <w:t>、</w:t>
            </w:r>
            <w:r>
              <w:rPr>
                <w:rFonts w:hint="eastAsia" w:ascii="仿宋" w:hAnsi="仿宋" w:eastAsia="仿宋" w:cs="仿宋"/>
                <w:b/>
                <w:bCs/>
                <w:kern w:val="0"/>
                <w:sz w:val="24"/>
              </w:rPr>
              <w:t>公开发布的产品</w:t>
            </w:r>
            <w:r>
              <w:rPr>
                <w:rFonts w:hint="eastAsia" w:ascii="仿宋" w:hAnsi="仿宋" w:eastAsia="仿宋" w:cs="仿宋"/>
                <w:b/>
                <w:bCs/>
                <w:kern w:val="0"/>
                <w:sz w:val="24"/>
                <w:lang w:eastAsia="zh-Hans"/>
              </w:rPr>
              <w:t>彩页、官网截图等，提供其中之一即可。</w:t>
            </w:r>
          </w:p>
        </w:tc>
      </w:tr>
      <w:tr w14:paraId="696AC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101" w:type="dxa"/>
            <w:vMerge w:val="continue"/>
            <w:noWrap w:val="0"/>
            <w:vAlign w:val="center"/>
          </w:tcPr>
          <w:p w14:paraId="7365DF0B">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00C8D47D">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2</w:t>
            </w:r>
          </w:p>
        </w:tc>
        <w:tc>
          <w:tcPr>
            <w:tcW w:w="1701" w:type="dxa"/>
            <w:noWrap w:val="0"/>
            <w:vAlign w:val="center"/>
          </w:tcPr>
          <w:p w14:paraId="41C0DCB5">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质保承诺（3分）</w:t>
            </w:r>
          </w:p>
        </w:tc>
        <w:tc>
          <w:tcPr>
            <w:tcW w:w="6237" w:type="dxa"/>
            <w:gridSpan w:val="2"/>
            <w:noWrap w:val="0"/>
            <w:vAlign w:val="center"/>
          </w:tcPr>
          <w:p w14:paraId="1FCFC42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b/>
                <w:bCs/>
                <w:kern w:val="0"/>
                <w:sz w:val="24"/>
              </w:rPr>
            </w:pPr>
            <w:r>
              <w:rPr>
                <w:rFonts w:hint="eastAsia" w:ascii="仿宋" w:hAnsi="仿宋" w:eastAsia="仿宋" w:cs="仿宋"/>
                <w:sz w:val="24"/>
              </w:rPr>
              <w:t>质保期满足采购文件要求的，不得分,在采购文件要求的基础上每增加1年免费质保加1分,满分3分。</w:t>
            </w:r>
          </w:p>
        </w:tc>
      </w:tr>
      <w:tr w14:paraId="30257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737E13F5">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29518B55">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3</w:t>
            </w:r>
          </w:p>
        </w:tc>
        <w:tc>
          <w:tcPr>
            <w:tcW w:w="1701" w:type="dxa"/>
            <w:noWrap w:val="0"/>
            <w:vAlign w:val="center"/>
          </w:tcPr>
          <w:p w14:paraId="65701419">
            <w:pPr>
              <w:keepNext w:val="0"/>
              <w:keepLines w:val="0"/>
              <w:widowControl/>
              <w:suppressLineNumbers w:val="0"/>
              <w:adjustRightInd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产品综合评价（5分）</w:t>
            </w:r>
          </w:p>
        </w:tc>
        <w:tc>
          <w:tcPr>
            <w:tcW w:w="6237" w:type="dxa"/>
            <w:gridSpan w:val="2"/>
            <w:noWrap w:val="0"/>
            <w:vAlign w:val="center"/>
          </w:tcPr>
          <w:p w14:paraId="7FFCC4E5">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根据所投产品的配置情况、综合性能、设计等方面进行综合评审：</w:t>
            </w:r>
          </w:p>
          <w:p w14:paraId="7391E23E">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1、产品配置丰富、综合性能稳定、设计人性化的得5分；</w:t>
            </w:r>
          </w:p>
          <w:p w14:paraId="65CEAC9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2、产品配置丰富、综合性能较稳定、设计较人性化的得3分；</w:t>
            </w:r>
          </w:p>
          <w:p w14:paraId="6E9F474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3、产品配置待优化、设计有待提升的得1分；</w:t>
            </w:r>
          </w:p>
          <w:p w14:paraId="2CB3CE43">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4、未提供不得分。</w:t>
            </w:r>
          </w:p>
        </w:tc>
      </w:tr>
      <w:tr w14:paraId="41024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2F2B732B">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451A84DE">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4</w:t>
            </w:r>
          </w:p>
        </w:tc>
        <w:tc>
          <w:tcPr>
            <w:tcW w:w="1701" w:type="dxa"/>
            <w:noWrap w:val="0"/>
            <w:vAlign w:val="center"/>
          </w:tcPr>
          <w:p w14:paraId="5BCBF153">
            <w:pPr>
              <w:keepNext w:val="0"/>
              <w:keepLines w:val="0"/>
              <w:widowControl/>
              <w:suppressLineNumbers w:val="0"/>
              <w:adjustRightInd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人员及培训方案（4分）</w:t>
            </w:r>
          </w:p>
        </w:tc>
        <w:tc>
          <w:tcPr>
            <w:tcW w:w="6237" w:type="dxa"/>
            <w:gridSpan w:val="2"/>
            <w:noWrap w:val="0"/>
            <w:vAlign w:val="center"/>
          </w:tcPr>
          <w:p w14:paraId="700C331A">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根据供应商提供的专业技术人员及培训方案内容的详实程度、可实施性等进行综合评审：</w:t>
            </w:r>
          </w:p>
          <w:p w14:paraId="76D24EB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1、人员专业、技术培训方案内容详实、实施性强得4分；</w:t>
            </w:r>
          </w:p>
          <w:p w14:paraId="2C3D3225">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2、人员较专业、技术培训方案完整、实施性较强得2分；</w:t>
            </w:r>
          </w:p>
          <w:p w14:paraId="7F355D99">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3、技术培训方案内容完整性及实施性有待提高得1分；</w:t>
            </w:r>
          </w:p>
          <w:p w14:paraId="6100D44F">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4、未提供不得分。</w:t>
            </w:r>
          </w:p>
        </w:tc>
      </w:tr>
      <w:tr w14:paraId="68ED3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28793327">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2DD1257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5</w:t>
            </w:r>
          </w:p>
        </w:tc>
        <w:tc>
          <w:tcPr>
            <w:tcW w:w="1701" w:type="dxa"/>
            <w:noWrap w:val="0"/>
            <w:vAlign w:val="center"/>
          </w:tcPr>
          <w:p w14:paraId="4598FF5A">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售后服务（4分）</w:t>
            </w:r>
          </w:p>
        </w:tc>
        <w:tc>
          <w:tcPr>
            <w:tcW w:w="6237" w:type="dxa"/>
            <w:gridSpan w:val="2"/>
            <w:noWrap w:val="0"/>
            <w:vAlign w:val="center"/>
          </w:tcPr>
          <w:p w14:paraId="741624FE">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根据供应商提供的售后服务方案（包括售后响应时间、保障措施等）、维保方案（包括质保内容、保养频次、备品备件供应、质保期外售后服务方案、售后人员配备等）进行综合评审；</w:t>
            </w:r>
          </w:p>
          <w:p w14:paraId="11A12AB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1、方案完整全面，售后响应及时，人员配备完善的得4分；</w:t>
            </w:r>
          </w:p>
          <w:p w14:paraId="069DA92A">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2、方案较完整，售后响应较及时，人员配备满足项目需求的得2分；</w:t>
            </w:r>
          </w:p>
          <w:p w14:paraId="553B91DB">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3、方案内容有待完善，售后响应不及时，人员配备不足的得1分；</w:t>
            </w:r>
          </w:p>
          <w:p w14:paraId="2AB6AD51">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4、未提供不得分。</w:t>
            </w:r>
          </w:p>
        </w:tc>
      </w:tr>
      <w:tr w14:paraId="72F46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12E828F2">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2D000B4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6</w:t>
            </w:r>
          </w:p>
        </w:tc>
        <w:tc>
          <w:tcPr>
            <w:tcW w:w="1701" w:type="dxa"/>
            <w:noWrap w:val="0"/>
            <w:vAlign w:val="center"/>
          </w:tcPr>
          <w:p w14:paraId="4FD7025B">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供货安装（调试）实施方案</w:t>
            </w:r>
          </w:p>
          <w:p w14:paraId="233A6F5E">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（4分）</w:t>
            </w:r>
          </w:p>
        </w:tc>
        <w:tc>
          <w:tcPr>
            <w:tcW w:w="6237" w:type="dxa"/>
            <w:gridSpan w:val="2"/>
            <w:noWrap w:val="0"/>
            <w:vAlign w:val="center"/>
          </w:tcPr>
          <w:p w14:paraId="3115599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投标人自行制定</w:t>
            </w:r>
            <w:r>
              <w:rPr>
                <w:rFonts w:hint="eastAsia" w:ascii="仿宋" w:hAnsi="仿宋" w:eastAsia="仿宋" w:cs="仿宋"/>
                <w:kern w:val="0"/>
                <w:sz w:val="24"/>
                <w:lang w:eastAsia="zh-Hans"/>
              </w:rPr>
              <w:t>供</w:t>
            </w:r>
            <w:r>
              <w:rPr>
                <w:rFonts w:hint="eastAsia" w:ascii="仿宋" w:hAnsi="仿宋" w:eastAsia="仿宋" w:cs="仿宋"/>
                <w:kern w:val="0"/>
                <w:sz w:val="24"/>
              </w:rPr>
              <w:t>货安装调试及技术培训</w:t>
            </w:r>
            <w:r>
              <w:rPr>
                <w:rFonts w:hint="eastAsia" w:ascii="仿宋" w:hAnsi="仿宋" w:eastAsia="仿宋" w:cs="仿宋"/>
                <w:kern w:val="0"/>
                <w:sz w:val="24"/>
                <w:lang w:eastAsia="zh-Hans"/>
              </w:rPr>
              <w:t>等</w:t>
            </w:r>
            <w:r>
              <w:rPr>
                <w:rFonts w:hint="eastAsia" w:ascii="仿宋" w:hAnsi="仿宋" w:eastAsia="仿宋" w:cs="仿宋"/>
                <w:kern w:val="0"/>
                <w:sz w:val="24"/>
              </w:rPr>
              <w:t>方案，评委对所有投标</w:t>
            </w:r>
            <w:r>
              <w:rPr>
                <w:rFonts w:hint="eastAsia" w:ascii="仿宋" w:hAnsi="仿宋" w:eastAsia="仿宋" w:cs="仿宋"/>
                <w:kern w:val="0"/>
                <w:sz w:val="24"/>
                <w:lang w:eastAsia="zh-Hans"/>
              </w:rPr>
              <w:t>人</w:t>
            </w:r>
            <w:r>
              <w:rPr>
                <w:rFonts w:hint="eastAsia" w:ascii="仿宋" w:hAnsi="仿宋" w:eastAsia="仿宋" w:cs="仿宋"/>
                <w:kern w:val="0"/>
                <w:sz w:val="24"/>
              </w:rPr>
              <w:t>的</w:t>
            </w:r>
            <w:r>
              <w:rPr>
                <w:rFonts w:hint="eastAsia" w:ascii="仿宋" w:hAnsi="仿宋" w:eastAsia="仿宋" w:cs="仿宋"/>
                <w:kern w:val="0"/>
                <w:sz w:val="24"/>
                <w:lang w:eastAsia="zh-Hans"/>
              </w:rPr>
              <w:t>方案</w:t>
            </w:r>
            <w:r>
              <w:rPr>
                <w:rFonts w:hint="eastAsia" w:ascii="仿宋" w:hAnsi="仿宋" w:eastAsia="仿宋" w:cs="仿宋"/>
                <w:kern w:val="0"/>
                <w:sz w:val="24"/>
              </w:rPr>
              <w:t>进行</w:t>
            </w:r>
            <w:r>
              <w:rPr>
                <w:rFonts w:hint="eastAsia" w:ascii="仿宋" w:hAnsi="仿宋" w:eastAsia="仿宋" w:cs="仿宋"/>
                <w:kern w:val="0"/>
                <w:sz w:val="24"/>
                <w:lang w:eastAsia="zh-Hans"/>
              </w:rPr>
              <w:t>综合</w:t>
            </w:r>
            <w:r>
              <w:rPr>
                <w:rFonts w:hint="eastAsia" w:ascii="仿宋" w:hAnsi="仿宋" w:eastAsia="仿宋" w:cs="仿宋"/>
                <w:kern w:val="0"/>
                <w:sz w:val="24"/>
              </w:rPr>
              <w:t>比较打分：</w:t>
            </w:r>
          </w:p>
          <w:p w14:paraId="6F86F76C">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1.方案全面</w:t>
            </w:r>
            <w:r>
              <w:rPr>
                <w:rFonts w:hint="eastAsia" w:ascii="仿宋" w:hAnsi="仿宋" w:eastAsia="仿宋" w:cs="仿宋"/>
                <w:kern w:val="0"/>
                <w:sz w:val="24"/>
                <w:lang w:eastAsia="zh-Hans"/>
              </w:rPr>
              <w:t>完善</w:t>
            </w:r>
            <w:r>
              <w:rPr>
                <w:rFonts w:hint="eastAsia" w:ascii="仿宋" w:hAnsi="仿宋" w:eastAsia="仿宋" w:cs="仿宋"/>
                <w:kern w:val="0"/>
                <w:sz w:val="24"/>
              </w:rPr>
              <w:t>、组织架构科学、针对性</w:t>
            </w:r>
            <w:r>
              <w:rPr>
                <w:rFonts w:hint="eastAsia" w:ascii="仿宋" w:hAnsi="仿宋" w:eastAsia="仿宋" w:cs="仿宋"/>
                <w:kern w:val="0"/>
                <w:sz w:val="24"/>
                <w:lang w:eastAsia="zh-Hans"/>
              </w:rPr>
              <w:t>及</w:t>
            </w:r>
            <w:r>
              <w:rPr>
                <w:rFonts w:hint="eastAsia" w:ascii="仿宋" w:hAnsi="仿宋" w:eastAsia="仿宋" w:cs="仿宋"/>
                <w:kern w:val="0"/>
                <w:sz w:val="24"/>
              </w:rPr>
              <w:t>可行性强、完全满足采购需求的得4分；</w:t>
            </w:r>
          </w:p>
          <w:p w14:paraId="5C8E0F3C">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2.方案完整、组织架构合理、针对性</w:t>
            </w:r>
            <w:r>
              <w:rPr>
                <w:rFonts w:hint="eastAsia" w:ascii="仿宋" w:hAnsi="仿宋" w:eastAsia="仿宋" w:cs="仿宋"/>
                <w:kern w:val="0"/>
                <w:sz w:val="24"/>
                <w:lang w:eastAsia="zh-Hans"/>
              </w:rPr>
              <w:t>及</w:t>
            </w:r>
            <w:r>
              <w:rPr>
                <w:rFonts w:hint="eastAsia" w:ascii="仿宋" w:hAnsi="仿宋" w:eastAsia="仿宋" w:cs="仿宋"/>
                <w:kern w:val="0"/>
                <w:sz w:val="24"/>
              </w:rPr>
              <w:t>可行性较强的得2分；</w:t>
            </w:r>
          </w:p>
          <w:p w14:paraId="768502E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3.方案不完整、组织架构不合理、针对性</w:t>
            </w:r>
            <w:r>
              <w:rPr>
                <w:rFonts w:hint="eastAsia" w:ascii="仿宋" w:hAnsi="仿宋" w:eastAsia="仿宋" w:cs="仿宋"/>
                <w:kern w:val="0"/>
                <w:sz w:val="24"/>
                <w:lang w:eastAsia="zh-Hans"/>
              </w:rPr>
              <w:t>及</w:t>
            </w:r>
            <w:r>
              <w:rPr>
                <w:rFonts w:hint="eastAsia" w:ascii="仿宋" w:hAnsi="仿宋" w:eastAsia="仿宋" w:cs="仿宋"/>
                <w:kern w:val="0"/>
                <w:sz w:val="24"/>
              </w:rPr>
              <w:t>可行性不强、基本满足采购需求的得 1 分；</w:t>
            </w:r>
          </w:p>
          <w:p w14:paraId="23804C0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 xml:space="preserve">4．未提供的不得分。 </w:t>
            </w:r>
          </w:p>
        </w:tc>
      </w:tr>
      <w:tr w14:paraId="35500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2F60CCE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7C01E94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7</w:t>
            </w:r>
          </w:p>
        </w:tc>
        <w:tc>
          <w:tcPr>
            <w:tcW w:w="1701" w:type="dxa"/>
            <w:noWrap w:val="0"/>
            <w:vAlign w:val="center"/>
          </w:tcPr>
          <w:p w14:paraId="4D54AF96">
            <w:pPr>
              <w:keepNext w:val="0"/>
              <w:keepLines w:val="0"/>
              <w:widowControl/>
              <w:suppressLineNumbers w:val="0"/>
              <w:adjustRightInd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配套特色服务</w:t>
            </w:r>
          </w:p>
          <w:p w14:paraId="6491F238">
            <w:pPr>
              <w:keepNext w:val="0"/>
              <w:keepLines w:val="0"/>
              <w:widowControl/>
              <w:suppressLineNumbers w:val="0"/>
              <w:adjustRightInd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(4分）</w:t>
            </w:r>
          </w:p>
        </w:tc>
        <w:tc>
          <w:tcPr>
            <w:tcW w:w="6237" w:type="dxa"/>
            <w:gridSpan w:val="2"/>
            <w:noWrap w:val="0"/>
            <w:vAlign w:val="center"/>
          </w:tcPr>
          <w:p w14:paraId="0C44C67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根据投标人投标文件中提供的配套特色服务进行综合评分：</w:t>
            </w:r>
          </w:p>
          <w:p w14:paraId="71465E4D">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1、有具体的配套特色服务，且临床实用性强，实际价值高的，得4分；</w:t>
            </w:r>
          </w:p>
          <w:p w14:paraId="5C468BE3">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2、有具体的配套特色服务，有一定的临床实用性，得2分；</w:t>
            </w:r>
          </w:p>
          <w:p w14:paraId="0E1256AA">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3、配套特色服务有限，临床实用性有待加强的得1分；</w:t>
            </w:r>
          </w:p>
          <w:p w14:paraId="66BB42F0">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4、未提供相关证明材料的不得分。</w:t>
            </w:r>
          </w:p>
        </w:tc>
      </w:tr>
      <w:tr w14:paraId="3E776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2BB9B3E1">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4CBDA465">
            <w:pPr>
              <w:keepNext w:val="0"/>
              <w:keepLines w:val="0"/>
              <w:widowControl/>
              <w:suppressLineNumbers w:val="0"/>
              <w:snapToGrid w:val="0"/>
              <w:spacing w:before="0" w:beforeAutospacing="0" w:after="0" w:afterAutospacing="0" w:line="288" w:lineRule="auto"/>
              <w:ind w:left="0" w:right="0"/>
              <w:jc w:val="center"/>
              <w:rPr>
                <w:rFonts w:hint="default" w:ascii="仿宋" w:hAnsi="仿宋" w:eastAsia="仿宋" w:cs="仿宋"/>
                <w:kern w:val="0"/>
                <w:sz w:val="24"/>
              </w:rPr>
            </w:pPr>
            <w:r>
              <w:rPr>
                <w:rFonts w:hint="eastAsia" w:ascii="仿宋" w:hAnsi="仿宋" w:eastAsia="仿宋" w:cs="仿宋"/>
                <w:kern w:val="0"/>
                <w:sz w:val="24"/>
              </w:rPr>
              <w:t>8</w:t>
            </w:r>
          </w:p>
        </w:tc>
        <w:tc>
          <w:tcPr>
            <w:tcW w:w="1701" w:type="dxa"/>
            <w:noWrap w:val="0"/>
            <w:vAlign w:val="center"/>
          </w:tcPr>
          <w:p w14:paraId="07420FF7">
            <w:pPr>
              <w:keepNext w:val="0"/>
              <w:keepLines w:val="0"/>
              <w:widowControl/>
              <w:suppressLineNumbers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零配件综合保障能力（2分）</w:t>
            </w:r>
          </w:p>
        </w:tc>
        <w:tc>
          <w:tcPr>
            <w:tcW w:w="6237" w:type="dxa"/>
            <w:gridSpan w:val="2"/>
            <w:noWrap w:val="0"/>
            <w:vAlign w:val="center"/>
          </w:tcPr>
          <w:p w14:paraId="7D59A31F">
            <w:pPr>
              <w:keepNext w:val="0"/>
              <w:keepLines w:val="0"/>
              <w:widowControl/>
              <w:suppressLineNumbers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根据所提供产品零配件的供货保障能力、报价情况等方面进行综合评审：</w:t>
            </w:r>
          </w:p>
          <w:p w14:paraId="6AAF8BB7">
            <w:pPr>
              <w:keepNext w:val="0"/>
              <w:keepLines w:val="0"/>
              <w:widowControl/>
              <w:suppressLineNumbers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1、具备充分的零配件供货保障能力，涵盖所有必需零配件，报价优惠程度横向对比高的，得2分；</w:t>
            </w:r>
          </w:p>
          <w:p w14:paraId="59BC7B52">
            <w:pPr>
              <w:keepNext w:val="0"/>
              <w:keepLines w:val="0"/>
              <w:widowControl/>
              <w:suppressLineNumbers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2、零配件供货保障基本满足本项目要求，能够满足基础的零配件使用需求，报价优惠程度横向对比低的，得1分；</w:t>
            </w:r>
          </w:p>
          <w:p w14:paraId="065D72B7">
            <w:pPr>
              <w:keepNext w:val="0"/>
              <w:keepLines w:val="0"/>
              <w:widowControl/>
              <w:suppressLineNumbers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sz w:val="24"/>
              </w:rPr>
              <w:t>3、未提供不得分。</w:t>
            </w:r>
          </w:p>
        </w:tc>
      </w:tr>
      <w:tr w14:paraId="5CC57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3833A3DC">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37C8F4A2">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9</w:t>
            </w:r>
          </w:p>
        </w:tc>
        <w:tc>
          <w:tcPr>
            <w:tcW w:w="1701" w:type="dxa"/>
            <w:noWrap w:val="0"/>
            <w:vAlign w:val="center"/>
          </w:tcPr>
          <w:p w14:paraId="746A87A8">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kern w:val="0"/>
                <w:sz w:val="24"/>
              </w:rPr>
              <w:t>核心产品业绩</w:t>
            </w:r>
            <w:r>
              <w:rPr>
                <w:rFonts w:hint="eastAsia" w:ascii="仿宋" w:hAnsi="仿宋" w:eastAsia="仿宋" w:cs="仿宋"/>
                <w:sz w:val="24"/>
              </w:rPr>
              <w:t>（4分）</w:t>
            </w:r>
          </w:p>
        </w:tc>
        <w:tc>
          <w:tcPr>
            <w:tcW w:w="6237" w:type="dxa"/>
            <w:gridSpan w:val="2"/>
            <w:noWrap w:val="0"/>
            <w:vAlign w:val="center"/>
          </w:tcPr>
          <w:p w14:paraId="323B596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每提供一份2022年1月1日以来（以合同签订时间为准），同品牌、同类产品在医疗机构的供货业绩合同得1分，本项最高得4分。</w:t>
            </w:r>
          </w:p>
          <w:p w14:paraId="15EB6D4B">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注：（1）投标文件中须提供合同复印件，至少提供能反映买卖单位、最终用户、合同内容(含清单)、签订时间、签字盖章等内容的关键页面,否则不计分。（2）投标人提供的一份业绩合同中同时包含每包要求的核心产品或提供的多份合同中累计包含核心产品均可按照一份业绩合同计算得分。</w:t>
            </w:r>
          </w:p>
        </w:tc>
      </w:tr>
      <w:tr w14:paraId="05760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noWrap w:val="0"/>
            <w:vAlign w:val="center"/>
          </w:tcPr>
          <w:p w14:paraId="6B467BE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3.2.3（2）</w:t>
            </w:r>
          </w:p>
          <w:p w14:paraId="1B529136">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投标</w:t>
            </w:r>
          </w:p>
          <w:p w14:paraId="28098D93">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报价</w:t>
            </w:r>
          </w:p>
        </w:tc>
        <w:tc>
          <w:tcPr>
            <w:tcW w:w="708" w:type="dxa"/>
            <w:noWrap w:val="0"/>
            <w:vAlign w:val="center"/>
          </w:tcPr>
          <w:p w14:paraId="7A6C803A">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1</w:t>
            </w:r>
          </w:p>
        </w:tc>
        <w:tc>
          <w:tcPr>
            <w:tcW w:w="1701" w:type="dxa"/>
            <w:noWrap w:val="0"/>
            <w:vAlign w:val="center"/>
          </w:tcPr>
          <w:p w14:paraId="3FE3D4AA">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投标报价得分计算</w:t>
            </w:r>
          </w:p>
        </w:tc>
        <w:tc>
          <w:tcPr>
            <w:tcW w:w="4225" w:type="dxa"/>
            <w:noWrap w:val="0"/>
            <w:vAlign w:val="center"/>
          </w:tcPr>
          <w:p w14:paraId="4783A350">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满足招标文件要求且投标价格最低的投标报价的价格分为满分，其他投标人的价格分统一按照下列公式计算：</w:t>
            </w:r>
          </w:p>
          <w:p w14:paraId="51BB88EA">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投标报价得分＝（评标基准价/投标报价）×30。</w:t>
            </w:r>
          </w:p>
        </w:tc>
        <w:tc>
          <w:tcPr>
            <w:tcW w:w="2012" w:type="dxa"/>
            <w:noWrap w:val="0"/>
            <w:vAlign w:val="center"/>
          </w:tcPr>
          <w:p w14:paraId="19E6BF39">
            <w:pPr>
              <w:keepNext w:val="0"/>
              <w:keepLines w:val="0"/>
              <w:suppressLineNumbers w:val="0"/>
              <w:snapToGrid w:val="0"/>
              <w:spacing w:before="0" w:beforeAutospacing="0" w:after="0" w:afterAutospacing="0" w:line="288" w:lineRule="auto"/>
              <w:ind w:left="-38" w:right="0"/>
              <w:rPr>
                <w:rFonts w:hint="eastAsia" w:ascii="仿宋" w:hAnsi="仿宋" w:eastAsia="仿宋" w:cs="仿宋"/>
                <w:sz w:val="24"/>
              </w:rPr>
            </w:pPr>
            <w:r>
              <w:rPr>
                <w:rFonts w:hint="eastAsia" w:ascii="仿宋" w:hAnsi="仿宋" w:eastAsia="仿宋" w:cs="仿宋"/>
                <w:sz w:val="24"/>
              </w:rPr>
              <w:t>符合价格扣除政策的，用扣除后的价格参与计算、评分</w:t>
            </w:r>
          </w:p>
        </w:tc>
      </w:tr>
    </w:tbl>
    <w:p w14:paraId="519DB300">
      <w:pPr>
        <w:pStyle w:val="149"/>
        <w:adjustRightInd w:val="0"/>
        <w:snapToGrid w:val="0"/>
        <w:spacing w:before="0" w:line="360" w:lineRule="auto"/>
        <w:ind w:firstLine="482" w:firstLineChars="200"/>
        <w:rPr>
          <w:rFonts w:ascii="宋体" w:hAnsi="宋体" w:eastAsia="仿宋"/>
          <w:b/>
          <w:sz w:val="24"/>
          <w:szCs w:val="24"/>
        </w:rPr>
      </w:pPr>
      <w:r>
        <w:rPr>
          <w:rFonts w:hint="eastAsia" w:ascii="宋体" w:hAnsi="宋体" w:eastAsia="仿宋"/>
          <w:b/>
          <w:sz w:val="24"/>
          <w:szCs w:val="24"/>
        </w:rPr>
        <w:br w:type="page"/>
      </w:r>
      <w:bookmarkStart w:id="794" w:name="_Toc455587282"/>
      <w:bookmarkStart w:id="795" w:name="_Toc455587098"/>
      <w:bookmarkStart w:id="796" w:name="_Toc466024565"/>
      <w:bookmarkStart w:id="797" w:name="_Toc445554766"/>
      <w:r>
        <w:rPr>
          <w:rFonts w:hint="eastAsia" w:ascii="宋体" w:hAnsi="宋体" w:eastAsia="仿宋"/>
          <w:b/>
          <w:sz w:val="24"/>
          <w:szCs w:val="24"/>
        </w:rPr>
        <w:t>02包 2、详细评审标准</w:t>
      </w:r>
    </w:p>
    <w:tbl>
      <w:tblPr>
        <w:tblStyle w:val="47"/>
        <w:tblW w:w="97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708"/>
        <w:gridCol w:w="1701"/>
        <w:gridCol w:w="4225"/>
        <w:gridCol w:w="2012"/>
      </w:tblGrid>
      <w:tr w14:paraId="103AE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09" w:type="dxa"/>
            <w:gridSpan w:val="2"/>
            <w:noWrap w:val="0"/>
            <w:vAlign w:val="center"/>
          </w:tcPr>
          <w:p w14:paraId="4AEAB368">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条款号</w:t>
            </w:r>
          </w:p>
        </w:tc>
        <w:tc>
          <w:tcPr>
            <w:tcW w:w="1701" w:type="dxa"/>
            <w:noWrap w:val="0"/>
            <w:vAlign w:val="center"/>
          </w:tcPr>
          <w:p w14:paraId="2204BDF0">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条款内容</w:t>
            </w:r>
          </w:p>
        </w:tc>
        <w:tc>
          <w:tcPr>
            <w:tcW w:w="4225" w:type="dxa"/>
            <w:noWrap w:val="0"/>
            <w:vAlign w:val="center"/>
          </w:tcPr>
          <w:p w14:paraId="7B8861A3">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编列内容</w:t>
            </w:r>
          </w:p>
        </w:tc>
        <w:tc>
          <w:tcPr>
            <w:tcW w:w="2012" w:type="dxa"/>
            <w:noWrap w:val="0"/>
            <w:vAlign w:val="center"/>
          </w:tcPr>
          <w:p w14:paraId="718EED2D">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
                <w:kern w:val="0"/>
                <w:sz w:val="24"/>
              </w:rPr>
            </w:pPr>
            <w:r>
              <w:rPr>
                <w:rFonts w:hint="eastAsia" w:ascii="仿宋" w:hAnsi="仿宋" w:eastAsia="仿宋" w:cs="仿宋"/>
                <w:b/>
                <w:kern w:val="0"/>
                <w:sz w:val="24"/>
              </w:rPr>
              <w:t>备注</w:t>
            </w:r>
          </w:p>
        </w:tc>
      </w:tr>
      <w:tr w14:paraId="740A1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09" w:type="dxa"/>
            <w:gridSpan w:val="2"/>
            <w:noWrap w:val="0"/>
            <w:vAlign w:val="center"/>
          </w:tcPr>
          <w:p w14:paraId="295BB2C4">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sz w:val="24"/>
              </w:rPr>
              <w:t>3.2.1</w:t>
            </w:r>
          </w:p>
        </w:tc>
        <w:tc>
          <w:tcPr>
            <w:tcW w:w="1701" w:type="dxa"/>
            <w:noWrap w:val="0"/>
            <w:vAlign w:val="center"/>
          </w:tcPr>
          <w:p w14:paraId="525A7F9E">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分值构成</w:t>
            </w:r>
          </w:p>
          <w:p w14:paraId="61DDA8FE">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（总分100分）</w:t>
            </w:r>
          </w:p>
        </w:tc>
        <w:tc>
          <w:tcPr>
            <w:tcW w:w="4225" w:type="dxa"/>
            <w:noWrap w:val="0"/>
            <w:vAlign w:val="center"/>
          </w:tcPr>
          <w:p w14:paraId="5F3EDA01">
            <w:pPr>
              <w:keepNext w:val="0"/>
              <w:keepLines w:val="0"/>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商务技术部分：</w:t>
            </w:r>
            <w:r>
              <w:rPr>
                <w:rFonts w:hint="eastAsia" w:ascii="仿宋" w:hAnsi="仿宋" w:eastAsia="仿宋" w:cs="仿宋"/>
                <w:sz w:val="24"/>
                <w:u w:val="single"/>
              </w:rPr>
              <w:t>70</w:t>
            </w:r>
            <w:r>
              <w:rPr>
                <w:rFonts w:hint="eastAsia" w:ascii="仿宋" w:hAnsi="仿宋" w:eastAsia="仿宋" w:cs="仿宋"/>
                <w:sz w:val="24"/>
              </w:rPr>
              <w:t>分</w:t>
            </w:r>
          </w:p>
          <w:p w14:paraId="4FA9662A">
            <w:pPr>
              <w:keepNext w:val="0"/>
              <w:keepLines w:val="0"/>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投标报价：</w:t>
            </w:r>
            <w:r>
              <w:rPr>
                <w:rFonts w:hint="eastAsia" w:ascii="仿宋" w:hAnsi="仿宋" w:eastAsia="仿宋" w:cs="仿宋"/>
                <w:sz w:val="24"/>
                <w:u w:val="single"/>
              </w:rPr>
              <w:t>30</w:t>
            </w:r>
            <w:r>
              <w:rPr>
                <w:rFonts w:hint="eastAsia" w:ascii="仿宋" w:hAnsi="仿宋" w:eastAsia="仿宋" w:cs="仿宋"/>
                <w:sz w:val="24"/>
              </w:rPr>
              <w:t>分</w:t>
            </w:r>
          </w:p>
        </w:tc>
        <w:tc>
          <w:tcPr>
            <w:tcW w:w="2012" w:type="dxa"/>
            <w:noWrap w:val="0"/>
            <w:vAlign w:val="top"/>
          </w:tcPr>
          <w:p w14:paraId="22CD2C7E">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仿宋"/>
                <w:kern w:val="0"/>
                <w:sz w:val="24"/>
              </w:rPr>
            </w:pPr>
          </w:p>
        </w:tc>
      </w:tr>
      <w:tr w14:paraId="70516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09" w:type="dxa"/>
            <w:gridSpan w:val="2"/>
            <w:noWrap w:val="0"/>
            <w:vAlign w:val="center"/>
          </w:tcPr>
          <w:p w14:paraId="1F82E7A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3.2.2</w:t>
            </w:r>
          </w:p>
        </w:tc>
        <w:tc>
          <w:tcPr>
            <w:tcW w:w="1701" w:type="dxa"/>
            <w:noWrap w:val="0"/>
            <w:vAlign w:val="center"/>
          </w:tcPr>
          <w:p w14:paraId="06553631">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评标基准价计算方法</w:t>
            </w:r>
          </w:p>
        </w:tc>
        <w:tc>
          <w:tcPr>
            <w:tcW w:w="4225" w:type="dxa"/>
            <w:noWrap w:val="0"/>
            <w:vAlign w:val="center"/>
          </w:tcPr>
          <w:p w14:paraId="7C4BE0AF">
            <w:pPr>
              <w:keepNext w:val="0"/>
              <w:keepLines w:val="0"/>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有效的投标报价中的最低价作为评标基准价</w:t>
            </w:r>
          </w:p>
        </w:tc>
        <w:tc>
          <w:tcPr>
            <w:tcW w:w="2012" w:type="dxa"/>
            <w:noWrap w:val="0"/>
            <w:vAlign w:val="center"/>
          </w:tcPr>
          <w:p w14:paraId="551A52BB">
            <w:pPr>
              <w:keepNext w:val="0"/>
              <w:keepLines w:val="0"/>
              <w:suppressLineNumbers w:val="0"/>
              <w:snapToGrid w:val="0"/>
              <w:spacing w:before="0" w:beforeAutospacing="0" w:after="0" w:afterAutospacing="0" w:line="288" w:lineRule="auto"/>
              <w:ind w:left="-38" w:right="0"/>
              <w:rPr>
                <w:rFonts w:hint="eastAsia" w:ascii="仿宋" w:hAnsi="仿宋" w:eastAsia="仿宋" w:cs="仿宋"/>
                <w:sz w:val="24"/>
              </w:rPr>
            </w:pPr>
            <w:r>
              <w:rPr>
                <w:rFonts w:hint="eastAsia" w:ascii="仿宋" w:hAnsi="仿宋" w:eastAsia="仿宋" w:cs="仿宋"/>
                <w:sz w:val="24"/>
              </w:rPr>
              <w:t>符合价格扣除政策的，用扣除后的价格参与计算、评分</w:t>
            </w:r>
          </w:p>
        </w:tc>
      </w:tr>
      <w:tr w14:paraId="08B4A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09" w:type="dxa"/>
            <w:gridSpan w:val="2"/>
            <w:noWrap w:val="0"/>
            <w:vAlign w:val="center"/>
          </w:tcPr>
          <w:p w14:paraId="24D15FDA">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条款号</w:t>
            </w:r>
          </w:p>
        </w:tc>
        <w:tc>
          <w:tcPr>
            <w:tcW w:w="1701" w:type="dxa"/>
            <w:noWrap w:val="0"/>
            <w:vAlign w:val="center"/>
          </w:tcPr>
          <w:p w14:paraId="523CB23F">
            <w:pPr>
              <w:keepNext w:val="0"/>
              <w:keepLines w:val="0"/>
              <w:suppressLineNumbers w:val="0"/>
              <w:snapToGrid w:val="0"/>
              <w:spacing w:before="0" w:beforeAutospacing="0" w:after="0" w:afterAutospacing="0" w:line="288" w:lineRule="auto"/>
              <w:ind w:left="0" w:right="0"/>
              <w:jc w:val="center"/>
              <w:rPr>
                <w:rFonts w:hint="eastAsia" w:ascii="仿宋" w:hAnsi="仿宋" w:eastAsia="仿宋" w:cs="仿宋"/>
                <w:b/>
                <w:sz w:val="24"/>
              </w:rPr>
            </w:pPr>
            <w:r>
              <w:rPr>
                <w:rFonts w:hint="eastAsia" w:ascii="仿宋" w:hAnsi="仿宋" w:eastAsia="仿宋" w:cs="仿宋"/>
                <w:b/>
                <w:sz w:val="24"/>
              </w:rPr>
              <w:t>评分因素</w:t>
            </w:r>
          </w:p>
        </w:tc>
        <w:tc>
          <w:tcPr>
            <w:tcW w:w="6237" w:type="dxa"/>
            <w:gridSpan w:val="2"/>
            <w:noWrap w:val="0"/>
            <w:vAlign w:val="center"/>
          </w:tcPr>
          <w:p w14:paraId="5E6A4BD3">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
                <w:kern w:val="0"/>
                <w:sz w:val="24"/>
              </w:rPr>
            </w:pPr>
            <w:r>
              <w:rPr>
                <w:rFonts w:hint="eastAsia" w:ascii="仿宋" w:hAnsi="仿宋" w:eastAsia="仿宋" w:cs="仿宋"/>
                <w:b/>
                <w:sz w:val="24"/>
              </w:rPr>
              <w:t>评分标准</w:t>
            </w:r>
          </w:p>
        </w:tc>
      </w:tr>
      <w:tr w14:paraId="1CD79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01" w:type="dxa"/>
            <w:vMerge w:val="restart"/>
            <w:noWrap w:val="0"/>
            <w:vAlign w:val="center"/>
          </w:tcPr>
          <w:p w14:paraId="4492E2B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3.2.3（1）</w:t>
            </w:r>
          </w:p>
          <w:p w14:paraId="2C08E3AC">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商务技术</w:t>
            </w:r>
          </w:p>
          <w:p w14:paraId="0C82A44D">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部分</w:t>
            </w:r>
          </w:p>
        </w:tc>
        <w:tc>
          <w:tcPr>
            <w:tcW w:w="708" w:type="dxa"/>
            <w:noWrap w:val="0"/>
            <w:vAlign w:val="center"/>
          </w:tcPr>
          <w:p w14:paraId="42139870">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1</w:t>
            </w:r>
          </w:p>
        </w:tc>
        <w:tc>
          <w:tcPr>
            <w:tcW w:w="1701" w:type="dxa"/>
            <w:noWrap w:val="0"/>
            <w:vAlign w:val="center"/>
          </w:tcPr>
          <w:p w14:paraId="6C665DB2">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技术参数或要求的响应性（40分）</w:t>
            </w:r>
          </w:p>
        </w:tc>
        <w:tc>
          <w:tcPr>
            <w:tcW w:w="6237" w:type="dxa"/>
            <w:gridSpan w:val="2"/>
            <w:noWrap w:val="0"/>
            <w:vAlign w:val="center"/>
          </w:tcPr>
          <w:p w14:paraId="34540F79">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 xml:space="preserve">根据技术参数及要求的响应情况进行综合打分，所投产品全部参数及要求完全满足招标文件的，得满分40分： </w:t>
            </w:r>
          </w:p>
          <w:p w14:paraId="33A46F0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b/>
                <w:bCs/>
                <w:kern w:val="0"/>
                <w:sz w:val="24"/>
              </w:rPr>
            </w:pPr>
            <w:r>
              <w:rPr>
                <w:rFonts w:hint="eastAsia" w:ascii="仿宋" w:hAnsi="仿宋" w:eastAsia="仿宋" w:cs="仿宋"/>
                <w:kern w:val="0"/>
                <w:sz w:val="24"/>
              </w:rPr>
              <w:t>1、小星号（“</w:t>
            </w:r>
            <w:r>
              <w:rPr>
                <w:rFonts w:hint="eastAsia" w:ascii="仿宋" w:hAnsi="仿宋" w:eastAsia="仿宋" w:cs="仿宋"/>
                <w:b/>
                <w:bCs/>
                <w:kern w:val="0"/>
                <w:sz w:val="24"/>
              </w:rPr>
              <w:t>*</w:t>
            </w:r>
            <w:r>
              <w:rPr>
                <w:rFonts w:hint="eastAsia" w:ascii="仿宋" w:hAnsi="仿宋" w:eastAsia="仿宋" w:cs="仿宋"/>
                <w:kern w:val="0"/>
                <w:sz w:val="24"/>
              </w:rPr>
              <w:t>”）</w:t>
            </w:r>
            <w:r>
              <w:rPr>
                <w:rFonts w:hint="eastAsia" w:ascii="仿宋" w:hAnsi="仿宋" w:eastAsia="仿宋" w:cs="仿宋"/>
                <w:kern w:val="0"/>
                <w:sz w:val="24"/>
                <w:lang w:eastAsia="zh-Hans"/>
              </w:rPr>
              <w:t>的参数</w:t>
            </w:r>
            <w:r>
              <w:rPr>
                <w:rFonts w:hint="eastAsia" w:ascii="仿宋" w:hAnsi="仿宋" w:eastAsia="仿宋" w:cs="仿宋"/>
                <w:kern w:val="0"/>
                <w:sz w:val="24"/>
              </w:rPr>
              <w:t>为实质性响应参数，</w:t>
            </w:r>
            <w:r>
              <w:rPr>
                <w:rFonts w:hint="eastAsia" w:ascii="仿宋" w:hAnsi="仿宋" w:eastAsia="仿宋" w:cs="仿宋"/>
                <w:b/>
                <w:bCs/>
                <w:kern w:val="0"/>
                <w:sz w:val="24"/>
              </w:rPr>
              <w:t>负偏离投标无效；</w:t>
            </w:r>
          </w:p>
          <w:p w14:paraId="6DB06B60">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lang w:eastAsia="zh-Hans"/>
              </w:rPr>
              <w:t>标注</w:t>
            </w:r>
            <w:r>
              <w:rPr>
                <w:rFonts w:hint="eastAsia" w:ascii="仿宋" w:hAnsi="仿宋" w:eastAsia="仿宋" w:cs="仿宋"/>
                <w:kern w:val="0"/>
                <w:sz w:val="24"/>
              </w:rPr>
              <w:t>“★”的参数为重要技术</w:t>
            </w:r>
            <w:r>
              <w:rPr>
                <w:rFonts w:hint="eastAsia" w:ascii="仿宋" w:hAnsi="仿宋" w:eastAsia="仿宋" w:cs="仿宋"/>
                <w:kern w:val="0"/>
                <w:sz w:val="24"/>
                <w:lang w:eastAsia="zh-Hans"/>
              </w:rPr>
              <w:t>参数</w:t>
            </w:r>
            <w:r>
              <w:rPr>
                <w:rFonts w:hint="eastAsia" w:ascii="仿宋" w:hAnsi="仿宋" w:eastAsia="仿宋" w:cs="仿宋"/>
                <w:kern w:val="0"/>
                <w:sz w:val="24"/>
              </w:rPr>
              <w:t>，每满足一项得2分，共15项，满分30分；</w:t>
            </w:r>
          </w:p>
          <w:p w14:paraId="194CF0EC">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w:t>
            </w:r>
            <w:r>
              <w:rPr>
                <w:rFonts w:hint="eastAsia" w:ascii="仿宋" w:hAnsi="仿宋" w:eastAsia="仿宋" w:cs="仿宋"/>
                <w:kern w:val="0"/>
                <w:sz w:val="24"/>
                <w:lang w:eastAsia="zh-Hans"/>
              </w:rPr>
              <w:t>未标注</w:t>
            </w:r>
            <w:r>
              <w:rPr>
                <w:rFonts w:hint="eastAsia" w:ascii="仿宋" w:hAnsi="仿宋" w:eastAsia="仿宋" w:cs="仿宋"/>
                <w:kern w:val="0"/>
                <w:sz w:val="24"/>
              </w:rPr>
              <w:t>“★”的参数为普通技术参数，共81项，在满足71条普通技术参数的基础上，每满足一项得1分，共10分。</w:t>
            </w:r>
          </w:p>
          <w:p w14:paraId="6BA037AC">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b/>
                <w:bCs/>
                <w:kern w:val="0"/>
                <w:sz w:val="24"/>
                <w:lang w:eastAsia="zh-Hans"/>
              </w:rPr>
              <w:t>注</w:t>
            </w:r>
            <w:r>
              <w:rPr>
                <w:rFonts w:hint="eastAsia" w:ascii="仿宋" w:hAnsi="仿宋" w:eastAsia="仿宋" w:cs="仿宋"/>
                <w:b/>
                <w:bCs/>
                <w:kern w:val="0"/>
                <w:sz w:val="24"/>
              </w:rPr>
              <w:t>：</w:t>
            </w:r>
            <w:r>
              <w:rPr>
                <w:rFonts w:hint="eastAsia" w:ascii="仿宋" w:hAnsi="仿宋" w:eastAsia="仿宋" w:cs="仿宋"/>
                <w:b/>
                <w:bCs/>
                <w:kern w:val="0"/>
                <w:sz w:val="24"/>
                <w:lang w:eastAsia="zh-Hans"/>
              </w:rPr>
              <w:t>1、如某项标识中包含多条技术参数或要求，则该项标识所含内容均需满足或优于招标文件要求，否则不予认可；2、未</w:t>
            </w:r>
            <w:r>
              <w:rPr>
                <w:rFonts w:hint="eastAsia" w:ascii="仿宋" w:hAnsi="仿宋" w:eastAsia="仿宋" w:cs="仿宋"/>
                <w:b/>
                <w:bCs/>
                <w:kern w:val="0"/>
                <w:sz w:val="24"/>
              </w:rPr>
              <w:t>标注</w:t>
            </w:r>
            <w:r>
              <w:rPr>
                <w:rFonts w:hint="eastAsia" w:ascii="仿宋" w:hAnsi="仿宋" w:eastAsia="仿宋" w:cs="仿宋"/>
                <w:kern w:val="0"/>
                <w:sz w:val="24"/>
              </w:rPr>
              <w:t>“★”</w:t>
            </w:r>
            <w:r>
              <w:rPr>
                <w:rFonts w:hint="eastAsia" w:ascii="仿宋" w:hAnsi="仿宋" w:eastAsia="仿宋" w:cs="仿宋"/>
                <w:b/>
                <w:bCs/>
                <w:kern w:val="0"/>
                <w:sz w:val="24"/>
              </w:rPr>
              <w:t>的技术参数响应情况</w:t>
            </w:r>
            <w:r>
              <w:rPr>
                <w:rFonts w:hint="eastAsia" w:ascii="仿宋" w:hAnsi="仿宋" w:eastAsia="仿宋" w:cs="仿宋"/>
                <w:b/>
                <w:bCs/>
                <w:kern w:val="0"/>
                <w:sz w:val="24"/>
                <w:lang w:eastAsia="zh-Hans"/>
              </w:rPr>
              <w:t>以技术规格偏离表</w:t>
            </w:r>
            <w:r>
              <w:rPr>
                <w:rFonts w:hint="eastAsia" w:ascii="仿宋" w:hAnsi="仿宋" w:eastAsia="仿宋" w:cs="仿宋"/>
                <w:b/>
                <w:bCs/>
                <w:kern w:val="0"/>
                <w:sz w:val="24"/>
              </w:rPr>
              <w:t>中</w:t>
            </w:r>
            <w:r>
              <w:rPr>
                <w:rFonts w:hint="eastAsia" w:ascii="仿宋" w:hAnsi="仿宋" w:eastAsia="仿宋" w:cs="仿宋"/>
                <w:b/>
                <w:bCs/>
                <w:kern w:val="0"/>
                <w:sz w:val="24"/>
                <w:lang w:eastAsia="zh-Hans"/>
              </w:rPr>
              <w:t>的响应情况为准</w:t>
            </w:r>
            <w:r>
              <w:rPr>
                <w:rFonts w:hint="eastAsia" w:ascii="仿宋" w:hAnsi="仿宋" w:eastAsia="仿宋" w:cs="仿宋"/>
                <w:b/>
                <w:bCs/>
                <w:kern w:val="0"/>
                <w:sz w:val="24"/>
              </w:rPr>
              <w:t>；</w:t>
            </w:r>
            <w:r>
              <w:rPr>
                <w:rFonts w:hint="eastAsia" w:ascii="仿宋" w:hAnsi="仿宋" w:eastAsia="仿宋" w:cs="仿宋"/>
                <w:b/>
                <w:bCs/>
                <w:kern w:val="0"/>
                <w:sz w:val="24"/>
                <w:lang w:eastAsia="zh-Hans"/>
              </w:rPr>
              <w:t>标注“</w:t>
            </w:r>
            <w:r>
              <w:rPr>
                <w:rFonts w:hint="eastAsia" w:ascii="仿宋" w:hAnsi="仿宋" w:eastAsia="仿宋" w:cs="仿宋"/>
                <w:b/>
                <w:bCs/>
                <w:kern w:val="0"/>
                <w:sz w:val="24"/>
              </w:rPr>
              <w:t>★</w:t>
            </w:r>
            <w:r>
              <w:rPr>
                <w:rFonts w:hint="eastAsia" w:ascii="仿宋" w:hAnsi="仿宋" w:eastAsia="仿宋" w:cs="仿宋"/>
                <w:b/>
                <w:bCs/>
                <w:kern w:val="0"/>
                <w:sz w:val="24"/>
                <w:lang w:eastAsia="zh-Hans"/>
              </w:rPr>
              <w:t>”的条款，须提供相关证明材料</w:t>
            </w:r>
            <w:r>
              <w:rPr>
                <w:rFonts w:hint="eastAsia" w:ascii="仿宋" w:hAnsi="仿宋" w:eastAsia="仿宋" w:cs="仿宋"/>
                <w:b/>
                <w:bCs/>
                <w:kern w:val="0"/>
                <w:sz w:val="24"/>
              </w:rPr>
              <w:t>，</w:t>
            </w:r>
            <w:r>
              <w:rPr>
                <w:rFonts w:hint="eastAsia" w:ascii="仿宋" w:hAnsi="仿宋" w:eastAsia="仿宋" w:cs="仿宋"/>
                <w:b/>
                <w:bCs/>
                <w:kern w:val="0"/>
                <w:sz w:val="24"/>
                <w:lang w:eastAsia="zh-Hans"/>
              </w:rPr>
              <w:t>如招标文件中明确要求证明材料类型，则以招标文件明确要求的材料为准</w:t>
            </w:r>
            <w:r>
              <w:rPr>
                <w:rFonts w:hint="eastAsia" w:ascii="仿宋" w:hAnsi="仿宋" w:eastAsia="仿宋" w:cs="仿宋"/>
                <w:b/>
                <w:bCs/>
                <w:kern w:val="0"/>
                <w:sz w:val="24"/>
              </w:rPr>
              <w:t>，</w:t>
            </w:r>
            <w:r>
              <w:rPr>
                <w:rFonts w:hint="eastAsia" w:ascii="仿宋" w:hAnsi="仿宋" w:eastAsia="仿宋" w:cs="仿宋"/>
                <w:b/>
                <w:bCs/>
                <w:kern w:val="0"/>
                <w:sz w:val="24"/>
                <w:lang w:eastAsia="zh-Hans"/>
              </w:rPr>
              <w:t>如未明确证明材料的类型，则以技术支持资料作为评审依据，技术支持资料包括：医疗器械注册证、具有“CMA”标识且在有效期内的检测或检验报告扫描件</w:t>
            </w:r>
            <w:r>
              <w:rPr>
                <w:rFonts w:hint="eastAsia" w:ascii="仿宋" w:hAnsi="仿宋" w:eastAsia="仿宋" w:cs="仿宋"/>
                <w:b/>
                <w:bCs/>
                <w:kern w:val="0"/>
                <w:sz w:val="24"/>
              </w:rPr>
              <w:t>、产品实物照片</w:t>
            </w:r>
            <w:r>
              <w:rPr>
                <w:rFonts w:hint="eastAsia" w:ascii="仿宋" w:hAnsi="仿宋" w:eastAsia="仿宋" w:cs="仿宋"/>
                <w:b/>
                <w:bCs/>
                <w:kern w:val="0"/>
                <w:sz w:val="24"/>
                <w:lang w:eastAsia="zh-Hans"/>
              </w:rPr>
              <w:t>、</w:t>
            </w:r>
            <w:r>
              <w:rPr>
                <w:rFonts w:hint="eastAsia" w:ascii="仿宋" w:hAnsi="仿宋" w:eastAsia="仿宋" w:cs="仿宋"/>
                <w:b/>
                <w:bCs/>
                <w:kern w:val="0"/>
                <w:sz w:val="24"/>
              </w:rPr>
              <w:t>公开发布的产品</w:t>
            </w:r>
            <w:r>
              <w:rPr>
                <w:rFonts w:hint="eastAsia" w:ascii="仿宋" w:hAnsi="仿宋" w:eastAsia="仿宋" w:cs="仿宋"/>
                <w:b/>
                <w:bCs/>
                <w:kern w:val="0"/>
                <w:sz w:val="24"/>
                <w:lang w:eastAsia="zh-Hans"/>
              </w:rPr>
              <w:t>彩页、官网截图等，提供其中之一即可。</w:t>
            </w:r>
          </w:p>
        </w:tc>
      </w:tr>
      <w:tr w14:paraId="6363C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101" w:type="dxa"/>
            <w:vMerge w:val="continue"/>
            <w:noWrap w:val="0"/>
            <w:vAlign w:val="center"/>
          </w:tcPr>
          <w:p w14:paraId="4D74993C">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12E89982">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2</w:t>
            </w:r>
          </w:p>
        </w:tc>
        <w:tc>
          <w:tcPr>
            <w:tcW w:w="1701" w:type="dxa"/>
            <w:noWrap w:val="0"/>
            <w:vAlign w:val="center"/>
          </w:tcPr>
          <w:p w14:paraId="077E897F">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质保承诺（3分）</w:t>
            </w:r>
          </w:p>
        </w:tc>
        <w:tc>
          <w:tcPr>
            <w:tcW w:w="6237" w:type="dxa"/>
            <w:gridSpan w:val="2"/>
            <w:noWrap w:val="0"/>
            <w:vAlign w:val="center"/>
          </w:tcPr>
          <w:p w14:paraId="72488EB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b/>
                <w:bCs/>
                <w:kern w:val="0"/>
                <w:sz w:val="24"/>
              </w:rPr>
            </w:pPr>
            <w:r>
              <w:rPr>
                <w:rFonts w:hint="eastAsia" w:ascii="仿宋" w:hAnsi="仿宋" w:eastAsia="仿宋" w:cs="仿宋"/>
                <w:sz w:val="24"/>
              </w:rPr>
              <w:t>质保期满足采购文件要求的，不得分,在采购文件要求的基础上每增加1年免费质保加1分,满分3分。</w:t>
            </w:r>
          </w:p>
        </w:tc>
      </w:tr>
      <w:tr w14:paraId="49686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6C3AA334">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76F1FE4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3</w:t>
            </w:r>
          </w:p>
        </w:tc>
        <w:tc>
          <w:tcPr>
            <w:tcW w:w="1701" w:type="dxa"/>
            <w:noWrap w:val="0"/>
            <w:vAlign w:val="center"/>
          </w:tcPr>
          <w:p w14:paraId="402B492A">
            <w:pPr>
              <w:keepNext w:val="0"/>
              <w:keepLines w:val="0"/>
              <w:widowControl/>
              <w:suppressLineNumbers w:val="0"/>
              <w:adjustRightInd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产品综合评价（5分）</w:t>
            </w:r>
          </w:p>
        </w:tc>
        <w:tc>
          <w:tcPr>
            <w:tcW w:w="6237" w:type="dxa"/>
            <w:gridSpan w:val="2"/>
            <w:noWrap w:val="0"/>
            <w:vAlign w:val="center"/>
          </w:tcPr>
          <w:p w14:paraId="3C767DAC">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根据所投产品的配置情况、综合性能、设计等方面进行综合评审：</w:t>
            </w:r>
          </w:p>
          <w:p w14:paraId="46D635E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1、产品配置丰富、综合性能稳定、设计人性化的得5分；</w:t>
            </w:r>
          </w:p>
          <w:p w14:paraId="034D46C1">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2、产品配置丰富、综合性能较稳定、设计较人性化的得3分；</w:t>
            </w:r>
          </w:p>
          <w:p w14:paraId="26817CF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3、产品配置待优化、设计有待提升的得1分；</w:t>
            </w:r>
          </w:p>
          <w:p w14:paraId="7AB92A20">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4、未提供不得分。</w:t>
            </w:r>
          </w:p>
        </w:tc>
      </w:tr>
      <w:tr w14:paraId="26F6E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152AF8BA">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0A3A7A8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4</w:t>
            </w:r>
          </w:p>
        </w:tc>
        <w:tc>
          <w:tcPr>
            <w:tcW w:w="1701" w:type="dxa"/>
            <w:noWrap w:val="0"/>
            <w:vAlign w:val="center"/>
          </w:tcPr>
          <w:p w14:paraId="05314EBB">
            <w:pPr>
              <w:keepNext w:val="0"/>
              <w:keepLines w:val="0"/>
              <w:widowControl/>
              <w:suppressLineNumbers w:val="0"/>
              <w:adjustRightInd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人员及培训方案（4分）</w:t>
            </w:r>
          </w:p>
        </w:tc>
        <w:tc>
          <w:tcPr>
            <w:tcW w:w="6237" w:type="dxa"/>
            <w:gridSpan w:val="2"/>
            <w:noWrap w:val="0"/>
            <w:vAlign w:val="center"/>
          </w:tcPr>
          <w:p w14:paraId="6054D81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根据供应商提供的专业技术人员及培训方案内容的详实程度、可实施性等进行综合评审：</w:t>
            </w:r>
          </w:p>
          <w:p w14:paraId="0A9ABADD">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1、人员专业、技术培训方案内容详实、实施性强得4分；</w:t>
            </w:r>
          </w:p>
          <w:p w14:paraId="0F0E5CF1">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2、人员较专业、技术培训方案完整、实施性较强得2分；</w:t>
            </w:r>
          </w:p>
          <w:p w14:paraId="545A5841">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3、技术培训方案内容完整性及实施性有待提高得1分；</w:t>
            </w:r>
          </w:p>
          <w:p w14:paraId="49AF9FDB">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4、未提供不得分。</w:t>
            </w:r>
          </w:p>
        </w:tc>
      </w:tr>
      <w:tr w14:paraId="5E398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7C8B726C">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137025E9">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5</w:t>
            </w:r>
          </w:p>
        </w:tc>
        <w:tc>
          <w:tcPr>
            <w:tcW w:w="1701" w:type="dxa"/>
            <w:noWrap w:val="0"/>
            <w:vAlign w:val="center"/>
          </w:tcPr>
          <w:p w14:paraId="5F9D2A78">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售后服务（4分）</w:t>
            </w:r>
          </w:p>
        </w:tc>
        <w:tc>
          <w:tcPr>
            <w:tcW w:w="6237" w:type="dxa"/>
            <w:gridSpan w:val="2"/>
            <w:noWrap w:val="0"/>
            <w:vAlign w:val="center"/>
          </w:tcPr>
          <w:p w14:paraId="650BB5A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根据供应商提供的售后服务方案（包括售后响应时间、保障措施等）、维保方案（包括质保内容、保养频次、备品备件供应、质保期外售后服务方案、售后人员配备等）进行综合评审；</w:t>
            </w:r>
          </w:p>
          <w:p w14:paraId="4A544FA0">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1、方案完整全面，售后响应及时，人员配备完善的得4分；</w:t>
            </w:r>
          </w:p>
          <w:p w14:paraId="10E41C2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2、方案较完整，售后响应较及时，人员配备满足项目需求的得2分；</w:t>
            </w:r>
          </w:p>
          <w:p w14:paraId="45A6884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3、方案内容有待完善，售后响应不及时，人员配备不足的得1分；</w:t>
            </w:r>
          </w:p>
          <w:p w14:paraId="33E047C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4、未提供不得分。</w:t>
            </w:r>
          </w:p>
        </w:tc>
      </w:tr>
      <w:tr w14:paraId="154C8D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29299643">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52CCAEA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6</w:t>
            </w:r>
          </w:p>
        </w:tc>
        <w:tc>
          <w:tcPr>
            <w:tcW w:w="1701" w:type="dxa"/>
            <w:noWrap w:val="0"/>
            <w:vAlign w:val="center"/>
          </w:tcPr>
          <w:p w14:paraId="5C6BA9DF">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供货安装（调试）实施方案</w:t>
            </w:r>
          </w:p>
          <w:p w14:paraId="43606535">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（4分）</w:t>
            </w:r>
          </w:p>
        </w:tc>
        <w:tc>
          <w:tcPr>
            <w:tcW w:w="6237" w:type="dxa"/>
            <w:gridSpan w:val="2"/>
            <w:noWrap w:val="0"/>
            <w:vAlign w:val="center"/>
          </w:tcPr>
          <w:p w14:paraId="548A01A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投标人自行制定</w:t>
            </w:r>
            <w:r>
              <w:rPr>
                <w:rFonts w:hint="eastAsia" w:ascii="仿宋" w:hAnsi="仿宋" w:eastAsia="仿宋" w:cs="仿宋"/>
                <w:kern w:val="0"/>
                <w:sz w:val="24"/>
                <w:lang w:eastAsia="zh-Hans"/>
              </w:rPr>
              <w:t>供</w:t>
            </w:r>
            <w:r>
              <w:rPr>
                <w:rFonts w:hint="eastAsia" w:ascii="仿宋" w:hAnsi="仿宋" w:eastAsia="仿宋" w:cs="仿宋"/>
                <w:kern w:val="0"/>
                <w:sz w:val="24"/>
              </w:rPr>
              <w:t>货安装调试及技术培训</w:t>
            </w:r>
            <w:r>
              <w:rPr>
                <w:rFonts w:hint="eastAsia" w:ascii="仿宋" w:hAnsi="仿宋" w:eastAsia="仿宋" w:cs="仿宋"/>
                <w:kern w:val="0"/>
                <w:sz w:val="24"/>
                <w:lang w:eastAsia="zh-Hans"/>
              </w:rPr>
              <w:t>等</w:t>
            </w:r>
            <w:r>
              <w:rPr>
                <w:rFonts w:hint="eastAsia" w:ascii="仿宋" w:hAnsi="仿宋" w:eastAsia="仿宋" w:cs="仿宋"/>
                <w:kern w:val="0"/>
                <w:sz w:val="24"/>
              </w:rPr>
              <w:t>方案，评委对所有投标</w:t>
            </w:r>
            <w:r>
              <w:rPr>
                <w:rFonts w:hint="eastAsia" w:ascii="仿宋" w:hAnsi="仿宋" w:eastAsia="仿宋" w:cs="仿宋"/>
                <w:kern w:val="0"/>
                <w:sz w:val="24"/>
                <w:lang w:eastAsia="zh-Hans"/>
              </w:rPr>
              <w:t>人</w:t>
            </w:r>
            <w:r>
              <w:rPr>
                <w:rFonts w:hint="eastAsia" w:ascii="仿宋" w:hAnsi="仿宋" w:eastAsia="仿宋" w:cs="仿宋"/>
                <w:kern w:val="0"/>
                <w:sz w:val="24"/>
              </w:rPr>
              <w:t>的</w:t>
            </w:r>
            <w:r>
              <w:rPr>
                <w:rFonts w:hint="eastAsia" w:ascii="仿宋" w:hAnsi="仿宋" w:eastAsia="仿宋" w:cs="仿宋"/>
                <w:kern w:val="0"/>
                <w:sz w:val="24"/>
                <w:lang w:eastAsia="zh-Hans"/>
              </w:rPr>
              <w:t>方案</w:t>
            </w:r>
            <w:r>
              <w:rPr>
                <w:rFonts w:hint="eastAsia" w:ascii="仿宋" w:hAnsi="仿宋" w:eastAsia="仿宋" w:cs="仿宋"/>
                <w:kern w:val="0"/>
                <w:sz w:val="24"/>
              </w:rPr>
              <w:t>进行</w:t>
            </w:r>
            <w:r>
              <w:rPr>
                <w:rFonts w:hint="eastAsia" w:ascii="仿宋" w:hAnsi="仿宋" w:eastAsia="仿宋" w:cs="仿宋"/>
                <w:kern w:val="0"/>
                <w:sz w:val="24"/>
                <w:lang w:eastAsia="zh-Hans"/>
              </w:rPr>
              <w:t>综合</w:t>
            </w:r>
            <w:r>
              <w:rPr>
                <w:rFonts w:hint="eastAsia" w:ascii="仿宋" w:hAnsi="仿宋" w:eastAsia="仿宋" w:cs="仿宋"/>
                <w:kern w:val="0"/>
                <w:sz w:val="24"/>
              </w:rPr>
              <w:t>比较打分：</w:t>
            </w:r>
          </w:p>
          <w:p w14:paraId="7F5E41A5">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1.方案全面</w:t>
            </w:r>
            <w:r>
              <w:rPr>
                <w:rFonts w:hint="eastAsia" w:ascii="仿宋" w:hAnsi="仿宋" w:eastAsia="仿宋" w:cs="仿宋"/>
                <w:kern w:val="0"/>
                <w:sz w:val="24"/>
                <w:lang w:eastAsia="zh-Hans"/>
              </w:rPr>
              <w:t>完善</w:t>
            </w:r>
            <w:r>
              <w:rPr>
                <w:rFonts w:hint="eastAsia" w:ascii="仿宋" w:hAnsi="仿宋" w:eastAsia="仿宋" w:cs="仿宋"/>
                <w:kern w:val="0"/>
                <w:sz w:val="24"/>
              </w:rPr>
              <w:t>、组织架构科学、针对性</w:t>
            </w:r>
            <w:r>
              <w:rPr>
                <w:rFonts w:hint="eastAsia" w:ascii="仿宋" w:hAnsi="仿宋" w:eastAsia="仿宋" w:cs="仿宋"/>
                <w:kern w:val="0"/>
                <w:sz w:val="24"/>
                <w:lang w:eastAsia="zh-Hans"/>
              </w:rPr>
              <w:t>及</w:t>
            </w:r>
            <w:r>
              <w:rPr>
                <w:rFonts w:hint="eastAsia" w:ascii="仿宋" w:hAnsi="仿宋" w:eastAsia="仿宋" w:cs="仿宋"/>
                <w:kern w:val="0"/>
                <w:sz w:val="24"/>
              </w:rPr>
              <w:t>可行性强、完全满足采购需求的得4分；</w:t>
            </w:r>
          </w:p>
          <w:p w14:paraId="0899EB7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2.方案完整、组织架构合理、针对性</w:t>
            </w:r>
            <w:r>
              <w:rPr>
                <w:rFonts w:hint="eastAsia" w:ascii="仿宋" w:hAnsi="仿宋" w:eastAsia="仿宋" w:cs="仿宋"/>
                <w:kern w:val="0"/>
                <w:sz w:val="24"/>
                <w:lang w:eastAsia="zh-Hans"/>
              </w:rPr>
              <w:t>及</w:t>
            </w:r>
            <w:r>
              <w:rPr>
                <w:rFonts w:hint="eastAsia" w:ascii="仿宋" w:hAnsi="仿宋" w:eastAsia="仿宋" w:cs="仿宋"/>
                <w:kern w:val="0"/>
                <w:sz w:val="24"/>
              </w:rPr>
              <w:t>可行性较强的得2分；</w:t>
            </w:r>
          </w:p>
          <w:p w14:paraId="36B5CE4D">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3.方案不完整、组织架构不合理、针对性</w:t>
            </w:r>
            <w:r>
              <w:rPr>
                <w:rFonts w:hint="eastAsia" w:ascii="仿宋" w:hAnsi="仿宋" w:eastAsia="仿宋" w:cs="仿宋"/>
                <w:kern w:val="0"/>
                <w:sz w:val="24"/>
                <w:lang w:eastAsia="zh-Hans"/>
              </w:rPr>
              <w:t>及</w:t>
            </w:r>
            <w:r>
              <w:rPr>
                <w:rFonts w:hint="eastAsia" w:ascii="仿宋" w:hAnsi="仿宋" w:eastAsia="仿宋" w:cs="仿宋"/>
                <w:kern w:val="0"/>
                <w:sz w:val="24"/>
              </w:rPr>
              <w:t>可行性不强、基本满足采购需求的得 1 分；</w:t>
            </w:r>
          </w:p>
          <w:p w14:paraId="0173D49E">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 xml:space="preserve">4．未提供的不得分。 </w:t>
            </w:r>
          </w:p>
        </w:tc>
      </w:tr>
      <w:tr w14:paraId="60C3A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61A2383D">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7559710E">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7</w:t>
            </w:r>
          </w:p>
        </w:tc>
        <w:tc>
          <w:tcPr>
            <w:tcW w:w="1701" w:type="dxa"/>
            <w:noWrap w:val="0"/>
            <w:vAlign w:val="center"/>
          </w:tcPr>
          <w:p w14:paraId="2D26EB31">
            <w:pPr>
              <w:keepNext w:val="0"/>
              <w:keepLines w:val="0"/>
              <w:widowControl/>
              <w:suppressLineNumbers w:val="0"/>
              <w:adjustRightInd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配套特色服务</w:t>
            </w:r>
          </w:p>
          <w:p w14:paraId="3C1F3FF8">
            <w:pPr>
              <w:keepNext w:val="0"/>
              <w:keepLines w:val="0"/>
              <w:widowControl/>
              <w:suppressLineNumbers w:val="0"/>
              <w:adjustRightInd w:val="0"/>
              <w:snapToGrid w:val="0"/>
              <w:spacing w:before="0" w:beforeAutospacing="0" w:after="0" w:afterAutospacing="0" w:line="288" w:lineRule="auto"/>
              <w:ind w:left="0" w:right="0"/>
              <w:jc w:val="center"/>
              <w:rPr>
                <w:rFonts w:hint="eastAsia" w:ascii="仿宋" w:hAnsi="仿宋" w:eastAsia="仿宋" w:cs="仿宋"/>
                <w:sz w:val="24"/>
              </w:rPr>
            </w:pPr>
            <w:r>
              <w:rPr>
                <w:rFonts w:hint="eastAsia" w:ascii="仿宋" w:hAnsi="仿宋" w:eastAsia="仿宋" w:cs="仿宋"/>
                <w:sz w:val="24"/>
              </w:rPr>
              <w:t>(4分）</w:t>
            </w:r>
          </w:p>
        </w:tc>
        <w:tc>
          <w:tcPr>
            <w:tcW w:w="6237" w:type="dxa"/>
            <w:gridSpan w:val="2"/>
            <w:noWrap w:val="0"/>
            <w:vAlign w:val="center"/>
          </w:tcPr>
          <w:p w14:paraId="3CBF4A4F">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根据投标人投标文件中提供的配套特色服务进行综合评分：</w:t>
            </w:r>
          </w:p>
          <w:p w14:paraId="3C38BB2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1、有具体的配套特色服务，且临床实用性强，实际价值高的，得4分；</w:t>
            </w:r>
          </w:p>
          <w:p w14:paraId="749FB16B">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2、有具体的配套特色服务，有一定的临床实用性，得2分；</w:t>
            </w:r>
          </w:p>
          <w:p w14:paraId="50FDFE4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3、配套特色服务有限，临床实用性有待加强的得1分；</w:t>
            </w:r>
          </w:p>
          <w:p w14:paraId="3066C2A5">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4、未提供相关证明材料的不得分。</w:t>
            </w:r>
          </w:p>
        </w:tc>
      </w:tr>
      <w:tr w14:paraId="0F711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5B10FB57">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4788444A">
            <w:pPr>
              <w:keepNext w:val="0"/>
              <w:keepLines w:val="0"/>
              <w:widowControl/>
              <w:suppressLineNumbers w:val="0"/>
              <w:snapToGrid w:val="0"/>
              <w:spacing w:before="0" w:beforeAutospacing="0" w:after="0" w:afterAutospacing="0" w:line="288" w:lineRule="auto"/>
              <w:ind w:left="0" w:right="0"/>
              <w:jc w:val="center"/>
              <w:rPr>
                <w:rFonts w:hint="default" w:ascii="仿宋" w:hAnsi="仿宋" w:eastAsia="仿宋" w:cs="仿宋"/>
                <w:kern w:val="0"/>
                <w:sz w:val="24"/>
              </w:rPr>
            </w:pPr>
            <w:r>
              <w:rPr>
                <w:rFonts w:hint="eastAsia" w:ascii="仿宋" w:hAnsi="仿宋" w:eastAsia="仿宋" w:cs="仿宋"/>
                <w:kern w:val="0"/>
                <w:sz w:val="24"/>
              </w:rPr>
              <w:t>8</w:t>
            </w:r>
          </w:p>
        </w:tc>
        <w:tc>
          <w:tcPr>
            <w:tcW w:w="1701" w:type="dxa"/>
            <w:noWrap w:val="0"/>
            <w:vAlign w:val="center"/>
          </w:tcPr>
          <w:p w14:paraId="7DBCCAF1">
            <w:pPr>
              <w:keepNext w:val="0"/>
              <w:keepLines w:val="0"/>
              <w:widowControl/>
              <w:suppressLineNumbers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零配件综合保障能力（2分）</w:t>
            </w:r>
          </w:p>
        </w:tc>
        <w:tc>
          <w:tcPr>
            <w:tcW w:w="6237" w:type="dxa"/>
            <w:gridSpan w:val="2"/>
            <w:noWrap w:val="0"/>
            <w:vAlign w:val="center"/>
          </w:tcPr>
          <w:p w14:paraId="17C5E2C9">
            <w:pPr>
              <w:keepNext w:val="0"/>
              <w:keepLines w:val="0"/>
              <w:widowControl/>
              <w:suppressLineNumbers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根据所提供产品零配件的供货保障能力、报价情况等方面进行综合评审：</w:t>
            </w:r>
          </w:p>
          <w:p w14:paraId="5A013781">
            <w:pPr>
              <w:keepNext w:val="0"/>
              <w:keepLines w:val="0"/>
              <w:widowControl/>
              <w:suppressLineNumbers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1、具备充分的零配件供货保障能力，涵盖所有必需零配件，报价优惠程度横向对比高的，得2分；</w:t>
            </w:r>
          </w:p>
          <w:p w14:paraId="56B41A00">
            <w:pPr>
              <w:keepNext w:val="0"/>
              <w:keepLines w:val="0"/>
              <w:widowControl/>
              <w:suppressLineNumbers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2、零配件供货保障基本满足本项目要求，能够满足基础的零配件使用需求，报价优惠程度横向对比低的，得1分；</w:t>
            </w:r>
          </w:p>
          <w:p w14:paraId="4A2174C8">
            <w:pPr>
              <w:keepNext w:val="0"/>
              <w:keepLines w:val="0"/>
              <w:widowControl/>
              <w:suppressLineNumbers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sz w:val="24"/>
              </w:rPr>
              <w:t>3、未提供不得分。</w:t>
            </w:r>
          </w:p>
        </w:tc>
      </w:tr>
      <w:tr w14:paraId="56C26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vMerge w:val="continue"/>
            <w:noWrap w:val="0"/>
            <w:vAlign w:val="top"/>
          </w:tcPr>
          <w:p w14:paraId="2ACC7DA6">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p>
        </w:tc>
        <w:tc>
          <w:tcPr>
            <w:tcW w:w="708" w:type="dxa"/>
            <w:noWrap w:val="0"/>
            <w:vAlign w:val="center"/>
          </w:tcPr>
          <w:p w14:paraId="2A4024D4">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9</w:t>
            </w:r>
          </w:p>
        </w:tc>
        <w:tc>
          <w:tcPr>
            <w:tcW w:w="1701" w:type="dxa"/>
            <w:noWrap w:val="0"/>
            <w:vAlign w:val="center"/>
          </w:tcPr>
          <w:p w14:paraId="20EC92B5">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kern w:val="0"/>
                <w:sz w:val="24"/>
              </w:rPr>
              <w:t>核心产品业绩</w:t>
            </w:r>
            <w:r>
              <w:rPr>
                <w:rFonts w:hint="eastAsia" w:ascii="仿宋" w:hAnsi="仿宋" w:eastAsia="仿宋" w:cs="仿宋"/>
                <w:sz w:val="24"/>
              </w:rPr>
              <w:t>（4分）</w:t>
            </w:r>
          </w:p>
        </w:tc>
        <w:tc>
          <w:tcPr>
            <w:tcW w:w="6237" w:type="dxa"/>
            <w:gridSpan w:val="2"/>
            <w:noWrap w:val="0"/>
            <w:vAlign w:val="center"/>
          </w:tcPr>
          <w:p w14:paraId="49645428">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每提供一份2022年1月1日以来（以合同签订时间为准），同品牌、同类产品在医疗机构的供货业绩合同得1分，本项最高得4分。</w:t>
            </w:r>
          </w:p>
          <w:p w14:paraId="0509BD1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kern w:val="0"/>
                <w:sz w:val="24"/>
              </w:rPr>
            </w:pPr>
            <w:r>
              <w:rPr>
                <w:rFonts w:hint="eastAsia" w:ascii="仿宋" w:hAnsi="仿宋" w:eastAsia="仿宋" w:cs="仿宋"/>
                <w:kern w:val="0"/>
                <w:sz w:val="24"/>
              </w:rPr>
              <w:t>注：（1）投标文件中须提供合同复印件，至少提供能反映买卖单位、最终用户、合同内容(含清单)、签订时间、签字盖章等内容的关键页面,否则不计分。（2）投标人提供的一份业绩合同中同时包含每包要求的核心产品或提供的多份合同中累计包含核心产品均可按照一份业绩合同计算得分。</w:t>
            </w:r>
          </w:p>
        </w:tc>
      </w:tr>
      <w:tr w14:paraId="37F0D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101" w:type="dxa"/>
            <w:noWrap w:val="0"/>
            <w:vAlign w:val="center"/>
          </w:tcPr>
          <w:p w14:paraId="6BDB9737">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3.2.3（2）</w:t>
            </w:r>
          </w:p>
          <w:p w14:paraId="7234BE78">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投标</w:t>
            </w:r>
          </w:p>
          <w:p w14:paraId="161C7201">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报价</w:t>
            </w:r>
          </w:p>
        </w:tc>
        <w:tc>
          <w:tcPr>
            <w:tcW w:w="708" w:type="dxa"/>
            <w:noWrap w:val="0"/>
            <w:vAlign w:val="center"/>
          </w:tcPr>
          <w:p w14:paraId="724F11A7">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kern w:val="0"/>
                <w:sz w:val="24"/>
              </w:rPr>
            </w:pPr>
            <w:r>
              <w:rPr>
                <w:rFonts w:hint="eastAsia" w:ascii="仿宋" w:hAnsi="仿宋" w:eastAsia="仿宋" w:cs="仿宋"/>
                <w:kern w:val="0"/>
                <w:sz w:val="24"/>
              </w:rPr>
              <w:t>1</w:t>
            </w:r>
          </w:p>
        </w:tc>
        <w:tc>
          <w:tcPr>
            <w:tcW w:w="1701" w:type="dxa"/>
            <w:noWrap w:val="0"/>
            <w:vAlign w:val="center"/>
          </w:tcPr>
          <w:p w14:paraId="13FA57EA">
            <w:pPr>
              <w:keepNext w:val="0"/>
              <w:keepLines w:val="0"/>
              <w:widowControl/>
              <w:suppressLineNumbers w:val="0"/>
              <w:adjustRightInd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投标报价得分计算</w:t>
            </w:r>
          </w:p>
        </w:tc>
        <w:tc>
          <w:tcPr>
            <w:tcW w:w="4225" w:type="dxa"/>
            <w:noWrap w:val="0"/>
            <w:vAlign w:val="center"/>
          </w:tcPr>
          <w:p w14:paraId="66B2B624">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满足招标文件要求且投标价格最低的投标报价的价格分为满分，其他投标人的价格分统一按照下列公式计算：</w:t>
            </w:r>
          </w:p>
          <w:p w14:paraId="03D08D8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sz w:val="24"/>
              </w:rPr>
            </w:pPr>
            <w:r>
              <w:rPr>
                <w:rFonts w:hint="eastAsia" w:ascii="仿宋" w:hAnsi="仿宋" w:eastAsia="仿宋" w:cs="仿宋"/>
                <w:sz w:val="24"/>
              </w:rPr>
              <w:t>投标报价得分＝（评标基准价/投标报价）×30。</w:t>
            </w:r>
          </w:p>
        </w:tc>
        <w:tc>
          <w:tcPr>
            <w:tcW w:w="2012" w:type="dxa"/>
            <w:noWrap w:val="0"/>
            <w:vAlign w:val="center"/>
          </w:tcPr>
          <w:p w14:paraId="2FF998BE">
            <w:pPr>
              <w:keepNext w:val="0"/>
              <w:keepLines w:val="0"/>
              <w:suppressLineNumbers w:val="0"/>
              <w:snapToGrid w:val="0"/>
              <w:spacing w:before="0" w:beforeAutospacing="0" w:after="0" w:afterAutospacing="0" w:line="288" w:lineRule="auto"/>
              <w:ind w:left="-38" w:right="0"/>
              <w:rPr>
                <w:rFonts w:hint="eastAsia" w:ascii="仿宋" w:hAnsi="仿宋" w:eastAsia="仿宋" w:cs="仿宋"/>
                <w:sz w:val="24"/>
              </w:rPr>
            </w:pPr>
            <w:r>
              <w:rPr>
                <w:rFonts w:hint="eastAsia" w:ascii="仿宋" w:hAnsi="仿宋" w:eastAsia="仿宋" w:cs="仿宋"/>
                <w:sz w:val="24"/>
              </w:rPr>
              <w:t>符合价格扣除政策的，用扣除后的价格参与计算、评分</w:t>
            </w:r>
          </w:p>
        </w:tc>
      </w:tr>
    </w:tbl>
    <w:p w14:paraId="52531A45">
      <w:pPr>
        <w:pStyle w:val="3"/>
        <w:widowControl/>
        <w:adjustRightInd w:val="0"/>
        <w:spacing w:before="0" w:after="0" w:line="360" w:lineRule="auto"/>
        <w:ind w:firstLine="482" w:firstLineChars="200"/>
        <w:rPr>
          <w:rFonts w:hint="eastAsia" w:ascii="宋体" w:hAnsi="宋体" w:eastAsia="仿宋"/>
          <w:bCs w:val="0"/>
          <w:sz w:val="24"/>
          <w:szCs w:val="24"/>
        </w:rPr>
      </w:pPr>
    </w:p>
    <w:p w14:paraId="77AADC6E">
      <w:pPr>
        <w:pStyle w:val="3"/>
        <w:widowControl/>
        <w:adjustRightInd w:val="0"/>
        <w:spacing w:before="0" w:after="0" w:line="360" w:lineRule="auto"/>
        <w:ind w:firstLine="482" w:firstLineChars="200"/>
        <w:rPr>
          <w:rFonts w:hint="eastAsia" w:ascii="宋体" w:hAnsi="宋体" w:eastAsia="仿宋"/>
          <w:bCs w:val="0"/>
          <w:sz w:val="24"/>
          <w:szCs w:val="24"/>
        </w:rPr>
      </w:pPr>
    </w:p>
    <w:p w14:paraId="6FC64E60">
      <w:pPr>
        <w:pStyle w:val="3"/>
        <w:widowControl/>
        <w:adjustRightInd w:val="0"/>
        <w:spacing w:before="0" w:after="0" w:line="360" w:lineRule="auto"/>
        <w:ind w:firstLine="482" w:firstLineChars="200"/>
        <w:rPr>
          <w:rFonts w:ascii="宋体" w:hAnsi="宋体" w:eastAsia="仿宋"/>
          <w:bCs w:val="0"/>
          <w:sz w:val="24"/>
          <w:szCs w:val="24"/>
        </w:rPr>
      </w:pPr>
      <w:r>
        <w:rPr>
          <w:rFonts w:hint="eastAsia" w:ascii="宋体" w:hAnsi="宋体" w:eastAsia="仿宋"/>
          <w:bCs w:val="0"/>
          <w:sz w:val="24"/>
          <w:szCs w:val="24"/>
        </w:rPr>
        <w:t>1. 评标方法</w:t>
      </w:r>
      <w:bookmarkEnd w:id="794"/>
      <w:bookmarkEnd w:id="795"/>
      <w:bookmarkEnd w:id="796"/>
      <w:bookmarkEnd w:id="797"/>
    </w:p>
    <w:p w14:paraId="088DD92A">
      <w:pPr>
        <w:pStyle w:val="148"/>
        <w:adjustRightInd w:val="0"/>
        <w:snapToGrid w:val="0"/>
        <w:spacing w:line="360" w:lineRule="auto"/>
        <w:ind w:firstLine="480" w:firstLineChars="200"/>
        <w:rPr>
          <w:rFonts w:hint="eastAsia" w:ascii="黑体" w:hAnsi="黑体" w:eastAsia="仿宋" w:cs="宋体"/>
          <w:sz w:val="24"/>
          <w:szCs w:val="24"/>
        </w:rPr>
      </w:pPr>
      <w:r>
        <w:rPr>
          <w:rFonts w:hint="eastAsia" w:ascii="黑体" w:hAnsi="黑体" w:eastAsia="仿宋" w:cs="宋体"/>
          <w:sz w:val="24"/>
          <w:szCs w:val="24"/>
        </w:rPr>
        <w:t>本次评标采用综合评分法。评标委员会对</w:t>
      </w:r>
      <w:r>
        <w:rPr>
          <w:rFonts w:ascii="黑体" w:hAnsi="黑体" w:eastAsia="仿宋" w:cs="宋体"/>
          <w:sz w:val="24"/>
          <w:szCs w:val="24"/>
        </w:rPr>
        <w:t>投标文件满足招标文件全部实质性要求且按照评审因素的量化指标评审得分</w:t>
      </w:r>
      <w:r>
        <w:rPr>
          <w:rFonts w:hint="eastAsia" w:ascii="黑体" w:hAnsi="黑体" w:eastAsia="仿宋" w:cs="宋体"/>
          <w:sz w:val="24"/>
          <w:szCs w:val="24"/>
        </w:rPr>
        <w:t>由高到低的顺序推荐中标候选人。如果综合总得分相同者，按投标报价由低到高排序；总得分且投标报价均相同的，则所投产品为节能或环境标志产品者优先；若前述均相同且所投产品同为节能或环境标志产品，则采取评标委员会抽签方式确定中标候选人排序。同时列入节能产品政府采购品目清单和环境标志产品政府采购品目清单的产品，优先于只列入其中一个清单的产品。</w:t>
      </w:r>
    </w:p>
    <w:p w14:paraId="10B44DC8">
      <w:pPr>
        <w:pStyle w:val="3"/>
        <w:widowControl/>
        <w:adjustRightInd w:val="0"/>
        <w:spacing w:before="0" w:after="0" w:line="360" w:lineRule="auto"/>
        <w:ind w:firstLine="482" w:firstLineChars="200"/>
        <w:rPr>
          <w:rFonts w:hint="eastAsia" w:ascii="宋体" w:hAnsi="宋体" w:eastAsia="仿宋"/>
          <w:bCs w:val="0"/>
          <w:sz w:val="24"/>
          <w:szCs w:val="24"/>
        </w:rPr>
      </w:pPr>
      <w:bookmarkStart w:id="798" w:name="_Toc445554768"/>
      <w:bookmarkStart w:id="799" w:name="_Toc466024567"/>
      <w:bookmarkStart w:id="800" w:name="_Toc455587284"/>
      <w:bookmarkStart w:id="801" w:name="_Toc455587100"/>
      <w:r>
        <w:rPr>
          <w:rFonts w:hint="eastAsia" w:ascii="宋体" w:hAnsi="宋体" w:eastAsia="仿宋"/>
          <w:bCs w:val="0"/>
          <w:sz w:val="24"/>
          <w:szCs w:val="24"/>
        </w:rPr>
        <w:t>2. 评标委员会的组成和职责</w:t>
      </w:r>
      <w:bookmarkEnd w:id="798"/>
      <w:bookmarkEnd w:id="799"/>
      <w:bookmarkEnd w:id="800"/>
      <w:bookmarkEnd w:id="801"/>
    </w:p>
    <w:p w14:paraId="612A3F17">
      <w:pPr>
        <w:pStyle w:val="149"/>
        <w:adjustRightInd w:val="0"/>
        <w:snapToGrid w:val="0"/>
        <w:spacing w:before="0" w:line="360" w:lineRule="auto"/>
        <w:ind w:firstLine="482" w:firstLineChars="200"/>
        <w:rPr>
          <w:rFonts w:hint="eastAsia" w:ascii="宋体" w:hAnsi="宋体" w:eastAsia="仿宋"/>
          <w:b/>
          <w:sz w:val="24"/>
          <w:szCs w:val="24"/>
        </w:rPr>
      </w:pPr>
      <w:r>
        <w:rPr>
          <w:rFonts w:hint="eastAsia" w:ascii="宋体" w:hAnsi="宋体" w:eastAsia="仿宋"/>
          <w:b/>
          <w:sz w:val="24"/>
          <w:szCs w:val="24"/>
        </w:rPr>
        <w:t>2.1 评标委员会的组成</w:t>
      </w:r>
    </w:p>
    <w:p w14:paraId="41643781">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评标委员会由采购人依法组建。</w:t>
      </w:r>
      <w:r>
        <w:rPr>
          <w:rFonts w:hint="eastAsia" w:ascii="宋体" w:hAnsi="宋体" w:eastAsia="仿宋" w:cs="宋体"/>
          <w:sz w:val="24"/>
          <w:szCs w:val="24"/>
        </w:rPr>
        <w:t>评标委员会应当推选组长，但采购人代表不得担任组长。</w:t>
      </w:r>
    </w:p>
    <w:p w14:paraId="40A6D613">
      <w:pPr>
        <w:pStyle w:val="149"/>
        <w:adjustRightInd w:val="0"/>
        <w:snapToGrid w:val="0"/>
        <w:spacing w:before="0" w:line="360" w:lineRule="auto"/>
        <w:ind w:firstLine="482" w:firstLineChars="200"/>
        <w:rPr>
          <w:rFonts w:hint="eastAsia" w:ascii="宋体" w:hAnsi="宋体" w:eastAsia="仿宋"/>
          <w:b/>
          <w:sz w:val="24"/>
          <w:szCs w:val="24"/>
        </w:rPr>
      </w:pPr>
      <w:r>
        <w:rPr>
          <w:rFonts w:hint="eastAsia" w:ascii="宋体" w:hAnsi="宋体" w:eastAsia="仿宋"/>
          <w:b/>
          <w:sz w:val="24"/>
          <w:szCs w:val="24"/>
        </w:rPr>
        <w:t>2.2 评标委员会的职责</w:t>
      </w:r>
    </w:p>
    <w:p w14:paraId="778D9F0D">
      <w:pPr>
        <w:spacing w:line="360" w:lineRule="auto"/>
        <w:ind w:firstLine="480" w:firstLineChars="200"/>
        <w:rPr>
          <w:rFonts w:hint="eastAsia" w:ascii="Arial" w:hAnsi="Arial" w:eastAsia="仿宋" w:cs="Arial"/>
          <w:kern w:val="0"/>
          <w:sz w:val="24"/>
        </w:rPr>
      </w:pPr>
      <w:r>
        <w:rPr>
          <w:rFonts w:ascii="Arial" w:hAnsi="Arial" w:eastAsia="仿宋" w:cs="Arial"/>
          <w:kern w:val="0"/>
          <w:sz w:val="24"/>
        </w:rPr>
        <w:t>根据</w:t>
      </w:r>
      <w:r>
        <w:rPr>
          <w:rFonts w:hint="eastAsia" w:ascii="Arial" w:hAnsi="Arial" w:eastAsia="仿宋" w:cs="Arial"/>
          <w:kern w:val="0"/>
          <w:sz w:val="24"/>
        </w:rPr>
        <w:t>招标</w:t>
      </w:r>
      <w:r>
        <w:rPr>
          <w:rFonts w:ascii="Arial" w:hAnsi="Arial" w:eastAsia="仿宋" w:cs="Arial"/>
          <w:kern w:val="0"/>
          <w:sz w:val="24"/>
        </w:rPr>
        <w:t>文件规定的评</w:t>
      </w:r>
      <w:r>
        <w:rPr>
          <w:rFonts w:hint="eastAsia" w:ascii="Arial" w:hAnsi="Arial" w:eastAsia="仿宋" w:cs="Arial"/>
          <w:kern w:val="0"/>
          <w:sz w:val="24"/>
        </w:rPr>
        <w:t>标</w:t>
      </w:r>
      <w:r>
        <w:rPr>
          <w:rFonts w:ascii="Arial" w:hAnsi="Arial" w:eastAsia="仿宋" w:cs="Arial"/>
          <w:kern w:val="0"/>
          <w:sz w:val="24"/>
        </w:rPr>
        <w:t>程序、评</w:t>
      </w:r>
      <w:r>
        <w:rPr>
          <w:rFonts w:hint="eastAsia" w:ascii="Arial" w:hAnsi="Arial" w:eastAsia="仿宋" w:cs="Arial"/>
          <w:kern w:val="0"/>
          <w:sz w:val="24"/>
        </w:rPr>
        <w:t>标</w:t>
      </w:r>
      <w:r>
        <w:rPr>
          <w:rFonts w:ascii="Arial" w:hAnsi="Arial" w:eastAsia="仿宋" w:cs="Arial"/>
          <w:kern w:val="0"/>
          <w:sz w:val="24"/>
        </w:rPr>
        <w:t>方法和评</w:t>
      </w:r>
      <w:r>
        <w:rPr>
          <w:rFonts w:hint="eastAsia" w:ascii="Arial" w:hAnsi="Arial" w:eastAsia="仿宋" w:cs="Arial"/>
          <w:kern w:val="0"/>
          <w:sz w:val="24"/>
        </w:rPr>
        <w:t>标</w:t>
      </w:r>
      <w:r>
        <w:rPr>
          <w:rFonts w:ascii="Arial" w:hAnsi="Arial" w:eastAsia="仿宋" w:cs="Arial"/>
          <w:kern w:val="0"/>
          <w:sz w:val="24"/>
        </w:rPr>
        <w:t>标准进行独立评审。</w:t>
      </w:r>
      <w:r>
        <w:rPr>
          <w:rFonts w:hint="eastAsia" w:ascii="宋体" w:hAnsi="宋体" w:eastAsia="仿宋"/>
          <w:sz w:val="24"/>
        </w:rPr>
        <w:t>评标委员会成员</w:t>
      </w:r>
      <w:r>
        <w:rPr>
          <w:rFonts w:ascii="Arial" w:hAnsi="Arial" w:eastAsia="仿宋" w:cs="Arial"/>
          <w:kern w:val="0"/>
          <w:sz w:val="24"/>
        </w:rPr>
        <w:t>应当在评</w:t>
      </w:r>
      <w:r>
        <w:rPr>
          <w:rFonts w:hint="eastAsia" w:ascii="Arial" w:hAnsi="Arial" w:eastAsia="仿宋" w:cs="Arial"/>
          <w:kern w:val="0"/>
          <w:sz w:val="24"/>
        </w:rPr>
        <w:t>标</w:t>
      </w:r>
      <w:r>
        <w:rPr>
          <w:rFonts w:ascii="Arial" w:hAnsi="Arial" w:eastAsia="仿宋" w:cs="Arial"/>
          <w:kern w:val="0"/>
          <w:sz w:val="24"/>
        </w:rPr>
        <w:t>报告上签字，对自己的评</w:t>
      </w:r>
      <w:r>
        <w:rPr>
          <w:rFonts w:hint="eastAsia" w:ascii="Arial" w:hAnsi="Arial" w:eastAsia="仿宋" w:cs="Arial"/>
          <w:kern w:val="0"/>
          <w:sz w:val="24"/>
        </w:rPr>
        <w:t>标</w:t>
      </w:r>
      <w:r>
        <w:rPr>
          <w:rFonts w:ascii="Arial" w:hAnsi="Arial" w:eastAsia="仿宋" w:cs="Arial"/>
          <w:kern w:val="0"/>
          <w:sz w:val="24"/>
        </w:rPr>
        <w:t>意见承担法律责任。对需要共同认定的事项存在争议的，按照少数服从多数的原则做出结论。对评</w:t>
      </w:r>
      <w:r>
        <w:rPr>
          <w:rFonts w:hint="eastAsia" w:ascii="Arial" w:hAnsi="Arial" w:eastAsia="仿宋" w:cs="Arial"/>
          <w:kern w:val="0"/>
          <w:sz w:val="24"/>
        </w:rPr>
        <w:t>标</w:t>
      </w:r>
      <w:r>
        <w:rPr>
          <w:rFonts w:ascii="Arial" w:hAnsi="Arial" w:eastAsia="仿宋" w:cs="Arial"/>
          <w:kern w:val="0"/>
          <w:sz w:val="24"/>
        </w:rPr>
        <w:t>报告有异议的，应当在评</w:t>
      </w:r>
      <w:r>
        <w:rPr>
          <w:rFonts w:hint="eastAsia" w:ascii="Arial" w:hAnsi="Arial" w:eastAsia="仿宋" w:cs="Arial"/>
          <w:kern w:val="0"/>
          <w:sz w:val="24"/>
        </w:rPr>
        <w:t>标</w:t>
      </w:r>
      <w:r>
        <w:rPr>
          <w:rFonts w:ascii="Arial" w:hAnsi="Arial" w:eastAsia="仿宋" w:cs="Arial"/>
          <w:kern w:val="0"/>
          <w:sz w:val="24"/>
        </w:rPr>
        <w:t>报告上签署不同意见并说明理由，否则视为同意评</w:t>
      </w:r>
      <w:r>
        <w:rPr>
          <w:rFonts w:hint="eastAsia" w:ascii="Arial" w:hAnsi="Arial" w:eastAsia="仿宋" w:cs="Arial"/>
          <w:kern w:val="0"/>
          <w:sz w:val="24"/>
        </w:rPr>
        <w:t>标</w:t>
      </w:r>
      <w:r>
        <w:rPr>
          <w:rFonts w:ascii="Arial" w:hAnsi="Arial" w:eastAsia="仿宋" w:cs="Arial"/>
          <w:kern w:val="0"/>
          <w:sz w:val="24"/>
        </w:rPr>
        <w:t>报告。</w:t>
      </w:r>
    </w:p>
    <w:p w14:paraId="79CE397E">
      <w:pPr>
        <w:pStyle w:val="3"/>
        <w:widowControl/>
        <w:adjustRightInd w:val="0"/>
        <w:spacing w:before="0" w:after="0" w:line="360" w:lineRule="auto"/>
        <w:ind w:firstLine="482" w:firstLineChars="200"/>
        <w:rPr>
          <w:rFonts w:hint="eastAsia" w:ascii="宋体" w:hAnsi="宋体" w:eastAsia="仿宋"/>
          <w:bCs w:val="0"/>
          <w:sz w:val="24"/>
          <w:szCs w:val="24"/>
        </w:rPr>
      </w:pPr>
      <w:bookmarkStart w:id="802" w:name="_Toc445554770"/>
      <w:bookmarkStart w:id="803" w:name="_Toc455587286"/>
      <w:bookmarkStart w:id="804" w:name="_Toc466024569"/>
      <w:bookmarkStart w:id="805" w:name="_Toc455587102"/>
      <w:bookmarkStart w:id="806" w:name="_Toc455587285"/>
      <w:bookmarkStart w:id="807" w:name="_Toc466024568"/>
      <w:bookmarkStart w:id="808" w:name="_Toc445554769"/>
      <w:bookmarkStart w:id="809" w:name="_Toc455587101"/>
      <w:r>
        <w:rPr>
          <w:rFonts w:hint="eastAsia" w:ascii="宋体" w:hAnsi="宋体" w:eastAsia="仿宋"/>
          <w:bCs w:val="0"/>
          <w:sz w:val="24"/>
          <w:szCs w:val="24"/>
        </w:rPr>
        <w:t>3. 评审标准</w:t>
      </w:r>
      <w:bookmarkEnd w:id="802"/>
      <w:bookmarkEnd w:id="803"/>
      <w:bookmarkEnd w:id="804"/>
      <w:bookmarkEnd w:id="805"/>
    </w:p>
    <w:p w14:paraId="070BBCE5">
      <w:pPr>
        <w:pStyle w:val="148"/>
        <w:adjustRightInd w:val="0"/>
        <w:snapToGrid w:val="0"/>
        <w:spacing w:line="360" w:lineRule="auto"/>
        <w:ind w:firstLine="482" w:firstLineChars="200"/>
        <w:rPr>
          <w:rFonts w:hint="eastAsia" w:ascii="宋体" w:hAnsi="宋体" w:eastAsia="仿宋"/>
          <w:sz w:val="24"/>
          <w:szCs w:val="24"/>
        </w:rPr>
      </w:pPr>
      <w:r>
        <w:rPr>
          <w:rFonts w:hint="eastAsia" w:ascii="宋体" w:hAnsi="宋体" w:eastAsia="仿宋"/>
          <w:b/>
          <w:sz w:val="24"/>
          <w:szCs w:val="24"/>
        </w:rPr>
        <w:t>3.1 符合性审查标准</w:t>
      </w:r>
    </w:p>
    <w:p w14:paraId="3692371C">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3.1.1 形式评审标准：见评标办法前附表。</w:t>
      </w:r>
    </w:p>
    <w:p w14:paraId="4C768BD2">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3.1.2 响应性评审标准：见评标办法前附表。</w:t>
      </w:r>
    </w:p>
    <w:p w14:paraId="0ACEB8A7">
      <w:pPr>
        <w:pStyle w:val="148"/>
        <w:adjustRightInd w:val="0"/>
        <w:snapToGrid w:val="0"/>
        <w:spacing w:line="360" w:lineRule="auto"/>
        <w:ind w:firstLine="482" w:firstLineChars="200"/>
        <w:rPr>
          <w:rFonts w:hint="eastAsia" w:ascii="宋体" w:hAnsi="宋体" w:eastAsia="仿宋"/>
          <w:b/>
          <w:sz w:val="24"/>
          <w:szCs w:val="24"/>
        </w:rPr>
      </w:pPr>
      <w:r>
        <w:rPr>
          <w:rFonts w:hint="eastAsia" w:ascii="宋体" w:hAnsi="宋体" w:eastAsia="仿宋"/>
          <w:b/>
          <w:sz w:val="24"/>
          <w:szCs w:val="24"/>
        </w:rPr>
        <w:t>3.2 分值构成与详细评审标准</w:t>
      </w:r>
    </w:p>
    <w:p w14:paraId="374879CC">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3.2.1 分值构成：见评标办法前附表。</w:t>
      </w:r>
    </w:p>
    <w:p w14:paraId="2172360B">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3.2.2 评标基准价计算：见评标办法前附表。</w:t>
      </w:r>
    </w:p>
    <w:p w14:paraId="63C079C4">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3.2.3 评分标准：见评标办法前附表。</w:t>
      </w:r>
    </w:p>
    <w:p w14:paraId="0A058272">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3.2.4 取评标委员会对各投标人评审得分的算术平均值作为投标人得分，其中投标报价得分按规定进行计算。</w:t>
      </w:r>
    </w:p>
    <w:p w14:paraId="602CFD0F">
      <w:pPr>
        <w:pStyle w:val="3"/>
        <w:widowControl/>
        <w:adjustRightInd w:val="0"/>
        <w:spacing w:before="0" w:after="0" w:line="360" w:lineRule="auto"/>
        <w:ind w:firstLine="482" w:firstLineChars="200"/>
        <w:rPr>
          <w:rFonts w:hint="eastAsia" w:ascii="宋体" w:hAnsi="宋体" w:eastAsia="仿宋"/>
          <w:bCs w:val="0"/>
          <w:sz w:val="24"/>
          <w:szCs w:val="24"/>
        </w:rPr>
      </w:pPr>
      <w:r>
        <w:rPr>
          <w:rFonts w:hint="eastAsia" w:ascii="宋体" w:hAnsi="宋体" w:eastAsia="仿宋"/>
          <w:bCs w:val="0"/>
          <w:sz w:val="24"/>
          <w:szCs w:val="24"/>
        </w:rPr>
        <w:t>4. 评标程序</w:t>
      </w:r>
      <w:bookmarkEnd w:id="806"/>
      <w:bookmarkEnd w:id="807"/>
      <w:bookmarkEnd w:id="808"/>
      <w:bookmarkEnd w:id="809"/>
    </w:p>
    <w:p w14:paraId="4D60D156">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资格审查完成后，合格投标人不少于3家的，开始评标工作。评标先做准备工作，再进行符合性审查，然后进行详细评审。</w:t>
      </w:r>
    </w:p>
    <w:p w14:paraId="474FB0AB">
      <w:pPr>
        <w:pStyle w:val="149"/>
        <w:adjustRightInd w:val="0"/>
        <w:snapToGrid w:val="0"/>
        <w:spacing w:before="0" w:line="360" w:lineRule="auto"/>
        <w:ind w:firstLine="482" w:firstLineChars="200"/>
        <w:rPr>
          <w:rFonts w:hint="eastAsia" w:ascii="宋体" w:hAnsi="宋体" w:eastAsia="仿宋"/>
          <w:b/>
          <w:sz w:val="24"/>
          <w:szCs w:val="24"/>
        </w:rPr>
      </w:pPr>
      <w:r>
        <w:rPr>
          <w:rFonts w:hint="eastAsia" w:ascii="宋体" w:hAnsi="宋体" w:eastAsia="仿宋"/>
          <w:b/>
          <w:sz w:val="24"/>
          <w:szCs w:val="24"/>
        </w:rPr>
        <w:t>4.1 评标准备工作</w:t>
      </w:r>
    </w:p>
    <w:p w14:paraId="049E5B9A">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评标委员会熟悉评标</w:t>
      </w:r>
      <w:bookmarkStart w:id="810" w:name="_Hlk79160145"/>
      <w:r>
        <w:rPr>
          <w:rFonts w:hint="eastAsia" w:ascii="宋体" w:hAnsi="宋体" w:eastAsia="仿宋"/>
          <w:sz w:val="24"/>
          <w:szCs w:val="24"/>
        </w:rPr>
        <w:t>工作</w:t>
      </w:r>
      <w:bookmarkEnd w:id="810"/>
      <w:r>
        <w:rPr>
          <w:rFonts w:hint="eastAsia" w:ascii="宋体" w:hAnsi="宋体" w:eastAsia="仿宋"/>
          <w:sz w:val="24"/>
          <w:szCs w:val="24"/>
        </w:rPr>
        <w:t>情况：</w:t>
      </w:r>
    </w:p>
    <w:p w14:paraId="3CE0973F">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（1）听取采购人或者其委托的采购代理机构对招标项目情况的介绍；</w:t>
      </w:r>
    </w:p>
    <w:p w14:paraId="40697129">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（2）阅读、研究招标文件和相关评标资料，获取评标所需要的重要信息和数据,至少应了解和熟悉以下内容：招标目的、采购范围、项目性质、招标文件规定的主要技术参数要求和主要商务条款；</w:t>
      </w:r>
    </w:p>
    <w:p w14:paraId="2EE5A0CC">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（3）熟悉招标文件规定的评标标准和评标方法及在评标过程中需要考虑的相关因素；</w:t>
      </w:r>
    </w:p>
    <w:p w14:paraId="2C588DCA">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（4）核对评标工作资料；</w:t>
      </w:r>
    </w:p>
    <w:p w14:paraId="4E97B8E9">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（5）使用电子评标方式的，还应当熟悉电子评标系统使用方法。</w:t>
      </w:r>
    </w:p>
    <w:p w14:paraId="5B998130">
      <w:pPr>
        <w:pStyle w:val="149"/>
        <w:adjustRightInd w:val="0"/>
        <w:snapToGrid w:val="0"/>
        <w:spacing w:before="0" w:line="360" w:lineRule="auto"/>
        <w:ind w:firstLine="482" w:firstLineChars="200"/>
        <w:rPr>
          <w:rFonts w:hint="eastAsia" w:ascii="宋体" w:hAnsi="宋体" w:eastAsia="仿宋"/>
          <w:b/>
          <w:sz w:val="24"/>
          <w:szCs w:val="24"/>
        </w:rPr>
      </w:pPr>
      <w:r>
        <w:rPr>
          <w:rFonts w:hint="eastAsia" w:ascii="宋体" w:hAnsi="宋体" w:eastAsia="仿宋"/>
          <w:b/>
          <w:sz w:val="24"/>
          <w:szCs w:val="24"/>
        </w:rPr>
        <w:t>4.2 符合性审查</w:t>
      </w:r>
    </w:p>
    <w:p w14:paraId="7DAFA86A">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4.2.1 评标委员会依据本章规定的标准对投标文件进行符合性审查。有一项不符合评审标准的，按无效投标处理。</w:t>
      </w:r>
    </w:p>
    <w:p w14:paraId="6D6A5D66">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4.2.2 投标人有以下情形之一的，按照无效投标处理：</w:t>
      </w:r>
    </w:p>
    <w:p w14:paraId="45D08B65">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（1）不按评标委员会要求澄清、说明或补正的；</w:t>
      </w:r>
    </w:p>
    <w:p w14:paraId="66B79066">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（2）未实质性响应招标文件的；</w:t>
      </w:r>
    </w:p>
    <w:p w14:paraId="095A54A1">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（3）投标文件中存在采购人不能接受的其它附加实质性条件的；</w:t>
      </w:r>
    </w:p>
    <w:p w14:paraId="28AE724F">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（4）串通投标或弄虚作假或有其他违法行为的；</w:t>
      </w:r>
    </w:p>
    <w:p w14:paraId="77A7B361">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（5）法律、法规和规章规定的其他情形的。</w:t>
      </w:r>
    </w:p>
    <w:p w14:paraId="28B7745F">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4.2.3 投标文件报价出现前后不一致的，按照下列规定修正：</w:t>
      </w:r>
    </w:p>
    <w:p w14:paraId="44822054">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（1）投标文件中开标一览表（报价表）内容与投标文件中相应内容不一致的，以开标一览表（报价表）为准；</w:t>
      </w:r>
    </w:p>
    <w:p w14:paraId="19D8E120">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（2）大写金额和小写金额不一致的，以大写金额为准；</w:t>
      </w:r>
    </w:p>
    <w:p w14:paraId="35C0038D">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（3）单价金额小数点或者百分比有明显错位的，以开标一览表的总价为准，并修改单价；</w:t>
      </w:r>
    </w:p>
    <w:p w14:paraId="6A3705DC">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（4）总价金额与按单价汇总金额不一致的，以单价金额计算结果为准。</w:t>
      </w:r>
    </w:p>
    <w:p w14:paraId="22800D9F">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同时出现两种以上不一致的，按照前款规定的顺序修正。修正后的报价经投标人确认后产生约束力，投标人不确认的，其投标无效。</w:t>
      </w:r>
    </w:p>
    <w:p w14:paraId="478655B6">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中标后，按修正后的投标报价为基准，按同比例修正各单价。</w:t>
      </w:r>
    </w:p>
    <w:p w14:paraId="4E035EA5">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4.2.4 评标委员会按照规定的原则对投标报价进行校核时，发现投标报价存在多处算术错误或漏项的，使得投标报价校核无法进行的，其投标按无效处理。</w:t>
      </w:r>
    </w:p>
    <w:p w14:paraId="663CCF3F">
      <w:pPr>
        <w:pStyle w:val="149"/>
        <w:adjustRightInd w:val="0"/>
        <w:snapToGrid w:val="0"/>
        <w:spacing w:before="0" w:line="360" w:lineRule="auto"/>
        <w:ind w:firstLine="482" w:firstLineChars="200"/>
        <w:rPr>
          <w:rFonts w:hint="eastAsia" w:ascii="宋体" w:hAnsi="宋体" w:eastAsia="仿宋"/>
          <w:b/>
          <w:sz w:val="24"/>
          <w:szCs w:val="24"/>
        </w:rPr>
      </w:pPr>
      <w:r>
        <w:rPr>
          <w:rFonts w:hint="eastAsia" w:ascii="宋体" w:hAnsi="宋体" w:eastAsia="仿宋"/>
          <w:b/>
          <w:sz w:val="24"/>
          <w:szCs w:val="24"/>
        </w:rPr>
        <w:t>4.3 详细评审</w:t>
      </w:r>
    </w:p>
    <w:p w14:paraId="482D9EB0">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4.3.1 评标委员会按本章4.2款规定的规定的标准进行评分，并计算各投标人综合评审得分。</w:t>
      </w:r>
    </w:p>
    <w:p w14:paraId="78A68C64">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4.3.2 评标委员会成员对投标人的价格分和客观评分项的评分应当一致。采购人、采购代理机构应当对评审数据进行校对、核对。</w:t>
      </w:r>
    </w:p>
    <w:p w14:paraId="10CFD0B9">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4.3.3 评分分值计算保留小数点后两位，小数点后第三位“四舍五入”。</w:t>
      </w:r>
    </w:p>
    <w:p w14:paraId="5FD50458">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4.3.4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8A46322">
      <w:pPr>
        <w:pStyle w:val="148"/>
        <w:adjustRightInd w:val="0"/>
        <w:snapToGrid w:val="0"/>
        <w:spacing w:line="360" w:lineRule="auto"/>
        <w:ind w:firstLine="480" w:firstLineChars="200"/>
        <w:rPr>
          <w:rFonts w:hint="eastAsia" w:ascii="宋体" w:hAnsi="宋体" w:eastAsia="方正仿宋_GB2312"/>
          <w:i/>
          <w:sz w:val="24"/>
          <w:szCs w:val="24"/>
        </w:rPr>
      </w:pPr>
      <w:r>
        <w:rPr>
          <w:rFonts w:hint="eastAsia" w:ascii="宋体" w:hAnsi="宋体" w:eastAsia="仿宋"/>
          <w:sz w:val="24"/>
          <w:szCs w:val="24"/>
        </w:rPr>
        <w:t>4.3.5 投标人有以下情形之一的，其投标按无效处理：</w:t>
      </w:r>
    </w:p>
    <w:p w14:paraId="0050D29B">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（1）参数、规格偏离超过招标文件规定的；</w:t>
      </w:r>
    </w:p>
    <w:p w14:paraId="38A3C293">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（2）其他未实质性响应招标文件的；</w:t>
      </w:r>
    </w:p>
    <w:p w14:paraId="58A198C0">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（3）投标文件中存在采购人不能接受的其它实质性条件；</w:t>
      </w:r>
    </w:p>
    <w:p w14:paraId="3CCF26E7">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（4）法律、法规和规章规定的其他情形的。</w:t>
      </w:r>
    </w:p>
    <w:p w14:paraId="6D9DA41D">
      <w:pPr>
        <w:pStyle w:val="149"/>
        <w:adjustRightInd w:val="0"/>
        <w:snapToGrid w:val="0"/>
        <w:spacing w:before="0" w:line="360" w:lineRule="auto"/>
        <w:ind w:firstLine="482" w:firstLineChars="200"/>
        <w:rPr>
          <w:rFonts w:hint="eastAsia" w:ascii="宋体" w:hAnsi="宋体" w:eastAsia="仿宋"/>
          <w:b/>
          <w:sz w:val="24"/>
          <w:szCs w:val="24"/>
        </w:rPr>
      </w:pPr>
      <w:bookmarkStart w:id="811" w:name="_Toc455587287"/>
      <w:bookmarkStart w:id="812" w:name="_Toc466024570"/>
      <w:bookmarkStart w:id="813" w:name="_Toc455587103"/>
      <w:bookmarkStart w:id="814" w:name="_Toc445554771"/>
      <w:r>
        <w:rPr>
          <w:rFonts w:hint="eastAsia" w:ascii="宋体" w:hAnsi="宋体" w:eastAsia="仿宋"/>
          <w:b/>
          <w:sz w:val="24"/>
          <w:szCs w:val="24"/>
        </w:rPr>
        <w:t>4.4 投标文件的澄清</w:t>
      </w:r>
      <w:bookmarkEnd w:id="811"/>
      <w:bookmarkEnd w:id="812"/>
      <w:bookmarkEnd w:id="813"/>
      <w:bookmarkEnd w:id="814"/>
    </w:p>
    <w:p w14:paraId="6D32F8C8">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4.4.1 评标过程中，评标委员会可以要求投标人对投标文件中含义不明确、同类问题表述不一致或者有明显文字和计算错误的内容等作出必要的澄清、说明或者补正。投标人的澄清、说明或者补正不得超出投标文件的范围或者改变投标文件的实质性内容（算术性错误修正的除外）。投标人的书面澄清、说明和补正属于投标文件的组成部分。</w:t>
      </w:r>
    </w:p>
    <w:p w14:paraId="3CA62472">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4.4.2 评标委员会要求投标人澄清、说明或者更正投标文件应当以书面形式作出。投标人的澄清、说明或者更正应当由法定代表人（单位负责人）或其授权代表签字或者加盖公章。由授权代表签字的，应当附法定代表人（单位负责人）授权书。投标人为自然人的，应当由本人签字并附身份证明。</w:t>
      </w:r>
    </w:p>
    <w:p w14:paraId="05CC1539">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4.4.3 评标委员会对投标人提交的澄清、说明或补正有疑问的，可以要求投标人进一步澄清、说明或补正，直至满足评标委员会的要求。</w:t>
      </w:r>
    </w:p>
    <w:p w14:paraId="0324C0D2">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4.4.4 实质上没有响应招标文件要求的投标将被拒绝。投标人不得通过修正或撤销不合要求的偏离或保留从而使其投标成为实质上响应的投标。评标委员会不接受投标人主动提出的澄清、说明或补正。</w:t>
      </w:r>
    </w:p>
    <w:p w14:paraId="577E356F">
      <w:pPr>
        <w:pStyle w:val="149"/>
        <w:adjustRightInd w:val="0"/>
        <w:snapToGrid w:val="0"/>
        <w:spacing w:before="0" w:line="360" w:lineRule="auto"/>
        <w:ind w:firstLine="482" w:firstLineChars="200"/>
        <w:rPr>
          <w:rFonts w:hint="eastAsia" w:ascii="宋体" w:hAnsi="宋体" w:eastAsia="仿宋"/>
          <w:b/>
          <w:sz w:val="24"/>
          <w:szCs w:val="24"/>
        </w:rPr>
      </w:pPr>
      <w:bookmarkStart w:id="815" w:name="_Toc455587104"/>
      <w:bookmarkStart w:id="816" w:name="_Toc455587288"/>
      <w:bookmarkStart w:id="817" w:name="_Toc445554772"/>
      <w:bookmarkStart w:id="818" w:name="_Toc466024571"/>
      <w:r>
        <w:rPr>
          <w:rFonts w:hint="eastAsia" w:ascii="宋体" w:hAnsi="宋体" w:eastAsia="仿宋"/>
          <w:b/>
          <w:sz w:val="24"/>
          <w:szCs w:val="24"/>
        </w:rPr>
        <w:t>4.5 评标结果</w:t>
      </w:r>
      <w:bookmarkEnd w:id="815"/>
      <w:bookmarkEnd w:id="816"/>
      <w:bookmarkEnd w:id="817"/>
      <w:bookmarkEnd w:id="818"/>
    </w:p>
    <w:p w14:paraId="42801183">
      <w:pPr>
        <w:pStyle w:val="148"/>
        <w:adjustRightInd w:val="0"/>
        <w:snapToGri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4.5.1 除第二章投标人须知前附表委托直接确定中标人外，评标委员会按照得分由高到低的顺序推荐中标候选人，并标明排序。</w:t>
      </w:r>
    </w:p>
    <w:p w14:paraId="1D46571B">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4.5.2 完成评标后，</w:t>
      </w:r>
      <w:r>
        <w:rPr>
          <w:rFonts w:hint="eastAsia" w:ascii="宋体" w:hAnsi="宋体" w:eastAsia="仿宋" w:cs="宋体"/>
          <w:sz w:val="24"/>
          <w:szCs w:val="24"/>
        </w:rPr>
        <w:t>评标委员会根据全体评标成员签字的原始评标记录和评标结果编写评标报告。评标报告应当包括以下内容：</w:t>
      </w:r>
    </w:p>
    <w:p w14:paraId="741758E7">
      <w:pPr>
        <w:pStyle w:val="148"/>
        <w:adjustRightInd w:val="0"/>
        <w:spacing w:line="360" w:lineRule="auto"/>
        <w:ind w:firstLine="480" w:firstLineChars="200"/>
        <w:rPr>
          <w:rFonts w:ascii="宋体" w:hAnsi="宋体" w:eastAsia="仿宋" w:cs="宋体"/>
          <w:sz w:val="24"/>
          <w:szCs w:val="24"/>
        </w:rPr>
      </w:pPr>
      <w:bookmarkStart w:id="819" w:name="_Toc455587105"/>
      <w:bookmarkStart w:id="820" w:name="_Toc445554773"/>
      <w:bookmarkStart w:id="821" w:name="_Toc455587289"/>
      <w:r>
        <w:rPr>
          <w:rFonts w:hint="eastAsia" w:ascii="宋体" w:hAnsi="宋体" w:eastAsia="仿宋" w:cs="宋体"/>
          <w:sz w:val="24"/>
          <w:szCs w:val="24"/>
        </w:rPr>
        <w:t>（1）招标公告刊登的媒体名称、开标日期和地点；</w:t>
      </w:r>
    </w:p>
    <w:p w14:paraId="70B71C76">
      <w:pPr>
        <w:pStyle w:val="148"/>
        <w:adjustRightInd w:val="0"/>
        <w:spacing w:line="360" w:lineRule="auto"/>
        <w:ind w:firstLine="480" w:firstLineChars="200"/>
        <w:rPr>
          <w:rFonts w:ascii="宋体" w:hAnsi="宋体" w:eastAsia="仿宋" w:cs="宋体"/>
          <w:sz w:val="24"/>
          <w:szCs w:val="24"/>
        </w:rPr>
      </w:pPr>
      <w:r>
        <w:rPr>
          <w:rFonts w:hint="eastAsia" w:ascii="宋体" w:hAnsi="宋体" w:eastAsia="仿宋" w:cs="宋体"/>
          <w:sz w:val="24"/>
          <w:szCs w:val="24"/>
        </w:rPr>
        <w:t>（2）投标人名单和评标委员会成员名单；</w:t>
      </w:r>
    </w:p>
    <w:p w14:paraId="5AC39DD6">
      <w:pPr>
        <w:pStyle w:val="148"/>
        <w:adjustRightInd w:val="0"/>
        <w:spacing w:line="360" w:lineRule="auto"/>
        <w:ind w:firstLine="480" w:firstLineChars="200"/>
        <w:rPr>
          <w:rFonts w:ascii="宋体" w:hAnsi="宋体" w:eastAsia="仿宋" w:cs="宋体"/>
          <w:sz w:val="24"/>
          <w:szCs w:val="24"/>
        </w:rPr>
      </w:pPr>
      <w:r>
        <w:rPr>
          <w:rFonts w:hint="eastAsia" w:ascii="宋体" w:hAnsi="宋体" w:eastAsia="仿宋" w:cs="宋体"/>
          <w:sz w:val="24"/>
          <w:szCs w:val="24"/>
        </w:rPr>
        <w:t>（3）评标方法和标准；</w:t>
      </w:r>
    </w:p>
    <w:p w14:paraId="216DA464">
      <w:pPr>
        <w:pStyle w:val="148"/>
        <w:adjustRightInd w:val="0"/>
        <w:spacing w:line="360" w:lineRule="auto"/>
        <w:ind w:firstLine="480" w:firstLineChars="200"/>
        <w:rPr>
          <w:rFonts w:ascii="宋体" w:hAnsi="宋体" w:eastAsia="仿宋" w:cs="宋体"/>
          <w:sz w:val="24"/>
          <w:szCs w:val="24"/>
        </w:rPr>
      </w:pPr>
      <w:r>
        <w:rPr>
          <w:rFonts w:hint="eastAsia" w:ascii="宋体" w:hAnsi="宋体" w:eastAsia="仿宋" w:cs="宋体"/>
          <w:sz w:val="24"/>
          <w:szCs w:val="24"/>
        </w:rPr>
        <w:t>（4）开标记录和评标情况及说明，包括无效投标人名单及原因；</w:t>
      </w:r>
    </w:p>
    <w:p w14:paraId="790029C0">
      <w:pPr>
        <w:pStyle w:val="148"/>
        <w:adjustRightInd w:val="0"/>
        <w:spacing w:line="360" w:lineRule="auto"/>
        <w:ind w:firstLine="480" w:firstLineChars="200"/>
        <w:rPr>
          <w:rFonts w:ascii="宋体" w:hAnsi="宋体" w:eastAsia="仿宋" w:cs="宋体"/>
          <w:sz w:val="24"/>
          <w:szCs w:val="24"/>
        </w:rPr>
      </w:pPr>
      <w:r>
        <w:rPr>
          <w:rFonts w:hint="eastAsia" w:ascii="宋体" w:hAnsi="宋体" w:eastAsia="仿宋" w:cs="宋体"/>
          <w:sz w:val="24"/>
          <w:szCs w:val="24"/>
        </w:rPr>
        <w:t>（5）评标结果，确定的中标候选人名单或者经采购人委托直接确定的中标人；</w:t>
      </w:r>
    </w:p>
    <w:p w14:paraId="503AA75E">
      <w:pPr>
        <w:pStyle w:val="148"/>
        <w:adjustRightInd w:val="0"/>
        <w:spacing w:line="360" w:lineRule="auto"/>
        <w:ind w:firstLine="480" w:firstLineChars="200"/>
        <w:rPr>
          <w:rFonts w:hint="eastAsia" w:ascii="宋体" w:hAnsi="宋体" w:eastAsia="仿宋" w:cs="宋体"/>
          <w:sz w:val="24"/>
          <w:szCs w:val="24"/>
        </w:rPr>
      </w:pPr>
      <w:r>
        <w:rPr>
          <w:rFonts w:hint="eastAsia" w:ascii="宋体" w:hAnsi="宋体" w:eastAsia="仿宋" w:cs="宋体"/>
          <w:sz w:val="24"/>
          <w:szCs w:val="24"/>
        </w:rPr>
        <w:t>（6）其他需要说明的情况，包括评标过程中投标人根据评标委员会要求进行的澄清、说明或者补正，评标委员会成员的更换等。</w:t>
      </w:r>
    </w:p>
    <w:p w14:paraId="5611171F">
      <w:pPr>
        <w:pStyle w:val="3"/>
        <w:widowControl/>
        <w:adjustRightInd w:val="0"/>
        <w:spacing w:before="0" w:after="0" w:line="360" w:lineRule="auto"/>
        <w:ind w:firstLine="482" w:firstLineChars="200"/>
        <w:rPr>
          <w:rFonts w:hint="eastAsia" w:ascii="宋体" w:hAnsi="宋体" w:eastAsia="仿宋"/>
          <w:bCs w:val="0"/>
          <w:sz w:val="24"/>
          <w:szCs w:val="24"/>
        </w:rPr>
      </w:pPr>
      <w:bookmarkStart w:id="822" w:name="_Toc466024572"/>
      <w:r>
        <w:rPr>
          <w:rFonts w:hint="eastAsia" w:ascii="宋体" w:hAnsi="宋体" w:eastAsia="仿宋"/>
          <w:bCs w:val="0"/>
          <w:sz w:val="24"/>
          <w:szCs w:val="24"/>
        </w:rPr>
        <w:t>5. 其他</w:t>
      </w:r>
      <w:bookmarkEnd w:id="819"/>
      <w:bookmarkEnd w:id="820"/>
      <w:bookmarkEnd w:id="821"/>
      <w:bookmarkEnd w:id="822"/>
    </w:p>
    <w:p w14:paraId="24455A37">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5.1 投标人提供的与投标有关的各类证书、证明、文件、资料等的真实性、合法性由投标人负全责。评标委员会一律不负责进行核查确认。评标时评标委员会发现投标人存在弄虚作假嫌疑的，或者由其他投标人和其他利害关系人投诉举报发现投标人存在弄虚作假行为的,提请有关监督部门另行立案调查，评标工作正常进行；有关监督部门调查确认弄虚作假情况属实的，如果该投标人已被确定为中标候选人的，由采购人按照法律法规相关规定取消其中标资格，并从其他中标侯选人中依照推荐次序确定中标人。</w:t>
      </w:r>
    </w:p>
    <w:p w14:paraId="5C180C25">
      <w:pPr>
        <w:pStyle w:val="148"/>
        <w:adjustRightInd w:val="0"/>
        <w:spacing w:line="360" w:lineRule="auto"/>
        <w:ind w:firstLine="480" w:firstLineChars="200"/>
        <w:rPr>
          <w:rFonts w:hint="eastAsia" w:ascii="宋体" w:hAnsi="宋体" w:eastAsia="仿宋"/>
          <w:sz w:val="24"/>
          <w:szCs w:val="24"/>
        </w:rPr>
      </w:pPr>
      <w:r>
        <w:rPr>
          <w:rFonts w:hint="eastAsia" w:ascii="宋体" w:hAnsi="宋体" w:eastAsia="仿宋"/>
          <w:sz w:val="24"/>
          <w:szCs w:val="24"/>
        </w:rPr>
        <w:t>5.2 投标人提供业绩、荣誉证书、资质资格证书、相关证明材料等文件及资料均须在投标文件中提供，电子投标文件中提供扫描件。如未在投标文件中提供，则初审项目视为不通过；评分项目相应项不予计分。</w:t>
      </w:r>
    </w:p>
    <w:p w14:paraId="7BC10EEE">
      <w:pPr>
        <w:widowControl/>
        <w:spacing w:line="400" w:lineRule="exact"/>
        <w:ind w:firstLine="480" w:firstLineChars="200"/>
        <w:rPr>
          <w:rFonts w:ascii="宋体" w:hAnsi="宋体" w:eastAsia="仿宋"/>
          <w:sz w:val="24"/>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B3D762E">
      <w:pPr>
        <w:pStyle w:val="2"/>
        <w:widowControl/>
        <w:spacing w:before="0" w:after="0" w:line="240" w:lineRule="auto"/>
        <w:jc w:val="center"/>
        <w:rPr>
          <w:rFonts w:hint="eastAsia" w:ascii="宋体" w:hAnsi="宋体" w:eastAsia="仿宋"/>
        </w:rPr>
      </w:pPr>
      <w:bookmarkStart w:id="823" w:name="_Toc445554783"/>
      <w:bookmarkStart w:id="824" w:name="_Toc528760029"/>
      <w:bookmarkStart w:id="825" w:name="_Toc466024582"/>
      <w:bookmarkStart w:id="826" w:name="_Toc162406884"/>
      <w:bookmarkStart w:id="827" w:name="_Toc139194404"/>
      <w:bookmarkStart w:id="828" w:name="_Toc153635713"/>
      <w:bookmarkStart w:id="829" w:name="_Toc138638816"/>
      <w:bookmarkStart w:id="830" w:name="_Toc256434217"/>
      <w:bookmarkStart w:id="831" w:name="_Toc165463683"/>
      <w:bookmarkStart w:id="832" w:name="_Toc138323410"/>
      <w:bookmarkStart w:id="833" w:name="_Toc256955329"/>
      <w:bookmarkStart w:id="834" w:name="_Toc256409867"/>
      <w:bookmarkStart w:id="835" w:name="_Toc176927207"/>
      <w:bookmarkStart w:id="836" w:name="_Toc153630652"/>
      <w:bookmarkStart w:id="837" w:name="_Toc176780575"/>
      <w:bookmarkStart w:id="838" w:name="_Toc201377864"/>
      <w:bookmarkStart w:id="839" w:name="_Toc255490647"/>
      <w:bookmarkStart w:id="840" w:name="_Toc177181404"/>
      <w:bookmarkStart w:id="841" w:name="_Toc192231354"/>
      <w:bookmarkStart w:id="842" w:name="_Toc152696791"/>
      <w:bookmarkStart w:id="843" w:name="_Toc153634810"/>
      <w:bookmarkStart w:id="844" w:name="_Toc162410278"/>
      <w:bookmarkStart w:id="845" w:name="_Toc162331289"/>
      <w:bookmarkStart w:id="846" w:name="_Toc153636085"/>
      <w:bookmarkStart w:id="847" w:name="_Toc199585022"/>
      <w:bookmarkStart w:id="848" w:name="_Toc153485042"/>
      <w:bookmarkStart w:id="849" w:name="_Toc221418700"/>
      <w:r>
        <w:rPr>
          <w:rFonts w:hint="eastAsia" w:ascii="宋体" w:hAnsi="宋体" w:eastAsia="仿宋"/>
        </w:rPr>
        <w:t>第五章  合同条款及格式</w:t>
      </w:r>
      <w:bookmarkEnd w:id="823"/>
      <w:bookmarkEnd w:id="824"/>
      <w:bookmarkEnd w:id="825"/>
    </w:p>
    <w:p w14:paraId="4FED345C">
      <w:pPr>
        <w:rPr>
          <w:rFonts w:hint="eastAsia" w:eastAsia="仿宋"/>
        </w:rPr>
      </w:pPr>
    </w:p>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14:paraId="008E469B">
      <w:pPr>
        <w:jc w:val="center"/>
        <w:rPr>
          <w:rFonts w:ascii="仿宋" w:hAnsi="仿宋" w:eastAsia="仿宋" w:cs="仿宋"/>
          <w:b/>
          <w:sz w:val="32"/>
          <w:szCs w:val="32"/>
        </w:rPr>
      </w:pPr>
      <w:bookmarkStart w:id="850" w:name="_Toc466024585"/>
      <w:bookmarkStart w:id="851" w:name="_Toc445554784"/>
      <w:bookmarkStart w:id="852" w:name="_Toc528760030"/>
      <w:r>
        <w:rPr>
          <w:rFonts w:hint="eastAsia" w:ascii="仿宋" w:hAnsi="仿宋" w:eastAsia="仿宋" w:cs="仿宋"/>
          <w:b/>
          <w:sz w:val="32"/>
          <w:szCs w:val="32"/>
        </w:rPr>
        <w:t>安徽医科大学附属口腔医院（安徽省口腔医院）医疗仪器设备采购项目合同（参考）</w:t>
      </w:r>
    </w:p>
    <w:p w14:paraId="2003A7CB">
      <w:pPr>
        <w:jc w:val="left"/>
        <w:rPr>
          <w:rFonts w:hint="eastAsia" w:ascii="仿宋" w:hAnsi="仿宋" w:eastAsia="仿宋" w:cs="仿宋"/>
          <w:sz w:val="24"/>
        </w:rPr>
      </w:pPr>
    </w:p>
    <w:p w14:paraId="395F9D8C">
      <w:pPr>
        <w:jc w:val="left"/>
        <w:rPr>
          <w:rFonts w:hint="eastAsia" w:ascii="仿宋" w:hAnsi="仿宋" w:eastAsia="仿宋" w:cs="仿宋"/>
          <w:sz w:val="24"/>
        </w:rPr>
      </w:pPr>
      <w:r>
        <w:rPr>
          <w:rFonts w:hint="eastAsia" w:ascii="仿宋" w:hAnsi="仿宋" w:eastAsia="仿宋" w:cs="仿宋"/>
          <w:sz w:val="24"/>
        </w:rPr>
        <w:t xml:space="preserve">项目编号：                                             </w:t>
      </w:r>
    </w:p>
    <w:p w14:paraId="0D67E6D7">
      <w:pPr>
        <w:spacing w:line="360" w:lineRule="auto"/>
        <w:rPr>
          <w:rFonts w:hint="eastAsia" w:ascii="仿宋" w:hAnsi="仿宋" w:eastAsia="仿宋" w:cs="仿宋"/>
          <w:sz w:val="24"/>
        </w:rPr>
      </w:pPr>
    </w:p>
    <w:p w14:paraId="7253CD5F">
      <w:pPr>
        <w:spacing w:line="360" w:lineRule="auto"/>
        <w:rPr>
          <w:rFonts w:hint="eastAsia" w:ascii="仿宋" w:hAnsi="仿宋" w:eastAsia="仿宋" w:cs="仿宋"/>
          <w:sz w:val="24"/>
        </w:rPr>
      </w:pPr>
      <w:r>
        <w:rPr>
          <w:rFonts w:hint="eastAsia" w:ascii="仿宋" w:hAnsi="仿宋" w:eastAsia="仿宋" w:cs="仿宋"/>
          <w:sz w:val="24"/>
        </w:rPr>
        <w:t xml:space="preserve">买  方：XXXXXXXXXXXX                  </w:t>
      </w:r>
    </w:p>
    <w:p w14:paraId="1E21D9BF">
      <w:pPr>
        <w:spacing w:line="360" w:lineRule="auto"/>
        <w:rPr>
          <w:rFonts w:hint="eastAsia" w:ascii="仿宋" w:hAnsi="仿宋" w:eastAsia="仿宋" w:cs="仿宋"/>
          <w:sz w:val="24"/>
        </w:rPr>
      </w:pPr>
      <w:r>
        <w:rPr>
          <w:rFonts w:hint="eastAsia" w:ascii="仿宋" w:hAnsi="仿宋" w:eastAsia="仿宋" w:cs="仿宋"/>
          <w:sz w:val="24"/>
        </w:rPr>
        <w:t xml:space="preserve">卖  方：XXXXXXXXXXXX                  </w:t>
      </w:r>
    </w:p>
    <w:p w14:paraId="417073CE">
      <w:pPr>
        <w:spacing w:line="360" w:lineRule="auto"/>
        <w:rPr>
          <w:rFonts w:hint="eastAsia" w:ascii="仿宋" w:hAnsi="仿宋" w:eastAsia="仿宋" w:cs="仿宋"/>
          <w:sz w:val="24"/>
        </w:rPr>
      </w:pPr>
      <w:r>
        <w:rPr>
          <w:rFonts w:hint="eastAsia" w:ascii="仿宋" w:hAnsi="仿宋" w:eastAsia="仿宋" w:cs="仿宋"/>
          <w:sz w:val="24"/>
        </w:rPr>
        <w:t xml:space="preserve">     买方通过公开招标方式采购活动，经评标委员会的评审，决定将本项目采购合同授予卖方。为进一步明确双方的责任，确保合同的顺利履行，根据《中华人民共和国政府采购法》《中华人民共和国民法典》及有关法律规定，遵循平等、自愿、公平和诚实信用的原则，买卖双方协商一致同意按如下条款签订本合同：</w:t>
      </w:r>
    </w:p>
    <w:p w14:paraId="594DEA6E">
      <w:pPr>
        <w:spacing w:line="360" w:lineRule="auto"/>
        <w:rPr>
          <w:rFonts w:hint="eastAsia" w:ascii="仿宋" w:hAnsi="仿宋" w:eastAsia="仿宋" w:cs="仿宋"/>
          <w:sz w:val="24"/>
        </w:rPr>
      </w:pPr>
      <w:r>
        <w:rPr>
          <w:rFonts w:hint="eastAsia" w:ascii="仿宋" w:hAnsi="仿宋" w:eastAsia="仿宋" w:cs="仿宋"/>
          <w:b/>
          <w:sz w:val="24"/>
        </w:rPr>
        <w:t xml:space="preserve">   </w:t>
      </w:r>
      <w:r>
        <w:rPr>
          <w:rFonts w:hint="eastAsia" w:ascii="仿宋" w:hAnsi="仿宋" w:eastAsia="仿宋" w:cs="仿宋"/>
          <w:sz w:val="24"/>
        </w:rPr>
        <w:t xml:space="preserve"> 一、货物的名称、规格型号、数量和价格（若产品过多则见附表，如有附表则必须加盖公章）  </w:t>
      </w:r>
    </w:p>
    <w:p w14:paraId="0F7DE408">
      <w:pPr>
        <w:spacing w:line="360" w:lineRule="auto"/>
        <w:rPr>
          <w:rFonts w:hint="eastAsia" w:ascii="仿宋" w:hAnsi="仿宋" w:eastAsia="仿宋" w:cs="仿宋"/>
          <w:sz w:val="24"/>
        </w:rPr>
      </w:pPr>
      <w:r>
        <w:rPr>
          <w:rFonts w:hint="eastAsia" w:ascii="仿宋" w:hAnsi="仿宋" w:eastAsia="仿宋" w:cs="仿宋"/>
          <w:sz w:val="24"/>
        </w:rPr>
        <w:t xml:space="preserve">                                                    单位：元</w:t>
      </w:r>
    </w:p>
    <w:tbl>
      <w:tblPr>
        <w:tblStyle w:val="4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620"/>
        <w:gridCol w:w="900"/>
        <w:gridCol w:w="900"/>
        <w:gridCol w:w="1069"/>
        <w:gridCol w:w="1247"/>
        <w:gridCol w:w="1104"/>
      </w:tblGrid>
      <w:tr w14:paraId="2060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980" w:type="dxa"/>
            <w:tcBorders>
              <w:top w:val="single" w:color="auto" w:sz="4" w:space="0"/>
              <w:left w:val="single" w:color="auto" w:sz="4" w:space="0"/>
              <w:bottom w:val="single" w:color="auto" w:sz="4" w:space="0"/>
              <w:right w:val="single" w:color="auto" w:sz="4" w:space="0"/>
            </w:tcBorders>
            <w:noWrap w:val="0"/>
            <w:vAlign w:val="top"/>
          </w:tcPr>
          <w:p w14:paraId="046EE856">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产品名称</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4050608B">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规格型号</w:t>
            </w:r>
          </w:p>
        </w:tc>
        <w:tc>
          <w:tcPr>
            <w:tcW w:w="900" w:type="dxa"/>
            <w:tcBorders>
              <w:top w:val="single" w:color="auto" w:sz="4" w:space="0"/>
              <w:left w:val="single" w:color="auto" w:sz="4" w:space="0"/>
              <w:bottom w:val="single" w:color="auto" w:sz="4" w:space="0"/>
              <w:right w:val="single" w:color="auto" w:sz="4" w:space="0"/>
            </w:tcBorders>
            <w:noWrap w:val="0"/>
            <w:vAlign w:val="top"/>
          </w:tcPr>
          <w:p w14:paraId="1B5277A8">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单位</w:t>
            </w:r>
          </w:p>
        </w:tc>
        <w:tc>
          <w:tcPr>
            <w:tcW w:w="900" w:type="dxa"/>
            <w:tcBorders>
              <w:top w:val="single" w:color="auto" w:sz="4" w:space="0"/>
              <w:left w:val="single" w:color="auto" w:sz="4" w:space="0"/>
              <w:bottom w:val="single" w:color="auto" w:sz="4" w:space="0"/>
              <w:right w:val="single" w:color="auto" w:sz="4" w:space="0"/>
            </w:tcBorders>
            <w:noWrap w:val="0"/>
            <w:vAlign w:val="top"/>
          </w:tcPr>
          <w:p w14:paraId="326F2259">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数量</w:t>
            </w:r>
          </w:p>
        </w:tc>
        <w:tc>
          <w:tcPr>
            <w:tcW w:w="1069" w:type="dxa"/>
            <w:tcBorders>
              <w:top w:val="single" w:color="auto" w:sz="4" w:space="0"/>
              <w:left w:val="single" w:color="auto" w:sz="4" w:space="0"/>
              <w:bottom w:val="single" w:color="auto" w:sz="4" w:space="0"/>
              <w:right w:val="single" w:color="auto" w:sz="4" w:space="0"/>
            </w:tcBorders>
            <w:noWrap w:val="0"/>
            <w:vAlign w:val="top"/>
          </w:tcPr>
          <w:p w14:paraId="44B21E4E">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单价</w:t>
            </w:r>
          </w:p>
        </w:tc>
        <w:tc>
          <w:tcPr>
            <w:tcW w:w="1247" w:type="dxa"/>
            <w:tcBorders>
              <w:top w:val="single" w:color="auto" w:sz="4" w:space="0"/>
              <w:left w:val="single" w:color="auto" w:sz="4" w:space="0"/>
              <w:bottom w:val="single" w:color="auto" w:sz="4" w:space="0"/>
              <w:right w:val="single" w:color="auto" w:sz="4" w:space="0"/>
            </w:tcBorders>
            <w:noWrap w:val="0"/>
            <w:vAlign w:val="top"/>
          </w:tcPr>
          <w:p w14:paraId="34F3D0C4">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小计</w:t>
            </w:r>
          </w:p>
        </w:tc>
        <w:tc>
          <w:tcPr>
            <w:tcW w:w="1104" w:type="dxa"/>
            <w:tcBorders>
              <w:top w:val="single" w:color="auto" w:sz="4" w:space="0"/>
              <w:left w:val="single" w:color="auto" w:sz="4" w:space="0"/>
              <w:bottom w:val="single" w:color="auto" w:sz="4" w:space="0"/>
              <w:right w:val="single" w:color="auto" w:sz="4" w:space="0"/>
            </w:tcBorders>
            <w:noWrap w:val="0"/>
            <w:vAlign w:val="top"/>
          </w:tcPr>
          <w:p w14:paraId="5DB126CF">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生产</w:t>
            </w:r>
          </w:p>
          <w:p w14:paraId="0A248B6C">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厂商</w:t>
            </w:r>
          </w:p>
        </w:tc>
      </w:tr>
      <w:tr w14:paraId="16EF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980" w:type="dxa"/>
            <w:tcBorders>
              <w:top w:val="single" w:color="auto" w:sz="4" w:space="0"/>
              <w:left w:val="single" w:color="auto" w:sz="4" w:space="0"/>
              <w:bottom w:val="single" w:color="auto" w:sz="4" w:space="0"/>
              <w:right w:val="single" w:color="auto" w:sz="4" w:space="0"/>
            </w:tcBorders>
            <w:noWrap w:val="0"/>
            <w:vAlign w:val="top"/>
          </w:tcPr>
          <w:p w14:paraId="3E28C269">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490D3A35">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900" w:type="dxa"/>
            <w:tcBorders>
              <w:top w:val="single" w:color="auto" w:sz="4" w:space="0"/>
              <w:left w:val="single" w:color="auto" w:sz="4" w:space="0"/>
              <w:bottom w:val="single" w:color="auto" w:sz="4" w:space="0"/>
              <w:right w:val="single" w:color="auto" w:sz="4" w:space="0"/>
            </w:tcBorders>
            <w:noWrap w:val="0"/>
            <w:vAlign w:val="top"/>
          </w:tcPr>
          <w:p w14:paraId="462D9396">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900" w:type="dxa"/>
            <w:tcBorders>
              <w:top w:val="single" w:color="auto" w:sz="4" w:space="0"/>
              <w:left w:val="single" w:color="auto" w:sz="4" w:space="0"/>
              <w:bottom w:val="single" w:color="auto" w:sz="4" w:space="0"/>
              <w:right w:val="single" w:color="auto" w:sz="4" w:space="0"/>
            </w:tcBorders>
            <w:noWrap w:val="0"/>
            <w:vAlign w:val="top"/>
          </w:tcPr>
          <w:p w14:paraId="5BFD84A6">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069" w:type="dxa"/>
            <w:tcBorders>
              <w:top w:val="single" w:color="auto" w:sz="4" w:space="0"/>
              <w:left w:val="single" w:color="auto" w:sz="4" w:space="0"/>
              <w:bottom w:val="single" w:color="auto" w:sz="4" w:space="0"/>
              <w:right w:val="single" w:color="auto" w:sz="4" w:space="0"/>
            </w:tcBorders>
            <w:noWrap w:val="0"/>
            <w:vAlign w:val="top"/>
          </w:tcPr>
          <w:p w14:paraId="0BF6BD10">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247" w:type="dxa"/>
            <w:tcBorders>
              <w:top w:val="single" w:color="auto" w:sz="4" w:space="0"/>
              <w:left w:val="single" w:color="auto" w:sz="4" w:space="0"/>
              <w:bottom w:val="single" w:color="auto" w:sz="4" w:space="0"/>
              <w:right w:val="single" w:color="auto" w:sz="4" w:space="0"/>
            </w:tcBorders>
            <w:noWrap w:val="0"/>
            <w:vAlign w:val="top"/>
          </w:tcPr>
          <w:p w14:paraId="1AD9B971">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1B3BCE13">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r>
      <w:tr w14:paraId="33FF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980" w:type="dxa"/>
            <w:tcBorders>
              <w:top w:val="single" w:color="auto" w:sz="4" w:space="0"/>
              <w:left w:val="single" w:color="auto" w:sz="4" w:space="0"/>
              <w:bottom w:val="single" w:color="auto" w:sz="4" w:space="0"/>
              <w:right w:val="single" w:color="auto" w:sz="4" w:space="0"/>
            </w:tcBorders>
            <w:noWrap w:val="0"/>
            <w:vAlign w:val="top"/>
          </w:tcPr>
          <w:p w14:paraId="56C45A7F">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254F177">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900" w:type="dxa"/>
            <w:tcBorders>
              <w:top w:val="single" w:color="auto" w:sz="4" w:space="0"/>
              <w:left w:val="single" w:color="auto" w:sz="4" w:space="0"/>
              <w:bottom w:val="single" w:color="auto" w:sz="4" w:space="0"/>
              <w:right w:val="single" w:color="auto" w:sz="4" w:space="0"/>
            </w:tcBorders>
            <w:noWrap w:val="0"/>
            <w:vAlign w:val="top"/>
          </w:tcPr>
          <w:p w14:paraId="16DB2D30">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900" w:type="dxa"/>
            <w:tcBorders>
              <w:top w:val="single" w:color="auto" w:sz="4" w:space="0"/>
              <w:left w:val="single" w:color="auto" w:sz="4" w:space="0"/>
              <w:bottom w:val="single" w:color="auto" w:sz="4" w:space="0"/>
              <w:right w:val="single" w:color="auto" w:sz="4" w:space="0"/>
            </w:tcBorders>
            <w:noWrap w:val="0"/>
            <w:vAlign w:val="top"/>
          </w:tcPr>
          <w:p w14:paraId="2CE69693">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069" w:type="dxa"/>
            <w:tcBorders>
              <w:top w:val="single" w:color="auto" w:sz="4" w:space="0"/>
              <w:left w:val="single" w:color="auto" w:sz="4" w:space="0"/>
              <w:bottom w:val="single" w:color="auto" w:sz="4" w:space="0"/>
              <w:right w:val="single" w:color="auto" w:sz="4" w:space="0"/>
            </w:tcBorders>
            <w:noWrap w:val="0"/>
            <w:vAlign w:val="top"/>
          </w:tcPr>
          <w:p w14:paraId="79D0EF81">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247" w:type="dxa"/>
            <w:tcBorders>
              <w:top w:val="single" w:color="auto" w:sz="4" w:space="0"/>
              <w:left w:val="single" w:color="auto" w:sz="4" w:space="0"/>
              <w:bottom w:val="single" w:color="auto" w:sz="4" w:space="0"/>
              <w:right w:val="single" w:color="auto" w:sz="4" w:space="0"/>
            </w:tcBorders>
            <w:noWrap w:val="0"/>
            <w:vAlign w:val="top"/>
          </w:tcPr>
          <w:p w14:paraId="08AE2901">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c>
          <w:tcPr>
            <w:tcW w:w="1104" w:type="dxa"/>
            <w:tcBorders>
              <w:top w:val="single" w:color="auto" w:sz="4" w:space="0"/>
              <w:left w:val="single" w:color="auto" w:sz="4" w:space="0"/>
              <w:bottom w:val="single" w:color="auto" w:sz="4" w:space="0"/>
              <w:right w:val="single" w:color="auto" w:sz="4" w:space="0"/>
            </w:tcBorders>
            <w:noWrap w:val="0"/>
            <w:vAlign w:val="top"/>
          </w:tcPr>
          <w:p w14:paraId="14F985CF">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r>
      <w:tr w14:paraId="34B5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469" w:type="dxa"/>
            <w:gridSpan w:val="5"/>
            <w:tcBorders>
              <w:top w:val="single" w:color="auto" w:sz="4" w:space="0"/>
              <w:left w:val="single" w:color="auto" w:sz="4" w:space="0"/>
              <w:bottom w:val="single" w:color="auto" w:sz="4" w:space="0"/>
              <w:right w:val="single" w:color="auto" w:sz="4" w:space="0"/>
            </w:tcBorders>
            <w:noWrap w:val="0"/>
            <w:vAlign w:val="top"/>
          </w:tcPr>
          <w:p w14:paraId="538E6647">
            <w:pPr>
              <w:keepNext w:val="0"/>
              <w:keepLines w:val="0"/>
              <w:suppressLineNumbers w:val="0"/>
              <w:spacing w:before="120" w:beforeLines="50" w:beforeAutospacing="0" w:after="72" w:afterLines="30" w:afterAutospacing="0" w:line="360" w:lineRule="auto"/>
              <w:ind w:left="0" w:right="0"/>
              <w:jc w:val="center"/>
              <w:rPr>
                <w:rFonts w:hint="default" w:ascii="仿宋" w:hAnsi="仿宋" w:eastAsia="仿宋" w:cs="仿宋"/>
                <w:sz w:val="24"/>
              </w:rPr>
            </w:pPr>
            <w:r>
              <w:rPr>
                <w:rFonts w:hint="eastAsia" w:ascii="仿宋" w:hAnsi="仿宋" w:eastAsia="仿宋" w:cs="仿宋"/>
                <w:sz w:val="24"/>
              </w:rPr>
              <w:t>合计</w:t>
            </w:r>
          </w:p>
        </w:tc>
        <w:tc>
          <w:tcPr>
            <w:tcW w:w="2351" w:type="dxa"/>
            <w:gridSpan w:val="2"/>
            <w:tcBorders>
              <w:top w:val="single" w:color="auto" w:sz="4" w:space="0"/>
              <w:left w:val="single" w:color="auto" w:sz="4" w:space="0"/>
              <w:bottom w:val="single" w:color="auto" w:sz="4" w:space="0"/>
              <w:right w:val="single" w:color="auto" w:sz="4" w:space="0"/>
            </w:tcBorders>
            <w:noWrap w:val="0"/>
            <w:vAlign w:val="top"/>
          </w:tcPr>
          <w:p w14:paraId="099409EC">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p>
        </w:tc>
      </w:tr>
      <w:tr w14:paraId="6857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820" w:type="dxa"/>
            <w:gridSpan w:val="7"/>
            <w:tcBorders>
              <w:top w:val="single" w:color="auto" w:sz="4" w:space="0"/>
              <w:left w:val="single" w:color="auto" w:sz="4" w:space="0"/>
              <w:bottom w:val="single" w:color="auto" w:sz="4" w:space="0"/>
              <w:right w:val="single" w:color="auto" w:sz="4" w:space="0"/>
            </w:tcBorders>
            <w:noWrap w:val="0"/>
            <w:vAlign w:val="top"/>
          </w:tcPr>
          <w:p w14:paraId="0F6DC651">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r>
              <w:rPr>
                <w:rFonts w:hint="eastAsia" w:ascii="仿宋" w:hAnsi="仿宋" w:eastAsia="仿宋" w:cs="仿宋"/>
                <w:sz w:val="24"/>
              </w:rPr>
              <w:t>合同总金额（大写）：</w:t>
            </w:r>
          </w:p>
          <w:p w14:paraId="7C1ACEF4">
            <w:pPr>
              <w:keepNext w:val="0"/>
              <w:keepLines w:val="0"/>
              <w:suppressLineNumbers w:val="0"/>
              <w:spacing w:before="120" w:beforeLines="50" w:beforeAutospacing="0" w:after="72" w:afterLines="30" w:afterAutospacing="0" w:line="360" w:lineRule="auto"/>
              <w:ind w:left="0" w:right="0"/>
              <w:rPr>
                <w:rFonts w:hint="default" w:ascii="仿宋" w:hAnsi="仿宋" w:eastAsia="仿宋" w:cs="仿宋"/>
                <w:sz w:val="24"/>
              </w:rPr>
            </w:pPr>
            <w:r>
              <w:rPr>
                <w:rFonts w:hint="eastAsia" w:ascii="仿宋" w:hAnsi="仿宋" w:eastAsia="仿宋" w:cs="仿宋"/>
                <w:sz w:val="24"/>
              </w:rPr>
              <w:t>备注：上述产品报价含产品生产、运输送达至买方指定地点并下货、安装、调试、检验及售后服务、税金、劳保基金等费用。</w:t>
            </w:r>
          </w:p>
        </w:tc>
      </w:tr>
    </w:tbl>
    <w:p w14:paraId="3EB4761A">
      <w:pPr>
        <w:spacing w:line="360" w:lineRule="auto"/>
        <w:ind w:firstLine="540"/>
        <w:rPr>
          <w:rFonts w:hint="eastAsia" w:ascii="仿宋" w:hAnsi="仿宋" w:eastAsia="仿宋" w:cs="仿宋"/>
          <w:b/>
          <w:sz w:val="24"/>
        </w:rPr>
      </w:pPr>
    </w:p>
    <w:p w14:paraId="2C2EE78E">
      <w:pPr>
        <w:spacing w:line="360" w:lineRule="auto"/>
        <w:ind w:firstLine="540"/>
        <w:rPr>
          <w:rFonts w:hint="eastAsia" w:ascii="仿宋" w:hAnsi="仿宋" w:eastAsia="仿宋" w:cs="仿宋"/>
          <w:b/>
          <w:sz w:val="24"/>
        </w:rPr>
      </w:pPr>
      <w:r>
        <w:rPr>
          <w:rFonts w:hint="eastAsia" w:ascii="仿宋" w:hAnsi="仿宋" w:eastAsia="仿宋" w:cs="仿宋"/>
          <w:b/>
          <w:sz w:val="24"/>
        </w:rPr>
        <w:t>二、组成合同的文件</w:t>
      </w:r>
    </w:p>
    <w:p w14:paraId="479DDD46">
      <w:pPr>
        <w:spacing w:line="360" w:lineRule="auto"/>
        <w:ind w:firstLine="540"/>
        <w:rPr>
          <w:rFonts w:hint="eastAsia" w:ascii="仿宋" w:hAnsi="仿宋" w:eastAsia="仿宋" w:cs="仿宋"/>
          <w:sz w:val="24"/>
        </w:rPr>
      </w:pPr>
      <w:r>
        <w:rPr>
          <w:rFonts w:hint="eastAsia" w:ascii="仿宋" w:hAnsi="仿宋" w:eastAsia="仿宋" w:cs="仿宋"/>
          <w:sz w:val="24"/>
        </w:rPr>
        <w:t>组成本合同的文件包括：</w:t>
      </w:r>
    </w:p>
    <w:p w14:paraId="32F680C5">
      <w:pPr>
        <w:numPr>
          <w:ilvl w:val="0"/>
          <w:numId w:val="2"/>
        </w:numPr>
        <w:tabs>
          <w:tab w:val="left" w:pos="915"/>
        </w:tabs>
        <w:spacing w:line="360" w:lineRule="auto"/>
        <w:ind w:left="915" w:hanging="420"/>
        <w:rPr>
          <w:rFonts w:hint="eastAsia" w:ascii="仿宋" w:hAnsi="仿宋" w:eastAsia="仿宋" w:cs="仿宋"/>
          <w:sz w:val="24"/>
        </w:rPr>
      </w:pPr>
      <w:r>
        <w:rPr>
          <w:rFonts w:hint="eastAsia" w:ascii="仿宋" w:hAnsi="仿宋" w:eastAsia="仿宋" w:cs="仿宋"/>
          <w:sz w:val="24"/>
        </w:rPr>
        <w:t>采购文件及答疑、更正公告；</w:t>
      </w:r>
    </w:p>
    <w:p w14:paraId="0CDE828B">
      <w:pPr>
        <w:numPr>
          <w:ilvl w:val="0"/>
          <w:numId w:val="2"/>
        </w:numPr>
        <w:tabs>
          <w:tab w:val="left" w:pos="915"/>
        </w:tabs>
        <w:spacing w:line="360" w:lineRule="auto"/>
        <w:ind w:left="915" w:hanging="420"/>
        <w:rPr>
          <w:rFonts w:hint="eastAsia" w:ascii="仿宋" w:hAnsi="仿宋" w:eastAsia="仿宋" w:cs="仿宋"/>
          <w:sz w:val="24"/>
        </w:rPr>
      </w:pPr>
      <w:r>
        <w:rPr>
          <w:rFonts w:hint="eastAsia" w:ascii="仿宋" w:hAnsi="仿宋" w:eastAsia="仿宋" w:cs="仿宋"/>
          <w:sz w:val="24"/>
        </w:rPr>
        <w:t>采购文件标准文本中的“合同条款”；</w:t>
      </w:r>
    </w:p>
    <w:p w14:paraId="23B7F06E">
      <w:pPr>
        <w:numPr>
          <w:ilvl w:val="0"/>
          <w:numId w:val="2"/>
        </w:numPr>
        <w:tabs>
          <w:tab w:val="left" w:pos="915"/>
        </w:tabs>
        <w:spacing w:line="360" w:lineRule="auto"/>
        <w:ind w:left="915" w:hanging="420"/>
        <w:rPr>
          <w:rFonts w:hint="eastAsia" w:ascii="仿宋" w:hAnsi="仿宋" w:eastAsia="仿宋" w:cs="仿宋"/>
          <w:sz w:val="24"/>
        </w:rPr>
      </w:pPr>
      <w:r>
        <w:rPr>
          <w:rFonts w:hint="eastAsia" w:ascii="仿宋" w:hAnsi="仿宋" w:eastAsia="仿宋" w:cs="仿宋"/>
          <w:sz w:val="24"/>
        </w:rPr>
        <w:t>中标或成交公告；</w:t>
      </w:r>
    </w:p>
    <w:p w14:paraId="79E779A9">
      <w:pPr>
        <w:numPr>
          <w:ilvl w:val="0"/>
          <w:numId w:val="2"/>
        </w:numPr>
        <w:tabs>
          <w:tab w:val="left" w:pos="915"/>
        </w:tabs>
        <w:spacing w:line="360" w:lineRule="auto"/>
        <w:ind w:left="915" w:hanging="420"/>
        <w:rPr>
          <w:rFonts w:hint="eastAsia" w:ascii="仿宋" w:hAnsi="仿宋" w:eastAsia="仿宋" w:cs="仿宋"/>
          <w:sz w:val="24"/>
        </w:rPr>
      </w:pPr>
      <w:r>
        <w:rPr>
          <w:rFonts w:hint="eastAsia" w:ascii="仿宋" w:hAnsi="仿宋" w:eastAsia="仿宋" w:cs="仿宋"/>
          <w:sz w:val="24"/>
        </w:rPr>
        <w:t>卖方提交的投标文件及书面承诺函；</w:t>
      </w:r>
    </w:p>
    <w:p w14:paraId="11BAA97B">
      <w:pPr>
        <w:numPr>
          <w:ilvl w:val="0"/>
          <w:numId w:val="2"/>
        </w:numPr>
        <w:tabs>
          <w:tab w:val="left" w:pos="915"/>
        </w:tabs>
        <w:spacing w:line="360" w:lineRule="auto"/>
        <w:ind w:left="915" w:hanging="420"/>
        <w:rPr>
          <w:rFonts w:hint="eastAsia" w:ascii="仿宋" w:hAnsi="仿宋" w:eastAsia="仿宋" w:cs="仿宋"/>
          <w:sz w:val="24"/>
        </w:rPr>
      </w:pPr>
      <w:r>
        <w:rPr>
          <w:rFonts w:hint="eastAsia" w:ascii="仿宋" w:hAnsi="仿宋" w:eastAsia="仿宋" w:cs="仿宋"/>
          <w:sz w:val="24"/>
        </w:rPr>
        <w:t>双方另行签订的补充协议。</w:t>
      </w:r>
    </w:p>
    <w:p w14:paraId="7F9E8F43">
      <w:pPr>
        <w:spacing w:line="360" w:lineRule="auto"/>
        <w:ind w:firstLine="495"/>
        <w:rPr>
          <w:rFonts w:hint="eastAsia" w:ascii="仿宋" w:hAnsi="仿宋" w:eastAsia="仿宋" w:cs="仿宋"/>
          <w:b/>
          <w:sz w:val="24"/>
        </w:rPr>
      </w:pPr>
      <w:r>
        <w:rPr>
          <w:rFonts w:hint="eastAsia" w:ascii="仿宋" w:hAnsi="仿宋" w:eastAsia="仿宋" w:cs="仿宋"/>
          <w:b/>
          <w:sz w:val="24"/>
        </w:rPr>
        <w:t>三、 合同金额</w:t>
      </w:r>
    </w:p>
    <w:p w14:paraId="09A341FD">
      <w:pPr>
        <w:spacing w:line="360" w:lineRule="auto"/>
        <w:ind w:firstLine="495"/>
        <w:rPr>
          <w:rFonts w:hint="eastAsia" w:ascii="仿宋" w:hAnsi="仿宋" w:eastAsia="仿宋" w:cs="仿宋"/>
          <w:sz w:val="24"/>
        </w:rPr>
      </w:pPr>
      <w:r>
        <w:rPr>
          <w:rFonts w:hint="eastAsia" w:ascii="仿宋" w:hAnsi="仿宋" w:eastAsia="仿宋" w:cs="仿宋"/>
          <w:sz w:val="24"/>
        </w:rPr>
        <w:t>本合同的总金额为</w:t>
      </w:r>
      <w:r>
        <w:rPr>
          <w:rFonts w:hint="eastAsia" w:ascii="仿宋" w:hAnsi="仿宋" w:eastAsia="仿宋" w:cs="仿宋"/>
          <w:sz w:val="24"/>
          <w:u w:val="single"/>
        </w:rPr>
        <w:t xml:space="preserve">       </w:t>
      </w:r>
      <w:r>
        <w:rPr>
          <w:rFonts w:hint="eastAsia" w:ascii="仿宋" w:hAnsi="仿宋" w:eastAsia="仿宋" w:cs="仿宋"/>
          <w:sz w:val="24"/>
        </w:rPr>
        <w:t>元(人民币大写：</w:t>
      </w:r>
      <w:r>
        <w:rPr>
          <w:rFonts w:hint="eastAsia" w:ascii="仿宋" w:hAnsi="仿宋" w:eastAsia="仿宋" w:cs="仿宋"/>
          <w:sz w:val="24"/>
          <w:u w:val="single"/>
        </w:rPr>
        <w:t xml:space="preserve">        </w:t>
      </w:r>
      <w:r>
        <w:rPr>
          <w:rFonts w:hint="eastAsia" w:ascii="仿宋" w:hAnsi="仿宋" w:eastAsia="仿宋" w:cs="仿宋"/>
          <w:sz w:val="24"/>
        </w:rPr>
        <w:t>)。</w:t>
      </w:r>
    </w:p>
    <w:p w14:paraId="34BF33FB">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四、供货期限</w:t>
      </w:r>
    </w:p>
    <w:p w14:paraId="2791767F">
      <w:pPr>
        <w:spacing w:line="360" w:lineRule="auto"/>
        <w:ind w:firstLine="645"/>
        <w:rPr>
          <w:rFonts w:hint="eastAsia" w:ascii="仿宋" w:hAnsi="仿宋" w:eastAsia="仿宋" w:cs="仿宋"/>
          <w:sz w:val="24"/>
        </w:rPr>
      </w:pPr>
      <w:r>
        <w:rPr>
          <w:rFonts w:hint="eastAsia" w:ascii="仿宋" w:hAnsi="仿宋" w:eastAsia="仿宋" w:cs="仿宋"/>
          <w:sz w:val="24"/>
        </w:rPr>
        <w:t>卖方应于合同签字生效接买方通知后开始计算的</w:t>
      </w:r>
      <w:r>
        <w:rPr>
          <w:rFonts w:hint="eastAsia" w:ascii="仿宋" w:hAnsi="仿宋" w:eastAsia="仿宋" w:cs="仿宋"/>
          <w:b/>
          <w:sz w:val="24"/>
          <w:u w:val="single"/>
        </w:rPr>
        <w:t xml:space="preserve">  25  </w:t>
      </w:r>
      <w:r>
        <w:rPr>
          <w:rFonts w:hint="eastAsia" w:ascii="仿宋" w:hAnsi="仿宋" w:eastAsia="仿宋" w:cs="仿宋"/>
          <w:sz w:val="24"/>
        </w:rPr>
        <w:t>日内将货物送到买方指定的地点，由买方进行验收。</w:t>
      </w:r>
    </w:p>
    <w:p w14:paraId="11CFBCE4">
      <w:pPr>
        <w:spacing w:line="360" w:lineRule="auto"/>
        <w:ind w:firstLine="600" w:firstLineChars="250"/>
        <w:jc w:val="left"/>
        <w:rPr>
          <w:rFonts w:hint="eastAsia" w:ascii="仿宋" w:hAnsi="仿宋" w:eastAsia="仿宋" w:cs="仿宋"/>
          <w:b/>
          <w:sz w:val="24"/>
        </w:rPr>
      </w:pPr>
      <w:r>
        <w:rPr>
          <w:rFonts w:hint="eastAsia" w:ascii="仿宋" w:hAnsi="仿宋" w:eastAsia="仿宋" w:cs="仿宋"/>
          <w:sz w:val="24"/>
        </w:rPr>
        <w:t xml:space="preserve">货物运输至买方指定地点到货物验收合格前， </w:t>
      </w:r>
      <w:r>
        <w:rPr>
          <w:rFonts w:hint="eastAsia" w:ascii="仿宋" w:hAnsi="仿宋" w:eastAsia="仿宋" w:cs="仿宋"/>
          <w:sz w:val="24"/>
          <w:u w:val="single"/>
        </w:rPr>
        <w:t xml:space="preserve"> 卖方 </w:t>
      </w:r>
      <w:r>
        <w:rPr>
          <w:rFonts w:hint="eastAsia" w:ascii="仿宋" w:hAnsi="仿宋" w:eastAsia="仿宋" w:cs="仿宋"/>
          <w:sz w:val="24"/>
        </w:rPr>
        <w:t>负责对货物承担安保义务。</w:t>
      </w:r>
    </w:p>
    <w:p w14:paraId="278C93C3">
      <w:pPr>
        <w:widowControl/>
        <w:spacing w:line="360" w:lineRule="auto"/>
        <w:ind w:firstLine="555"/>
        <w:rPr>
          <w:rFonts w:hint="eastAsia" w:ascii="仿宋" w:hAnsi="仿宋" w:eastAsia="仿宋" w:cs="仿宋"/>
          <w:b/>
          <w:sz w:val="24"/>
        </w:rPr>
      </w:pPr>
      <w:r>
        <w:rPr>
          <w:rFonts w:hint="eastAsia" w:ascii="仿宋" w:hAnsi="仿宋" w:eastAsia="仿宋" w:cs="仿宋"/>
          <w:b/>
          <w:sz w:val="24"/>
        </w:rPr>
        <w:t>五、验收要求</w:t>
      </w:r>
    </w:p>
    <w:p w14:paraId="0C879DFA">
      <w:pPr>
        <w:widowControl/>
        <w:spacing w:line="360" w:lineRule="auto"/>
        <w:ind w:firstLine="555"/>
        <w:rPr>
          <w:rFonts w:hint="eastAsia" w:ascii="仿宋" w:hAnsi="仿宋" w:eastAsia="仿宋" w:cs="仿宋"/>
          <w:b/>
          <w:sz w:val="24"/>
        </w:rPr>
      </w:pPr>
      <w:r>
        <w:rPr>
          <w:rFonts w:hint="eastAsia" w:ascii="仿宋" w:hAnsi="仿宋" w:eastAsia="仿宋" w:cs="仿宋"/>
          <w:b/>
          <w:sz w:val="24"/>
        </w:rPr>
        <w:t>（一）质量标准</w:t>
      </w:r>
    </w:p>
    <w:p w14:paraId="375A86EF">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卖方保证提供的货物符合中华人民共和国国家及行业的安全质量标准、环保标准中之较高者；若货物来源于中华人民共和国境外，还要同时符合货物来源国的官方、行业及生产厂商的安全质量标准、环保标准中之较高者。上述标准为已发布的且在货物交付时有效的最新版本的标准；当货物来源于中华人民共和国境外时，产品必须附有原产地证明、中华人民共和国商检机构的检验证明、合法进货渠道证明及海关完税证明，此外，有关技术资料中须附有全文翻译的中文文本。</w:t>
      </w:r>
    </w:p>
    <w:p w14:paraId="116A0754">
      <w:pPr>
        <w:widowControl/>
        <w:spacing w:line="360" w:lineRule="auto"/>
        <w:ind w:firstLine="660"/>
        <w:rPr>
          <w:rFonts w:hint="eastAsia" w:ascii="仿宋" w:hAnsi="仿宋" w:eastAsia="仿宋" w:cs="仿宋"/>
          <w:b/>
          <w:sz w:val="24"/>
        </w:rPr>
      </w:pPr>
      <w:r>
        <w:rPr>
          <w:rFonts w:hint="eastAsia" w:ascii="仿宋" w:hAnsi="仿宋" w:eastAsia="仿宋" w:cs="仿宋"/>
          <w:b/>
          <w:sz w:val="24"/>
        </w:rPr>
        <w:t>（二）验收组织</w:t>
      </w:r>
    </w:p>
    <w:p w14:paraId="16E972AE">
      <w:pPr>
        <w:widowControl/>
        <w:spacing w:line="360" w:lineRule="auto"/>
        <w:ind w:firstLine="660"/>
        <w:rPr>
          <w:rFonts w:hint="eastAsia" w:ascii="仿宋" w:hAnsi="仿宋" w:eastAsia="仿宋" w:cs="仿宋"/>
          <w:sz w:val="24"/>
          <w:shd w:val="clear" w:color="auto" w:fill="FFFFFF"/>
        </w:rPr>
      </w:pPr>
      <w:r>
        <w:rPr>
          <w:rFonts w:hint="eastAsia" w:ascii="仿宋" w:hAnsi="仿宋" w:eastAsia="仿宋" w:cs="仿宋"/>
          <w:sz w:val="24"/>
        </w:rPr>
        <w:t>买方负责组织验收工作，</w:t>
      </w:r>
      <w:r>
        <w:rPr>
          <w:rFonts w:hint="eastAsia" w:ascii="仿宋" w:hAnsi="仿宋" w:eastAsia="仿宋" w:cs="仿宋"/>
          <w:kern w:val="0"/>
          <w:sz w:val="24"/>
        </w:rPr>
        <w:t>大型或者复杂的政府采购项目，必须邀请国家认可的质量检测机构参加验收工作。</w:t>
      </w:r>
    </w:p>
    <w:p w14:paraId="21FF374A">
      <w:pPr>
        <w:widowControl/>
        <w:spacing w:line="360" w:lineRule="auto"/>
        <w:ind w:firstLine="482" w:firstLineChars="200"/>
        <w:rPr>
          <w:rFonts w:hint="eastAsia" w:ascii="仿宋" w:hAnsi="仿宋" w:eastAsia="仿宋" w:cs="仿宋"/>
          <w:b/>
          <w:kern w:val="0"/>
          <w:sz w:val="24"/>
        </w:rPr>
      </w:pPr>
      <w:r>
        <w:rPr>
          <w:rFonts w:hint="eastAsia" w:ascii="仿宋" w:hAnsi="仿宋" w:eastAsia="仿宋" w:cs="仿宋"/>
          <w:b/>
          <w:sz w:val="24"/>
          <w:shd w:val="clear" w:color="auto" w:fill="FFFFFF"/>
        </w:rPr>
        <w:t>（三）</w:t>
      </w:r>
      <w:r>
        <w:rPr>
          <w:rFonts w:hint="eastAsia" w:ascii="仿宋" w:hAnsi="仿宋" w:eastAsia="仿宋" w:cs="仿宋"/>
          <w:b/>
          <w:kern w:val="0"/>
          <w:sz w:val="24"/>
        </w:rPr>
        <w:t>验收程序</w:t>
      </w:r>
    </w:p>
    <w:p w14:paraId="1C6E4E6E">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1、成立验收小组，</w:t>
      </w:r>
      <w:r>
        <w:rPr>
          <w:rFonts w:hint="eastAsia" w:ascii="仿宋" w:hAnsi="仿宋" w:eastAsia="仿宋" w:cs="仿宋"/>
          <w:sz w:val="24"/>
        </w:rPr>
        <w:t>验收人员应由买方代表和技术专家组成</w:t>
      </w:r>
      <w:r>
        <w:rPr>
          <w:rFonts w:hint="eastAsia" w:ascii="仿宋" w:hAnsi="仿宋" w:eastAsia="仿宋" w:cs="仿宋"/>
          <w:kern w:val="0"/>
          <w:sz w:val="24"/>
        </w:rPr>
        <w:t>。</w:t>
      </w:r>
    </w:p>
    <w:p w14:paraId="0F28295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2、验收前要编制验收表格。</w:t>
      </w:r>
    </w:p>
    <w:p w14:paraId="15C52F0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3、验收时双方要按照验收表格逐项验收。</w:t>
      </w:r>
    </w:p>
    <w:p w14:paraId="410F44E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4、验收方出具验收报告。</w:t>
      </w:r>
    </w:p>
    <w:p w14:paraId="5788CA83">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5、复杂设备的验收还要包括出厂检验、到货检验、安装和调试、最终验收、等伴随服务的验收。</w:t>
      </w:r>
    </w:p>
    <w:p w14:paraId="711A2264">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6、</w:t>
      </w:r>
      <w:r>
        <w:rPr>
          <w:rFonts w:hint="eastAsia" w:ascii="仿宋" w:hAnsi="仿宋" w:eastAsia="仿宋" w:cs="仿宋"/>
          <w:sz w:val="24"/>
        </w:rPr>
        <w:t>卖方</w:t>
      </w:r>
      <w:r>
        <w:rPr>
          <w:rFonts w:hint="eastAsia" w:ascii="仿宋" w:hAnsi="仿宋" w:eastAsia="仿宋" w:cs="仿宋"/>
          <w:kern w:val="0"/>
          <w:sz w:val="24"/>
        </w:rPr>
        <w:t>应免费提供现场技术培训，应对买方临床医生及技术人员提供正规的整套设备操作、维护、维修、检测等内容的培训，使买方全面了解直至完全掌握设备的使用。</w:t>
      </w:r>
    </w:p>
    <w:p w14:paraId="49E69572">
      <w:pPr>
        <w:spacing w:line="360" w:lineRule="auto"/>
        <w:ind w:firstLine="645"/>
        <w:rPr>
          <w:rFonts w:hint="eastAsia" w:ascii="仿宋" w:hAnsi="仿宋" w:eastAsia="仿宋" w:cs="仿宋"/>
          <w:b/>
          <w:sz w:val="24"/>
        </w:rPr>
      </w:pPr>
      <w:r>
        <w:rPr>
          <w:rFonts w:hint="eastAsia" w:ascii="仿宋" w:hAnsi="仿宋" w:eastAsia="仿宋" w:cs="仿宋"/>
          <w:b/>
          <w:sz w:val="24"/>
        </w:rPr>
        <w:t>六、付款方式</w:t>
      </w:r>
    </w:p>
    <w:p w14:paraId="35E9C6C7">
      <w:pPr>
        <w:widowControl/>
        <w:adjustRightInd w:val="0"/>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1、合同签订生效之日前，乙方须向甲方缴纳合同价款的2.5%作为合同履约保证金，验收完成免费质保期开始后三十个日历天内，甲方办理履约保证金退还手续；</w:t>
      </w:r>
    </w:p>
    <w:p w14:paraId="2E9ED1AD">
      <w:pPr>
        <w:widowControl/>
        <w:adjustRightInd w:val="0"/>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w:t>
      </w:r>
      <w:r>
        <w:rPr>
          <w:rFonts w:hint="eastAsia" w:ascii="宋体" w:hAnsi="宋体" w:eastAsia="仿宋" w:cs="Calibri"/>
          <w:sz w:val="24"/>
        </w:rPr>
        <w:t>合同签订生效后，十五个日历天内卖方须向招标人提供合同价款的70%的不可撤销预付款保函（预付款保函时限不得低于一年）</w:t>
      </w:r>
      <w:r>
        <w:rPr>
          <w:rFonts w:hint="eastAsia" w:ascii="仿宋" w:hAnsi="仿宋" w:eastAsia="仿宋" w:cs="仿宋"/>
          <w:sz w:val="24"/>
        </w:rPr>
        <w:t>；如果乙方未在约定期限内向甲方提供预付款保函和履约保证金，则乙方须按中国人民银行公布的同期同类贷款利率向甲方支付逾期利息，逾期利息=甲方已支付给乙方的定金和预付款合计金额×中国人民银行公布的同期同类贷款利率。收到乙方预付款保函后 5 个工作日内甲方向乙方支付合同价款的70%作为预付款；</w:t>
      </w:r>
    </w:p>
    <w:p w14:paraId="439D0169">
      <w:pPr>
        <w:widowControl/>
        <w:adjustRightInd w:val="0"/>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 xml:space="preserve"> 3、乙方完成本项目供货并验收合格，且开具增值税发票后7个工作日内，甲方支付至100%合同价款；</w:t>
      </w:r>
    </w:p>
    <w:p w14:paraId="64A08363">
      <w:pPr>
        <w:widowControl/>
        <w:adjustRightInd w:val="0"/>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4、乙方向甲方提供的预付款保函，在货物经双方最终验收合格后方可向甲方书面提出保函退还申请，并经甲方审批同意后退还。</w:t>
      </w:r>
    </w:p>
    <w:p w14:paraId="4BE4BA07">
      <w:pPr>
        <w:spacing w:line="360" w:lineRule="auto"/>
        <w:ind w:firstLine="602" w:firstLineChars="250"/>
        <w:rPr>
          <w:rFonts w:hint="eastAsia" w:ascii="仿宋" w:hAnsi="仿宋" w:eastAsia="仿宋" w:cs="仿宋"/>
          <w:b/>
          <w:sz w:val="24"/>
        </w:rPr>
      </w:pPr>
      <w:r>
        <w:rPr>
          <w:rFonts w:hint="eastAsia" w:ascii="仿宋" w:hAnsi="仿宋" w:eastAsia="仿宋" w:cs="仿宋"/>
          <w:b/>
          <w:sz w:val="24"/>
        </w:rPr>
        <w:t>七、售后服务</w:t>
      </w:r>
    </w:p>
    <w:p w14:paraId="24E5715C">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（一）卖方对合同货物的质量保修期为验收证书签署之日起</w:t>
      </w:r>
      <w:r>
        <w:rPr>
          <w:rFonts w:hint="eastAsia" w:ascii="仿宋" w:hAnsi="仿宋" w:eastAsia="仿宋" w:cs="仿宋"/>
          <w:sz w:val="24"/>
          <w:u w:val="single"/>
        </w:rPr>
        <w:t xml:space="preserve">  </w:t>
      </w:r>
      <w:r>
        <w:rPr>
          <w:rFonts w:hint="eastAsia" w:ascii="仿宋" w:hAnsi="仿宋" w:eastAsia="仿宋" w:cs="仿宋"/>
          <w:sz w:val="24"/>
        </w:rPr>
        <w:t>个月，质保期内卖方须负责零配件的更换（所有费用如零配件、上门服务费、安装费等含在投标总价中）。配套软件免费升级更新，无其他费用。</w:t>
      </w:r>
    </w:p>
    <w:p w14:paraId="1D588FC6">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（二）卖方在合同货物的质量保修期内，免费为买方提供合同货物的技术指导和维修服务，服务的时间是：每周 </w:t>
      </w:r>
      <w:r>
        <w:rPr>
          <w:rFonts w:hint="eastAsia" w:ascii="仿宋" w:hAnsi="仿宋" w:eastAsia="仿宋" w:cs="仿宋"/>
          <w:sz w:val="24"/>
          <w:u w:val="single"/>
        </w:rPr>
        <w:t xml:space="preserve">  7   </w:t>
      </w:r>
      <w:r>
        <w:rPr>
          <w:rFonts w:hint="eastAsia" w:ascii="仿宋" w:hAnsi="仿宋" w:eastAsia="仿宋" w:cs="仿宋"/>
          <w:sz w:val="24"/>
        </w:rPr>
        <w:t>天</w:t>
      </w:r>
      <w:r>
        <w:rPr>
          <w:rFonts w:hint="eastAsia" w:ascii="仿宋" w:hAnsi="仿宋" w:eastAsia="仿宋" w:cs="仿宋"/>
          <w:sz w:val="24"/>
          <w:u w:val="single"/>
        </w:rPr>
        <w:t xml:space="preserve">   8   </w:t>
      </w:r>
      <w:r>
        <w:rPr>
          <w:rFonts w:hint="eastAsia" w:ascii="仿宋" w:hAnsi="仿宋" w:eastAsia="仿宋" w:cs="仿宋"/>
          <w:sz w:val="24"/>
        </w:rPr>
        <w:t>小时（工作时间）。</w:t>
      </w:r>
    </w:p>
    <w:p w14:paraId="77BC2FE9">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（三）卖方保证在合同货物出现故障和缺陷时，或接到买方提出的技术服务要求后</w:t>
      </w:r>
      <w:r>
        <w:rPr>
          <w:rFonts w:hint="eastAsia" w:ascii="仿宋" w:hAnsi="仿宋" w:eastAsia="仿宋" w:cs="仿宋"/>
          <w:sz w:val="24"/>
          <w:u w:val="single"/>
        </w:rPr>
        <w:t xml:space="preserve">      2</w:t>
      </w:r>
      <w:r>
        <w:rPr>
          <w:rFonts w:hint="eastAsia" w:ascii="仿宋" w:hAnsi="仿宋" w:eastAsia="仿宋" w:cs="仿宋"/>
          <w:sz w:val="24"/>
        </w:rPr>
        <w:t>小时内予以答复，如买方有要求或必要时，卖方应在接到买方通知后</w:t>
      </w:r>
      <w:r>
        <w:rPr>
          <w:rFonts w:hint="eastAsia" w:ascii="仿宋" w:hAnsi="仿宋" w:eastAsia="仿宋" w:cs="仿宋"/>
          <w:sz w:val="24"/>
          <w:u w:val="single"/>
        </w:rPr>
        <w:t xml:space="preserve">   24   </w:t>
      </w:r>
      <w:r>
        <w:rPr>
          <w:rFonts w:hint="eastAsia" w:ascii="仿宋" w:hAnsi="仿宋" w:eastAsia="仿宋" w:cs="仿宋"/>
          <w:sz w:val="24"/>
        </w:rPr>
        <w:t>小时内派员至买方免费维修和提供现场指导。</w:t>
      </w:r>
    </w:p>
    <w:p w14:paraId="6880D83D">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（四）如卖方在接到买方维修通知后</w:t>
      </w:r>
      <w:r>
        <w:rPr>
          <w:rFonts w:hint="eastAsia" w:ascii="仿宋" w:hAnsi="仿宋" w:eastAsia="仿宋" w:cs="仿宋"/>
          <w:sz w:val="24"/>
          <w:u w:val="single"/>
        </w:rPr>
        <w:t xml:space="preserve">  48  </w:t>
      </w:r>
      <w:r>
        <w:rPr>
          <w:rFonts w:hint="eastAsia" w:ascii="仿宋" w:hAnsi="仿宋" w:eastAsia="仿宋" w:cs="仿宋"/>
          <w:sz w:val="24"/>
        </w:rPr>
        <w:t>小时仍不能修复有关货物，卖方应提供与该货物同一型号的备用货物。</w:t>
      </w:r>
    </w:p>
    <w:p w14:paraId="7D5006F7">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（五）如卖方在接到买方提出的技术服务要求或维修通知后</w:t>
      </w:r>
      <w:r>
        <w:rPr>
          <w:rFonts w:hint="eastAsia" w:ascii="仿宋" w:hAnsi="仿宋" w:eastAsia="仿宋" w:cs="仿宋"/>
          <w:sz w:val="24"/>
          <w:u w:val="single"/>
        </w:rPr>
        <w:t xml:space="preserve">   24   </w:t>
      </w:r>
      <w:r>
        <w:rPr>
          <w:rFonts w:hint="eastAsia" w:ascii="仿宋" w:hAnsi="仿宋" w:eastAsia="仿宋" w:cs="仿宋"/>
          <w:sz w:val="24"/>
        </w:rPr>
        <w:t>小时内没有响应、拒绝或没有派员到达买方提供技术服务、修理或退换货物，买方有权委托第三方对合同货物进行维修或提供技术服务，因此产生的相关费用由卖方承担。</w:t>
      </w:r>
    </w:p>
    <w:p w14:paraId="43E6D276">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（六）在合同货物保修期届满后，如果因合同货物硬件或软件的固有缺陷和瑕疵出现紧急故障和事故，卖方应在接到买方通知之后</w:t>
      </w:r>
      <w:r>
        <w:rPr>
          <w:rFonts w:hint="eastAsia" w:ascii="仿宋" w:hAnsi="仿宋" w:eastAsia="仿宋" w:cs="仿宋"/>
          <w:sz w:val="24"/>
          <w:u w:val="single"/>
        </w:rPr>
        <w:t xml:space="preserve">  24 </w:t>
      </w:r>
      <w:r>
        <w:rPr>
          <w:rFonts w:hint="eastAsia" w:ascii="仿宋" w:hAnsi="仿宋" w:eastAsia="仿宋" w:cs="仿宋"/>
          <w:sz w:val="24"/>
        </w:rPr>
        <w:t>小时内到达现场。</w:t>
      </w:r>
    </w:p>
    <w:p w14:paraId="7570EFD2">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七）卖方应对所售设备进行每年4次免费预防性维护，包括巡检，整机清洁，与用户的操作人员作技术交流，并提醒买方该设备存在的问题或隐患等内容，并出具厂方的维护报告。卖方应负责该套设备所匹配的其它辅助设备的售后服务工作，必须支持医院维修或与其合作维修。不得以任何理由拒绝售后服务工作和责任。</w:t>
      </w:r>
    </w:p>
    <w:p w14:paraId="1A73CF7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（八）提供由厂方或总代理出具的售后服务保证书，如授权代理商更换，由厂方负责售后服务并出具保证书，负责投标设备及其附属易耗件(包括第三方外购设备及易耗件)终身维修。</w:t>
      </w:r>
    </w:p>
    <w:p w14:paraId="2818AE88">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九）质保期外买方负责对设备进行维护、保养及维修，需要更换零配件时，按成本价或合同附件报价较低的提供维修零配件，不收取其他费用（包含但不限于维修人员的往返差旅费、上门服务费、维修所需备件的搬运费、安装调试费以及系统软件升级等）。供应商若有新的版本软件推出，给予免费升级和安装。质保期满后卖方应对设备进行定期的维护及修理，任何由制造、材料、工艺及软件设计等原因引起的非正常损坏和/或运转异常卖方应负责修理甚至赔偿。</w:t>
      </w:r>
    </w:p>
    <w:p w14:paraId="01A95ED5">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十）在所供设备的质保期内如设备出现是属于卖方原因的故障(即除了买方使用不当造成的损失和设备正常的易损件以外)，卖方应该无偿修理以及免费提供备件，如设备重复出现同样的问题，无法彻底解决或是属于设备先天不足的质量问题，卖方应负责解决包括退换。由此发生的一切费用应由卖方承担。</w:t>
      </w:r>
    </w:p>
    <w:p w14:paraId="17C27B39">
      <w:pPr>
        <w:adjustRightInd w:val="0"/>
        <w:snapToGrid w:val="0"/>
        <w:spacing w:line="360" w:lineRule="auto"/>
        <w:ind w:firstLine="480" w:firstLineChars="200"/>
        <w:rPr>
          <w:rFonts w:hint="eastAsia" w:ascii="仿宋" w:hAnsi="仿宋" w:eastAsia="仿宋" w:cs="仿宋"/>
          <w:strike/>
          <w:sz w:val="24"/>
        </w:rPr>
      </w:pPr>
      <w:r>
        <w:rPr>
          <w:rFonts w:hint="eastAsia" w:ascii="仿宋" w:hAnsi="仿宋" w:eastAsia="仿宋" w:cs="仿宋"/>
          <w:sz w:val="24"/>
        </w:rPr>
        <w:t>（十一）投标系统、投标产品能免费与安徽省口腔医院集成平台或相关业务系统对接。如果接入第三方系统产生费用，该费用由卖方承担。免费提供设备的系统软件及硬件的安全性改版升级和技术支持，软件终身免费升级，硬件5年内免费升级。</w:t>
      </w:r>
      <w:r>
        <w:rPr>
          <w:rFonts w:hint="eastAsia" w:ascii="仿宋" w:hAnsi="仿宋" w:eastAsia="仿宋" w:cs="仿宋"/>
          <w:b/>
          <w:sz w:val="24"/>
        </w:rPr>
        <w:t>（如设备含软件适用本条）</w:t>
      </w:r>
    </w:p>
    <w:p w14:paraId="0F2217D6">
      <w:pPr>
        <w:spacing w:line="360" w:lineRule="auto"/>
        <w:ind w:firstLine="540"/>
        <w:rPr>
          <w:rFonts w:hint="eastAsia" w:ascii="仿宋" w:hAnsi="仿宋" w:eastAsia="仿宋" w:cs="仿宋"/>
          <w:b/>
          <w:sz w:val="24"/>
        </w:rPr>
      </w:pPr>
      <w:r>
        <w:rPr>
          <w:rFonts w:hint="eastAsia" w:ascii="仿宋" w:hAnsi="仿宋" w:eastAsia="仿宋" w:cs="仿宋"/>
          <w:b/>
          <w:sz w:val="24"/>
        </w:rPr>
        <w:t>八、履约保证金</w:t>
      </w:r>
    </w:p>
    <w:p w14:paraId="66688D0F">
      <w:pPr>
        <w:spacing w:line="360" w:lineRule="auto"/>
        <w:ind w:left="120" w:leftChars="57" w:firstLine="283" w:firstLineChars="118"/>
        <w:rPr>
          <w:rFonts w:hint="eastAsia" w:ascii="仿宋" w:hAnsi="仿宋" w:eastAsia="仿宋" w:cs="仿宋"/>
          <w:sz w:val="24"/>
        </w:rPr>
      </w:pPr>
      <w:r>
        <w:rPr>
          <w:rFonts w:hint="eastAsia" w:ascii="仿宋" w:hAnsi="仿宋" w:eastAsia="仿宋" w:cs="仿宋"/>
          <w:sz w:val="24"/>
        </w:rPr>
        <w:t xml:space="preserve">  本项目履约保证金为合同价款的2.5%，即</w:t>
      </w:r>
      <w:r>
        <w:rPr>
          <w:rFonts w:hint="eastAsia" w:ascii="仿宋" w:hAnsi="仿宋" w:eastAsia="仿宋" w:cs="仿宋"/>
          <w:sz w:val="24"/>
          <w:u w:val="single"/>
        </w:rPr>
        <w:t xml:space="preserve">           </w:t>
      </w:r>
      <w:r>
        <w:rPr>
          <w:rFonts w:hint="eastAsia" w:ascii="仿宋" w:hAnsi="仿宋" w:eastAsia="仿宋" w:cs="仿宋"/>
          <w:sz w:val="24"/>
        </w:rPr>
        <w:t>元(人民币大写：</w:t>
      </w:r>
      <w:r>
        <w:rPr>
          <w:rFonts w:hint="eastAsia" w:ascii="仿宋" w:hAnsi="仿宋" w:eastAsia="仿宋" w:cs="仿宋"/>
          <w:sz w:val="24"/>
          <w:u w:val="single"/>
        </w:rPr>
        <w:t xml:space="preserve">       </w:t>
      </w:r>
      <w:r>
        <w:rPr>
          <w:rFonts w:hint="eastAsia" w:ascii="仿宋" w:hAnsi="仿宋" w:eastAsia="仿宋" w:cs="仿宋"/>
          <w:sz w:val="24"/>
        </w:rPr>
        <w:t>)，收受人为</w:t>
      </w:r>
      <w:r>
        <w:rPr>
          <w:rFonts w:hint="eastAsia" w:ascii="仿宋" w:hAnsi="仿宋" w:eastAsia="仿宋" w:cs="仿宋"/>
          <w:sz w:val="24"/>
          <w:u w:val="single"/>
        </w:rPr>
        <w:t xml:space="preserve">           </w:t>
      </w:r>
      <w:r>
        <w:rPr>
          <w:rFonts w:hint="eastAsia" w:ascii="仿宋" w:hAnsi="仿宋" w:eastAsia="仿宋" w:cs="仿宋"/>
          <w:sz w:val="24"/>
        </w:rPr>
        <w:t>，期限为验收合格后</w:t>
      </w:r>
      <w:r>
        <w:rPr>
          <w:rFonts w:hint="eastAsia" w:ascii="仿宋" w:hAnsi="仿宋" w:eastAsia="仿宋" w:cs="仿宋"/>
          <w:b/>
          <w:sz w:val="24"/>
          <w:u w:val="single"/>
        </w:rPr>
        <w:t xml:space="preserve">     </w:t>
      </w:r>
      <w:r>
        <w:rPr>
          <w:rFonts w:hint="eastAsia" w:ascii="仿宋" w:hAnsi="仿宋" w:eastAsia="仿宋" w:cs="仿宋"/>
          <w:sz w:val="24"/>
        </w:rPr>
        <w:t>。如卖方未能按期履行合同，买方可从履约保证金中获得经济上的赔偿。</w:t>
      </w:r>
    </w:p>
    <w:p w14:paraId="66FF8A49">
      <w:pPr>
        <w:spacing w:line="360" w:lineRule="auto"/>
        <w:ind w:firstLine="540"/>
        <w:rPr>
          <w:rFonts w:hint="eastAsia" w:ascii="仿宋" w:hAnsi="仿宋" w:eastAsia="仿宋" w:cs="仿宋"/>
          <w:b/>
          <w:sz w:val="24"/>
        </w:rPr>
      </w:pPr>
      <w:r>
        <w:rPr>
          <w:rFonts w:hint="eastAsia" w:ascii="仿宋" w:hAnsi="仿宋" w:eastAsia="仿宋" w:cs="仿宋"/>
          <w:b/>
          <w:sz w:val="24"/>
        </w:rPr>
        <w:t>九、违约责任</w:t>
      </w:r>
    </w:p>
    <w:p w14:paraId="05231340">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（一）卖方供货期超过合同约定供货期限。如果卖方由于自身的原因未能按期履行完合同，买方可从履约保证金中获得经济上的赔偿。其标准为按每延期一周收取合同金额的 </w:t>
      </w:r>
      <w:r>
        <w:rPr>
          <w:rFonts w:hint="eastAsia" w:ascii="仿宋" w:hAnsi="仿宋" w:eastAsia="仿宋" w:cs="仿宋"/>
          <w:sz w:val="24"/>
          <w:u w:val="single"/>
        </w:rPr>
        <w:t xml:space="preserve"> 0.5 </w:t>
      </w:r>
      <w:r>
        <w:rPr>
          <w:rFonts w:hint="eastAsia" w:ascii="仿宋" w:hAnsi="仿宋" w:eastAsia="仿宋" w:cs="仿宋"/>
          <w:sz w:val="24"/>
        </w:rPr>
        <w:t>%，但误期赔偿费总额不得超过履约保证金总额。一周按7天计算，不足7天按一周计算。在此情况下，卖方不得要求买方退还其履约保证金。</w:t>
      </w:r>
    </w:p>
    <w:p w14:paraId="3550184E">
      <w:pPr>
        <w:spacing w:line="360" w:lineRule="auto"/>
        <w:jc w:val="left"/>
        <w:rPr>
          <w:rFonts w:hint="eastAsia" w:ascii="仿宋" w:hAnsi="仿宋" w:eastAsia="仿宋" w:cs="仿宋"/>
          <w:sz w:val="24"/>
        </w:rPr>
      </w:pPr>
      <w:r>
        <w:rPr>
          <w:rFonts w:hint="eastAsia" w:ascii="仿宋" w:hAnsi="仿宋" w:eastAsia="仿宋" w:cs="仿宋"/>
          <w:sz w:val="24"/>
        </w:rPr>
        <w:t xml:space="preserve">    （二）卖方供货期内未能交货。卖方在履行合同过程中，如果遇到不能按时交货情况，应及时以书面形式将不能按期履行合同的理由、延误的时间通知买方。买方在收到卖方通知后，有权决定是否延长合同的履行时间或终止合同。如买方终止合同，卖方不得要求买方返还履约保证金；如买方同意延长合同的履行时间，卖方必须在买方规定的时间内提供符合质量标准的产品，由此造成的误期赔偿费按照前款约定执行。如卖方在买方规定的时间内未能提供符合质量标准的产品，买方有权终止合同，没收履约保证金，同时可将卖方上述行为通报财政部门列入政府采购严重违法失信名单，限制参与政府采购活动一至三年。</w:t>
      </w:r>
    </w:p>
    <w:p w14:paraId="70C0CD0D">
      <w:pPr>
        <w:spacing w:line="360" w:lineRule="auto"/>
        <w:jc w:val="left"/>
        <w:rPr>
          <w:rFonts w:hint="eastAsia" w:ascii="仿宋" w:hAnsi="仿宋" w:eastAsia="仿宋" w:cs="仿宋"/>
          <w:sz w:val="24"/>
        </w:rPr>
      </w:pPr>
      <w:r>
        <w:rPr>
          <w:rFonts w:hint="eastAsia" w:ascii="仿宋" w:hAnsi="仿宋" w:eastAsia="仿宋" w:cs="仿宋"/>
          <w:sz w:val="24"/>
        </w:rPr>
        <w:t xml:space="preserve">    （三）卖方交货不符合合同质量标准，卖方必须重新提供符合质量标准的产品，由此造成的误期赔偿费按照前款约定执行。如卖方在买方规定的时间内未能提供符合质量标准的产品，买方有权终止合同，没收履约保证金，同时可将同时可将卖方上述行为通报财政部门列入政府采购严重违法失信名单，限制参与政府采购活动一至三年。</w:t>
      </w:r>
    </w:p>
    <w:p w14:paraId="540EE85B">
      <w:pPr>
        <w:spacing w:line="360" w:lineRule="auto"/>
        <w:ind w:firstLine="480" w:firstLineChars="200"/>
        <w:rPr>
          <w:rFonts w:hint="eastAsia" w:ascii="仿宋" w:hAnsi="仿宋" w:eastAsia="仿宋" w:cs="仿宋"/>
          <w:sz w:val="24"/>
        </w:rPr>
      </w:pPr>
      <w:r>
        <w:rPr>
          <w:rFonts w:hint="eastAsia" w:ascii="仿宋" w:hAnsi="仿宋" w:eastAsia="仿宋" w:cs="仿宋"/>
          <w:sz w:val="24"/>
        </w:rPr>
        <w:t>（四）卖方将合同转包，提供假冒伪劣产品，擅自变更、中止或者终止合同的，买方有权终止合同，没收履约保证金，同时可将卖方上述行为通报财政部门列入政府采购严重违法失信名单，限制参与政府采购活动一至三年。</w:t>
      </w:r>
    </w:p>
    <w:p w14:paraId="138E8C44">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 (五)买方违反合同规定拒绝接收货物的，应当承担由此造成的损失。</w:t>
      </w:r>
    </w:p>
    <w:p w14:paraId="38D609DE">
      <w:pPr>
        <w:spacing w:line="360" w:lineRule="auto"/>
        <w:ind w:firstLine="720" w:firstLineChars="300"/>
        <w:rPr>
          <w:rFonts w:hint="eastAsia" w:ascii="仿宋" w:hAnsi="仿宋" w:eastAsia="仿宋" w:cs="仿宋"/>
          <w:sz w:val="24"/>
        </w:rPr>
      </w:pPr>
      <w:r>
        <w:rPr>
          <w:rFonts w:hint="eastAsia" w:ascii="仿宋" w:hAnsi="仿宋" w:eastAsia="仿宋" w:cs="仿宋"/>
          <w:sz w:val="24"/>
        </w:rPr>
        <w:t>(六)如在验收过程中发现合同货物与其投标时响应的参数不符或虚假响应等情况，买方有权终止合同，没收履约保证金，同时可将卖方上述行为通报财政部门列入政府采购严重违法失信名单，限制参与政府采购活动一至三年。</w:t>
      </w:r>
    </w:p>
    <w:p w14:paraId="753916D2">
      <w:pPr>
        <w:spacing w:line="360" w:lineRule="auto"/>
        <w:ind w:firstLine="482" w:firstLineChars="200"/>
        <w:rPr>
          <w:rFonts w:hint="eastAsia" w:ascii="仿宋" w:hAnsi="仿宋" w:eastAsia="仿宋" w:cs="仿宋"/>
          <w:b/>
          <w:bCs/>
          <w:sz w:val="24"/>
        </w:rPr>
      </w:pPr>
      <w:r>
        <w:rPr>
          <w:rFonts w:hint="eastAsia" w:ascii="仿宋" w:hAnsi="仿宋" w:eastAsia="仿宋" w:cs="仿宋"/>
          <w:b/>
          <w:sz w:val="24"/>
        </w:rPr>
        <w:t>十、签约地点</w:t>
      </w:r>
    </w:p>
    <w:p w14:paraId="11ADE7E8">
      <w:pPr>
        <w:spacing w:line="360" w:lineRule="auto"/>
        <w:ind w:firstLine="540"/>
        <w:rPr>
          <w:rFonts w:hint="eastAsia" w:ascii="仿宋" w:hAnsi="仿宋" w:eastAsia="仿宋" w:cs="仿宋"/>
          <w:bCs/>
          <w:sz w:val="24"/>
        </w:rPr>
      </w:pPr>
      <w:r>
        <w:rPr>
          <w:rFonts w:hint="eastAsia" w:ascii="仿宋" w:hAnsi="仿宋" w:eastAsia="仿宋" w:cs="仿宋"/>
          <w:bCs/>
          <w:sz w:val="24"/>
        </w:rPr>
        <w:t>本合同在</w:t>
      </w:r>
      <w:r>
        <w:rPr>
          <w:rFonts w:hint="eastAsia" w:ascii="仿宋" w:hAnsi="仿宋" w:eastAsia="仿宋" w:cs="仿宋"/>
          <w:bCs/>
          <w:sz w:val="24"/>
          <w:u w:val="single"/>
        </w:rPr>
        <w:t xml:space="preserve">                                    </w:t>
      </w:r>
      <w:r>
        <w:rPr>
          <w:rFonts w:hint="eastAsia" w:ascii="仿宋" w:hAnsi="仿宋" w:eastAsia="仿宋" w:cs="仿宋"/>
          <w:bCs/>
          <w:sz w:val="24"/>
        </w:rPr>
        <w:t>签订。</w:t>
      </w:r>
    </w:p>
    <w:p w14:paraId="5D1EF8D3">
      <w:pPr>
        <w:spacing w:line="360" w:lineRule="auto"/>
        <w:ind w:firstLine="540"/>
        <w:rPr>
          <w:rFonts w:hint="eastAsia" w:ascii="仿宋" w:hAnsi="仿宋" w:eastAsia="仿宋" w:cs="仿宋"/>
          <w:bCs/>
          <w:sz w:val="24"/>
        </w:rPr>
      </w:pPr>
      <w:r>
        <w:rPr>
          <w:rFonts w:hint="eastAsia" w:ascii="仿宋" w:hAnsi="仿宋" w:eastAsia="仿宋" w:cs="仿宋"/>
          <w:b/>
          <w:bCs/>
          <w:sz w:val="24"/>
        </w:rPr>
        <w:t>十一、</w:t>
      </w:r>
      <w:r>
        <w:rPr>
          <w:rFonts w:hint="eastAsia" w:ascii="仿宋" w:hAnsi="仿宋" w:eastAsia="仿宋" w:cs="仿宋"/>
          <w:b/>
          <w:sz w:val="24"/>
        </w:rPr>
        <w:t>合同的终止</w:t>
      </w:r>
    </w:p>
    <w:p w14:paraId="7D10E06D">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（一）本合同因下列原因而终止：</w:t>
      </w:r>
    </w:p>
    <w:p w14:paraId="31E9CD3C">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w:t>
      </w:r>
      <w:r>
        <w:rPr>
          <w:rFonts w:hint="eastAsia" w:ascii="仿宋" w:hAnsi="仿宋" w:eastAsia="仿宋" w:cs="仿宋"/>
          <w:sz w:val="24"/>
        </w:rPr>
        <w:t>本合同正常履行完毕；</w:t>
      </w:r>
    </w:p>
    <w:p w14:paraId="5B02B51F">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2、合同双方协议终止本合同的履行；</w:t>
      </w:r>
    </w:p>
    <w:p w14:paraId="3CC802BB">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3、不可抗力事件导致本合同无法履行或履行不必要；</w:t>
      </w:r>
    </w:p>
    <w:p w14:paraId="7A3CD2FA">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4、符合本合同约定的其他终止合同的条款。</w:t>
      </w:r>
    </w:p>
    <w:p w14:paraId="2380ACC4">
      <w:pPr>
        <w:adjustRightInd w:val="0"/>
        <w:snapToGrid w:val="0"/>
        <w:spacing w:line="360" w:lineRule="auto"/>
        <w:ind w:firstLine="480" w:firstLineChars="200"/>
        <w:rPr>
          <w:rFonts w:hint="eastAsia" w:ascii="仿宋" w:hAnsi="仿宋" w:eastAsia="仿宋" w:cs="仿宋"/>
          <w:bCs/>
          <w:sz w:val="24"/>
        </w:rPr>
      </w:pPr>
      <w:r>
        <w:rPr>
          <w:rFonts w:hint="eastAsia" w:ascii="仿宋" w:hAnsi="仿宋" w:eastAsia="仿宋" w:cs="仿宋"/>
          <w:sz w:val="24"/>
        </w:rPr>
        <w:t>（二）对本合同终止有过错的一方应赔偿另一方因合同终止而受到的损失。对合同终止双方均无过错的，则各自承担所受到的损失。</w:t>
      </w:r>
    </w:p>
    <w:p w14:paraId="38C2CA58">
      <w:pPr>
        <w:spacing w:line="360" w:lineRule="auto"/>
        <w:ind w:firstLine="540"/>
        <w:rPr>
          <w:rFonts w:hint="eastAsia" w:ascii="仿宋" w:hAnsi="仿宋" w:eastAsia="仿宋" w:cs="仿宋"/>
          <w:b/>
          <w:sz w:val="24"/>
        </w:rPr>
      </w:pPr>
      <w:r>
        <w:rPr>
          <w:rFonts w:hint="eastAsia" w:ascii="仿宋" w:hAnsi="仿宋" w:eastAsia="仿宋" w:cs="仿宋"/>
          <w:b/>
          <w:bCs/>
          <w:sz w:val="24"/>
        </w:rPr>
        <w:t>十二、</w:t>
      </w:r>
      <w:r>
        <w:rPr>
          <w:rFonts w:hint="eastAsia" w:ascii="仿宋" w:hAnsi="仿宋" w:eastAsia="仿宋" w:cs="仿宋"/>
          <w:b/>
          <w:sz w:val="24"/>
        </w:rPr>
        <w:t>其他</w:t>
      </w:r>
    </w:p>
    <w:p w14:paraId="7E153446">
      <w:pPr>
        <w:spacing w:line="360" w:lineRule="auto"/>
        <w:ind w:firstLine="480" w:firstLineChars="200"/>
        <w:rPr>
          <w:rFonts w:hint="eastAsia" w:ascii="仿宋" w:hAnsi="仿宋" w:eastAsia="仿宋" w:cs="仿宋"/>
          <w:sz w:val="24"/>
        </w:rPr>
      </w:pPr>
      <w:r>
        <w:rPr>
          <w:rFonts w:hint="eastAsia" w:ascii="仿宋" w:hAnsi="仿宋" w:eastAsia="仿宋" w:cs="仿宋"/>
          <w:sz w:val="24"/>
        </w:rPr>
        <w:t>（一）买卖双方必须严格按照采购文件、投标文件及有关承诺签订采购合同，不得擅自变更。合同执行期内，买卖双方均不得随意变更或解除合同。</w:t>
      </w:r>
    </w:p>
    <w:p w14:paraId="24E94BCE">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（二）本合同执行期间，如遇不可抗力，致使合同无法履行时，买卖双方应按有关法律规定及时协商处理。</w:t>
      </w:r>
    </w:p>
    <w:p w14:paraId="32E65958">
      <w:pPr>
        <w:spacing w:line="360" w:lineRule="auto"/>
        <w:ind w:firstLine="480" w:firstLineChars="200"/>
        <w:rPr>
          <w:rFonts w:hint="eastAsia" w:ascii="仿宋" w:hAnsi="仿宋" w:eastAsia="仿宋" w:cs="仿宋"/>
          <w:b/>
          <w:bCs/>
          <w:sz w:val="24"/>
        </w:rPr>
      </w:pPr>
      <w:r>
        <w:rPr>
          <w:rFonts w:hint="eastAsia" w:ascii="仿宋" w:hAnsi="仿宋" w:eastAsia="仿宋" w:cs="仿宋"/>
          <w:bCs/>
          <w:sz w:val="24"/>
        </w:rPr>
        <w:t>（三）合同未尽事宜，</w:t>
      </w:r>
      <w:r>
        <w:rPr>
          <w:rFonts w:hint="eastAsia" w:ascii="仿宋" w:hAnsi="仿宋" w:eastAsia="仿宋" w:cs="仿宋"/>
          <w:sz w:val="24"/>
        </w:rPr>
        <w:t>买卖双方</w:t>
      </w:r>
      <w:r>
        <w:rPr>
          <w:rFonts w:hint="eastAsia" w:ascii="仿宋" w:hAnsi="仿宋" w:eastAsia="仿宋" w:cs="仿宋"/>
          <w:bCs/>
          <w:sz w:val="24"/>
        </w:rPr>
        <w:t>另行签订补充协议，补充协议是合同的组成部分。</w:t>
      </w:r>
    </w:p>
    <w:p w14:paraId="17A1873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（四）本合同如发生纠纷，买卖双方应当及时协商解决，协商不成时，按以下第（2 ）项方式处理：①根据《中华人民共和国仲裁法》的规定向</w:t>
      </w:r>
    </w:p>
    <w:p w14:paraId="33B5D513">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u w:val="single"/>
        </w:rPr>
        <w:t xml:space="preserve">           </w:t>
      </w:r>
      <w:r>
        <w:rPr>
          <w:rFonts w:hint="eastAsia" w:ascii="仿宋" w:hAnsi="仿宋" w:eastAsia="仿宋" w:cs="仿宋"/>
          <w:kern w:val="0"/>
          <w:sz w:val="24"/>
        </w:rPr>
        <w:t>申请仲裁。②向</w:t>
      </w:r>
      <w:r>
        <w:rPr>
          <w:rFonts w:hint="eastAsia" w:ascii="仿宋" w:hAnsi="仿宋" w:eastAsia="仿宋" w:cs="仿宋"/>
          <w:kern w:val="0"/>
          <w:sz w:val="24"/>
          <w:u w:val="single"/>
        </w:rPr>
        <w:t xml:space="preserve">  买方所在地   </w:t>
      </w:r>
      <w:r>
        <w:rPr>
          <w:rFonts w:hint="eastAsia" w:ascii="仿宋" w:hAnsi="仿宋" w:eastAsia="仿宋" w:cs="仿宋"/>
          <w:kern w:val="0"/>
          <w:sz w:val="24"/>
        </w:rPr>
        <w:t>人民法院起诉。</w:t>
      </w:r>
    </w:p>
    <w:p w14:paraId="2A5762E6">
      <w:pPr>
        <w:spacing w:line="360" w:lineRule="auto"/>
        <w:rPr>
          <w:rFonts w:hint="eastAsia" w:ascii="仿宋" w:hAnsi="仿宋" w:eastAsia="仿宋" w:cs="仿宋"/>
          <w:b/>
          <w:sz w:val="24"/>
        </w:rPr>
      </w:pPr>
      <w:r>
        <w:rPr>
          <w:rFonts w:hint="eastAsia" w:ascii="仿宋" w:hAnsi="仿宋" w:eastAsia="仿宋" w:cs="仿宋"/>
          <w:b/>
          <w:sz w:val="24"/>
        </w:rPr>
        <w:t xml:space="preserve">   </w:t>
      </w:r>
    </w:p>
    <w:p w14:paraId="49873C49">
      <w:pPr>
        <w:spacing w:line="360" w:lineRule="auto"/>
        <w:ind w:firstLine="540"/>
        <w:rPr>
          <w:rFonts w:hint="eastAsia" w:ascii="仿宋" w:hAnsi="仿宋" w:eastAsia="仿宋" w:cs="仿宋"/>
          <w:b/>
          <w:sz w:val="24"/>
        </w:rPr>
      </w:pPr>
      <w:r>
        <w:rPr>
          <w:rFonts w:hint="eastAsia" w:ascii="仿宋" w:hAnsi="仿宋" w:eastAsia="仿宋" w:cs="仿宋"/>
          <w:sz w:val="24"/>
        </w:rPr>
        <w:t>本合同一式</w:t>
      </w:r>
      <w:r>
        <w:rPr>
          <w:rFonts w:hint="eastAsia" w:ascii="仿宋" w:hAnsi="仿宋" w:eastAsia="仿宋" w:cs="仿宋"/>
          <w:sz w:val="24"/>
          <w:u w:val="single"/>
        </w:rPr>
        <w:t xml:space="preserve"> 陆 </w:t>
      </w:r>
      <w:r>
        <w:rPr>
          <w:rFonts w:hint="eastAsia" w:ascii="仿宋" w:hAnsi="仿宋" w:eastAsia="仿宋" w:cs="仿宋"/>
          <w:sz w:val="24"/>
        </w:rPr>
        <w:t>份，甲方执</w:t>
      </w:r>
      <w:r>
        <w:rPr>
          <w:rFonts w:hint="eastAsia" w:ascii="仿宋" w:hAnsi="仿宋" w:eastAsia="仿宋" w:cs="仿宋"/>
          <w:sz w:val="24"/>
          <w:u w:val="single"/>
        </w:rPr>
        <w:t xml:space="preserve"> 肆 </w:t>
      </w:r>
      <w:r>
        <w:rPr>
          <w:rFonts w:hint="eastAsia" w:ascii="仿宋" w:hAnsi="仿宋" w:eastAsia="仿宋" w:cs="仿宋"/>
          <w:sz w:val="24"/>
        </w:rPr>
        <w:t>份，乙方执</w:t>
      </w:r>
      <w:r>
        <w:rPr>
          <w:rFonts w:hint="eastAsia" w:ascii="仿宋" w:hAnsi="仿宋" w:eastAsia="仿宋" w:cs="仿宋"/>
          <w:sz w:val="24"/>
          <w:u w:val="single"/>
        </w:rPr>
        <w:t xml:space="preserve"> 贰 </w:t>
      </w:r>
      <w:r>
        <w:rPr>
          <w:rFonts w:hint="eastAsia" w:ascii="仿宋" w:hAnsi="仿宋" w:eastAsia="仿宋" w:cs="仿宋"/>
          <w:sz w:val="24"/>
        </w:rPr>
        <w:t>份，自买卖双方法定代表人或委托代理人签字并盖章后生效。</w:t>
      </w:r>
    </w:p>
    <w:p w14:paraId="48569230">
      <w:pPr>
        <w:spacing w:line="360" w:lineRule="auto"/>
        <w:rPr>
          <w:rFonts w:hint="eastAsia" w:ascii="仿宋" w:hAnsi="仿宋" w:eastAsia="仿宋" w:cs="仿宋"/>
          <w:sz w:val="24"/>
        </w:rPr>
      </w:pPr>
    </w:p>
    <w:p w14:paraId="583A51D2">
      <w:pPr>
        <w:spacing w:line="360" w:lineRule="auto"/>
        <w:rPr>
          <w:rFonts w:hint="eastAsia" w:ascii="仿宋" w:hAnsi="仿宋" w:eastAsia="仿宋" w:cs="仿宋"/>
          <w:sz w:val="24"/>
          <w:u w:val="single"/>
        </w:rPr>
      </w:pPr>
      <w:r>
        <w:rPr>
          <w:rFonts w:hint="eastAsia" w:ascii="仿宋" w:hAnsi="仿宋" w:eastAsia="仿宋" w:cs="仿宋"/>
          <w:sz w:val="24"/>
        </w:rPr>
        <w:t>买   方：</w:t>
      </w:r>
      <w:r>
        <w:rPr>
          <w:rFonts w:hint="eastAsia" w:ascii="仿宋" w:hAnsi="仿宋" w:eastAsia="仿宋" w:cs="仿宋"/>
          <w:sz w:val="24"/>
          <w:u w:val="single"/>
        </w:rPr>
        <w:t xml:space="preserve"> 安徽医科大学附属口腔医院（安徽省口腔医院）</w:t>
      </w:r>
    </w:p>
    <w:p w14:paraId="153744D2">
      <w:pPr>
        <w:spacing w:line="360" w:lineRule="auto"/>
        <w:rPr>
          <w:rFonts w:hint="eastAsia" w:ascii="仿宋" w:hAnsi="仿宋" w:eastAsia="仿宋" w:cs="仿宋"/>
          <w:sz w:val="24"/>
        </w:rPr>
      </w:pPr>
      <w:r>
        <w:rPr>
          <w:rFonts w:hint="eastAsia" w:ascii="仿宋" w:hAnsi="仿宋" w:eastAsia="仿宋" w:cs="仿宋"/>
          <w:sz w:val="24"/>
        </w:rPr>
        <w:t xml:space="preserve">单位盖章：                          </w:t>
      </w:r>
    </w:p>
    <w:p w14:paraId="46DF7DCB">
      <w:pPr>
        <w:spacing w:line="360" w:lineRule="auto"/>
        <w:rPr>
          <w:rFonts w:hint="eastAsia" w:ascii="仿宋" w:hAnsi="仿宋" w:eastAsia="仿宋" w:cs="仿宋"/>
          <w:sz w:val="24"/>
        </w:rPr>
      </w:pPr>
      <w:r>
        <w:rPr>
          <w:rFonts w:hint="eastAsia" w:ascii="仿宋" w:hAnsi="仿宋" w:eastAsia="仿宋" w:cs="仿宋"/>
          <w:sz w:val="24"/>
        </w:rPr>
        <w:t xml:space="preserve">法定代表人或委托代理人：                        </w:t>
      </w:r>
    </w:p>
    <w:p w14:paraId="15EA7388">
      <w:pPr>
        <w:spacing w:line="440" w:lineRule="exact"/>
        <w:rPr>
          <w:rFonts w:hint="eastAsia" w:ascii="仿宋" w:hAnsi="仿宋" w:eastAsia="仿宋" w:cs="仿宋"/>
          <w:sz w:val="24"/>
        </w:rPr>
      </w:pPr>
      <w:r>
        <w:rPr>
          <w:rFonts w:hint="eastAsia" w:ascii="仿宋" w:hAnsi="仿宋" w:eastAsia="仿宋" w:cs="仿宋"/>
          <w:sz w:val="24"/>
        </w:rPr>
        <w:t>经办人：</w:t>
      </w:r>
    </w:p>
    <w:p w14:paraId="13A0BBA5">
      <w:pPr>
        <w:spacing w:line="440" w:lineRule="exact"/>
        <w:rPr>
          <w:rFonts w:hint="eastAsia" w:ascii="仿宋" w:hAnsi="仿宋" w:eastAsia="仿宋" w:cs="仿宋"/>
          <w:sz w:val="24"/>
        </w:rPr>
      </w:pPr>
      <w:r>
        <w:rPr>
          <w:rFonts w:hint="eastAsia" w:ascii="仿宋" w:hAnsi="仿宋" w:eastAsia="仿宋" w:cs="仿宋"/>
          <w:sz w:val="24"/>
        </w:rPr>
        <w:t>联系电话：</w:t>
      </w:r>
    </w:p>
    <w:p w14:paraId="70342496">
      <w:pPr>
        <w:spacing w:line="440" w:lineRule="exact"/>
        <w:jc w:val="left"/>
        <w:rPr>
          <w:rFonts w:hint="eastAsia" w:ascii="仿宋" w:hAnsi="仿宋" w:eastAsia="仿宋" w:cs="仿宋"/>
          <w:kern w:val="0"/>
          <w:sz w:val="24"/>
        </w:rPr>
      </w:pPr>
      <w:r>
        <w:rPr>
          <w:rFonts w:hint="eastAsia" w:ascii="仿宋" w:hAnsi="仿宋" w:eastAsia="仿宋" w:cs="仿宋"/>
          <w:kern w:val="0"/>
          <w:sz w:val="24"/>
        </w:rPr>
        <w:t xml:space="preserve">日    期： </w:t>
      </w:r>
    </w:p>
    <w:p w14:paraId="2574E306">
      <w:pPr>
        <w:spacing w:line="360" w:lineRule="auto"/>
        <w:rPr>
          <w:rFonts w:hint="eastAsia" w:ascii="仿宋" w:hAnsi="仿宋" w:eastAsia="仿宋" w:cs="仿宋"/>
          <w:sz w:val="24"/>
        </w:rPr>
      </w:pPr>
    </w:p>
    <w:p w14:paraId="316281A8">
      <w:pPr>
        <w:spacing w:line="360" w:lineRule="auto"/>
        <w:rPr>
          <w:rFonts w:hint="eastAsia" w:ascii="仿宋" w:hAnsi="仿宋" w:eastAsia="仿宋" w:cs="仿宋"/>
          <w:sz w:val="24"/>
        </w:rPr>
      </w:pPr>
      <w:r>
        <w:rPr>
          <w:rFonts w:hint="eastAsia" w:ascii="仿宋" w:hAnsi="仿宋" w:eastAsia="仿宋" w:cs="仿宋"/>
          <w:sz w:val="24"/>
        </w:rPr>
        <w:t>卖   方：</w:t>
      </w:r>
    </w:p>
    <w:p w14:paraId="0D7DBEC2">
      <w:pPr>
        <w:spacing w:line="440" w:lineRule="exact"/>
        <w:rPr>
          <w:rFonts w:hint="eastAsia" w:ascii="仿宋" w:hAnsi="仿宋" w:eastAsia="仿宋" w:cs="仿宋"/>
          <w:sz w:val="24"/>
        </w:rPr>
      </w:pPr>
      <w:r>
        <w:rPr>
          <w:rFonts w:hint="eastAsia" w:ascii="仿宋" w:hAnsi="仿宋" w:eastAsia="仿宋" w:cs="仿宋"/>
          <w:sz w:val="24"/>
        </w:rPr>
        <w:t>单位盖章：</w:t>
      </w:r>
    </w:p>
    <w:p w14:paraId="45BE2D73">
      <w:pPr>
        <w:spacing w:line="440" w:lineRule="exact"/>
        <w:rPr>
          <w:rFonts w:hint="eastAsia" w:ascii="仿宋" w:hAnsi="仿宋" w:eastAsia="仿宋" w:cs="仿宋"/>
          <w:sz w:val="24"/>
        </w:rPr>
      </w:pPr>
      <w:r>
        <w:rPr>
          <w:rFonts w:hint="eastAsia" w:ascii="仿宋" w:hAnsi="仿宋" w:eastAsia="仿宋" w:cs="仿宋"/>
          <w:sz w:val="24"/>
        </w:rPr>
        <w:t>法定代表人或委托代理人：</w:t>
      </w:r>
    </w:p>
    <w:p w14:paraId="4B45C196">
      <w:pPr>
        <w:spacing w:line="440" w:lineRule="exact"/>
        <w:rPr>
          <w:rFonts w:hint="eastAsia" w:ascii="仿宋" w:hAnsi="仿宋" w:eastAsia="仿宋" w:cs="仿宋"/>
          <w:sz w:val="24"/>
        </w:rPr>
      </w:pPr>
      <w:r>
        <w:rPr>
          <w:rFonts w:hint="eastAsia" w:ascii="仿宋" w:hAnsi="仿宋" w:eastAsia="仿宋" w:cs="仿宋"/>
          <w:sz w:val="24"/>
        </w:rPr>
        <w:t>经办人：</w:t>
      </w:r>
    </w:p>
    <w:p w14:paraId="3056BDE7">
      <w:pPr>
        <w:spacing w:line="440" w:lineRule="exact"/>
        <w:rPr>
          <w:rFonts w:hint="eastAsia" w:ascii="仿宋" w:hAnsi="仿宋" w:eastAsia="仿宋" w:cs="仿宋"/>
          <w:sz w:val="24"/>
        </w:rPr>
      </w:pPr>
      <w:r>
        <w:rPr>
          <w:rFonts w:hint="eastAsia" w:ascii="仿宋" w:hAnsi="仿宋" w:eastAsia="仿宋" w:cs="仿宋"/>
          <w:sz w:val="24"/>
        </w:rPr>
        <w:t>联系电话：</w:t>
      </w:r>
    </w:p>
    <w:p w14:paraId="66769D76">
      <w:pPr>
        <w:spacing w:line="440" w:lineRule="exact"/>
        <w:jc w:val="center"/>
        <w:rPr>
          <w:rFonts w:eastAsia="黑体"/>
          <w:sz w:val="32"/>
        </w:rPr>
      </w:pPr>
      <w:r>
        <w:rPr>
          <w:rFonts w:hint="eastAsia" w:ascii="仿宋" w:hAnsi="仿宋" w:eastAsia="仿宋" w:cs="仿宋"/>
          <w:sz w:val="24"/>
        </w:rPr>
        <w:br w:type="page"/>
      </w:r>
      <w:r>
        <w:rPr>
          <w:rFonts w:hint="eastAsia" w:eastAsia="黑体"/>
          <w:sz w:val="32"/>
        </w:rPr>
        <w:t>廉洁购销合同</w:t>
      </w:r>
    </w:p>
    <w:p w14:paraId="25AD9D41">
      <w:pPr>
        <w:spacing w:line="400" w:lineRule="exact"/>
        <w:rPr>
          <w:sz w:val="24"/>
        </w:rPr>
      </w:pPr>
      <w:r>
        <w:rPr>
          <w:rFonts w:hint="eastAsia"/>
          <w:sz w:val="24"/>
        </w:rPr>
        <w:t>项目编号：</w:t>
      </w:r>
    </w:p>
    <w:p w14:paraId="377F903E">
      <w:pPr>
        <w:spacing w:line="400" w:lineRule="exact"/>
        <w:rPr>
          <w:sz w:val="24"/>
        </w:rPr>
      </w:pPr>
      <w:r>
        <w:rPr>
          <w:rFonts w:hint="eastAsia"/>
          <w:sz w:val="24"/>
        </w:rPr>
        <w:t>甲方：安徽医科大学附属口腔医院（安徽省口腔医院）</w:t>
      </w:r>
    </w:p>
    <w:p w14:paraId="3FAFBAD7">
      <w:pPr>
        <w:spacing w:line="400" w:lineRule="exact"/>
        <w:rPr>
          <w:sz w:val="24"/>
        </w:rPr>
      </w:pPr>
      <w:r>
        <w:rPr>
          <w:rFonts w:hint="eastAsia"/>
          <w:sz w:val="24"/>
        </w:rPr>
        <w:t>乙方：</w:t>
      </w:r>
      <w:r>
        <w:rPr>
          <w:sz w:val="24"/>
        </w:rPr>
        <w:t xml:space="preserve"> </w:t>
      </w:r>
    </w:p>
    <w:p w14:paraId="335683A7">
      <w:pPr>
        <w:ind w:firstLine="420"/>
      </w:pPr>
      <w:r>
        <w:rPr>
          <w:rFonts w:hint="eastAsia"/>
        </w:rPr>
        <w:t>为进一步加强医疗卫生行风建设，规范医疗卫生机构医药购销行为，有效防范商业贿赂行为，营造公平交易、诚实守信的购销环境，经甲、乙双方协商，同意签订本合同，并共同遵守：</w:t>
      </w:r>
    </w:p>
    <w:p w14:paraId="528305BA">
      <w:r>
        <w:rPr>
          <w:rFonts w:hint="eastAsia"/>
        </w:rPr>
        <w:t>一、甲乙双方按照《民法典》及医药产品购销合同约定购销药品、医用耗材、医用设备等医药产品。</w:t>
      </w:r>
    </w:p>
    <w:p w14:paraId="4D2A6F3B">
      <w:r>
        <w:rPr>
          <w:rFonts w:hint="eastAsia"/>
        </w:rPr>
        <w:t>二、甲方应当严格执行医药产品购销合同验收、入库制度，对采购医药产品及发票进行查验，不得违反有关规定合同外采购、违价采购或从非规定渠道采购。</w:t>
      </w:r>
    </w:p>
    <w:p w14:paraId="2E850653">
      <w:r>
        <w:rPr>
          <w:rFonts w:hint="eastAsia"/>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医院纪委反映情况。</w:t>
      </w:r>
    </w:p>
    <w:p w14:paraId="37CE9209">
      <w:r>
        <w:rPr>
          <w:rFonts w:hint="eastAsia"/>
        </w:rPr>
        <w:t>四、严禁甲方工作人员利用任何途径和方式，为乙方统计医师个人及临床科室有关医药产品用量信息，或为乙方统计提供便利。</w:t>
      </w:r>
    </w:p>
    <w:p w14:paraId="2F76718D">
      <w:r>
        <w:rPr>
          <w:rFonts w:hint="eastAsia"/>
        </w:rPr>
        <w:t>五、乙方不得以回扣、宴请等方式影响甲方工作人员采购或使用医药产品的选择权，不得在学术活动中提供旅游、超标准支付食宿费用。</w:t>
      </w:r>
    </w:p>
    <w:p w14:paraId="1B0E15F2">
      <w:r>
        <w:rPr>
          <w:rFonts w:hint="eastAsia"/>
        </w:rPr>
        <w:t>六、乙方指定</w:t>
      </w:r>
      <w:r>
        <w:rPr>
          <w:szCs w:val="21"/>
          <w:u w:val="single"/>
        </w:rPr>
        <w:t xml:space="preserve">        </w:t>
      </w:r>
      <w:r>
        <w:rPr>
          <w:rFonts w:hint="eastAsia"/>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189ECF88">
      <w:r>
        <w:rPr>
          <w:rFonts w:hint="eastAsia"/>
        </w:rPr>
        <w:t>七、乙方如违反本合同，一经发现，甲方有权终止购销合同，并向有关卫生健康行政部门报告。如乙方被列入商业贿赂不良记录，则严格按照《安徽省医药购销领域商业贿赂不良记录管理办法》相关规定处理。</w:t>
      </w:r>
    </w:p>
    <w:p w14:paraId="37A8483E">
      <w:r>
        <w:rPr>
          <w:rFonts w:hint="eastAsia"/>
        </w:rPr>
        <w:t>八、本合同作为医药产品购销合同的重要组成部分，与购销合同一并执行，具有同等的法律效力。</w:t>
      </w:r>
    </w:p>
    <w:p w14:paraId="4226B2A5">
      <w:r>
        <w:rPr>
          <w:rFonts w:hint="eastAsia"/>
        </w:rPr>
        <w:t>九、本合同一式陆份，甲方执伍份，乙方执一份。甲方责任科室、纪委办公室各执一份，并从签订之日起生效。</w:t>
      </w:r>
    </w:p>
    <w:p w14:paraId="29D6203A">
      <w:pPr>
        <w:spacing w:line="580" w:lineRule="exact"/>
        <w:ind w:left="840" w:hanging="840"/>
      </w:pPr>
    </w:p>
    <w:p w14:paraId="70477B13">
      <w:pPr>
        <w:ind w:left="840" w:hanging="840"/>
      </w:pPr>
      <w:r>
        <w:rPr>
          <w:rFonts w:hint="eastAsia"/>
        </w:rPr>
        <w:t>甲方（盖章）：安徽医科大学附属口腔医院</w:t>
      </w:r>
      <w:r>
        <w:t xml:space="preserve">     </w:t>
      </w:r>
      <w:r>
        <w:rPr>
          <w:rFonts w:hint="eastAsia"/>
        </w:rPr>
        <w:t>乙方（盖章）：</w:t>
      </w:r>
    </w:p>
    <w:p w14:paraId="69DF4E2A">
      <w:pPr>
        <w:ind w:left="840" w:firstLine="525"/>
      </w:pPr>
      <w:r>
        <w:rPr>
          <w:rFonts w:hint="eastAsia"/>
        </w:rPr>
        <w:t>（安徽省口腔医院）</w:t>
      </w:r>
      <w:r>
        <w:t xml:space="preserve">                         </w:t>
      </w:r>
    </w:p>
    <w:p w14:paraId="010B1599"/>
    <w:p w14:paraId="7D26358E">
      <w:r>
        <w:rPr>
          <w:rFonts w:hint="eastAsia"/>
        </w:rPr>
        <w:t>法定（授权）代表人：</w:t>
      </w:r>
      <w:r>
        <w:t xml:space="preserve">                      </w:t>
      </w:r>
      <w:r>
        <w:rPr>
          <w:rFonts w:hint="eastAsia"/>
        </w:rPr>
        <w:t xml:space="preserve"> 法定（授权）代表人：</w:t>
      </w:r>
    </w:p>
    <w:p w14:paraId="2B2428F6"/>
    <w:p w14:paraId="04F44554">
      <w:r>
        <w:rPr>
          <w:rFonts w:hint="eastAsia"/>
        </w:rPr>
        <w:t>经办人签名：</w:t>
      </w:r>
      <w:r>
        <w:t xml:space="preserve">                             </w:t>
      </w:r>
      <w:r>
        <w:rPr>
          <w:rFonts w:hint="eastAsia"/>
        </w:rPr>
        <w:t xml:space="preserve"> </w:t>
      </w:r>
      <w:r>
        <w:t xml:space="preserve"> </w:t>
      </w:r>
      <w:r>
        <w:rPr>
          <w:rFonts w:hint="eastAsia"/>
        </w:rPr>
        <w:t>经办人签名：</w:t>
      </w:r>
    </w:p>
    <w:p w14:paraId="06AEBBE4">
      <w:pPr>
        <w:ind w:firstLine="6195"/>
      </w:pPr>
    </w:p>
    <w:p w14:paraId="35EFABCD">
      <w:pPr>
        <w:jc w:val="left"/>
      </w:pPr>
      <w:r>
        <w:rPr>
          <w:rFonts w:hint="eastAsia"/>
        </w:rPr>
        <w:t>联系电话：</w:t>
      </w:r>
      <w:r>
        <w:t xml:space="preserve">                 </w:t>
      </w:r>
      <w:r>
        <w:rPr>
          <w:rFonts w:hint="eastAsia"/>
        </w:rPr>
        <w:t xml:space="preserve">              </w:t>
      </w:r>
      <w:r>
        <w:t xml:space="preserve">  </w:t>
      </w:r>
      <w:r>
        <w:rPr>
          <w:rFonts w:hint="eastAsia"/>
        </w:rPr>
        <w:t>联系电话：</w:t>
      </w:r>
    </w:p>
    <w:p w14:paraId="2CF981E0"/>
    <w:p w14:paraId="7666DF19">
      <w:pPr>
        <w:spacing w:line="360" w:lineRule="auto"/>
        <w:rPr>
          <w:rFonts w:eastAsia="仿宋"/>
          <w:sz w:val="24"/>
        </w:rPr>
      </w:pPr>
      <w:r>
        <w:rPr>
          <w:rFonts w:hint="eastAsia"/>
        </w:rPr>
        <w:t>签订日期：</w:t>
      </w:r>
      <w:r>
        <w:t>2025</w:t>
      </w:r>
      <w:r>
        <w:rPr>
          <w:rFonts w:hint="eastAsia"/>
        </w:rPr>
        <w:t>年</w:t>
      </w:r>
      <w:r>
        <w:t xml:space="preserve">   </w:t>
      </w:r>
      <w:r>
        <w:rPr>
          <w:rFonts w:hint="eastAsia"/>
        </w:rPr>
        <w:t>月</w:t>
      </w:r>
      <w:r>
        <w:t xml:space="preserve">  </w:t>
      </w:r>
      <w:r>
        <w:rPr>
          <w:rFonts w:hint="eastAsia"/>
        </w:rPr>
        <w:t>日</w:t>
      </w:r>
      <w:r>
        <w:t xml:space="preserve">   </w:t>
      </w:r>
    </w:p>
    <w:p w14:paraId="5297CE96">
      <w:pPr>
        <w:spacing w:line="200" w:lineRule="exact"/>
        <w:contextualSpacing/>
        <w:jc w:val="left"/>
        <w:rPr>
          <w:rFonts w:ascii="宋体" w:hAnsi="宋体" w:eastAsia="仿宋" w:cs="Microsoft JhengHei"/>
          <w:sz w:val="20"/>
          <w:szCs w:val="20"/>
        </w:rPr>
      </w:pPr>
    </w:p>
    <w:p w14:paraId="570FE396">
      <w:pPr>
        <w:rPr>
          <w:rFonts w:eastAsia="仿宋"/>
        </w:rPr>
      </w:pPr>
    </w:p>
    <w:p w14:paraId="3E73A055">
      <w:pPr>
        <w:widowControl/>
        <w:rPr>
          <w:rFonts w:ascii="宋体" w:hAnsi="宋体" w:eastAsia="仿宋"/>
        </w:rPr>
      </w:pPr>
    </w:p>
    <w:p w14:paraId="4C70B2CD">
      <w:pPr>
        <w:pStyle w:val="2"/>
        <w:widowControl/>
        <w:jc w:val="center"/>
        <w:rPr>
          <w:rFonts w:ascii="宋体" w:hAnsi="宋体" w:eastAsia="仿宋"/>
          <w:sz w:val="30"/>
          <w:szCs w:val="30"/>
        </w:rPr>
        <w:sectPr>
          <w:headerReference r:id="rId11" w:type="default"/>
          <w:footerReference r:id="rId12" w:type="default"/>
          <w:footnotePr>
            <w:numFmt w:val="decimalEnclosedCircle"/>
            <w:numRestart w:val="eachPage"/>
          </w:footnotePr>
          <w:pgSz w:w="11906" w:h="16838"/>
          <w:pgMar w:top="1134" w:right="1134" w:bottom="1134" w:left="1134" w:header="851" w:footer="851" w:gutter="0"/>
          <w:cols w:space="720" w:num="1"/>
          <w:docGrid w:linePitch="360" w:charSpace="0"/>
        </w:sectPr>
      </w:pPr>
    </w:p>
    <w:p w14:paraId="6E37ECEC">
      <w:pPr>
        <w:pStyle w:val="2"/>
        <w:widowControl/>
        <w:spacing w:before="0" w:after="0" w:line="240" w:lineRule="auto"/>
        <w:jc w:val="center"/>
        <w:rPr>
          <w:rFonts w:hint="eastAsia" w:ascii="宋体" w:hAnsi="宋体" w:eastAsia="仿宋"/>
        </w:rPr>
      </w:pPr>
      <w:r>
        <w:rPr>
          <w:rFonts w:hint="eastAsia" w:ascii="宋体" w:hAnsi="宋体" w:eastAsia="仿宋"/>
        </w:rPr>
        <w:t>第六章  投标文件格式</w:t>
      </w:r>
      <w:bookmarkEnd w:id="850"/>
      <w:bookmarkEnd w:id="851"/>
      <w:bookmarkEnd w:id="852"/>
    </w:p>
    <w:p w14:paraId="700371C8">
      <w:pPr>
        <w:widowControl/>
        <w:adjustRightInd w:val="0"/>
        <w:snapToGrid w:val="0"/>
        <w:spacing w:before="48" w:beforeLines="20" w:after="48" w:afterLines="20" w:line="540" w:lineRule="exact"/>
        <w:rPr>
          <w:rFonts w:hint="eastAsia" w:ascii="黑体" w:hAnsi="黑体" w:eastAsia="黑体"/>
          <w:sz w:val="36"/>
        </w:rPr>
      </w:pPr>
    </w:p>
    <w:p w14:paraId="134C1C3F">
      <w:pPr>
        <w:widowControl/>
        <w:adjustRightInd w:val="0"/>
        <w:snapToGrid w:val="0"/>
        <w:spacing w:before="48" w:beforeLines="20" w:after="48" w:afterLines="20" w:line="540" w:lineRule="exact"/>
        <w:rPr>
          <w:rFonts w:hint="eastAsia" w:ascii="黑体" w:hAnsi="黑体" w:eastAsia="黑体"/>
          <w:sz w:val="36"/>
        </w:rPr>
      </w:pPr>
    </w:p>
    <w:p w14:paraId="020C6E27">
      <w:pPr>
        <w:widowControl/>
        <w:adjustRightInd w:val="0"/>
        <w:snapToGrid w:val="0"/>
        <w:spacing w:line="360" w:lineRule="auto"/>
        <w:ind w:firstLine="480" w:firstLineChars="200"/>
        <w:rPr>
          <w:rFonts w:hint="eastAsia" w:ascii="仿宋_GB2312" w:hAnsi="黑体" w:eastAsia="仿宋_GB2312"/>
          <w:sz w:val="24"/>
        </w:rPr>
      </w:pPr>
      <w:r>
        <w:rPr>
          <w:rFonts w:hint="eastAsia" w:ascii="仿宋_GB2312" w:hAnsi="黑体" w:eastAsia="仿宋_GB2312"/>
          <w:sz w:val="24"/>
        </w:rPr>
        <w:t>注：1.投标人应按给定格式编制投标文件，相关格式可以扩展。评标办法、招标澄清修改等招标文件要求提供相关材料的，此处未给出格式、章节的，请投标人自定格式，编制在投标文件内。</w:t>
      </w:r>
    </w:p>
    <w:p w14:paraId="58602727">
      <w:pPr>
        <w:widowControl/>
        <w:adjustRightInd w:val="0"/>
        <w:snapToGrid w:val="0"/>
        <w:spacing w:line="360" w:lineRule="auto"/>
        <w:ind w:firstLine="480" w:firstLineChars="200"/>
        <w:rPr>
          <w:rFonts w:hint="eastAsia" w:ascii="仿宋_GB2312" w:hAnsi="宋体" w:eastAsia="仿宋_GB2312"/>
          <w:sz w:val="24"/>
        </w:rPr>
      </w:pPr>
      <w:r>
        <w:rPr>
          <w:rFonts w:hint="eastAsia" w:ascii="仿宋_GB2312" w:hAnsi="黑体" w:eastAsia="仿宋_GB2312"/>
          <w:sz w:val="24"/>
        </w:rPr>
        <w:t>2.采用全流程电子招标投标时，投标文件格式要求盖章的，可为电子签章，或盖章后的扫描件。投标文件格式要求签字的，电子投标文件中，应采用签字后的扫描件。</w:t>
      </w:r>
    </w:p>
    <w:p w14:paraId="39D1EDFB">
      <w:pPr>
        <w:widowControl/>
        <w:spacing w:line="560" w:lineRule="exact"/>
        <w:ind w:firstLine="420" w:firstLineChars="200"/>
        <w:jc w:val="center"/>
        <w:rPr>
          <w:rFonts w:hint="eastAsia" w:ascii="宋体" w:hAnsi="宋体" w:eastAsia="仿宋"/>
          <w:szCs w:val="21"/>
        </w:rPr>
      </w:pPr>
      <w:r>
        <w:rPr>
          <w:rFonts w:ascii="宋体" w:hAnsi="宋体" w:eastAsia="仿宋"/>
          <w:szCs w:val="21"/>
        </w:rPr>
        <w:br w:type="page"/>
      </w:r>
    </w:p>
    <w:p w14:paraId="05A9FE47">
      <w:pPr>
        <w:widowControl/>
        <w:spacing w:line="560" w:lineRule="exact"/>
        <w:ind w:firstLine="420" w:firstLineChars="200"/>
        <w:jc w:val="center"/>
        <w:rPr>
          <w:rFonts w:hint="eastAsia" w:ascii="宋体" w:hAnsi="宋体" w:eastAsia="仿宋"/>
          <w:szCs w:val="21"/>
        </w:rPr>
      </w:pPr>
    </w:p>
    <w:p w14:paraId="1B5BB055">
      <w:pPr>
        <w:widowControl/>
        <w:spacing w:line="560" w:lineRule="exact"/>
        <w:ind w:firstLine="420" w:firstLineChars="200"/>
        <w:jc w:val="center"/>
        <w:rPr>
          <w:rFonts w:hint="eastAsia" w:ascii="宋体" w:hAnsi="宋体" w:eastAsia="仿宋"/>
          <w:szCs w:val="21"/>
        </w:rPr>
      </w:pPr>
    </w:p>
    <w:p w14:paraId="204CC01B">
      <w:pPr>
        <w:widowControl/>
        <w:spacing w:line="560" w:lineRule="exact"/>
        <w:ind w:firstLine="420" w:firstLineChars="200"/>
        <w:jc w:val="center"/>
        <w:rPr>
          <w:rFonts w:hint="eastAsia" w:ascii="宋体" w:hAnsi="宋体" w:eastAsia="仿宋"/>
          <w:szCs w:val="21"/>
        </w:rPr>
      </w:pPr>
    </w:p>
    <w:p w14:paraId="7E41E11A">
      <w:pPr>
        <w:widowControl/>
        <w:spacing w:line="560" w:lineRule="exact"/>
        <w:ind w:firstLine="420" w:firstLineChars="200"/>
        <w:jc w:val="center"/>
        <w:rPr>
          <w:rFonts w:hint="eastAsia" w:ascii="宋体" w:hAnsi="宋体" w:cs="宋体"/>
          <w:szCs w:val="21"/>
        </w:rPr>
      </w:pPr>
    </w:p>
    <w:p w14:paraId="449B42BC">
      <w:pPr>
        <w:widowControl/>
        <w:spacing w:line="560" w:lineRule="exact"/>
        <w:ind w:firstLine="880" w:firstLineChars="200"/>
        <w:jc w:val="center"/>
        <w:rPr>
          <w:rFonts w:hint="eastAsia" w:ascii="宋体" w:hAnsi="宋体" w:cs="宋体"/>
          <w:sz w:val="44"/>
          <w:szCs w:val="44"/>
        </w:rPr>
      </w:pPr>
      <w:r>
        <w:rPr>
          <w:rFonts w:hint="eastAsia" w:ascii="宋体" w:hAnsi="宋体" w:cs="宋体"/>
          <w:sz w:val="44"/>
          <w:szCs w:val="44"/>
          <w:u w:val="single"/>
        </w:rPr>
        <w:t xml:space="preserve">             </w:t>
      </w:r>
      <w:r>
        <w:rPr>
          <w:rFonts w:hint="eastAsia" w:ascii="宋体" w:hAnsi="宋体" w:cs="宋体"/>
          <w:sz w:val="44"/>
          <w:szCs w:val="44"/>
        </w:rPr>
        <w:t>（项目名称）招标</w:t>
      </w:r>
    </w:p>
    <w:p w14:paraId="3945CC26">
      <w:pPr>
        <w:widowControl/>
        <w:spacing w:line="560" w:lineRule="exact"/>
        <w:ind w:firstLine="400" w:firstLineChars="200"/>
        <w:jc w:val="center"/>
        <w:rPr>
          <w:rFonts w:hint="eastAsia" w:ascii="宋体" w:hAnsi="宋体" w:cs="宋体"/>
          <w:sz w:val="20"/>
          <w:szCs w:val="20"/>
        </w:rPr>
      </w:pPr>
    </w:p>
    <w:p w14:paraId="707D544A">
      <w:pPr>
        <w:widowControl/>
        <w:spacing w:line="560" w:lineRule="exact"/>
        <w:ind w:firstLine="400" w:firstLineChars="200"/>
        <w:jc w:val="center"/>
        <w:rPr>
          <w:rFonts w:hint="eastAsia" w:ascii="宋体" w:hAnsi="宋体" w:cs="宋体"/>
          <w:sz w:val="20"/>
          <w:szCs w:val="20"/>
        </w:rPr>
      </w:pPr>
    </w:p>
    <w:p w14:paraId="4B391DEB">
      <w:pPr>
        <w:widowControl/>
        <w:snapToGrid w:val="0"/>
        <w:jc w:val="center"/>
        <w:rPr>
          <w:rFonts w:hint="eastAsia" w:ascii="宋体" w:hAnsi="宋体" w:cs="宋体"/>
          <w:sz w:val="72"/>
          <w:szCs w:val="72"/>
        </w:rPr>
      </w:pPr>
      <w:r>
        <w:rPr>
          <w:rFonts w:hint="eastAsia" w:ascii="宋体" w:hAnsi="宋体" w:cs="宋体"/>
          <w:sz w:val="72"/>
          <w:szCs w:val="72"/>
        </w:rPr>
        <w:t>投  标  文  件</w:t>
      </w:r>
    </w:p>
    <w:p w14:paraId="20EEE60D">
      <w:pPr>
        <w:widowControl/>
        <w:spacing w:line="560" w:lineRule="exact"/>
        <w:ind w:firstLine="560" w:firstLineChars="200"/>
        <w:rPr>
          <w:rFonts w:hint="eastAsia" w:ascii="宋体" w:hAnsi="宋体" w:cs="宋体"/>
          <w:sz w:val="28"/>
          <w:szCs w:val="28"/>
        </w:rPr>
      </w:pPr>
    </w:p>
    <w:p w14:paraId="70291D73">
      <w:pPr>
        <w:widowControl/>
        <w:spacing w:line="560" w:lineRule="exact"/>
        <w:ind w:firstLine="560" w:firstLineChars="200"/>
        <w:rPr>
          <w:rFonts w:hint="eastAsia" w:ascii="宋体" w:hAnsi="宋体" w:cs="宋体"/>
          <w:sz w:val="28"/>
          <w:szCs w:val="28"/>
        </w:rPr>
      </w:pPr>
    </w:p>
    <w:p w14:paraId="50DA6EB8">
      <w:pPr>
        <w:widowControl/>
        <w:spacing w:line="560" w:lineRule="exact"/>
        <w:ind w:firstLine="560" w:firstLineChars="200"/>
        <w:rPr>
          <w:rFonts w:hint="eastAsia" w:ascii="宋体" w:hAnsi="宋体" w:cs="宋体"/>
          <w:sz w:val="28"/>
          <w:szCs w:val="28"/>
        </w:rPr>
      </w:pPr>
    </w:p>
    <w:p w14:paraId="2E8F2D80">
      <w:pPr>
        <w:widowControl/>
        <w:spacing w:line="560" w:lineRule="exact"/>
        <w:ind w:firstLine="560" w:firstLineChars="200"/>
        <w:rPr>
          <w:rFonts w:hint="eastAsia" w:ascii="宋体" w:hAnsi="宋体" w:cs="宋体"/>
          <w:sz w:val="28"/>
          <w:szCs w:val="28"/>
        </w:rPr>
      </w:pPr>
    </w:p>
    <w:p w14:paraId="5F84CFED">
      <w:pPr>
        <w:widowControl/>
        <w:spacing w:line="560" w:lineRule="exact"/>
        <w:ind w:firstLine="560" w:firstLineChars="200"/>
        <w:rPr>
          <w:rFonts w:hint="eastAsia" w:ascii="宋体" w:hAnsi="宋体" w:cs="宋体"/>
          <w:sz w:val="28"/>
          <w:szCs w:val="28"/>
        </w:rPr>
      </w:pPr>
    </w:p>
    <w:p w14:paraId="58398BBD">
      <w:pPr>
        <w:widowControl/>
        <w:spacing w:line="560" w:lineRule="exact"/>
        <w:ind w:firstLine="560" w:firstLineChars="200"/>
        <w:rPr>
          <w:rFonts w:hint="eastAsia" w:ascii="宋体" w:hAnsi="宋体" w:cs="宋体"/>
          <w:sz w:val="28"/>
          <w:szCs w:val="28"/>
        </w:rPr>
      </w:pPr>
    </w:p>
    <w:p w14:paraId="26FF1777">
      <w:pPr>
        <w:widowControl/>
        <w:spacing w:line="560" w:lineRule="exact"/>
        <w:ind w:firstLine="560" w:firstLineChars="200"/>
        <w:rPr>
          <w:rFonts w:hint="eastAsia" w:ascii="宋体" w:hAnsi="宋体" w:cs="宋体"/>
          <w:sz w:val="28"/>
          <w:szCs w:val="28"/>
          <w:u w:val="single"/>
        </w:rPr>
      </w:pPr>
      <w:r>
        <w:rPr>
          <w:rFonts w:hint="eastAsia" w:ascii="宋体" w:hAnsi="宋体" w:cs="宋体"/>
          <w:sz w:val="28"/>
          <w:szCs w:val="28"/>
        </w:rPr>
        <w:t>投标人名称：</w:t>
      </w:r>
      <w:r>
        <w:rPr>
          <w:rFonts w:hint="eastAsia" w:ascii="宋体" w:hAnsi="宋体" w:cs="宋体"/>
          <w:sz w:val="28"/>
          <w:szCs w:val="28"/>
          <w:u w:val="single"/>
        </w:rPr>
        <w:t xml:space="preserve">                                  </w:t>
      </w:r>
      <w:r>
        <w:rPr>
          <w:rFonts w:hint="eastAsia" w:ascii="宋体" w:hAnsi="宋体" w:cs="宋体"/>
          <w:sz w:val="28"/>
          <w:szCs w:val="28"/>
        </w:rPr>
        <w:t xml:space="preserve"> </w:t>
      </w:r>
    </w:p>
    <w:p w14:paraId="69B3355A">
      <w:pPr>
        <w:widowControl/>
        <w:spacing w:line="560" w:lineRule="exact"/>
        <w:ind w:firstLine="560" w:firstLineChars="200"/>
        <w:rPr>
          <w:rFonts w:hint="eastAsia" w:ascii="宋体" w:hAnsi="宋体" w:cs="宋体"/>
          <w:sz w:val="28"/>
          <w:szCs w:val="28"/>
        </w:rPr>
      </w:pPr>
    </w:p>
    <w:p w14:paraId="741A6784">
      <w:pPr>
        <w:widowControl/>
        <w:spacing w:line="560" w:lineRule="exact"/>
        <w:ind w:firstLine="560" w:firstLineChars="200"/>
        <w:rPr>
          <w:rFonts w:hint="eastAsia" w:ascii="宋体" w:hAnsi="宋体" w:cs="宋体"/>
          <w:sz w:val="28"/>
          <w:szCs w:val="28"/>
        </w:rPr>
      </w:pPr>
      <w:r>
        <w:rPr>
          <w:rFonts w:hint="eastAsia" w:ascii="宋体" w:hAnsi="宋体" w:cs="宋体"/>
          <w:sz w:val="28"/>
          <w:szCs w:val="28"/>
        </w:rPr>
        <w:t>法定代表人（单位负责人）或其委托代理人：</w:t>
      </w:r>
      <w:r>
        <w:rPr>
          <w:rFonts w:hint="eastAsia" w:ascii="宋体" w:hAnsi="宋体" w:cs="宋体"/>
          <w:sz w:val="28"/>
          <w:szCs w:val="28"/>
          <w:u w:val="single"/>
        </w:rPr>
        <w:t xml:space="preserve">        </w:t>
      </w:r>
    </w:p>
    <w:p w14:paraId="6E3A88E1">
      <w:pPr>
        <w:widowControl/>
        <w:spacing w:line="560" w:lineRule="exact"/>
        <w:ind w:firstLine="2800" w:firstLineChars="1000"/>
        <w:rPr>
          <w:rFonts w:hint="eastAsia" w:ascii="宋体" w:hAnsi="宋体" w:cs="宋体"/>
        </w:rPr>
      </w:pP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r>
        <w:rPr>
          <w:rFonts w:hint="eastAsia" w:ascii="宋体" w:hAnsi="宋体" w:cs="宋体"/>
          <w:sz w:val="28"/>
          <w:szCs w:val="28"/>
        </w:rPr>
        <w:t>日</w:t>
      </w:r>
    </w:p>
    <w:p w14:paraId="288FD836">
      <w:pPr>
        <w:widowControl/>
        <w:jc w:val="center"/>
        <w:rPr>
          <w:rFonts w:hint="eastAsia" w:ascii="宋体" w:hAnsi="宋体" w:cs="宋体"/>
          <w:b/>
          <w:bCs/>
          <w:sz w:val="44"/>
          <w:szCs w:val="44"/>
        </w:rPr>
      </w:pPr>
    </w:p>
    <w:p w14:paraId="0E89FBE4">
      <w:pPr>
        <w:widowControl/>
        <w:jc w:val="center"/>
        <w:rPr>
          <w:rFonts w:hint="eastAsia" w:ascii="宋体" w:hAnsi="宋体" w:cs="宋体"/>
          <w:b/>
          <w:bCs/>
          <w:sz w:val="44"/>
          <w:szCs w:val="44"/>
        </w:rPr>
      </w:pPr>
    </w:p>
    <w:p w14:paraId="601E0703">
      <w:pPr>
        <w:widowControl/>
        <w:jc w:val="center"/>
        <w:rPr>
          <w:rFonts w:hint="eastAsia" w:ascii="宋体" w:hAnsi="宋体" w:cs="宋体"/>
          <w:b/>
          <w:bCs/>
          <w:sz w:val="44"/>
          <w:szCs w:val="44"/>
        </w:rPr>
        <w:sectPr>
          <w:headerReference r:id="rId13" w:type="default"/>
          <w:footerReference r:id="rId14" w:type="default"/>
          <w:footnotePr>
            <w:numFmt w:val="decimalEnclosedCircleChinese"/>
            <w:numRestart w:val="eachPage"/>
          </w:footnotePr>
          <w:pgSz w:w="11906" w:h="16838"/>
          <w:pgMar w:top="1134" w:right="1134" w:bottom="1134" w:left="1134" w:header="851" w:footer="851" w:gutter="0"/>
          <w:cols w:space="720" w:num="1"/>
          <w:docGrid w:linePitch="286" w:charSpace="0"/>
        </w:sectPr>
      </w:pPr>
    </w:p>
    <w:p w14:paraId="36E08B28">
      <w:pPr>
        <w:widowControl/>
        <w:jc w:val="center"/>
        <w:rPr>
          <w:rFonts w:hint="eastAsia" w:ascii="宋体" w:hAnsi="宋体" w:cs="宋体"/>
          <w:b/>
          <w:bCs/>
          <w:sz w:val="44"/>
          <w:szCs w:val="44"/>
        </w:rPr>
      </w:pPr>
      <w:r>
        <w:rPr>
          <w:rFonts w:hint="eastAsia" w:ascii="宋体" w:hAnsi="宋体" w:cs="宋体"/>
          <w:b/>
          <w:bCs/>
          <w:sz w:val="44"/>
          <w:szCs w:val="44"/>
        </w:rPr>
        <w:t>目  录</w:t>
      </w:r>
    </w:p>
    <w:p w14:paraId="53D54AC7">
      <w:pPr>
        <w:widowControl/>
        <w:rPr>
          <w:rFonts w:hint="eastAsia" w:ascii="宋体" w:hAnsi="宋体" w:cs="宋体"/>
          <w:bCs/>
          <w:sz w:val="28"/>
          <w:szCs w:val="28"/>
        </w:rPr>
      </w:pPr>
    </w:p>
    <w:p w14:paraId="29EDEDBC">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一、投标函</w:t>
      </w:r>
    </w:p>
    <w:p w14:paraId="6126ECB5">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二、开标一览表</w:t>
      </w:r>
    </w:p>
    <w:p w14:paraId="0F16E894">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三、分项报价表</w:t>
      </w:r>
    </w:p>
    <w:p w14:paraId="1CDF7327">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四、中小企业声明函（货物）</w:t>
      </w:r>
    </w:p>
    <w:p w14:paraId="2928DDD8">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五、法定代表人（单位负责人）身份证明或授权委托书</w:t>
      </w:r>
    </w:p>
    <w:p w14:paraId="56D87478">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六、联合体协议书</w:t>
      </w:r>
    </w:p>
    <w:p w14:paraId="200EF093">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七、投标保证金</w:t>
      </w:r>
    </w:p>
    <w:p w14:paraId="477A9256">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八、资格证明文件</w:t>
      </w:r>
    </w:p>
    <w:p w14:paraId="555A0478">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九、商务条款偏离表</w:t>
      </w:r>
    </w:p>
    <w:p w14:paraId="7B0B3420">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十、技术规格偏离表</w:t>
      </w:r>
    </w:p>
    <w:p w14:paraId="04E77375">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十一、技术响应资料</w:t>
      </w:r>
    </w:p>
    <w:p w14:paraId="0FC9624B">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十二、样品</w:t>
      </w:r>
    </w:p>
    <w:p w14:paraId="3126D612">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十三、投标人须知前附表规定的其他材料</w:t>
      </w:r>
    </w:p>
    <w:p w14:paraId="5C96AAF2">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十四、投标人认为应该提供的其他材料</w:t>
      </w:r>
    </w:p>
    <w:p w14:paraId="5E0417D9">
      <w:pPr>
        <w:widowControl/>
        <w:rPr>
          <w:rFonts w:hint="eastAsia" w:ascii="宋体" w:hAnsi="宋体" w:cs="宋体"/>
          <w:bCs/>
        </w:rPr>
      </w:pPr>
    </w:p>
    <w:p w14:paraId="0A550456">
      <w:pPr>
        <w:pStyle w:val="3"/>
        <w:widowControl/>
        <w:spacing w:before="120" w:after="120" w:line="240" w:lineRule="auto"/>
        <w:jc w:val="center"/>
        <w:rPr>
          <w:rStyle w:val="98"/>
          <w:rFonts w:hint="eastAsia" w:ascii="宋体" w:hAnsi="宋体" w:eastAsia="宋体" w:cs="宋体"/>
          <w:b/>
          <w:bCs/>
          <w:sz w:val="30"/>
          <w:szCs w:val="30"/>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2F6C682E">
      <w:pPr>
        <w:widowControl/>
        <w:rPr>
          <w:rFonts w:hint="eastAsia" w:ascii="宋体" w:hAnsi="宋体" w:cs="宋体"/>
          <w:b/>
          <w:szCs w:val="21"/>
        </w:rPr>
      </w:pPr>
    </w:p>
    <w:p w14:paraId="63080398">
      <w:pPr>
        <w:pStyle w:val="3"/>
        <w:widowControl/>
        <w:spacing w:before="120" w:after="120" w:line="240" w:lineRule="auto"/>
        <w:jc w:val="center"/>
        <w:rPr>
          <w:rStyle w:val="98"/>
          <w:rFonts w:hint="eastAsia" w:ascii="宋体" w:hAnsi="宋体" w:eastAsia="宋体" w:cs="宋体"/>
          <w:b/>
          <w:bCs w:val="0"/>
          <w:sz w:val="30"/>
          <w:szCs w:val="30"/>
        </w:rPr>
      </w:pPr>
      <w:bookmarkStart w:id="853" w:name="_Toc466024587"/>
      <w:bookmarkStart w:id="854" w:name="_Toc445554786"/>
      <w:r>
        <w:rPr>
          <w:rStyle w:val="98"/>
          <w:rFonts w:hint="eastAsia" w:ascii="宋体" w:hAnsi="宋体" w:eastAsia="宋体" w:cs="宋体"/>
          <w:b/>
          <w:bCs w:val="0"/>
          <w:sz w:val="30"/>
          <w:szCs w:val="30"/>
        </w:rPr>
        <w:t>一、投标函</w:t>
      </w:r>
    </w:p>
    <w:p w14:paraId="7E4A3664">
      <w:pPr>
        <w:widowControl/>
        <w:tabs>
          <w:tab w:val="left" w:leader="underscore" w:pos="2880"/>
        </w:tabs>
        <w:spacing w:line="400" w:lineRule="exact"/>
        <w:rPr>
          <w:rFonts w:hint="eastAsia" w:ascii="宋体" w:hAnsi="宋体" w:cs="宋体"/>
          <w:b/>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（采购人名称)</w:t>
      </w:r>
    </w:p>
    <w:p w14:paraId="7A2D764D">
      <w:pPr>
        <w:widowControl/>
        <w:spacing w:line="400" w:lineRule="exact"/>
        <w:ind w:firstLine="420" w:firstLineChars="200"/>
        <w:rPr>
          <w:rFonts w:hint="eastAsia" w:ascii="宋体" w:hAnsi="宋体" w:cs="宋体"/>
          <w:szCs w:val="21"/>
        </w:rPr>
      </w:pPr>
      <w:r>
        <w:rPr>
          <w:rFonts w:hint="eastAsia" w:ascii="宋体" w:hAnsi="宋体" w:cs="宋体"/>
          <w:szCs w:val="21"/>
          <w:u w:val="single"/>
        </w:rPr>
        <w:t xml:space="preserve">  安徽省招标集团股份有限公司  </w:t>
      </w:r>
      <w:r>
        <w:rPr>
          <w:rFonts w:hint="eastAsia" w:ascii="宋体" w:hAnsi="宋体" w:cs="宋体"/>
          <w:szCs w:val="21"/>
        </w:rPr>
        <w:t>（采购代理名称)</w:t>
      </w:r>
    </w:p>
    <w:p w14:paraId="34839B93">
      <w:pPr>
        <w:widowControl/>
        <w:spacing w:line="400" w:lineRule="exact"/>
        <w:ind w:firstLine="420" w:firstLineChars="200"/>
        <w:rPr>
          <w:rFonts w:hint="eastAsia" w:ascii="宋体" w:hAnsi="宋体" w:cs="宋体"/>
          <w:szCs w:val="21"/>
        </w:rPr>
      </w:pPr>
    </w:p>
    <w:p w14:paraId="30F2A0EE">
      <w:pPr>
        <w:widowControl/>
        <w:spacing w:line="400" w:lineRule="exact"/>
        <w:ind w:firstLine="420" w:firstLineChars="200"/>
        <w:rPr>
          <w:rFonts w:hint="eastAsia" w:ascii="宋体" w:hAnsi="宋体" w:cs="宋体"/>
          <w:szCs w:val="21"/>
        </w:rPr>
      </w:pPr>
      <w:r>
        <w:rPr>
          <w:rFonts w:hint="eastAsia" w:ascii="宋体" w:hAnsi="宋体" w:cs="宋体"/>
          <w:szCs w:val="21"/>
        </w:rPr>
        <w:t>1.我方已仔细研究了编号为</w:t>
      </w:r>
      <w:r>
        <w:rPr>
          <w:rFonts w:hint="eastAsia" w:ascii="宋体" w:hAnsi="宋体" w:cs="宋体"/>
          <w:szCs w:val="21"/>
          <w:u w:val="single"/>
        </w:rPr>
        <w:t xml:space="preserve">      </w:t>
      </w:r>
      <w:r>
        <w:rPr>
          <w:rFonts w:hint="eastAsia" w:ascii="宋体" w:hAnsi="宋体" w:cs="宋体"/>
          <w:szCs w:val="21"/>
        </w:rPr>
        <w:t>（招标编号）的</w:t>
      </w:r>
      <w:r>
        <w:rPr>
          <w:rFonts w:hint="eastAsia" w:ascii="宋体" w:hAnsi="宋体" w:cs="宋体"/>
          <w:szCs w:val="21"/>
          <w:u w:val="single"/>
        </w:rPr>
        <w:t xml:space="preserve">       </w:t>
      </w:r>
      <w:r>
        <w:rPr>
          <w:rFonts w:hint="eastAsia" w:ascii="宋体" w:hAnsi="宋体" w:cs="宋体"/>
          <w:szCs w:val="21"/>
        </w:rPr>
        <w:t>（项目名称）招标文件的全部内容，接受你方在招标文件中对投标人的约束条件。我方愿意以开标一览表中确定的投标总价，按照合同的约定履行合同义务。</w:t>
      </w:r>
    </w:p>
    <w:p w14:paraId="24881584">
      <w:pPr>
        <w:widowControl/>
        <w:spacing w:line="400" w:lineRule="exact"/>
        <w:ind w:firstLine="420" w:firstLineChars="200"/>
        <w:rPr>
          <w:rFonts w:hint="eastAsia" w:ascii="宋体" w:hAnsi="宋体" w:cs="宋体"/>
          <w:szCs w:val="21"/>
        </w:rPr>
      </w:pPr>
      <w:r>
        <w:rPr>
          <w:rFonts w:hint="eastAsia" w:ascii="宋体" w:hAnsi="宋体" w:cs="宋体"/>
          <w:szCs w:val="21"/>
        </w:rPr>
        <w:t>2.我方承诺在招标文件规定的投标有效期内不修改、撤销投标文件</w:t>
      </w:r>
      <w:r>
        <w:rPr>
          <w:rFonts w:hint="eastAsia" w:ascii="宋体" w:hAnsi="宋体" w:cs="宋体"/>
        </w:rPr>
        <w:t>，且随时准备接受你方发出的中标通知书</w:t>
      </w:r>
      <w:r>
        <w:rPr>
          <w:rFonts w:hint="eastAsia" w:ascii="宋体" w:hAnsi="宋体" w:cs="宋体"/>
          <w:szCs w:val="21"/>
        </w:rPr>
        <w:t>。</w:t>
      </w:r>
    </w:p>
    <w:p w14:paraId="6C577FC3">
      <w:pPr>
        <w:widowControl/>
        <w:spacing w:line="400" w:lineRule="exact"/>
        <w:ind w:firstLine="420" w:firstLineChars="200"/>
        <w:rPr>
          <w:rFonts w:hint="eastAsia" w:ascii="宋体" w:hAnsi="宋体" w:cs="宋体"/>
          <w:szCs w:val="21"/>
        </w:rPr>
      </w:pPr>
      <w:r>
        <w:rPr>
          <w:rFonts w:hint="eastAsia" w:ascii="宋体" w:hAnsi="宋体" w:cs="宋体"/>
          <w:szCs w:val="21"/>
        </w:rPr>
        <w:t>3.随同本投标函提交投标保证金一份，金额为人民币¥</w:t>
      </w:r>
      <w:r>
        <w:rPr>
          <w:rFonts w:hint="eastAsia" w:ascii="宋体" w:hAnsi="宋体" w:cs="宋体"/>
          <w:szCs w:val="21"/>
          <w:u w:val="single"/>
        </w:rPr>
        <w:t xml:space="preserve">          </w:t>
      </w:r>
      <w:r>
        <w:rPr>
          <w:rFonts w:hint="eastAsia" w:ascii="宋体" w:hAnsi="宋体" w:cs="宋体"/>
          <w:szCs w:val="21"/>
        </w:rPr>
        <w:t>元。</w:t>
      </w:r>
    </w:p>
    <w:p w14:paraId="2E081AD9">
      <w:pPr>
        <w:widowControl/>
        <w:spacing w:line="400" w:lineRule="exact"/>
        <w:ind w:firstLine="420" w:firstLineChars="200"/>
        <w:rPr>
          <w:rFonts w:hint="eastAsia" w:ascii="宋体" w:hAnsi="宋体" w:cs="宋体"/>
          <w:szCs w:val="21"/>
        </w:rPr>
      </w:pPr>
      <w:r>
        <w:rPr>
          <w:rFonts w:hint="eastAsia" w:ascii="宋体" w:hAnsi="宋体" w:cs="宋体"/>
          <w:szCs w:val="21"/>
        </w:rPr>
        <w:t>4.我方已详细审查全部招标文件，包括全部澄清、修改、答疑补充文件。我们完全理解并同意放弃对这方面有不明及误解的权力。</w:t>
      </w:r>
    </w:p>
    <w:p w14:paraId="709E9C33">
      <w:pPr>
        <w:widowControl/>
        <w:spacing w:line="400" w:lineRule="exact"/>
        <w:ind w:firstLine="420" w:firstLineChars="200"/>
        <w:rPr>
          <w:rFonts w:hint="eastAsia" w:ascii="宋体" w:hAnsi="宋体" w:cs="宋体"/>
          <w:szCs w:val="21"/>
        </w:rPr>
      </w:pPr>
      <w:r>
        <w:rPr>
          <w:rFonts w:hint="eastAsia" w:ascii="宋体" w:hAnsi="宋体" w:cs="宋体"/>
          <w:szCs w:val="21"/>
        </w:rPr>
        <w:t>5.我方在此声明，所递交的投标文件及有关资料内容完整、真实和准确，且不存在招标文件第二章“投标人须知”第1.4.3项规定的任何一种情形。</w:t>
      </w:r>
    </w:p>
    <w:p w14:paraId="2EF0F8AC">
      <w:pPr>
        <w:widowControl/>
        <w:spacing w:line="400" w:lineRule="exact"/>
        <w:ind w:firstLine="420" w:firstLineChars="200"/>
        <w:rPr>
          <w:rFonts w:hint="eastAsia" w:ascii="宋体" w:hAnsi="宋体" w:cs="宋体"/>
          <w:szCs w:val="21"/>
        </w:rPr>
      </w:pPr>
      <w:r>
        <w:rPr>
          <w:rFonts w:hint="eastAsia" w:ascii="宋体" w:hAnsi="宋体" w:cs="宋体"/>
          <w:szCs w:val="21"/>
        </w:rPr>
        <w:t>6.如我方中标：</w:t>
      </w:r>
    </w:p>
    <w:p w14:paraId="41B24F96">
      <w:pPr>
        <w:widowControl/>
        <w:spacing w:line="400" w:lineRule="exact"/>
        <w:ind w:firstLine="420" w:firstLineChars="200"/>
        <w:rPr>
          <w:rFonts w:hint="eastAsia" w:ascii="宋体" w:hAnsi="宋体" w:cs="宋体"/>
          <w:szCs w:val="21"/>
        </w:rPr>
      </w:pPr>
      <w:r>
        <w:rPr>
          <w:rFonts w:hint="eastAsia" w:ascii="宋体" w:hAnsi="宋体" w:cs="宋体"/>
          <w:szCs w:val="21"/>
        </w:rPr>
        <w:t>（1）我方承诺在收到中标通知书后，在中标通知书规定的期限内与你方签订合同；</w:t>
      </w:r>
    </w:p>
    <w:p w14:paraId="35DE81CC">
      <w:pPr>
        <w:widowControl/>
        <w:spacing w:line="400" w:lineRule="exact"/>
        <w:ind w:firstLine="420" w:firstLineChars="200"/>
        <w:rPr>
          <w:rFonts w:hint="eastAsia" w:ascii="宋体" w:hAnsi="宋体" w:cs="宋体"/>
          <w:szCs w:val="21"/>
        </w:rPr>
      </w:pPr>
      <w:r>
        <w:rPr>
          <w:rFonts w:hint="eastAsia" w:ascii="宋体" w:hAnsi="宋体" w:cs="宋体"/>
          <w:szCs w:val="21"/>
        </w:rPr>
        <w:t>（2）在签订合同时不向你方提出附加条件；</w:t>
      </w:r>
    </w:p>
    <w:p w14:paraId="2ECAB4CB">
      <w:pPr>
        <w:widowControl/>
        <w:spacing w:line="400" w:lineRule="exact"/>
        <w:ind w:firstLine="420" w:firstLineChars="200"/>
        <w:rPr>
          <w:rFonts w:hint="eastAsia" w:ascii="宋体" w:hAnsi="宋体" w:cs="宋体"/>
          <w:szCs w:val="21"/>
        </w:rPr>
      </w:pPr>
      <w:r>
        <w:rPr>
          <w:rFonts w:hint="eastAsia" w:ascii="宋体" w:hAnsi="宋体" w:cs="宋体"/>
          <w:szCs w:val="21"/>
        </w:rPr>
        <w:t>（3）我方承诺按照招标文件规定向你方递交履约保证金；</w:t>
      </w:r>
    </w:p>
    <w:p w14:paraId="2546DB9B">
      <w:pPr>
        <w:widowControl/>
        <w:spacing w:line="400" w:lineRule="exact"/>
        <w:ind w:firstLine="420" w:firstLineChars="200"/>
        <w:rPr>
          <w:rFonts w:hint="eastAsia" w:ascii="宋体" w:hAnsi="宋体" w:cs="宋体"/>
          <w:szCs w:val="21"/>
        </w:rPr>
      </w:pPr>
      <w:r>
        <w:rPr>
          <w:rFonts w:hint="eastAsia" w:ascii="宋体" w:hAnsi="宋体" w:cs="宋体"/>
          <w:szCs w:val="21"/>
        </w:rPr>
        <w:t>（4）我方承诺在合同约定的期限内提供并交付货物及服务，履行合同规定的各项义务。</w:t>
      </w:r>
    </w:p>
    <w:p w14:paraId="2FCC5C1C">
      <w:pPr>
        <w:widowControl/>
        <w:spacing w:line="400" w:lineRule="exact"/>
        <w:ind w:firstLine="422" w:firstLineChars="200"/>
        <w:rPr>
          <w:rFonts w:hint="eastAsia" w:ascii="宋体" w:hAnsi="宋体" w:cs="宋体"/>
          <w:b/>
          <w:bCs/>
          <w:szCs w:val="21"/>
        </w:rPr>
      </w:pPr>
      <w:r>
        <w:rPr>
          <w:rFonts w:hint="eastAsia" w:ascii="宋体" w:hAnsi="宋体" w:cs="宋体"/>
          <w:b/>
          <w:bCs/>
          <w:szCs w:val="21"/>
        </w:rPr>
        <w:t>（5）投标产品纳入医疗器械备案管理的，我司自中标通知书发出之日起7个工作日内提供所投产品的备案证明材料，若未按规定提供视为自动放弃中标资格。</w:t>
      </w:r>
    </w:p>
    <w:p w14:paraId="6DD4C0F1">
      <w:pPr>
        <w:widowControl/>
        <w:spacing w:line="400" w:lineRule="exact"/>
        <w:ind w:firstLine="422" w:firstLineChars="200"/>
        <w:rPr>
          <w:rFonts w:hint="eastAsia" w:ascii="宋体" w:hAnsi="宋体" w:cs="宋体"/>
          <w:b/>
          <w:bCs/>
          <w:szCs w:val="21"/>
        </w:rPr>
      </w:pPr>
      <w:r>
        <w:rPr>
          <w:rFonts w:hint="eastAsia" w:ascii="宋体" w:hAnsi="宋体" w:cs="宋体"/>
          <w:b/>
          <w:bCs/>
          <w:szCs w:val="21"/>
        </w:rPr>
        <w:t>（6）自中标通知书发出之日起7个工作日内我司提供投标产品授权书，若未按规定提供视为自动放弃中标资格。产品授权书是指产品制造商（也可由制造商的中国销售公司或产品全国总代理公司或区域代理公司出具，但须同时提供能证明出具授权的单位具有相应合法代理身份的有效证明）针对本次项目投标出具的有效授权（函）。</w:t>
      </w:r>
    </w:p>
    <w:p w14:paraId="6AF7BFC9">
      <w:pPr>
        <w:widowControl/>
        <w:spacing w:line="400" w:lineRule="exact"/>
        <w:ind w:firstLine="420" w:firstLineChars="200"/>
        <w:rPr>
          <w:rFonts w:hint="eastAsia" w:ascii="宋体" w:hAnsi="宋体" w:cs="宋体"/>
          <w:szCs w:val="21"/>
        </w:rPr>
      </w:pPr>
      <w:r>
        <w:rPr>
          <w:rFonts w:hint="eastAsia" w:ascii="宋体" w:hAnsi="宋体" w:cs="宋体"/>
          <w:szCs w:val="21"/>
        </w:rPr>
        <w:t>7.我方同意按照你方要求提供与我方投标有关的一切数据或资料，完全理解你方不一定接受最低价的投标或收到的任何投标。</w:t>
      </w:r>
    </w:p>
    <w:p w14:paraId="46965373">
      <w:pPr>
        <w:widowControl/>
        <w:spacing w:line="400" w:lineRule="exact"/>
        <w:ind w:firstLine="420" w:firstLineChars="200"/>
        <w:rPr>
          <w:rFonts w:hint="eastAsia" w:ascii="宋体" w:hAnsi="宋体" w:cs="宋体"/>
          <w:szCs w:val="21"/>
        </w:rPr>
      </w:pPr>
      <w:r>
        <w:rPr>
          <w:rFonts w:hint="eastAsia" w:ascii="宋体" w:hAnsi="宋体" w:cs="宋体"/>
          <w:szCs w:val="21"/>
        </w:rPr>
        <w:t>8.我方对投标文件中所提供资料、文件、证书及证件的真实性、合法性和有效性负责。</w:t>
      </w:r>
    </w:p>
    <w:p w14:paraId="316F210B">
      <w:pPr>
        <w:widowControl/>
        <w:tabs>
          <w:tab w:val="left" w:leader="underscore" w:pos="3600"/>
          <w:tab w:val="left" w:leader="underscore" w:pos="5400"/>
        </w:tabs>
        <w:spacing w:line="400" w:lineRule="exact"/>
        <w:ind w:firstLine="422" w:firstLineChars="200"/>
        <w:rPr>
          <w:rFonts w:hint="eastAsia" w:ascii="宋体" w:hAnsi="宋体" w:cs="宋体"/>
          <w:b/>
          <w:u w:val="single"/>
        </w:rPr>
      </w:pPr>
      <w:r>
        <w:rPr>
          <w:rFonts w:hint="eastAsia" w:ascii="宋体" w:hAnsi="宋体" w:cs="宋体"/>
          <w:b/>
        </w:rPr>
        <w:t>9.其他补充说明：</w:t>
      </w:r>
      <w:r>
        <w:rPr>
          <w:rFonts w:hint="eastAsia" w:ascii="宋体" w:hAnsi="宋体" w:cs="宋体"/>
          <w:b/>
          <w:u w:val="single"/>
        </w:rPr>
        <w:t xml:space="preserve">                                               </w:t>
      </w:r>
    </w:p>
    <w:p w14:paraId="79515E11">
      <w:pPr>
        <w:widowControl/>
        <w:tabs>
          <w:tab w:val="left" w:leader="underscore" w:pos="3600"/>
          <w:tab w:val="left" w:leader="underscore" w:pos="5400"/>
        </w:tabs>
        <w:spacing w:line="400" w:lineRule="exact"/>
        <w:ind w:firstLine="422" w:firstLineChars="200"/>
        <w:rPr>
          <w:rFonts w:hint="eastAsia" w:ascii="宋体" w:hAnsi="宋体" w:cs="宋体"/>
          <w:b/>
        </w:rPr>
      </w:pPr>
    </w:p>
    <w:p w14:paraId="2551C6F5">
      <w:pPr>
        <w:pStyle w:val="148"/>
        <w:spacing w:line="390" w:lineRule="atLeast"/>
        <w:rPr>
          <w:rFonts w:hint="eastAsia" w:ascii="宋体" w:hAnsi="宋体" w:cs="宋体"/>
        </w:rPr>
      </w:pPr>
      <w:r>
        <w:rPr>
          <w:rFonts w:hint="eastAsia" w:ascii="宋体" w:hAnsi="宋体" w:cs="宋体"/>
        </w:rPr>
        <w:t>投标人：</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rPr>
        <w:t>（盖</w:t>
      </w:r>
      <w:r>
        <w:rPr>
          <w:rFonts w:hint="eastAsia" w:ascii="宋体" w:hAnsi="宋体" w:cs="宋体"/>
          <w:spacing w:val="-1"/>
        </w:rPr>
        <w:t>单</w:t>
      </w:r>
      <w:r>
        <w:rPr>
          <w:rFonts w:hint="eastAsia" w:ascii="宋体" w:hAnsi="宋体" w:cs="宋体"/>
        </w:rPr>
        <w:t>位章）</w:t>
      </w:r>
    </w:p>
    <w:p w14:paraId="66816697">
      <w:pPr>
        <w:pStyle w:val="148"/>
        <w:spacing w:line="390" w:lineRule="atLeast"/>
        <w:rPr>
          <w:rFonts w:hint="eastAsia" w:ascii="宋体" w:hAnsi="宋体" w:cs="宋体"/>
        </w:rPr>
      </w:pPr>
      <w:r>
        <w:rPr>
          <w:rFonts w:hint="eastAsia" w:ascii="宋体" w:hAnsi="宋体" w:cs="宋体"/>
        </w:rPr>
        <w:t>法定代表人（单位负责人）或其委托代理人</w:t>
      </w:r>
      <w:r>
        <w:rPr>
          <w:rFonts w:hint="eastAsia" w:ascii="宋体" w:hAnsi="宋体" w:cs="宋体"/>
          <w:spacing w:val="1"/>
        </w:rPr>
        <w:t>：</w:t>
      </w:r>
      <w:r>
        <w:rPr>
          <w:rFonts w:hint="eastAsia" w:ascii="宋体" w:hAnsi="宋体" w:cs="宋体"/>
          <w:spacing w:val="42"/>
          <w:u w:val="single"/>
        </w:rPr>
        <w:t xml:space="preserve">            </w:t>
      </w:r>
      <w:r>
        <w:rPr>
          <w:rFonts w:hint="eastAsia" w:ascii="宋体" w:hAnsi="宋体" w:cs="宋体"/>
        </w:rPr>
        <w:t xml:space="preserve">（签字或盖章） </w:t>
      </w:r>
    </w:p>
    <w:p w14:paraId="4FAA848F">
      <w:pPr>
        <w:pStyle w:val="148"/>
        <w:spacing w:line="390" w:lineRule="atLeast"/>
        <w:rPr>
          <w:rFonts w:hint="eastAsia" w:ascii="宋体" w:hAnsi="宋体" w:cs="宋体"/>
        </w:rPr>
      </w:pPr>
      <w:r>
        <w:rPr>
          <w:rFonts w:hint="eastAsia" w:ascii="宋体" w:hAnsi="宋体" w:cs="宋体"/>
          <w:spacing w:val="-1"/>
        </w:rPr>
        <w:t>地</w:t>
      </w:r>
      <w:r>
        <w:rPr>
          <w:rFonts w:hint="eastAsia" w:ascii="宋体" w:hAnsi="宋体" w:cs="宋体"/>
          <w:spacing w:val="1"/>
        </w:rPr>
        <w:t>址</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spacing w:val="-1"/>
        </w:rPr>
        <w:t>邮</w:t>
      </w:r>
      <w:r>
        <w:rPr>
          <w:rFonts w:hint="eastAsia" w:ascii="宋体" w:hAnsi="宋体" w:cs="宋体"/>
        </w:rPr>
        <w:t>编</w:t>
      </w:r>
      <w:r>
        <w:rPr>
          <w:rFonts w:hint="eastAsia" w:ascii="宋体" w:hAnsi="宋体" w:cs="宋体"/>
          <w:u w:val="single"/>
        </w:rPr>
        <w:t xml:space="preserve">                            </w:t>
      </w:r>
    </w:p>
    <w:p w14:paraId="6A96BD26">
      <w:pPr>
        <w:pStyle w:val="148"/>
        <w:spacing w:line="390" w:lineRule="atLeast"/>
        <w:rPr>
          <w:rFonts w:hint="eastAsia" w:ascii="宋体" w:hAnsi="宋体" w:cs="宋体"/>
        </w:rPr>
      </w:pPr>
      <w:r>
        <w:rPr>
          <w:rFonts w:hint="eastAsia" w:ascii="宋体" w:hAnsi="宋体" w:cs="宋体"/>
          <w:spacing w:val="-1"/>
        </w:rPr>
        <w:t>电</w:t>
      </w:r>
      <w:r>
        <w:rPr>
          <w:rFonts w:hint="eastAsia" w:ascii="宋体" w:hAnsi="宋体" w:cs="宋体"/>
          <w:spacing w:val="1"/>
        </w:rPr>
        <w:t>话</w:t>
      </w:r>
      <w:r>
        <w:rPr>
          <w:rFonts w:hint="eastAsia" w:ascii="宋体" w:hAnsi="宋体" w:cs="宋体"/>
          <w:u w:val="single"/>
        </w:rPr>
        <w:t xml:space="preserve">                        </w:t>
      </w:r>
      <w:r>
        <w:rPr>
          <w:rFonts w:hint="eastAsia" w:ascii="宋体" w:hAnsi="宋体" w:cs="宋体"/>
          <w:spacing w:val="-1"/>
        </w:rPr>
        <w:t>传</w:t>
      </w:r>
      <w:r>
        <w:rPr>
          <w:rFonts w:hint="eastAsia" w:ascii="宋体" w:hAnsi="宋体" w:cs="宋体"/>
        </w:rPr>
        <w:t>真</w:t>
      </w:r>
      <w:r>
        <w:rPr>
          <w:rFonts w:hint="eastAsia" w:ascii="宋体" w:hAnsi="宋体" w:cs="宋体"/>
          <w:u w:val="single"/>
        </w:rPr>
        <w:t xml:space="preserve">                       </w:t>
      </w:r>
    </w:p>
    <w:p w14:paraId="1D6CBDAF">
      <w:pPr>
        <w:pStyle w:val="148"/>
        <w:spacing w:line="390" w:lineRule="atLeast"/>
        <w:rPr>
          <w:rFonts w:hint="eastAsia" w:ascii="宋体" w:hAnsi="宋体" w:cs="宋体"/>
        </w:rPr>
      </w:pPr>
      <w:r>
        <w:rPr>
          <w:rFonts w:hint="eastAsia" w:ascii="宋体" w:hAnsi="宋体" w:cs="宋体"/>
        </w:rPr>
        <w:t>电子邮箱</w:t>
      </w:r>
      <w:r>
        <w:rPr>
          <w:rFonts w:hint="eastAsia" w:ascii="宋体" w:hAnsi="宋体" w:cs="宋体"/>
          <w:u w:val="single"/>
        </w:rPr>
        <w:t xml:space="preserve">                  </w:t>
      </w:r>
      <w:r>
        <w:rPr>
          <w:rFonts w:hint="eastAsia" w:ascii="宋体" w:hAnsi="宋体" w:cs="宋体"/>
        </w:rPr>
        <w:t>网址：</w:t>
      </w:r>
      <w:r>
        <w:rPr>
          <w:rFonts w:hint="eastAsia" w:ascii="宋体" w:hAnsi="宋体" w:cs="宋体"/>
          <w:u w:val="single"/>
        </w:rPr>
        <w:t xml:space="preserve">                       </w:t>
      </w:r>
    </w:p>
    <w:p w14:paraId="65C1CF12">
      <w:pPr>
        <w:pStyle w:val="148"/>
        <w:spacing w:line="200" w:lineRule="atLeast"/>
        <w:rPr>
          <w:rFonts w:hint="eastAsia" w:ascii="宋体" w:hAnsi="宋体" w:cs="宋体"/>
        </w:rPr>
      </w:pPr>
      <w:r>
        <w:rPr>
          <w:rFonts w:hint="eastAsia" w:ascii="宋体" w:hAnsi="宋体" w:cs="宋体"/>
          <w:sz w:val="20"/>
          <w:szCs w:val="20"/>
        </w:rPr>
        <w:t xml:space="preserve">                        </w:t>
      </w:r>
      <w:r>
        <w:rPr>
          <w:rFonts w:hint="eastAsia" w:ascii="宋体" w:hAnsi="宋体" w:cs="宋体"/>
          <w:u w:val="single"/>
        </w:rPr>
        <w:t xml:space="preserve">       </w:t>
      </w:r>
      <w:r>
        <w:rPr>
          <w:rFonts w:hint="eastAsia" w:ascii="宋体" w:hAnsi="宋体" w:cs="宋体"/>
        </w:rPr>
        <w:t>年</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rPr>
        <w:t>月</w:t>
      </w:r>
      <w:r>
        <w:rPr>
          <w:rFonts w:hint="eastAsia" w:ascii="宋体" w:hAnsi="宋体" w:cs="宋体"/>
          <w:spacing w:val="42"/>
          <w:u w:val="single"/>
        </w:rPr>
        <w:t xml:space="preserve"> </w:t>
      </w:r>
      <w:r>
        <w:rPr>
          <w:rFonts w:hint="eastAsia" w:ascii="宋体" w:hAnsi="宋体" w:cs="宋体"/>
          <w:u w:val="single"/>
        </w:rPr>
        <w:t xml:space="preserve">  </w:t>
      </w:r>
      <w:r>
        <w:rPr>
          <w:rFonts w:hint="eastAsia" w:ascii="宋体" w:hAnsi="宋体" w:cs="宋体"/>
        </w:rPr>
        <w:t>日</w:t>
      </w:r>
    </w:p>
    <w:p w14:paraId="24FEF98B">
      <w:pPr>
        <w:pStyle w:val="148"/>
        <w:spacing w:line="200" w:lineRule="atLeast"/>
        <w:rPr>
          <w:rFonts w:hint="eastAsia" w:ascii="宋体" w:hAnsi="宋体" w:cs="宋体"/>
          <w:sz w:val="20"/>
          <w:szCs w:val="20"/>
        </w:rPr>
      </w:pPr>
    </w:p>
    <w:p w14:paraId="2B2C8B5D">
      <w:pPr>
        <w:pStyle w:val="148"/>
        <w:spacing w:before="6" w:line="220" w:lineRule="atLeast"/>
        <w:rPr>
          <w:rFonts w:hint="eastAsia" w:ascii="宋体" w:hAnsi="宋体" w:cs="宋体"/>
          <w:sz w:val="22"/>
          <w:szCs w:val="22"/>
        </w:rPr>
      </w:pPr>
    </w:p>
    <w:p w14:paraId="095AEEF5">
      <w:pPr>
        <w:pStyle w:val="148"/>
        <w:ind w:left="120" w:right="-20"/>
        <w:rPr>
          <w:rFonts w:hint="eastAsia" w:ascii="宋体" w:hAnsi="宋体" w:cs="宋体"/>
        </w:rPr>
        <w:sectPr>
          <w:footnotePr>
            <w:numFmt w:val="decimalEnclosedCircleChinese"/>
            <w:numRestart w:val="eachPage"/>
          </w:footnotePr>
          <w:pgSz w:w="11906" w:h="16838"/>
          <w:pgMar w:top="1134" w:right="1134" w:bottom="1134" w:left="1134" w:header="851" w:footer="851" w:gutter="0"/>
          <w:cols w:space="720" w:num="1"/>
          <w:docGrid w:linePitch="286" w:charSpace="0"/>
        </w:sectPr>
      </w:pPr>
      <w:r>
        <w:rPr>
          <w:rFonts w:hint="eastAsia" w:ascii="宋体" w:hAnsi="宋体" w:cs="宋体"/>
        </w:rPr>
        <w:t>注：采用资格预审的，资格审查资料如有更新或补充，投标人应在第</w:t>
      </w:r>
      <w:r>
        <w:rPr>
          <w:rFonts w:hint="eastAsia" w:ascii="宋体" w:hAnsi="宋体" w:cs="宋体"/>
          <w:spacing w:val="-9"/>
        </w:rPr>
        <w:t xml:space="preserve"> </w:t>
      </w:r>
      <w:r>
        <w:rPr>
          <w:rFonts w:hint="eastAsia" w:ascii="宋体" w:hAnsi="宋体" w:cs="宋体"/>
        </w:rPr>
        <w:t>9 条中说明。</w:t>
      </w:r>
    </w:p>
    <w:p w14:paraId="154EABDB">
      <w:pPr>
        <w:pStyle w:val="3"/>
        <w:widowControl/>
        <w:spacing w:before="120" w:after="120" w:line="240" w:lineRule="auto"/>
        <w:jc w:val="center"/>
        <w:rPr>
          <w:rStyle w:val="98"/>
          <w:rFonts w:hint="eastAsia" w:ascii="宋体" w:hAnsi="宋体" w:eastAsia="宋体" w:cs="宋体"/>
          <w:b w:val="0"/>
          <w:bCs/>
          <w:sz w:val="30"/>
          <w:szCs w:val="30"/>
        </w:rPr>
      </w:pPr>
      <w:r>
        <w:rPr>
          <w:rStyle w:val="98"/>
          <w:rFonts w:hint="eastAsia" w:ascii="宋体" w:hAnsi="宋体" w:eastAsia="宋体" w:cs="宋体"/>
          <w:b w:val="0"/>
          <w:bCs/>
          <w:sz w:val="30"/>
          <w:szCs w:val="30"/>
        </w:rPr>
        <w:t>二、开标一览表</w:t>
      </w:r>
      <w:bookmarkEnd w:id="853"/>
      <w:bookmarkEnd w:id="854"/>
    </w:p>
    <w:p w14:paraId="774770E5">
      <w:pPr>
        <w:widowControl/>
        <w:spacing w:line="333" w:lineRule="atLeast"/>
        <w:jc w:val="right"/>
        <w:rPr>
          <w:rFonts w:hint="eastAsia" w:ascii="宋体" w:hAnsi="宋体" w:cs="宋体"/>
          <w:kern w:val="0"/>
          <w:szCs w:val="21"/>
        </w:rPr>
      </w:pPr>
      <w:r>
        <w:rPr>
          <w:rFonts w:hint="eastAsia" w:ascii="宋体" w:hAnsi="宋体" w:cs="宋体"/>
          <w:spacing w:val="-1"/>
          <w:kern w:val="0"/>
          <w:position w:val="-4"/>
          <w:szCs w:val="21"/>
        </w:rPr>
        <w:t>货</w:t>
      </w:r>
      <w:r>
        <w:rPr>
          <w:rFonts w:hint="eastAsia" w:ascii="宋体" w:hAnsi="宋体" w:cs="宋体"/>
          <w:kern w:val="0"/>
          <w:position w:val="-4"/>
          <w:szCs w:val="21"/>
        </w:rPr>
        <w:t>币单位</w:t>
      </w:r>
      <w:r>
        <w:rPr>
          <w:rFonts w:hint="eastAsia" w:ascii="宋体" w:hAnsi="宋体" w:cs="宋体"/>
          <w:spacing w:val="-24"/>
          <w:kern w:val="0"/>
          <w:position w:val="-4"/>
          <w:szCs w:val="21"/>
        </w:rPr>
        <w:t>：</w:t>
      </w:r>
      <w:r>
        <w:rPr>
          <w:rFonts w:hint="eastAsia" w:ascii="宋体" w:hAnsi="宋体" w:cs="宋体"/>
          <w:kern w:val="0"/>
          <w:position w:val="-4"/>
          <w:szCs w:val="21"/>
        </w:rPr>
        <w:t>人民币</w:t>
      </w:r>
    </w:p>
    <w:tbl>
      <w:tblPr>
        <w:tblStyle w:val="47"/>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6CC2A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noWrap w:val="0"/>
            <w:vAlign w:val="center"/>
          </w:tcPr>
          <w:p w14:paraId="21C106B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kern w:val="0"/>
                <w:szCs w:val="21"/>
              </w:rPr>
            </w:pPr>
            <w:r>
              <w:rPr>
                <w:rFonts w:hint="eastAsia" w:ascii="宋体" w:hAnsi="宋体" w:cs="宋体"/>
                <w:b/>
                <w:kern w:val="0"/>
                <w:szCs w:val="21"/>
              </w:rPr>
              <w:t>序号</w:t>
            </w:r>
          </w:p>
        </w:tc>
        <w:tc>
          <w:tcPr>
            <w:tcW w:w="2715" w:type="dxa"/>
            <w:noWrap w:val="0"/>
            <w:vAlign w:val="center"/>
          </w:tcPr>
          <w:p w14:paraId="16543E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kern w:val="0"/>
                <w:szCs w:val="21"/>
              </w:rPr>
            </w:pPr>
            <w:r>
              <w:rPr>
                <w:rFonts w:hint="eastAsia" w:ascii="宋体" w:hAnsi="宋体" w:cs="宋体"/>
                <w:b/>
                <w:kern w:val="0"/>
                <w:szCs w:val="21"/>
              </w:rPr>
              <w:t>项目</w:t>
            </w:r>
          </w:p>
        </w:tc>
        <w:tc>
          <w:tcPr>
            <w:tcW w:w="6095" w:type="dxa"/>
            <w:noWrap w:val="0"/>
            <w:vAlign w:val="center"/>
          </w:tcPr>
          <w:p w14:paraId="56CD336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kern w:val="0"/>
                <w:szCs w:val="21"/>
              </w:rPr>
            </w:pPr>
            <w:r>
              <w:rPr>
                <w:rFonts w:hint="eastAsia" w:ascii="宋体" w:hAnsi="宋体" w:cs="宋体"/>
                <w:b/>
                <w:kern w:val="0"/>
                <w:szCs w:val="21"/>
              </w:rPr>
              <w:t>内容</w:t>
            </w:r>
          </w:p>
        </w:tc>
      </w:tr>
      <w:tr w14:paraId="366CE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08869F5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1</w:t>
            </w:r>
          </w:p>
        </w:tc>
        <w:tc>
          <w:tcPr>
            <w:tcW w:w="2715" w:type="dxa"/>
            <w:noWrap w:val="0"/>
            <w:vAlign w:val="center"/>
          </w:tcPr>
          <w:p w14:paraId="3B21A77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项目名称</w:t>
            </w:r>
          </w:p>
        </w:tc>
        <w:tc>
          <w:tcPr>
            <w:tcW w:w="6095" w:type="dxa"/>
            <w:noWrap w:val="0"/>
            <w:vAlign w:val="center"/>
          </w:tcPr>
          <w:p w14:paraId="460B9B62">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35C02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4B2B0C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2</w:t>
            </w:r>
          </w:p>
        </w:tc>
        <w:tc>
          <w:tcPr>
            <w:tcW w:w="2715" w:type="dxa"/>
            <w:noWrap w:val="0"/>
            <w:vAlign w:val="center"/>
          </w:tcPr>
          <w:p w14:paraId="60F0131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招标编号</w:t>
            </w:r>
          </w:p>
        </w:tc>
        <w:tc>
          <w:tcPr>
            <w:tcW w:w="6095" w:type="dxa"/>
            <w:noWrap w:val="0"/>
            <w:vAlign w:val="center"/>
          </w:tcPr>
          <w:p w14:paraId="442352AE">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2D0D0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3E57415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3</w:t>
            </w:r>
          </w:p>
        </w:tc>
        <w:tc>
          <w:tcPr>
            <w:tcW w:w="2715" w:type="dxa"/>
            <w:noWrap w:val="0"/>
            <w:vAlign w:val="center"/>
          </w:tcPr>
          <w:p w14:paraId="3C1709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分包号（无分包，不填写）</w:t>
            </w:r>
          </w:p>
        </w:tc>
        <w:tc>
          <w:tcPr>
            <w:tcW w:w="6095" w:type="dxa"/>
            <w:noWrap w:val="0"/>
            <w:vAlign w:val="center"/>
          </w:tcPr>
          <w:p w14:paraId="3191C758">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7C485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1A653A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4</w:t>
            </w:r>
          </w:p>
        </w:tc>
        <w:tc>
          <w:tcPr>
            <w:tcW w:w="2715" w:type="dxa"/>
            <w:noWrap w:val="0"/>
            <w:vAlign w:val="center"/>
          </w:tcPr>
          <w:p w14:paraId="3903B7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投标总价</w:t>
            </w:r>
          </w:p>
        </w:tc>
        <w:tc>
          <w:tcPr>
            <w:tcW w:w="6095" w:type="dxa"/>
            <w:noWrap w:val="0"/>
            <w:vAlign w:val="center"/>
          </w:tcPr>
          <w:p w14:paraId="33CA2A13">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74EA3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8" w:hRule="atLeast"/>
        </w:trPr>
        <w:tc>
          <w:tcPr>
            <w:tcW w:w="728" w:type="dxa"/>
            <w:noWrap w:val="0"/>
            <w:vAlign w:val="center"/>
          </w:tcPr>
          <w:p w14:paraId="7691638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5</w:t>
            </w:r>
          </w:p>
        </w:tc>
        <w:tc>
          <w:tcPr>
            <w:tcW w:w="2715" w:type="dxa"/>
            <w:noWrap w:val="0"/>
            <w:vAlign w:val="center"/>
          </w:tcPr>
          <w:p w14:paraId="342808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备注</w:t>
            </w:r>
          </w:p>
        </w:tc>
        <w:tc>
          <w:tcPr>
            <w:tcW w:w="6095" w:type="dxa"/>
            <w:noWrap w:val="0"/>
            <w:vAlign w:val="center"/>
          </w:tcPr>
          <w:p w14:paraId="73293F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bl>
    <w:p w14:paraId="310BEA41">
      <w:pPr>
        <w:widowControl/>
        <w:spacing w:line="200" w:lineRule="atLeast"/>
        <w:rPr>
          <w:rFonts w:hint="eastAsia" w:ascii="宋体" w:hAnsi="宋体" w:cs="宋体"/>
          <w:kern w:val="0"/>
          <w:szCs w:val="21"/>
        </w:rPr>
      </w:pPr>
    </w:p>
    <w:p w14:paraId="5DCAF193">
      <w:pPr>
        <w:widowControl/>
        <w:spacing w:before="18" w:line="280" w:lineRule="atLeast"/>
        <w:rPr>
          <w:rFonts w:hint="eastAsia" w:ascii="宋体" w:hAnsi="宋体" w:cs="宋体"/>
          <w:kern w:val="0"/>
          <w:szCs w:val="21"/>
        </w:rPr>
      </w:pPr>
    </w:p>
    <w:p w14:paraId="3CAA66A0">
      <w:pPr>
        <w:widowControl/>
        <w:spacing w:line="360" w:lineRule="auto"/>
        <w:ind w:left="2977" w:right="-20"/>
        <w:rPr>
          <w:rFonts w:hint="eastAsia" w:ascii="宋体" w:hAnsi="宋体" w:cs="宋体"/>
          <w:kern w:val="0"/>
          <w:szCs w:val="21"/>
        </w:rPr>
      </w:pPr>
      <w:r>
        <w:rPr>
          <w:rFonts w:hint="eastAsia" w:ascii="宋体" w:hAnsi="宋体" w:cs="宋体"/>
          <w:kern w:val="0"/>
          <w:szCs w:val="21"/>
        </w:rPr>
        <w:t>投</w:t>
      </w:r>
      <w:r>
        <w:rPr>
          <w:rFonts w:hint="eastAsia" w:ascii="宋体" w:hAnsi="宋体" w:cs="宋体"/>
          <w:spacing w:val="43"/>
          <w:kern w:val="0"/>
          <w:szCs w:val="21"/>
        </w:rPr>
        <w:t xml:space="preserve"> </w:t>
      </w:r>
      <w:r>
        <w:rPr>
          <w:rFonts w:hint="eastAsia" w:ascii="宋体" w:hAnsi="宋体" w:cs="宋体"/>
          <w:kern w:val="0"/>
          <w:szCs w:val="21"/>
        </w:rPr>
        <w:t>标</w:t>
      </w:r>
      <w:r>
        <w:rPr>
          <w:rFonts w:hint="eastAsia" w:ascii="宋体" w:hAnsi="宋体" w:cs="宋体"/>
          <w:spacing w:val="43"/>
          <w:kern w:val="0"/>
          <w:szCs w:val="21"/>
        </w:rPr>
        <w:t xml:space="preserve"> </w:t>
      </w:r>
      <w:r>
        <w:rPr>
          <w:rFonts w:hint="eastAsia" w:ascii="宋体" w:hAnsi="宋体" w:cs="宋体"/>
          <w:spacing w:val="-1"/>
          <w:kern w:val="0"/>
          <w:szCs w:val="21"/>
        </w:rPr>
        <w:t>人</w:t>
      </w:r>
      <w:r>
        <w:rPr>
          <w:rFonts w:hint="eastAsia" w:ascii="宋体" w:hAnsi="宋体" w:cs="宋体"/>
          <w:kern w:val="0"/>
          <w:szCs w:val="21"/>
        </w:rPr>
        <w:t>：</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（单位盖章）</w:t>
      </w:r>
    </w:p>
    <w:p w14:paraId="1946F81C">
      <w:pPr>
        <w:widowControl/>
        <w:spacing w:before="34" w:line="360" w:lineRule="auto"/>
        <w:ind w:left="2977" w:right="-20"/>
        <w:rPr>
          <w:rFonts w:hint="eastAsia" w:ascii="宋体" w:hAnsi="宋体" w:cs="宋体"/>
          <w:kern w:val="0"/>
          <w:szCs w:val="21"/>
        </w:rPr>
      </w:pPr>
      <w:r>
        <w:rPr>
          <w:rFonts w:hint="eastAsia" w:ascii="宋体" w:hAnsi="宋体" w:cs="宋体"/>
          <w:kern w:val="0"/>
          <w:szCs w:val="21"/>
        </w:rPr>
        <w:t>法定代表人（单位负责人）或其委托代理人</w:t>
      </w:r>
      <w:r>
        <w:rPr>
          <w:rFonts w:hint="eastAsia" w:ascii="宋体" w:hAnsi="宋体" w:cs="宋体"/>
          <w:spacing w:val="-47"/>
          <w:kern w:val="0"/>
          <w:szCs w:val="21"/>
        </w:rPr>
        <w:t>：</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（签字或盖章）</w:t>
      </w:r>
    </w:p>
    <w:p w14:paraId="49AE4EE9">
      <w:pPr>
        <w:widowControl/>
        <w:spacing w:before="34" w:line="360" w:lineRule="auto"/>
        <w:ind w:left="5516" w:right="-20"/>
        <w:rPr>
          <w:rFonts w:hint="eastAsia"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年</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spacing w:val="42"/>
          <w:kern w:val="0"/>
          <w:szCs w:val="21"/>
          <w:u w:val="single"/>
        </w:rPr>
        <w:t xml:space="preserve"> </w:t>
      </w:r>
      <w:r>
        <w:rPr>
          <w:rFonts w:hint="eastAsia" w:ascii="宋体" w:hAnsi="宋体" w:cs="宋体"/>
          <w:kern w:val="0"/>
          <w:szCs w:val="21"/>
          <w:u w:val="single"/>
        </w:rPr>
        <w:t xml:space="preserve">  </w:t>
      </w:r>
      <w:r>
        <w:rPr>
          <w:rFonts w:hint="eastAsia" w:ascii="宋体" w:hAnsi="宋体" w:cs="宋体"/>
          <w:kern w:val="0"/>
          <w:szCs w:val="21"/>
        </w:rPr>
        <w:t>日</w:t>
      </w:r>
    </w:p>
    <w:p w14:paraId="585E7F07">
      <w:pPr>
        <w:widowControl/>
        <w:spacing w:line="200" w:lineRule="atLeast"/>
        <w:rPr>
          <w:rFonts w:hint="eastAsia" w:ascii="宋体" w:hAnsi="宋体" w:cs="宋体"/>
          <w:kern w:val="0"/>
          <w:szCs w:val="21"/>
        </w:rPr>
      </w:pPr>
    </w:p>
    <w:p w14:paraId="4C3939A0">
      <w:pPr>
        <w:widowControl/>
        <w:spacing w:line="272" w:lineRule="atLeast"/>
        <w:ind w:left="160" w:right="-20"/>
        <w:rPr>
          <w:rFonts w:hint="eastAsia" w:ascii="宋体" w:hAnsi="宋体" w:cs="宋体"/>
          <w:kern w:val="0"/>
          <w:szCs w:val="21"/>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7E76B63">
      <w:pPr>
        <w:pStyle w:val="3"/>
        <w:widowControl/>
        <w:spacing w:before="120" w:after="120" w:line="240" w:lineRule="auto"/>
        <w:jc w:val="center"/>
        <w:rPr>
          <w:rStyle w:val="98"/>
          <w:rFonts w:hint="eastAsia" w:ascii="宋体" w:hAnsi="宋体" w:eastAsia="宋体" w:cs="宋体"/>
          <w:b w:val="0"/>
          <w:bCs/>
          <w:sz w:val="30"/>
          <w:szCs w:val="30"/>
        </w:rPr>
      </w:pPr>
      <w:bookmarkStart w:id="855" w:name="_Toc445554787"/>
      <w:bookmarkStart w:id="856" w:name="_Toc466024588"/>
      <w:r>
        <w:rPr>
          <w:rStyle w:val="98"/>
          <w:rFonts w:hint="eastAsia" w:ascii="宋体" w:hAnsi="宋体" w:eastAsia="宋体" w:cs="宋体"/>
          <w:b w:val="0"/>
          <w:bCs/>
          <w:sz w:val="30"/>
          <w:szCs w:val="30"/>
        </w:rPr>
        <w:t>三、分项报价表</w:t>
      </w:r>
      <w:bookmarkEnd w:id="855"/>
      <w:bookmarkEnd w:id="856"/>
    </w:p>
    <w:p w14:paraId="5F614B40">
      <w:pPr>
        <w:widowControl/>
        <w:ind w:left="1503" w:right="1683"/>
        <w:jc w:val="center"/>
        <w:rPr>
          <w:rFonts w:hint="eastAsia" w:ascii="宋体" w:hAnsi="宋体" w:cs="宋体"/>
          <w:kern w:val="0"/>
          <w:sz w:val="28"/>
          <w:szCs w:val="28"/>
        </w:rPr>
      </w:pPr>
      <w:r>
        <w:rPr>
          <w:rFonts w:hint="eastAsia" w:ascii="宋体" w:hAnsi="宋体" w:cs="宋体"/>
          <w:kern w:val="0"/>
          <w:sz w:val="28"/>
          <w:szCs w:val="28"/>
        </w:rPr>
        <w:t>表3-1  分项报价表</w:t>
      </w:r>
    </w:p>
    <w:p w14:paraId="48BC5F2D">
      <w:pPr>
        <w:widowControl/>
        <w:spacing w:line="333" w:lineRule="atLeast"/>
        <w:jc w:val="right"/>
        <w:rPr>
          <w:rFonts w:hint="eastAsia" w:ascii="宋体" w:hAnsi="宋体" w:cs="宋体"/>
          <w:kern w:val="0"/>
          <w:szCs w:val="21"/>
        </w:rPr>
      </w:pPr>
      <w:r>
        <w:rPr>
          <w:rFonts w:hint="eastAsia" w:ascii="宋体" w:hAnsi="宋体" w:cs="宋体"/>
          <w:kern w:val="0"/>
          <w:position w:val="-4"/>
          <w:szCs w:val="21"/>
        </w:rPr>
        <w:t>招标</w:t>
      </w:r>
      <w:r>
        <w:rPr>
          <w:rFonts w:hint="eastAsia" w:ascii="宋体" w:hAnsi="宋体" w:cs="宋体"/>
          <w:spacing w:val="-1"/>
          <w:kern w:val="0"/>
          <w:position w:val="-4"/>
          <w:szCs w:val="21"/>
        </w:rPr>
        <w:t>编</w:t>
      </w:r>
      <w:r>
        <w:rPr>
          <w:rFonts w:hint="eastAsia" w:ascii="宋体" w:hAnsi="宋体" w:cs="宋体"/>
          <w:kern w:val="0"/>
          <w:position w:val="-4"/>
          <w:szCs w:val="21"/>
        </w:rPr>
        <w:t>号</w:t>
      </w:r>
      <w:r>
        <w:rPr>
          <w:rFonts w:hint="eastAsia" w:ascii="宋体" w:hAnsi="宋体" w:cs="宋体"/>
          <w:spacing w:val="-24"/>
          <w:kern w:val="0"/>
          <w:position w:val="-4"/>
          <w:szCs w:val="21"/>
        </w:rPr>
        <w:t>：</w:t>
      </w:r>
      <w:r>
        <w:rPr>
          <w:rFonts w:hint="eastAsia" w:ascii="宋体" w:hAnsi="宋体" w:cs="宋体"/>
          <w:spacing w:val="42"/>
          <w:kern w:val="0"/>
          <w:position w:val="-4"/>
          <w:szCs w:val="21"/>
          <w:u w:val="single"/>
        </w:rPr>
        <w:t xml:space="preserve">      </w:t>
      </w:r>
      <w:r>
        <w:rPr>
          <w:rFonts w:hint="eastAsia" w:ascii="宋体" w:hAnsi="宋体" w:cs="宋体"/>
          <w:kern w:val="0"/>
          <w:position w:val="-4"/>
          <w:szCs w:val="21"/>
          <w:u w:val="single"/>
        </w:rPr>
        <w:t xml:space="preserve">   </w:t>
      </w:r>
      <w:r>
        <w:rPr>
          <w:rFonts w:hint="eastAsia" w:ascii="宋体" w:hAnsi="宋体" w:cs="宋体"/>
          <w:kern w:val="0"/>
          <w:position w:val="-4"/>
          <w:szCs w:val="21"/>
        </w:rPr>
        <w:t>标包号</w:t>
      </w:r>
      <w:r>
        <w:rPr>
          <w:rFonts w:hint="eastAsia" w:ascii="宋体" w:hAnsi="宋体" w:cs="宋体"/>
          <w:spacing w:val="-25"/>
          <w:kern w:val="0"/>
          <w:position w:val="-4"/>
          <w:szCs w:val="21"/>
        </w:rPr>
        <w:t>：</w:t>
      </w:r>
      <w:r>
        <w:rPr>
          <w:rFonts w:hint="eastAsia" w:ascii="宋体" w:hAnsi="宋体" w:cs="宋体"/>
          <w:spacing w:val="42"/>
          <w:kern w:val="0"/>
          <w:position w:val="-4"/>
          <w:szCs w:val="21"/>
          <w:u w:val="single"/>
        </w:rPr>
        <w:t xml:space="preserve"> </w:t>
      </w:r>
      <w:r>
        <w:rPr>
          <w:rFonts w:hint="eastAsia" w:ascii="宋体" w:hAnsi="宋体" w:cs="宋体"/>
          <w:kern w:val="0"/>
          <w:position w:val="-4"/>
          <w:szCs w:val="21"/>
          <w:u w:val="single"/>
        </w:rPr>
        <w:t xml:space="preserve">    </w:t>
      </w:r>
      <w:r>
        <w:rPr>
          <w:rFonts w:hint="eastAsia" w:ascii="宋体" w:hAnsi="宋体" w:cs="宋体"/>
          <w:spacing w:val="-1"/>
          <w:kern w:val="0"/>
          <w:position w:val="-4"/>
          <w:szCs w:val="21"/>
        </w:rPr>
        <w:t>货</w:t>
      </w:r>
      <w:r>
        <w:rPr>
          <w:rFonts w:hint="eastAsia" w:ascii="宋体" w:hAnsi="宋体" w:cs="宋体"/>
          <w:kern w:val="0"/>
          <w:position w:val="-4"/>
          <w:szCs w:val="21"/>
        </w:rPr>
        <w:t>币单位</w:t>
      </w:r>
      <w:r>
        <w:rPr>
          <w:rFonts w:hint="eastAsia" w:ascii="宋体" w:hAnsi="宋体" w:cs="宋体"/>
          <w:spacing w:val="-24"/>
          <w:kern w:val="0"/>
          <w:position w:val="-4"/>
          <w:szCs w:val="21"/>
        </w:rPr>
        <w:t>：</w:t>
      </w:r>
      <w:r>
        <w:rPr>
          <w:rFonts w:hint="eastAsia" w:ascii="宋体" w:hAnsi="宋体" w:cs="宋体"/>
          <w:kern w:val="0"/>
          <w:position w:val="-4"/>
          <w:szCs w:val="21"/>
        </w:rPr>
        <w:t>人民币</w:t>
      </w:r>
    </w:p>
    <w:tbl>
      <w:tblPr>
        <w:tblStyle w:val="47"/>
        <w:tblW w:w="14216"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567"/>
        <w:gridCol w:w="1134"/>
        <w:gridCol w:w="1050"/>
        <w:gridCol w:w="934"/>
        <w:gridCol w:w="1050"/>
        <w:gridCol w:w="651"/>
        <w:gridCol w:w="709"/>
        <w:gridCol w:w="992"/>
        <w:gridCol w:w="993"/>
        <w:gridCol w:w="851"/>
        <w:gridCol w:w="850"/>
        <w:gridCol w:w="850"/>
      </w:tblGrid>
      <w:tr w14:paraId="658E9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738" w:type="dxa"/>
            <w:vMerge w:val="restart"/>
            <w:noWrap w:val="0"/>
            <w:vAlign w:val="center"/>
          </w:tcPr>
          <w:p w14:paraId="403EE6D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序号</w:t>
            </w:r>
          </w:p>
        </w:tc>
        <w:tc>
          <w:tcPr>
            <w:tcW w:w="1156" w:type="dxa"/>
            <w:vMerge w:val="restart"/>
            <w:noWrap w:val="0"/>
            <w:vAlign w:val="center"/>
          </w:tcPr>
          <w:p w14:paraId="28E7CF4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货物</w:t>
            </w:r>
            <w:r>
              <w:rPr>
                <w:rFonts w:hint="eastAsia" w:ascii="宋体" w:hAnsi="宋体" w:cs="宋体"/>
                <w:szCs w:val="21"/>
              </w:rPr>
              <w:t>（服务）</w:t>
            </w:r>
            <w:r>
              <w:rPr>
                <w:rFonts w:hint="eastAsia" w:ascii="宋体" w:hAnsi="宋体" w:cs="宋体"/>
                <w:kern w:val="0"/>
                <w:szCs w:val="21"/>
              </w:rPr>
              <w:t>名称</w:t>
            </w:r>
          </w:p>
        </w:tc>
        <w:tc>
          <w:tcPr>
            <w:tcW w:w="1124" w:type="dxa"/>
            <w:vMerge w:val="restart"/>
            <w:noWrap w:val="0"/>
            <w:vAlign w:val="center"/>
          </w:tcPr>
          <w:p w14:paraId="5C314F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规格型号</w:t>
            </w:r>
          </w:p>
        </w:tc>
        <w:tc>
          <w:tcPr>
            <w:tcW w:w="567" w:type="dxa"/>
            <w:vMerge w:val="restart"/>
            <w:noWrap w:val="0"/>
            <w:vAlign w:val="center"/>
          </w:tcPr>
          <w:p w14:paraId="0228507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数量</w:t>
            </w:r>
          </w:p>
        </w:tc>
        <w:tc>
          <w:tcPr>
            <w:tcW w:w="567" w:type="dxa"/>
            <w:vMerge w:val="restart"/>
            <w:noWrap w:val="0"/>
            <w:vAlign w:val="center"/>
          </w:tcPr>
          <w:p w14:paraId="3B4502C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单位</w:t>
            </w:r>
          </w:p>
        </w:tc>
        <w:tc>
          <w:tcPr>
            <w:tcW w:w="5528" w:type="dxa"/>
            <w:gridSpan w:val="6"/>
            <w:noWrap w:val="0"/>
            <w:vAlign w:val="center"/>
          </w:tcPr>
          <w:p w14:paraId="69C90BB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单价</w:t>
            </w:r>
          </w:p>
        </w:tc>
        <w:tc>
          <w:tcPr>
            <w:tcW w:w="992" w:type="dxa"/>
            <w:noWrap w:val="0"/>
            <w:vAlign w:val="center"/>
          </w:tcPr>
          <w:p w14:paraId="47702D8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合价</w:t>
            </w:r>
          </w:p>
        </w:tc>
        <w:tc>
          <w:tcPr>
            <w:tcW w:w="993" w:type="dxa"/>
            <w:noWrap w:val="0"/>
            <w:vAlign w:val="center"/>
          </w:tcPr>
          <w:p w14:paraId="0BDC2F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制造商</w:t>
            </w:r>
          </w:p>
        </w:tc>
        <w:tc>
          <w:tcPr>
            <w:tcW w:w="851" w:type="dxa"/>
            <w:noWrap w:val="0"/>
            <w:vAlign w:val="center"/>
          </w:tcPr>
          <w:p w14:paraId="6612E4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品牌</w:t>
            </w:r>
          </w:p>
        </w:tc>
        <w:tc>
          <w:tcPr>
            <w:tcW w:w="850" w:type="dxa"/>
            <w:noWrap w:val="0"/>
            <w:vAlign w:val="center"/>
          </w:tcPr>
          <w:p w14:paraId="65C8EC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产地</w:t>
            </w:r>
          </w:p>
        </w:tc>
        <w:tc>
          <w:tcPr>
            <w:tcW w:w="850" w:type="dxa"/>
            <w:noWrap w:val="0"/>
            <w:vAlign w:val="center"/>
          </w:tcPr>
          <w:p w14:paraId="6FA0E95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发货地点</w:t>
            </w:r>
          </w:p>
        </w:tc>
      </w:tr>
      <w:tr w14:paraId="63F20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2A6C705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56" w:type="dxa"/>
            <w:vMerge w:val="continue"/>
            <w:noWrap w:val="0"/>
            <w:vAlign w:val="center"/>
          </w:tcPr>
          <w:p w14:paraId="5228DD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24" w:type="dxa"/>
            <w:vMerge w:val="continue"/>
            <w:noWrap w:val="0"/>
            <w:vAlign w:val="center"/>
          </w:tcPr>
          <w:p w14:paraId="5D62E2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vMerge w:val="continue"/>
            <w:noWrap w:val="0"/>
            <w:vAlign w:val="center"/>
          </w:tcPr>
          <w:p w14:paraId="66722A0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vMerge w:val="continue"/>
            <w:noWrap w:val="0"/>
            <w:vAlign w:val="center"/>
          </w:tcPr>
          <w:p w14:paraId="14A7121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34" w:type="dxa"/>
            <w:noWrap w:val="0"/>
            <w:vAlign w:val="center"/>
          </w:tcPr>
          <w:p w14:paraId="5E78FD29">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主机及标准附件</w:t>
            </w:r>
          </w:p>
        </w:tc>
        <w:tc>
          <w:tcPr>
            <w:tcW w:w="1050" w:type="dxa"/>
            <w:noWrap w:val="0"/>
            <w:vAlign w:val="center"/>
          </w:tcPr>
          <w:p w14:paraId="2F6C15A5">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运输、保险、卸货</w:t>
            </w:r>
          </w:p>
        </w:tc>
        <w:tc>
          <w:tcPr>
            <w:tcW w:w="934" w:type="dxa"/>
            <w:noWrap w:val="0"/>
            <w:vAlign w:val="center"/>
          </w:tcPr>
          <w:p w14:paraId="6B3848BB">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安装调试检验</w:t>
            </w:r>
          </w:p>
        </w:tc>
        <w:tc>
          <w:tcPr>
            <w:tcW w:w="1050" w:type="dxa"/>
            <w:noWrap w:val="0"/>
            <w:vAlign w:val="center"/>
          </w:tcPr>
          <w:p w14:paraId="30B5D24F">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培训及</w:t>
            </w:r>
          </w:p>
          <w:p w14:paraId="418099DC">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技术服务</w:t>
            </w:r>
          </w:p>
        </w:tc>
        <w:tc>
          <w:tcPr>
            <w:tcW w:w="651" w:type="dxa"/>
            <w:noWrap w:val="0"/>
            <w:vAlign w:val="center"/>
          </w:tcPr>
          <w:p w14:paraId="33B6E030">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其他</w:t>
            </w:r>
          </w:p>
        </w:tc>
        <w:tc>
          <w:tcPr>
            <w:tcW w:w="709" w:type="dxa"/>
            <w:noWrap w:val="0"/>
            <w:vAlign w:val="center"/>
          </w:tcPr>
          <w:p w14:paraId="315695C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szCs w:val="21"/>
              </w:rPr>
              <w:t>小计</w:t>
            </w:r>
          </w:p>
        </w:tc>
        <w:tc>
          <w:tcPr>
            <w:tcW w:w="992" w:type="dxa"/>
            <w:noWrap w:val="0"/>
            <w:vAlign w:val="center"/>
          </w:tcPr>
          <w:p w14:paraId="2DEF33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3" w:type="dxa"/>
            <w:noWrap w:val="0"/>
            <w:vAlign w:val="center"/>
          </w:tcPr>
          <w:p w14:paraId="505B514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1" w:type="dxa"/>
            <w:noWrap w:val="0"/>
            <w:vAlign w:val="center"/>
          </w:tcPr>
          <w:p w14:paraId="68E3EDC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6EDDA4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0B78904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r w14:paraId="25C60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5F28C3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56" w:type="dxa"/>
            <w:noWrap w:val="0"/>
            <w:vAlign w:val="center"/>
          </w:tcPr>
          <w:p w14:paraId="6B4D6274">
            <w:pPr>
              <w:keepNext w:val="0"/>
              <w:keepLines w:val="0"/>
              <w:suppressLineNumbers w:val="0"/>
              <w:spacing w:before="0" w:beforeAutospacing="0" w:after="0" w:afterAutospacing="0"/>
              <w:ind w:left="0" w:right="0"/>
              <w:jc w:val="center"/>
              <w:rPr>
                <w:rFonts w:hint="eastAsia" w:ascii="宋体" w:hAnsi="宋体" w:cs="宋体"/>
                <w:szCs w:val="21"/>
              </w:rPr>
            </w:pPr>
          </w:p>
        </w:tc>
        <w:tc>
          <w:tcPr>
            <w:tcW w:w="1124" w:type="dxa"/>
            <w:noWrap w:val="0"/>
            <w:vAlign w:val="center"/>
          </w:tcPr>
          <w:p w14:paraId="32E83879">
            <w:pPr>
              <w:keepNext w:val="0"/>
              <w:keepLines w:val="0"/>
              <w:suppressLineNumbers w:val="0"/>
              <w:spacing w:before="0" w:beforeAutospacing="0" w:after="0" w:afterAutospacing="0"/>
              <w:ind w:left="0" w:right="0"/>
              <w:jc w:val="center"/>
              <w:rPr>
                <w:rFonts w:hint="eastAsia" w:ascii="宋体" w:hAnsi="宋体" w:cs="宋体"/>
                <w:szCs w:val="21"/>
              </w:rPr>
            </w:pPr>
          </w:p>
        </w:tc>
        <w:tc>
          <w:tcPr>
            <w:tcW w:w="567" w:type="dxa"/>
            <w:noWrap w:val="0"/>
            <w:vAlign w:val="center"/>
          </w:tcPr>
          <w:p w14:paraId="0E111F27">
            <w:pPr>
              <w:keepNext w:val="0"/>
              <w:keepLines w:val="0"/>
              <w:suppressLineNumbers w:val="0"/>
              <w:spacing w:before="0" w:beforeAutospacing="0" w:after="0" w:afterAutospacing="0"/>
              <w:ind w:left="0" w:right="0"/>
              <w:jc w:val="center"/>
              <w:rPr>
                <w:rFonts w:hint="eastAsia" w:ascii="宋体" w:hAnsi="宋体" w:cs="宋体"/>
                <w:szCs w:val="21"/>
              </w:rPr>
            </w:pPr>
          </w:p>
        </w:tc>
        <w:tc>
          <w:tcPr>
            <w:tcW w:w="567" w:type="dxa"/>
            <w:noWrap w:val="0"/>
            <w:vAlign w:val="center"/>
          </w:tcPr>
          <w:p w14:paraId="3A4AE72F">
            <w:pPr>
              <w:keepNext w:val="0"/>
              <w:keepLines w:val="0"/>
              <w:suppressLineNumbers w:val="0"/>
              <w:spacing w:before="0" w:beforeAutospacing="0" w:after="0" w:afterAutospacing="0"/>
              <w:ind w:left="0" w:right="0"/>
              <w:jc w:val="center"/>
              <w:rPr>
                <w:rFonts w:hint="eastAsia" w:ascii="宋体" w:hAnsi="宋体" w:cs="宋体"/>
                <w:szCs w:val="21"/>
              </w:rPr>
            </w:pPr>
          </w:p>
        </w:tc>
        <w:tc>
          <w:tcPr>
            <w:tcW w:w="1134" w:type="dxa"/>
            <w:noWrap w:val="0"/>
            <w:vAlign w:val="center"/>
          </w:tcPr>
          <w:p w14:paraId="019FC348">
            <w:pPr>
              <w:keepNext w:val="0"/>
              <w:keepLines w:val="0"/>
              <w:suppressLineNumbers w:val="0"/>
              <w:spacing w:before="0" w:beforeAutospacing="0" w:after="0" w:afterAutospacing="0"/>
              <w:ind w:left="0" w:right="0"/>
              <w:jc w:val="center"/>
              <w:rPr>
                <w:rFonts w:hint="eastAsia" w:ascii="宋体" w:hAnsi="宋体" w:cs="宋体"/>
                <w:szCs w:val="21"/>
              </w:rPr>
            </w:pPr>
          </w:p>
        </w:tc>
        <w:tc>
          <w:tcPr>
            <w:tcW w:w="1050" w:type="dxa"/>
            <w:noWrap w:val="0"/>
            <w:vAlign w:val="center"/>
          </w:tcPr>
          <w:p w14:paraId="0C19EDD2">
            <w:pPr>
              <w:keepNext w:val="0"/>
              <w:keepLines w:val="0"/>
              <w:suppressLineNumbers w:val="0"/>
              <w:spacing w:before="0" w:beforeAutospacing="0" w:after="0" w:afterAutospacing="0"/>
              <w:ind w:left="0" w:right="0"/>
              <w:jc w:val="center"/>
              <w:rPr>
                <w:rFonts w:hint="eastAsia" w:ascii="宋体" w:hAnsi="宋体" w:cs="宋体"/>
                <w:szCs w:val="21"/>
              </w:rPr>
            </w:pPr>
          </w:p>
        </w:tc>
        <w:tc>
          <w:tcPr>
            <w:tcW w:w="934" w:type="dxa"/>
            <w:noWrap w:val="0"/>
            <w:vAlign w:val="center"/>
          </w:tcPr>
          <w:p w14:paraId="3C899E19">
            <w:pPr>
              <w:keepNext w:val="0"/>
              <w:keepLines w:val="0"/>
              <w:suppressLineNumbers w:val="0"/>
              <w:spacing w:before="0" w:beforeAutospacing="0" w:after="0" w:afterAutospacing="0"/>
              <w:ind w:left="0" w:right="0"/>
              <w:jc w:val="center"/>
              <w:rPr>
                <w:rFonts w:hint="eastAsia" w:ascii="宋体" w:hAnsi="宋体" w:cs="宋体"/>
                <w:szCs w:val="21"/>
              </w:rPr>
            </w:pPr>
          </w:p>
        </w:tc>
        <w:tc>
          <w:tcPr>
            <w:tcW w:w="1050" w:type="dxa"/>
            <w:noWrap w:val="0"/>
            <w:vAlign w:val="center"/>
          </w:tcPr>
          <w:p w14:paraId="213A805C">
            <w:pPr>
              <w:keepNext w:val="0"/>
              <w:keepLines w:val="0"/>
              <w:suppressLineNumbers w:val="0"/>
              <w:spacing w:before="0" w:beforeAutospacing="0" w:after="0" w:afterAutospacing="0"/>
              <w:ind w:left="0" w:right="0"/>
              <w:jc w:val="center"/>
              <w:rPr>
                <w:rFonts w:hint="eastAsia" w:ascii="宋体" w:hAnsi="宋体" w:cs="宋体"/>
                <w:szCs w:val="21"/>
              </w:rPr>
            </w:pPr>
          </w:p>
        </w:tc>
        <w:tc>
          <w:tcPr>
            <w:tcW w:w="651" w:type="dxa"/>
            <w:noWrap w:val="0"/>
            <w:vAlign w:val="center"/>
          </w:tcPr>
          <w:p w14:paraId="41547635">
            <w:pPr>
              <w:keepNext w:val="0"/>
              <w:keepLines w:val="0"/>
              <w:suppressLineNumbers w:val="0"/>
              <w:spacing w:before="0" w:beforeAutospacing="0" w:after="0" w:afterAutospacing="0"/>
              <w:ind w:left="0" w:right="0"/>
              <w:jc w:val="center"/>
              <w:rPr>
                <w:rFonts w:hint="eastAsia" w:ascii="宋体" w:hAnsi="宋体" w:cs="宋体"/>
                <w:szCs w:val="21"/>
              </w:rPr>
            </w:pPr>
          </w:p>
        </w:tc>
        <w:tc>
          <w:tcPr>
            <w:tcW w:w="709" w:type="dxa"/>
            <w:noWrap w:val="0"/>
            <w:vAlign w:val="center"/>
          </w:tcPr>
          <w:p w14:paraId="0539FBEB">
            <w:pPr>
              <w:keepNext w:val="0"/>
              <w:keepLines w:val="0"/>
              <w:suppressLineNumbers w:val="0"/>
              <w:spacing w:before="0" w:beforeAutospacing="0" w:after="0" w:afterAutospacing="0"/>
              <w:ind w:left="0" w:right="0"/>
              <w:jc w:val="center"/>
              <w:rPr>
                <w:rFonts w:hint="eastAsia" w:ascii="宋体" w:hAnsi="宋体" w:cs="宋体"/>
                <w:szCs w:val="21"/>
              </w:rPr>
            </w:pPr>
          </w:p>
        </w:tc>
        <w:tc>
          <w:tcPr>
            <w:tcW w:w="992" w:type="dxa"/>
            <w:noWrap w:val="0"/>
            <w:vAlign w:val="center"/>
          </w:tcPr>
          <w:p w14:paraId="7DA46C18">
            <w:pPr>
              <w:keepNext w:val="0"/>
              <w:keepLines w:val="0"/>
              <w:suppressLineNumbers w:val="0"/>
              <w:spacing w:before="0" w:beforeAutospacing="0" w:after="0" w:afterAutospacing="0"/>
              <w:ind w:left="0" w:right="0"/>
              <w:jc w:val="center"/>
              <w:rPr>
                <w:rFonts w:hint="eastAsia" w:ascii="宋体" w:hAnsi="宋体" w:cs="宋体"/>
                <w:szCs w:val="21"/>
              </w:rPr>
            </w:pPr>
          </w:p>
        </w:tc>
        <w:tc>
          <w:tcPr>
            <w:tcW w:w="993" w:type="dxa"/>
            <w:noWrap w:val="0"/>
            <w:vAlign w:val="center"/>
          </w:tcPr>
          <w:p w14:paraId="110A80A0">
            <w:pPr>
              <w:keepNext w:val="0"/>
              <w:keepLines w:val="0"/>
              <w:suppressLineNumbers w:val="0"/>
              <w:spacing w:before="0" w:beforeAutospacing="0" w:after="0" w:afterAutospacing="0"/>
              <w:ind w:left="0" w:right="0"/>
              <w:jc w:val="center"/>
              <w:rPr>
                <w:rFonts w:hint="eastAsia" w:ascii="宋体" w:hAnsi="宋体" w:cs="宋体"/>
                <w:szCs w:val="21"/>
              </w:rPr>
            </w:pPr>
          </w:p>
        </w:tc>
        <w:tc>
          <w:tcPr>
            <w:tcW w:w="851" w:type="dxa"/>
            <w:noWrap w:val="0"/>
            <w:vAlign w:val="center"/>
          </w:tcPr>
          <w:p w14:paraId="771CCC29">
            <w:pPr>
              <w:keepNext w:val="0"/>
              <w:keepLines w:val="0"/>
              <w:suppressLineNumbers w:val="0"/>
              <w:spacing w:before="0" w:beforeAutospacing="0" w:after="0" w:afterAutospacing="0"/>
              <w:ind w:left="0" w:right="0"/>
              <w:jc w:val="center"/>
              <w:rPr>
                <w:rFonts w:hint="eastAsia" w:ascii="宋体" w:hAnsi="宋体" w:cs="宋体"/>
                <w:szCs w:val="21"/>
              </w:rPr>
            </w:pPr>
          </w:p>
        </w:tc>
        <w:tc>
          <w:tcPr>
            <w:tcW w:w="850" w:type="dxa"/>
            <w:noWrap w:val="0"/>
            <w:vAlign w:val="center"/>
          </w:tcPr>
          <w:p w14:paraId="3D63593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09B75AC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r w14:paraId="2808E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3006040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56" w:type="dxa"/>
            <w:noWrap w:val="0"/>
            <w:vAlign w:val="center"/>
          </w:tcPr>
          <w:p w14:paraId="6A67E68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24" w:type="dxa"/>
            <w:noWrap w:val="0"/>
            <w:vAlign w:val="center"/>
          </w:tcPr>
          <w:p w14:paraId="19B2A1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05B3AC2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2A38B7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34" w:type="dxa"/>
            <w:noWrap w:val="0"/>
            <w:vAlign w:val="center"/>
          </w:tcPr>
          <w:p w14:paraId="3B814F2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0EFF68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34" w:type="dxa"/>
            <w:noWrap w:val="0"/>
            <w:vAlign w:val="center"/>
          </w:tcPr>
          <w:p w14:paraId="022FCB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49C41D5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651" w:type="dxa"/>
            <w:noWrap w:val="0"/>
            <w:vAlign w:val="center"/>
          </w:tcPr>
          <w:p w14:paraId="7AEAA6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709" w:type="dxa"/>
            <w:noWrap w:val="0"/>
            <w:vAlign w:val="center"/>
          </w:tcPr>
          <w:p w14:paraId="3946FEB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2" w:type="dxa"/>
            <w:noWrap w:val="0"/>
            <w:vAlign w:val="center"/>
          </w:tcPr>
          <w:p w14:paraId="1FD302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3" w:type="dxa"/>
            <w:noWrap w:val="0"/>
            <w:vAlign w:val="center"/>
          </w:tcPr>
          <w:p w14:paraId="3D575D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1" w:type="dxa"/>
            <w:noWrap w:val="0"/>
            <w:vAlign w:val="center"/>
          </w:tcPr>
          <w:p w14:paraId="7FA89A6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6B71CC0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343CECF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r w14:paraId="2C28F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141AB08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56" w:type="dxa"/>
            <w:noWrap w:val="0"/>
            <w:vAlign w:val="center"/>
          </w:tcPr>
          <w:p w14:paraId="59F09AB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24" w:type="dxa"/>
            <w:noWrap w:val="0"/>
            <w:vAlign w:val="center"/>
          </w:tcPr>
          <w:p w14:paraId="09E7EF3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3DA339F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26CFB4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34" w:type="dxa"/>
            <w:noWrap w:val="0"/>
            <w:vAlign w:val="center"/>
          </w:tcPr>
          <w:p w14:paraId="1BAEF3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58E20F5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34" w:type="dxa"/>
            <w:noWrap w:val="0"/>
            <w:vAlign w:val="center"/>
          </w:tcPr>
          <w:p w14:paraId="0F0D89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6F254A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651" w:type="dxa"/>
            <w:noWrap w:val="0"/>
            <w:vAlign w:val="center"/>
          </w:tcPr>
          <w:p w14:paraId="67AFC3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709" w:type="dxa"/>
            <w:noWrap w:val="0"/>
            <w:vAlign w:val="center"/>
          </w:tcPr>
          <w:p w14:paraId="78D756F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2" w:type="dxa"/>
            <w:noWrap w:val="0"/>
            <w:vAlign w:val="center"/>
          </w:tcPr>
          <w:p w14:paraId="6D1FFB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3" w:type="dxa"/>
            <w:noWrap w:val="0"/>
            <w:vAlign w:val="center"/>
          </w:tcPr>
          <w:p w14:paraId="2BA091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1" w:type="dxa"/>
            <w:noWrap w:val="0"/>
            <w:vAlign w:val="center"/>
          </w:tcPr>
          <w:p w14:paraId="1A3400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26BED47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2E39D3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r w14:paraId="0DCA6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0FD6D84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56" w:type="dxa"/>
            <w:noWrap w:val="0"/>
            <w:vAlign w:val="center"/>
          </w:tcPr>
          <w:p w14:paraId="1602218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24" w:type="dxa"/>
            <w:noWrap w:val="0"/>
            <w:vAlign w:val="center"/>
          </w:tcPr>
          <w:p w14:paraId="4416BE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7F2B9F5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43F5B5D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34" w:type="dxa"/>
            <w:noWrap w:val="0"/>
            <w:vAlign w:val="center"/>
          </w:tcPr>
          <w:p w14:paraId="1FEA800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21A2D7F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34" w:type="dxa"/>
            <w:noWrap w:val="0"/>
            <w:vAlign w:val="center"/>
          </w:tcPr>
          <w:p w14:paraId="57C03AC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42C80A5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651" w:type="dxa"/>
            <w:noWrap w:val="0"/>
            <w:vAlign w:val="center"/>
          </w:tcPr>
          <w:p w14:paraId="402BA32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709" w:type="dxa"/>
            <w:noWrap w:val="0"/>
            <w:vAlign w:val="center"/>
          </w:tcPr>
          <w:p w14:paraId="3AE5CE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2" w:type="dxa"/>
            <w:noWrap w:val="0"/>
            <w:vAlign w:val="center"/>
          </w:tcPr>
          <w:p w14:paraId="118F5E8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3" w:type="dxa"/>
            <w:noWrap w:val="0"/>
            <w:vAlign w:val="center"/>
          </w:tcPr>
          <w:p w14:paraId="49F7FBE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1" w:type="dxa"/>
            <w:noWrap w:val="0"/>
            <w:vAlign w:val="center"/>
          </w:tcPr>
          <w:p w14:paraId="2AADC8F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4980BEF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1FBC53E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r w14:paraId="2C62F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3B16B98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56" w:type="dxa"/>
            <w:noWrap w:val="0"/>
            <w:vAlign w:val="center"/>
          </w:tcPr>
          <w:p w14:paraId="549B1E0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24" w:type="dxa"/>
            <w:noWrap w:val="0"/>
            <w:vAlign w:val="center"/>
          </w:tcPr>
          <w:p w14:paraId="421087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537F3B0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567" w:type="dxa"/>
            <w:noWrap w:val="0"/>
            <w:vAlign w:val="center"/>
          </w:tcPr>
          <w:p w14:paraId="6B2AC3C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134" w:type="dxa"/>
            <w:noWrap w:val="0"/>
            <w:vAlign w:val="center"/>
          </w:tcPr>
          <w:p w14:paraId="1152E74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666BB86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34" w:type="dxa"/>
            <w:noWrap w:val="0"/>
            <w:vAlign w:val="center"/>
          </w:tcPr>
          <w:p w14:paraId="38D4CBB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1050" w:type="dxa"/>
            <w:noWrap w:val="0"/>
            <w:vAlign w:val="center"/>
          </w:tcPr>
          <w:p w14:paraId="6E088F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651" w:type="dxa"/>
            <w:noWrap w:val="0"/>
            <w:vAlign w:val="center"/>
          </w:tcPr>
          <w:p w14:paraId="42F6E4F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709" w:type="dxa"/>
            <w:noWrap w:val="0"/>
            <w:vAlign w:val="center"/>
          </w:tcPr>
          <w:p w14:paraId="3D1222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2" w:type="dxa"/>
            <w:noWrap w:val="0"/>
            <w:vAlign w:val="center"/>
          </w:tcPr>
          <w:p w14:paraId="775407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993" w:type="dxa"/>
            <w:noWrap w:val="0"/>
            <w:vAlign w:val="center"/>
          </w:tcPr>
          <w:p w14:paraId="0B88D44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1" w:type="dxa"/>
            <w:noWrap w:val="0"/>
            <w:vAlign w:val="center"/>
          </w:tcPr>
          <w:p w14:paraId="6E084C7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0DE240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850" w:type="dxa"/>
            <w:noWrap w:val="0"/>
            <w:vAlign w:val="center"/>
          </w:tcPr>
          <w:p w14:paraId="6C0492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r>
      <w:tr w14:paraId="0C6B8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680" w:type="dxa"/>
            <w:gridSpan w:val="11"/>
            <w:noWrap w:val="0"/>
            <w:vAlign w:val="center"/>
          </w:tcPr>
          <w:p w14:paraId="172AFC3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合计</w:t>
            </w:r>
          </w:p>
        </w:tc>
        <w:tc>
          <w:tcPr>
            <w:tcW w:w="992" w:type="dxa"/>
            <w:noWrap w:val="0"/>
            <w:vAlign w:val="center"/>
          </w:tcPr>
          <w:p w14:paraId="5A643D7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p>
        </w:tc>
        <w:tc>
          <w:tcPr>
            <w:tcW w:w="3544" w:type="dxa"/>
            <w:gridSpan w:val="4"/>
            <w:noWrap w:val="0"/>
            <w:vAlign w:val="center"/>
          </w:tcPr>
          <w:p w14:paraId="6592AA2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w:t>
            </w:r>
          </w:p>
        </w:tc>
      </w:tr>
    </w:tbl>
    <w:p w14:paraId="670698DD">
      <w:pPr>
        <w:widowControl/>
        <w:spacing w:line="200" w:lineRule="atLeast"/>
        <w:rPr>
          <w:rFonts w:hint="eastAsia" w:ascii="宋体" w:hAnsi="宋体" w:cs="宋体"/>
          <w:kern w:val="0"/>
          <w:szCs w:val="21"/>
        </w:rPr>
      </w:pPr>
      <w:r>
        <w:rPr>
          <w:rFonts w:hint="eastAsia" w:ascii="宋体" w:hAnsi="宋体" w:cs="宋体"/>
          <w:kern w:val="0"/>
          <w:szCs w:val="21"/>
        </w:rPr>
        <w:t>注：1.“单价”系指货物</w:t>
      </w:r>
      <w:r>
        <w:rPr>
          <w:rFonts w:hint="eastAsia" w:ascii="宋体" w:hAnsi="宋体" w:cs="宋体"/>
          <w:szCs w:val="21"/>
        </w:rPr>
        <w:t>（服务）</w:t>
      </w:r>
      <w:r>
        <w:rPr>
          <w:rFonts w:hint="eastAsia" w:ascii="宋体" w:hAnsi="宋体" w:cs="宋体"/>
          <w:kern w:val="0"/>
          <w:szCs w:val="21"/>
        </w:rPr>
        <w:t>生产、包装、运输、保险、装卸（至指定地点）、安装（招标文件要求报价）、调试、检验、验收、试运行、技术服务、培训等所有应由投标人承担的各项费用及税金。</w:t>
      </w:r>
    </w:p>
    <w:p w14:paraId="0211F81C">
      <w:pPr>
        <w:widowControl/>
        <w:spacing w:line="200" w:lineRule="atLeast"/>
        <w:rPr>
          <w:rFonts w:hint="eastAsia" w:ascii="宋体" w:hAnsi="宋体" w:cs="宋体"/>
          <w:kern w:val="0"/>
          <w:szCs w:val="21"/>
        </w:rPr>
      </w:pPr>
      <w:r>
        <w:rPr>
          <w:rFonts w:hint="eastAsia" w:ascii="宋体" w:hAnsi="宋体" w:cs="宋体"/>
          <w:kern w:val="0"/>
          <w:szCs w:val="21"/>
        </w:rPr>
        <w:t>2. 投标总价=分项报价表合计+质保期内备件及易损件分项报价表合计+专用工具分项报价表合计。</w:t>
      </w:r>
    </w:p>
    <w:p w14:paraId="6C62CE4D">
      <w:pPr>
        <w:widowControl/>
        <w:spacing w:line="200" w:lineRule="atLeast"/>
        <w:rPr>
          <w:rFonts w:hint="eastAsia" w:ascii="宋体" w:hAnsi="宋体" w:cs="宋体"/>
          <w:kern w:val="0"/>
          <w:sz w:val="20"/>
          <w:szCs w:val="20"/>
        </w:rPr>
      </w:pPr>
      <w:r>
        <w:rPr>
          <w:rFonts w:hint="eastAsia" w:ascii="宋体" w:hAnsi="宋体" w:cs="宋体"/>
          <w:kern w:val="0"/>
          <w:sz w:val="20"/>
          <w:szCs w:val="20"/>
        </w:rPr>
        <w:t xml:space="preserve"> </w:t>
      </w:r>
    </w:p>
    <w:p w14:paraId="06D0A9FE">
      <w:pPr>
        <w:widowControl/>
        <w:spacing w:line="200" w:lineRule="atLeast"/>
        <w:rPr>
          <w:rFonts w:hint="eastAsia" w:ascii="宋体" w:hAnsi="宋体" w:cs="宋体"/>
          <w:kern w:val="0"/>
          <w:sz w:val="20"/>
          <w:szCs w:val="20"/>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r>
        <w:rPr>
          <w:rFonts w:hint="eastAsia" w:ascii="宋体" w:hAnsi="宋体" w:cs="宋体"/>
          <w:kern w:val="0"/>
          <w:sz w:val="20"/>
          <w:szCs w:val="20"/>
        </w:rPr>
        <w:t xml:space="preserve"> </w:t>
      </w:r>
    </w:p>
    <w:p w14:paraId="1D24EC7E">
      <w:pPr>
        <w:widowControl/>
        <w:ind w:left="1503" w:right="1683"/>
        <w:jc w:val="center"/>
        <w:rPr>
          <w:rFonts w:ascii="宋体" w:hAnsi="宋体" w:cs="宋体"/>
          <w:sz w:val="28"/>
          <w:szCs w:val="28"/>
        </w:rPr>
      </w:pPr>
      <w:r>
        <w:rPr>
          <w:rFonts w:hint="eastAsia" w:ascii="宋体" w:hAnsi="宋体" w:cs="宋体"/>
          <w:spacing w:val="12"/>
          <w:sz w:val="28"/>
          <w:szCs w:val="28"/>
        </w:rPr>
        <w:t>表3-2  所投产品备件及易损件</w:t>
      </w:r>
      <w:r>
        <w:rPr>
          <w:rFonts w:hint="eastAsia" w:ascii="宋体" w:hAnsi="宋体" w:cs="宋体"/>
          <w:sz w:val="28"/>
          <w:szCs w:val="28"/>
        </w:rPr>
        <w:t>报价表</w:t>
      </w:r>
    </w:p>
    <w:p w14:paraId="02C5D792">
      <w:pPr>
        <w:widowControl/>
        <w:spacing w:line="333" w:lineRule="atLeast"/>
        <w:jc w:val="right"/>
        <w:rPr>
          <w:rFonts w:ascii="宋体" w:hAnsi="宋体" w:cs="宋体"/>
          <w:szCs w:val="21"/>
        </w:rPr>
      </w:pPr>
      <w:r>
        <w:rPr>
          <w:rFonts w:hint="eastAsia" w:ascii="宋体" w:hAnsi="宋体" w:cs="宋体"/>
          <w:position w:val="-4"/>
          <w:szCs w:val="21"/>
        </w:rPr>
        <w:t>招标</w:t>
      </w:r>
      <w:r>
        <w:rPr>
          <w:rFonts w:hint="eastAsia" w:ascii="宋体" w:hAnsi="宋体" w:cs="宋体"/>
          <w:spacing w:val="-1"/>
          <w:position w:val="-4"/>
          <w:szCs w:val="21"/>
        </w:rPr>
        <w:t>编</w:t>
      </w:r>
      <w:r>
        <w:rPr>
          <w:rFonts w:hint="eastAsia" w:ascii="宋体" w:hAnsi="宋体" w:cs="宋体"/>
          <w:position w:val="-4"/>
          <w:szCs w:val="21"/>
        </w:rPr>
        <w:t>号</w:t>
      </w:r>
      <w:r>
        <w:rPr>
          <w:rFonts w:hint="eastAsia" w:ascii="宋体" w:hAnsi="宋体" w:cs="宋体"/>
          <w:spacing w:val="-24"/>
          <w:position w:val="-4"/>
          <w:szCs w:val="21"/>
        </w:rPr>
        <w:t>：</w:t>
      </w:r>
      <w:r>
        <w:rPr>
          <w:rFonts w:hint="eastAsia" w:ascii="宋体" w:hAnsi="宋体" w:cs="宋体"/>
          <w:spacing w:val="42"/>
          <w:position w:val="-4"/>
          <w:szCs w:val="21"/>
          <w:u w:val="single"/>
        </w:rPr>
        <w:t xml:space="preserve">      </w:t>
      </w:r>
      <w:r>
        <w:rPr>
          <w:rFonts w:hint="eastAsia" w:ascii="宋体" w:hAnsi="宋体" w:cs="宋体"/>
          <w:position w:val="-4"/>
          <w:szCs w:val="21"/>
          <w:u w:val="single"/>
        </w:rPr>
        <w:t xml:space="preserve">   </w:t>
      </w:r>
      <w:r>
        <w:rPr>
          <w:rFonts w:hint="eastAsia" w:ascii="宋体" w:hAnsi="宋体" w:cs="宋体"/>
          <w:position w:val="-4"/>
          <w:szCs w:val="21"/>
        </w:rPr>
        <w:t>标包号</w:t>
      </w:r>
      <w:r>
        <w:rPr>
          <w:rFonts w:hint="eastAsia" w:ascii="宋体" w:hAnsi="宋体" w:cs="宋体"/>
          <w:spacing w:val="-25"/>
          <w:position w:val="-4"/>
          <w:szCs w:val="21"/>
        </w:rPr>
        <w:t>：</w:t>
      </w:r>
      <w:r>
        <w:rPr>
          <w:rFonts w:hint="eastAsia" w:ascii="宋体" w:hAnsi="宋体" w:cs="宋体"/>
          <w:spacing w:val="42"/>
          <w:position w:val="-4"/>
          <w:szCs w:val="21"/>
          <w:u w:val="single"/>
        </w:rPr>
        <w:t xml:space="preserve"> </w:t>
      </w:r>
      <w:r>
        <w:rPr>
          <w:rFonts w:hint="eastAsia" w:ascii="宋体" w:hAnsi="宋体" w:cs="宋体"/>
          <w:position w:val="-4"/>
          <w:szCs w:val="21"/>
          <w:u w:val="single"/>
        </w:rPr>
        <w:t xml:space="preserve">    </w:t>
      </w:r>
      <w:r>
        <w:rPr>
          <w:rFonts w:hint="eastAsia" w:ascii="宋体" w:hAnsi="宋体" w:cs="宋体"/>
          <w:spacing w:val="-1"/>
          <w:position w:val="-4"/>
          <w:szCs w:val="21"/>
        </w:rPr>
        <w:t>货</w:t>
      </w:r>
      <w:r>
        <w:rPr>
          <w:rFonts w:hint="eastAsia" w:ascii="宋体" w:hAnsi="宋体" w:cs="宋体"/>
          <w:position w:val="-4"/>
          <w:szCs w:val="21"/>
        </w:rPr>
        <w:t>币单位</w:t>
      </w:r>
      <w:r>
        <w:rPr>
          <w:rFonts w:hint="eastAsia" w:ascii="宋体" w:hAnsi="宋体" w:cs="宋体"/>
          <w:spacing w:val="-24"/>
          <w:position w:val="-4"/>
          <w:szCs w:val="21"/>
        </w:rPr>
        <w:t>：</w:t>
      </w:r>
      <w:r>
        <w:rPr>
          <w:rFonts w:hint="eastAsia" w:ascii="宋体" w:hAnsi="宋体" w:cs="宋体"/>
          <w:position w:val="-4"/>
          <w:szCs w:val="21"/>
        </w:rPr>
        <w:t>人民币</w:t>
      </w:r>
    </w:p>
    <w:tbl>
      <w:tblPr>
        <w:tblStyle w:val="47"/>
        <w:tblW w:w="13308" w:type="dxa"/>
        <w:tblInd w:w="209" w:type="dxa"/>
        <w:tblLayout w:type="fixed"/>
        <w:tblCellMar>
          <w:top w:w="0" w:type="dxa"/>
          <w:left w:w="108" w:type="dxa"/>
          <w:bottom w:w="0" w:type="dxa"/>
          <w:right w:w="108" w:type="dxa"/>
        </w:tblCellMar>
      </w:tblPr>
      <w:tblGrid>
        <w:gridCol w:w="738"/>
        <w:gridCol w:w="1156"/>
        <w:gridCol w:w="1124"/>
        <w:gridCol w:w="944"/>
        <w:gridCol w:w="736"/>
        <w:gridCol w:w="1574"/>
        <w:gridCol w:w="1508"/>
        <w:gridCol w:w="992"/>
        <w:gridCol w:w="1134"/>
        <w:gridCol w:w="1701"/>
        <w:gridCol w:w="1701"/>
      </w:tblGrid>
      <w:tr w14:paraId="5B8C3390">
        <w:tblPrEx>
          <w:tblCellMar>
            <w:top w:w="0" w:type="dxa"/>
            <w:left w:w="108" w:type="dxa"/>
            <w:bottom w:w="0" w:type="dxa"/>
            <w:right w:w="108" w:type="dxa"/>
          </w:tblCellMar>
        </w:tblPrEx>
        <w:trPr>
          <w:trHeight w:val="5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B56F5C1">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156" w:type="dxa"/>
            <w:tcBorders>
              <w:top w:val="single" w:color="000000" w:sz="4" w:space="0"/>
              <w:left w:val="nil"/>
              <w:bottom w:val="single" w:color="000000" w:sz="4" w:space="0"/>
              <w:right w:val="single" w:color="000000" w:sz="4" w:space="0"/>
            </w:tcBorders>
            <w:noWrap w:val="0"/>
            <w:vAlign w:val="center"/>
          </w:tcPr>
          <w:p w14:paraId="597F08F6">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货物（服务）名称</w:t>
            </w:r>
          </w:p>
        </w:tc>
        <w:tc>
          <w:tcPr>
            <w:tcW w:w="1124" w:type="dxa"/>
            <w:tcBorders>
              <w:top w:val="single" w:color="000000" w:sz="4" w:space="0"/>
              <w:left w:val="nil"/>
              <w:bottom w:val="single" w:color="000000" w:sz="4" w:space="0"/>
              <w:right w:val="single" w:color="000000" w:sz="4" w:space="0"/>
            </w:tcBorders>
            <w:noWrap w:val="0"/>
            <w:vAlign w:val="center"/>
          </w:tcPr>
          <w:p w14:paraId="7ED6D215">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规格型号</w:t>
            </w:r>
          </w:p>
        </w:tc>
        <w:tc>
          <w:tcPr>
            <w:tcW w:w="944" w:type="dxa"/>
            <w:tcBorders>
              <w:top w:val="single" w:color="000000" w:sz="4" w:space="0"/>
              <w:left w:val="nil"/>
              <w:bottom w:val="single" w:color="000000" w:sz="4" w:space="0"/>
              <w:right w:val="single" w:color="000000" w:sz="4" w:space="0"/>
            </w:tcBorders>
            <w:noWrap w:val="0"/>
            <w:vAlign w:val="center"/>
          </w:tcPr>
          <w:p w14:paraId="4876793F">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数量</w:t>
            </w:r>
          </w:p>
        </w:tc>
        <w:tc>
          <w:tcPr>
            <w:tcW w:w="736" w:type="dxa"/>
            <w:tcBorders>
              <w:top w:val="single" w:color="000000" w:sz="4" w:space="0"/>
              <w:left w:val="nil"/>
              <w:bottom w:val="single" w:color="000000" w:sz="4" w:space="0"/>
              <w:right w:val="single" w:color="000000" w:sz="4" w:space="0"/>
            </w:tcBorders>
            <w:noWrap w:val="0"/>
            <w:vAlign w:val="center"/>
          </w:tcPr>
          <w:p w14:paraId="43A3404A">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单位</w:t>
            </w:r>
          </w:p>
        </w:tc>
        <w:tc>
          <w:tcPr>
            <w:tcW w:w="1574" w:type="dxa"/>
            <w:tcBorders>
              <w:top w:val="single" w:color="000000" w:sz="4" w:space="0"/>
              <w:left w:val="nil"/>
              <w:bottom w:val="single" w:color="000000" w:sz="4" w:space="0"/>
              <w:right w:val="single" w:color="000000" w:sz="4" w:space="0"/>
            </w:tcBorders>
            <w:noWrap w:val="0"/>
            <w:vAlign w:val="center"/>
          </w:tcPr>
          <w:p w14:paraId="49141677">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单价</w:t>
            </w:r>
          </w:p>
        </w:tc>
        <w:tc>
          <w:tcPr>
            <w:tcW w:w="1508" w:type="dxa"/>
            <w:tcBorders>
              <w:top w:val="single" w:color="000000" w:sz="4" w:space="0"/>
              <w:left w:val="nil"/>
              <w:bottom w:val="single" w:color="000000" w:sz="4" w:space="0"/>
              <w:right w:val="single" w:color="000000" w:sz="4" w:space="0"/>
            </w:tcBorders>
            <w:noWrap w:val="0"/>
            <w:vAlign w:val="center"/>
          </w:tcPr>
          <w:p w14:paraId="75B4AE0D">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制造商</w:t>
            </w:r>
          </w:p>
        </w:tc>
        <w:tc>
          <w:tcPr>
            <w:tcW w:w="992" w:type="dxa"/>
            <w:tcBorders>
              <w:top w:val="single" w:color="000000" w:sz="4" w:space="0"/>
              <w:left w:val="nil"/>
              <w:bottom w:val="single" w:color="000000" w:sz="4" w:space="0"/>
              <w:right w:val="single" w:color="000000" w:sz="4" w:space="0"/>
            </w:tcBorders>
            <w:noWrap w:val="0"/>
            <w:vAlign w:val="center"/>
          </w:tcPr>
          <w:p w14:paraId="56B694AC">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品牌</w:t>
            </w:r>
          </w:p>
        </w:tc>
        <w:tc>
          <w:tcPr>
            <w:tcW w:w="1134" w:type="dxa"/>
            <w:tcBorders>
              <w:top w:val="single" w:color="000000" w:sz="4" w:space="0"/>
              <w:left w:val="nil"/>
              <w:bottom w:val="single" w:color="000000" w:sz="4" w:space="0"/>
              <w:right w:val="single" w:color="000000" w:sz="4" w:space="0"/>
            </w:tcBorders>
            <w:noWrap w:val="0"/>
            <w:vAlign w:val="center"/>
          </w:tcPr>
          <w:p w14:paraId="48C735CD">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产地</w:t>
            </w:r>
          </w:p>
        </w:tc>
        <w:tc>
          <w:tcPr>
            <w:tcW w:w="1701" w:type="dxa"/>
            <w:tcBorders>
              <w:top w:val="single" w:color="000000" w:sz="4" w:space="0"/>
              <w:left w:val="nil"/>
              <w:bottom w:val="single" w:color="000000" w:sz="4" w:space="0"/>
              <w:right w:val="single" w:color="000000" w:sz="4" w:space="0"/>
            </w:tcBorders>
            <w:noWrap w:val="0"/>
            <w:vAlign w:val="center"/>
          </w:tcPr>
          <w:p w14:paraId="432D4CD9">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发货地点</w:t>
            </w:r>
          </w:p>
        </w:tc>
        <w:tc>
          <w:tcPr>
            <w:tcW w:w="1701" w:type="dxa"/>
            <w:tcBorders>
              <w:top w:val="single" w:color="000000" w:sz="4" w:space="0"/>
              <w:left w:val="nil"/>
              <w:bottom w:val="single" w:color="000000" w:sz="4" w:space="0"/>
              <w:right w:val="single" w:color="000000" w:sz="4" w:space="0"/>
            </w:tcBorders>
            <w:noWrap w:val="0"/>
            <w:vAlign w:val="center"/>
          </w:tcPr>
          <w:p w14:paraId="26A29FDC">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w:t>
            </w:r>
          </w:p>
        </w:tc>
      </w:tr>
      <w:tr w14:paraId="7D6A9FEE">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1123D7E7">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56" w:type="dxa"/>
            <w:tcBorders>
              <w:top w:val="single" w:color="000000" w:sz="4" w:space="0"/>
              <w:left w:val="nil"/>
              <w:bottom w:val="single" w:color="000000" w:sz="4" w:space="0"/>
              <w:right w:val="single" w:color="000000" w:sz="4" w:space="0"/>
            </w:tcBorders>
            <w:noWrap w:val="0"/>
            <w:vAlign w:val="center"/>
          </w:tcPr>
          <w:p w14:paraId="739B7B8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24" w:type="dxa"/>
            <w:tcBorders>
              <w:top w:val="single" w:color="000000" w:sz="4" w:space="0"/>
              <w:left w:val="nil"/>
              <w:bottom w:val="single" w:color="000000" w:sz="4" w:space="0"/>
              <w:right w:val="single" w:color="000000" w:sz="4" w:space="0"/>
            </w:tcBorders>
            <w:noWrap w:val="0"/>
            <w:vAlign w:val="center"/>
          </w:tcPr>
          <w:p w14:paraId="5E7B0054">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44" w:type="dxa"/>
            <w:tcBorders>
              <w:top w:val="single" w:color="000000" w:sz="4" w:space="0"/>
              <w:left w:val="nil"/>
              <w:bottom w:val="single" w:color="000000" w:sz="4" w:space="0"/>
              <w:right w:val="single" w:color="000000" w:sz="4" w:space="0"/>
            </w:tcBorders>
            <w:noWrap w:val="0"/>
            <w:vAlign w:val="center"/>
          </w:tcPr>
          <w:p w14:paraId="2C478627">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36" w:type="dxa"/>
            <w:tcBorders>
              <w:top w:val="single" w:color="000000" w:sz="4" w:space="0"/>
              <w:left w:val="nil"/>
              <w:bottom w:val="single" w:color="000000" w:sz="4" w:space="0"/>
              <w:right w:val="single" w:color="000000" w:sz="4" w:space="0"/>
            </w:tcBorders>
            <w:noWrap w:val="0"/>
            <w:vAlign w:val="center"/>
          </w:tcPr>
          <w:p w14:paraId="7780CDC8">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4" w:type="dxa"/>
            <w:tcBorders>
              <w:top w:val="single" w:color="000000" w:sz="4" w:space="0"/>
              <w:left w:val="nil"/>
              <w:bottom w:val="single" w:color="000000" w:sz="4" w:space="0"/>
              <w:right w:val="single" w:color="000000" w:sz="4" w:space="0"/>
            </w:tcBorders>
            <w:noWrap w:val="0"/>
            <w:vAlign w:val="center"/>
          </w:tcPr>
          <w:p w14:paraId="60EE3E3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08" w:type="dxa"/>
            <w:tcBorders>
              <w:top w:val="single" w:color="000000" w:sz="4" w:space="0"/>
              <w:left w:val="nil"/>
              <w:bottom w:val="single" w:color="000000" w:sz="4" w:space="0"/>
              <w:right w:val="single" w:color="000000" w:sz="4" w:space="0"/>
            </w:tcBorders>
            <w:noWrap w:val="0"/>
            <w:vAlign w:val="center"/>
          </w:tcPr>
          <w:p w14:paraId="613B60E0">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92" w:type="dxa"/>
            <w:tcBorders>
              <w:top w:val="single" w:color="000000" w:sz="4" w:space="0"/>
              <w:left w:val="nil"/>
              <w:bottom w:val="single" w:color="000000" w:sz="4" w:space="0"/>
              <w:right w:val="single" w:color="000000" w:sz="4" w:space="0"/>
            </w:tcBorders>
            <w:noWrap w:val="0"/>
            <w:vAlign w:val="center"/>
          </w:tcPr>
          <w:p w14:paraId="7394E1DF">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34" w:type="dxa"/>
            <w:tcBorders>
              <w:top w:val="single" w:color="000000" w:sz="4" w:space="0"/>
              <w:left w:val="nil"/>
              <w:bottom w:val="single" w:color="000000" w:sz="4" w:space="0"/>
              <w:right w:val="single" w:color="000000" w:sz="4" w:space="0"/>
            </w:tcBorders>
            <w:noWrap w:val="0"/>
            <w:vAlign w:val="center"/>
          </w:tcPr>
          <w:p w14:paraId="317B6FB8">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04FABB5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7999DBE7">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3C3A61E4">
        <w:tblPrEx>
          <w:tblCellMar>
            <w:top w:w="0" w:type="dxa"/>
            <w:left w:w="108" w:type="dxa"/>
            <w:bottom w:w="0" w:type="dxa"/>
            <w:right w:w="108" w:type="dxa"/>
          </w:tblCellMar>
        </w:tblPrEx>
        <w:trPr>
          <w:trHeight w:val="50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2F62BF23">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56" w:type="dxa"/>
            <w:tcBorders>
              <w:top w:val="single" w:color="000000" w:sz="4" w:space="0"/>
              <w:left w:val="nil"/>
              <w:bottom w:val="single" w:color="000000" w:sz="4" w:space="0"/>
              <w:right w:val="single" w:color="000000" w:sz="4" w:space="0"/>
            </w:tcBorders>
            <w:noWrap w:val="0"/>
            <w:vAlign w:val="center"/>
          </w:tcPr>
          <w:p w14:paraId="6C983850">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24" w:type="dxa"/>
            <w:tcBorders>
              <w:top w:val="single" w:color="000000" w:sz="4" w:space="0"/>
              <w:left w:val="nil"/>
              <w:bottom w:val="single" w:color="000000" w:sz="4" w:space="0"/>
              <w:right w:val="single" w:color="000000" w:sz="4" w:space="0"/>
            </w:tcBorders>
            <w:noWrap w:val="0"/>
            <w:vAlign w:val="center"/>
          </w:tcPr>
          <w:p w14:paraId="19AC7A2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44" w:type="dxa"/>
            <w:tcBorders>
              <w:top w:val="single" w:color="000000" w:sz="4" w:space="0"/>
              <w:left w:val="nil"/>
              <w:bottom w:val="single" w:color="000000" w:sz="4" w:space="0"/>
              <w:right w:val="single" w:color="000000" w:sz="4" w:space="0"/>
            </w:tcBorders>
            <w:noWrap w:val="0"/>
            <w:vAlign w:val="center"/>
          </w:tcPr>
          <w:p w14:paraId="6A0A5C79">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36" w:type="dxa"/>
            <w:tcBorders>
              <w:top w:val="single" w:color="000000" w:sz="4" w:space="0"/>
              <w:left w:val="nil"/>
              <w:bottom w:val="single" w:color="000000" w:sz="4" w:space="0"/>
              <w:right w:val="single" w:color="000000" w:sz="4" w:space="0"/>
            </w:tcBorders>
            <w:noWrap w:val="0"/>
            <w:vAlign w:val="center"/>
          </w:tcPr>
          <w:p w14:paraId="2657DE73">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4" w:type="dxa"/>
            <w:tcBorders>
              <w:top w:val="single" w:color="000000" w:sz="4" w:space="0"/>
              <w:left w:val="nil"/>
              <w:bottom w:val="single" w:color="000000" w:sz="4" w:space="0"/>
              <w:right w:val="single" w:color="000000" w:sz="4" w:space="0"/>
            </w:tcBorders>
            <w:noWrap w:val="0"/>
            <w:vAlign w:val="center"/>
          </w:tcPr>
          <w:p w14:paraId="5B3425C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08" w:type="dxa"/>
            <w:tcBorders>
              <w:top w:val="single" w:color="000000" w:sz="4" w:space="0"/>
              <w:left w:val="nil"/>
              <w:bottom w:val="single" w:color="000000" w:sz="4" w:space="0"/>
              <w:right w:val="single" w:color="000000" w:sz="4" w:space="0"/>
            </w:tcBorders>
            <w:noWrap w:val="0"/>
            <w:vAlign w:val="center"/>
          </w:tcPr>
          <w:p w14:paraId="695CFDF3">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92" w:type="dxa"/>
            <w:tcBorders>
              <w:top w:val="single" w:color="000000" w:sz="4" w:space="0"/>
              <w:left w:val="nil"/>
              <w:bottom w:val="single" w:color="000000" w:sz="4" w:space="0"/>
              <w:right w:val="single" w:color="000000" w:sz="4" w:space="0"/>
            </w:tcBorders>
            <w:noWrap w:val="0"/>
            <w:vAlign w:val="center"/>
          </w:tcPr>
          <w:p w14:paraId="0F59FB0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34" w:type="dxa"/>
            <w:tcBorders>
              <w:top w:val="single" w:color="000000" w:sz="4" w:space="0"/>
              <w:left w:val="nil"/>
              <w:bottom w:val="single" w:color="000000" w:sz="4" w:space="0"/>
              <w:right w:val="single" w:color="000000" w:sz="4" w:space="0"/>
            </w:tcBorders>
            <w:noWrap w:val="0"/>
            <w:vAlign w:val="center"/>
          </w:tcPr>
          <w:p w14:paraId="03EA1E67">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08F5256B">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58926F2A">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2125F15F">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7519FEE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56" w:type="dxa"/>
            <w:tcBorders>
              <w:top w:val="single" w:color="000000" w:sz="4" w:space="0"/>
              <w:left w:val="nil"/>
              <w:bottom w:val="single" w:color="000000" w:sz="4" w:space="0"/>
              <w:right w:val="single" w:color="000000" w:sz="4" w:space="0"/>
            </w:tcBorders>
            <w:noWrap w:val="0"/>
            <w:vAlign w:val="center"/>
          </w:tcPr>
          <w:p w14:paraId="4C1ED14B">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24" w:type="dxa"/>
            <w:tcBorders>
              <w:top w:val="single" w:color="000000" w:sz="4" w:space="0"/>
              <w:left w:val="nil"/>
              <w:bottom w:val="single" w:color="000000" w:sz="4" w:space="0"/>
              <w:right w:val="single" w:color="000000" w:sz="4" w:space="0"/>
            </w:tcBorders>
            <w:noWrap w:val="0"/>
            <w:vAlign w:val="center"/>
          </w:tcPr>
          <w:p w14:paraId="145BB8D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44" w:type="dxa"/>
            <w:tcBorders>
              <w:top w:val="single" w:color="000000" w:sz="4" w:space="0"/>
              <w:left w:val="nil"/>
              <w:bottom w:val="single" w:color="000000" w:sz="4" w:space="0"/>
              <w:right w:val="single" w:color="000000" w:sz="4" w:space="0"/>
            </w:tcBorders>
            <w:noWrap w:val="0"/>
            <w:vAlign w:val="center"/>
          </w:tcPr>
          <w:p w14:paraId="1FD33D4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36" w:type="dxa"/>
            <w:tcBorders>
              <w:top w:val="single" w:color="000000" w:sz="4" w:space="0"/>
              <w:left w:val="nil"/>
              <w:bottom w:val="single" w:color="000000" w:sz="4" w:space="0"/>
              <w:right w:val="single" w:color="000000" w:sz="4" w:space="0"/>
            </w:tcBorders>
            <w:noWrap w:val="0"/>
            <w:vAlign w:val="center"/>
          </w:tcPr>
          <w:p w14:paraId="68ED5EF0">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4" w:type="dxa"/>
            <w:tcBorders>
              <w:top w:val="single" w:color="000000" w:sz="4" w:space="0"/>
              <w:left w:val="nil"/>
              <w:bottom w:val="single" w:color="000000" w:sz="4" w:space="0"/>
              <w:right w:val="single" w:color="000000" w:sz="4" w:space="0"/>
            </w:tcBorders>
            <w:noWrap w:val="0"/>
            <w:vAlign w:val="center"/>
          </w:tcPr>
          <w:p w14:paraId="368901AA">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08" w:type="dxa"/>
            <w:tcBorders>
              <w:top w:val="single" w:color="000000" w:sz="4" w:space="0"/>
              <w:left w:val="nil"/>
              <w:bottom w:val="single" w:color="000000" w:sz="4" w:space="0"/>
              <w:right w:val="single" w:color="000000" w:sz="4" w:space="0"/>
            </w:tcBorders>
            <w:noWrap w:val="0"/>
            <w:vAlign w:val="center"/>
          </w:tcPr>
          <w:p w14:paraId="6F7AA6D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92" w:type="dxa"/>
            <w:tcBorders>
              <w:top w:val="single" w:color="000000" w:sz="4" w:space="0"/>
              <w:left w:val="nil"/>
              <w:bottom w:val="single" w:color="000000" w:sz="4" w:space="0"/>
              <w:right w:val="single" w:color="000000" w:sz="4" w:space="0"/>
            </w:tcBorders>
            <w:noWrap w:val="0"/>
            <w:vAlign w:val="center"/>
          </w:tcPr>
          <w:p w14:paraId="6EFEC0F5">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34" w:type="dxa"/>
            <w:tcBorders>
              <w:top w:val="single" w:color="000000" w:sz="4" w:space="0"/>
              <w:left w:val="nil"/>
              <w:bottom w:val="single" w:color="000000" w:sz="4" w:space="0"/>
              <w:right w:val="single" w:color="000000" w:sz="4" w:space="0"/>
            </w:tcBorders>
            <w:noWrap w:val="0"/>
            <w:vAlign w:val="center"/>
          </w:tcPr>
          <w:p w14:paraId="76870020">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026117E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34617BC2">
            <w:pPr>
              <w:keepNext w:val="0"/>
              <w:keepLines w:val="0"/>
              <w:widowControl/>
              <w:suppressLineNumbers w:val="0"/>
              <w:spacing w:before="0" w:beforeAutospacing="0" w:after="0" w:afterAutospacing="0"/>
              <w:ind w:left="0" w:right="0"/>
              <w:jc w:val="center"/>
              <w:rPr>
                <w:rFonts w:hint="default" w:ascii="宋体" w:hAnsi="宋体" w:cs="宋体"/>
                <w:szCs w:val="21"/>
              </w:rPr>
            </w:pPr>
          </w:p>
        </w:tc>
      </w:tr>
    </w:tbl>
    <w:p w14:paraId="2D331119">
      <w:pPr>
        <w:widowControl/>
        <w:spacing w:before="8" w:line="110" w:lineRule="atLeast"/>
        <w:rPr>
          <w:rFonts w:ascii="宋体" w:hAnsi="宋体" w:cs="宋体"/>
          <w:sz w:val="20"/>
          <w:szCs w:val="20"/>
        </w:rPr>
      </w:pPr>
      <w:r>
        <w:rPr>
          <w:rFonts w:hint="eastAsia" w:ascii="宋体" w:hAnsi="宋体" w:cs="宋体"/>
          <w:sz w:val="11"/>
          <w:szCs w:val="11"/>
        </w:rPr>
        <w:t xml:space="preserve"> </w:t>
      </w:r>
      <w:r>
        <w:rPr>
          <w:rFonts w:hint="eastAsia" w:ascii="宋体" w:hAnsi="宋体" w:cs="宋体"/>
          <w:sz w:val="20"/>
          <w:szCs w:val="20"/>
        </w:rPr>
        <w:t xml:space="preserve">  </w:t>
      </w:r>
    </w:p>
    <w:p w14:paraId="507CC8E0">
      <w:pPr>
        <w:widowControl/>
        <w:spacing w:before="3" w:line="180" w:lineRule="atLeast"/>
        <w:rPr>
          <w:rFonts w:ascii="宋体" w:hAnsi="宋体" w:cs="宋体"/>
          <w:sz w:val="20"/>
          <w:szCs w:val="20"/>
        </w:rPr>
      </w:pPr>
      <w:r>
        <w:rPr>
          <w:rFonts w:hint="eastAsia" w:ascii="宋体" w:hAnsi="宋体" w:cs="宋体"/>
          <w:sz w:val="28"/>
          <w:szCs w:val="28"/>
        </w:rPr>
        <w:t>备注：数量请统一按1填写。</w:t>
      </w:r>
    </w:p>
    <w:p w14:paraId="24C12EB0">
      <w:pPr>
        <w:widowControl/>
        <w:ind w:left="1503" w:right="1683"/>
        <w:jc w:val="center"/>
        <w:rPr>
          <w:rFonts w:ascii="宋体" w:hAnsi="宋体" w:cs="宋体"/>
          <w:sz w:val="28"/>
          <w:szCs w:val="28"/>
        </w:rPr>
      </w:pPr>
      <w:r>
        <w:rPr>
          <w:rFonts w:hint="eastAsia" w:ascii="宋体" w:hAnsi="宋体" w:cs="宋体"/>
          <w:spacing w:val="12"/>
          <w:sz w:val="28"/>
          <w:szCs w:val="28"/>
        </w:rPr>
        <w:t>表3-3  专用工具</w:t>
      </w:r>
      <w:r>
        <w:rPr>
          <w:rFonts w:hint="eastAsia" w:ascii="宋体" w:hAnsi="宋体" w:cs="宋体"/>
          <w:sz w:val="28"/>
          <w:szCs w:val="28"/>
        </w:rPr>
        <w:t>分项报价表</w:t>
      </w:r>
    </w:p>
    <w:p w14:paraId="2AEE6BBE">
      <w:pPr>
        <w:widowControl/>
        <w:spacing w:line="333" w:lineRule="atLeast"/>
        <w:jc w:val="right"/>
        <w:rPr>
          <w:rFonts w:ascii="宋体" w:hAnsi="宋体" w:cs="宋体"/>
          <w:szCs w:val="21"/>
        </w:rPr>
      </w:pPr>
      <w:r>
        <w:rPr>
          <w:rFonts w:hint="eastAsia" w:ascii="宋体" w:hAnsi="宋体" w:cs="宋体"/>
          <w:position w:val="-4"/>
          <w:szCs w:val="21"/>
        </w:rPr>
        <w:t>招标</w:t>
      </w:r>
      <w:r>
        <w:rPr>
          <w:rFonts w:hint="eastAsia" w:ascii="宋体" w:hAnsi="宋体" w:cs="宋体"/>
          <w:spacing w:val="-1"/>
          <w:position w:val="-4"/>
          <w:szCs w:val="21"/>
        </w:rPr>
        <w:t>编</w:t>
      </w:r>
      <w:r>
        <w:rPr>
          <w:rFonts w:hint="eastAsia" w:ascii="宋体" w:hAnsi="宋体" w:cs="宋体"/>
          <w:position w:val="-4"/>
          <w:szCs w:val="21"/>
        </w:rPr>
        <w:t>号</w:t>
      </w:r>
      <w:r>
        <w:rPr>
          <w:rFonts w:hint="eastAsia" w:ascii="宋体" w:hAnsi="宋体" w:cs="宋体"/>
          <w:spacing w:val="-24"/>
          <w:position w:val="-4"/>
          <w:szCs w:val="21"/>
        </w:rPr>
        <w:t>：</w:t>
      </w:r>
      <w:r>
        <w:rPr>
          <w:rFonts w:hint="eastAsia" w:ascii="宋体" w:hAnsi="宋体" w:cs="宋体"/>
          <w:spacing w:val="42"/>
          <w:position w:val="-4"/>
          <w:szCs w:val="21"/>
          <w:u w:val="single"/>
        </w:rPr>
        <w:t xml:space="preserve">      </w:t>
      </w:r>
      <w:r>
        <w:rPr>
          <w:rFonts w:hint="eastAsia" w:ascii="宋体" w:hAnsi="宋体" w:cs="宋体"/>
          <w:position w:val="-4"/>
          <w:szCs w:val="21"/>
          <w:u w:val="single"/>
        </w:rPr>
        <w:t xml:space="preserve">   </w:t>
      </w:r>
      <w:r>
        <w:rPr>
          <w:rFonts w:hint="eastAsia" w:ascii="宋体" w:hAnsi="宋体" w:cs="宋体"/>
          <w:position w:val="-4"/>
          <w:szCs w:val="21"/>
        </w:rPr>
        <w:t>标包号</w:t>
      </w:r>
      <w:r>
        <w:rPr>
          <w:rFonts w:hint="eastAsia" w:ascii="宋体" w:hAnsi="宋体" w:cs="宋体"/>
          <w:spacing w:val="-25"/>
          <w:position w:val="-4"/>
          <w:szCs w:val="21"/>
        </w:rPr>
        <w:t>：</w:t>
      </w:r>
      <w:r>
        <w:rPr>
          <w:rFonts w:hint="eastAsia" w:ascii="宋体" w:hAnsi="宋体" w:cs="宋体"/>
          <w:spacing w:val="42"/>
          <w:position w:val="-4"/>
          <w:szCs w:val="21"/>
          <w:u w:val="single"/>
        </w:rPr>
        <w:t xml:space="preserve"> </w:t>
      </w:r>
      <w:r>
        <w:rPr>
          <w:rFonts w:hint="eastAsia" w:ascii="宋体" w:hAnsi="宋体" w:cs="宋体"/>
          <w:position w:val="-4"/>
          <w:szCs w:val="21"/>
          <w:u w:val="single"/>
        </w:rPr>
        <w:t xml:space="preserve">    </w:t>
      </w:r>
      <w:r>
        <w:rPr>
          <w:rFonts w:hint="eastAsia" w:ascii="宋体" w:hAnsi="宋体" w:cs="宋体"/>
          <w:spacing w:val="-1"/>
          <w:position w:val="-4"/>
          <w:szCs w:val="21"/>
        </w:rPr>
        <w:t>货</w:t>
      </w:r>
      <w:r>
        <w:rPr>
          <w:rFonts w:hint="eastAsia" w:ascii="宋体" w:hAnsi="宋体" w:cs="宋体"/>
          <w:position w:val="-4"/>
          <w:szCs w:val="21"/>
        </w:rPr>
        <w:t>币单位</w:t>
      </w:r>
      <w:r>
        <w:rPr>
          <w:rFonts w:hint="eastAsia" w:ascii="宋体" w:hAnsi="宋体" w:cs="宋体"/>
          <w:spacing w:val="-24"/>
          <w:position w:val="-4"/>
          <w:szCs w:val="21"/>
        </w:rPr>
        <w:t>：</w:t>
      </w:r>
      <w:r>
        <w:rPr>
          <w:rFonts w:hint="eastAsia" w:ascii="宋体" w:hAnsi="宋体" w:cs="宋体"/>
          <w:position w:val="-4"/>
          <w:szCs w:val="21"/>
        </w:rPr>
        <w:t>人民币</w:t>
      </w:r>
    </w:p>
    <w:tbl>
      <w:tblPr>
        <w:tblStyle w:val="47"/>
        <w:tblW w:w="14358" w:type="dxa"/>
        <w:tblInd w:w="209" w:type="dxa"/>
        <w:tblLayout w:type="fixed"/>
        <w:tblCellMar>
          <w:top w:w="0" w:type="dxa"/>
          <w:left w:w="108" w:type="dxa"/>
          <w:bottom w:w="0" w:type="dxa"/>
          <w:right w:w="108" w:type="dxa"/>
        </w:tblCellMar>
      </w:tblPr>
      <w:tblGrid>
        <w:gridCol w:w="738"/>
        <w:gridCol w:w="1156"/>
        <w:gridCol w:w="1124"/>
        <w:gridCol w:w="944"/>
        <w:gridCol w:w="736"/>
        <w:gridCol w:w="1574"/>
        <w:gridCol w:w="1050"/>
        <w:gridCol w:w="1508"/>
        <w:gridCol w:w="992"/>
        <w:gridCol w:w="1134"/>
        <w:gridCol w:w="1701"/>
        <w:gridCol w:w="1701"/>
      </w:tblGrid>
      <w:tr w14:paraId="2F94FF85">
        <w:tblPrEx>
          <w:tblCellMar>
            <w:top w:w="0" w:type="dxa"/>
            <w:left w:w="108" w:type="dxa"/>
            <w:bottom w:w="0" w:type="dxa"/>
            <w:right w:w="108" w:type="dxa"/>
          </w:tblCellMar>
        </w:tblPrEx>
        <w:trPr>
          <w:trHeight w:val="5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3B71C280">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156" w:type="dxa"/>
            <w:tcBorders>
              <w:top w:val="single" w:color="000000" w:sz="4" w:space="0"/>
              <w:left w:val="nil"/>
              <w:bottom w:val="single" w:color="000000" w:sz="4" w:space="0"/>
              <w:right w:val="single" w:color="000000" w:sz="4" w:space="0"/>
            </w:tcBorders>
            <w:noWrap w:val="0"/>
            <w:vAlign w:val="center"/>
          </w:tcPr>
          <w:p w14:paraId="0E8BFF46">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货物（服务）名称</w:t>
            </w:r>
          </w:p>
        </w:tc>
        <w:tc>
          <w:tcPr>
            <w:tcW w:w="1124" w:type="dxa"/>
            <w:tcBorders>
              <w:top w:val="single" w:color="000000" w:sz="4" w:space="0"/>
              <w:left w:val="nil"/>
              <w:bottom w:val="single" w:color="000000" w:sz="4" w:space="0"/>
              <w:right w:val="single" w:color="000000" w:sz="4" w:space="0"/>
            </w:tcBorders>
            <w:noWrap w:val="0"/>
            <w:vAlign w:val="center"/>
          </w:tcPr>
          <w:p w14:paraId="0531F226">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规格型号</w:t>
            </w:r>
          </w:p>
        </w:tc>
        <w:tc>
          <w:tcPr>
            <w:tcW w:w="944" w:type="dxa"/>
            <w:tcBorders>
              <w:top w:val="single" w:color="000000" w:sz="4" w:space="0"/>
              <w:left w:val="nil"/>
              <w:bottom w:val="single" w:color="000000" w:sz="4" w:space="0"/>
              <w:right w:val="single" w:color="000000" w:sz="4" w:space="0"/>
            </w:tcBorders>
            <w:noWrap w:val="0"/>
            <w:vAlign w:val="center"/>
          </w:tcPr>
          <w:p w14:paraId="6C3B638A">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数量</w:t>
            </w:r>
          </w:p>
        </w:tc>
        <w:tc>
          <w:tcPr>
            <w:tcW w:w="736" w:type="dxa"/>
            <w:tcBorders>
              <w:top w:val="single" w:color="000000" w:sz="4" w:space="0"/>
              <w:left w:val="nil"/>
              <w:bottom w:val="single" w:color="000000" w:sz="4" w:space="0"/>
              <w:right w:val="single" w:color="000000" w:sz="4" w:space="0"/>
            </w:tcBorders>
            <w:noWrap w:val="0"/>
            <w:vAlign w:val="center"/>
          </w:tcPr>
          <w:p w14:paraId="17BE9A18">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单位</w:t>
            </w:r>
          </w:p>
        </w:tc>
        <w:tc>
          <w:tcPr>
            <w:tcW w:w="1574" w:type="dxa"/>
            <w:tcBorders>
              <w:top w:val="single" w:color="000000" w:sz="4" w:space="0"/>
              <w:left w:val="nil"/>
              <w:bottom w:val="single" w:color="000000" w:sz="4" w:space="0"/>
              <w:right w:val="single" w:color="000000" w:sz="4" w:space="0"/>
            </w:tcBorders>
            <w:noWrap w:val="0"/>
            <w:vAlign w:val="center"/>
          </w:tcPr>
          <w:p w14:paraId="48D377A5">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单价</w:t>
            </w:r>
          </w:p>
        </w:tc>
        <w:tc>
          <w:tcPr>
            <w:tcW w:w="1050" w:type="dxa"/>
            <w:tcBorders>
              <w:top w:val="single" w:color="000000" w:sz="4" w:space="0"/>
              <w:left w:val="nil"/>
              <w:bottom w:val="single" w:color="000000" w:sz="4" w:space="0"/>
              <w:right w:val="single" w:color="000000" w:sz="4" w:space="0"/>
            </w:tcBorders>
            <w:noWrap w:val="0"/>
            <w:vAlign w:val="center"/>
          </w:tcPr>
          <w:p w14:paraId="7C7AE01F">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合价</w:t>
            </w:r>
          </w:p>
        </w:tc>
        <w:tc>
          <w:tcPr>
            <w:tcW w:w="1508" w:type="dxa"/>
            <w:tcBorders>
              <w:top w:val="single" w:color="000000" w:sz="4" w:space="0"/>
              <w:left w:val="nil"/>
              <w:bottom w:val="single" w:color="000000" w:sz="4" w:space="0"/>
              <w:right w:val="single" w:color="000000" w:sz="4" w:space="0"/>
            </w:tcBorders>
            <w:noWrap w:val="0"/>
            <w:vAlign w:val="center"/>
          </w:tcPr>
          <w:p w14:paraId="424803F9">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制造商</w:t>
            </w:r>
          </w:p>
        </w:tc>
        <w:tc>
          <w:tcPr>
            <w:tcW w:w="992" w:type="dxa"/>
            <w:tcBorders>
              <w:top w:val="single" w:color="000000" w:sz="4" w:space="0"/>
              <w:left w:val="nil"/>
              <w:bottom w:val="single" w:color="000000" w:sz="4" w:space="0"/>
              <w:right w:val="single" w:color="000000" w:sz="4" w:space="0"/>
            </w:tcBorders>
            <w:noWrap w:val="0"/>
            <w:vAlign w:val="center"/>
          </w:tcPr>
          <w:p w14:paraId="25883276">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品牌</w:t>
            </w:r>
          </w:p>
        </w:tc>
        <w:tc>
          <w:tcPr>
            <w:tcW w:w="1134" w:type="dxa"/>
            <w:tcBorders>
              <w:top w:val="single" w:color="000000" w:sz="4" w:space="0"/>
              <w:left w:val="nil"/>
              <w:bottom w:val="single" w:color="000000" w:sz="4" w:space="0"/>
              <w:right w:val="single" w:color="000000" w:sz="4" w:space="0"/>
            </w:tcBorders>
            <w:noWrap w:val="0"/>
            <w:vAlign w:val="center"/>
          </w:tcPr>
          <w:p w14:paraId="64BC5F4B">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产地</w:t>
            </w:r>
          </w:p>
        </w:tc>
        <w:tc>
          <w:tcPr>
            <w:tcW w:w="1701" w:type="dxa"/>
            <w:tcBorders>
              <w:top w:val="single" w:color="000000" w:sz="4" w:space="0"/>
              <w:left w:val="nil"/>
              <w:bottom w:val="single" w:color="000000" w:sz="4" w:space="0"/>
              <w:right w:val="single" w:color="000000" w:sz="4" w:space="0"/>
            </w:tcBorders>
            <w:noWrap w:val="0"/>
            <w:vAlign w:val="center"/>
          </w:tcPr>
          <w:p w14:paraId="712305CB">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发货地点</w:t>
            </w:r>
          </w:p>
        </w:tc>
        <w:tc>
          <w:tcPr>
            <w:tcW w:w="1701" w:type="dxa"/>
            <w:tcBorders>
              <w:top w:val="single" w:color="000000" w:sz="4" w:space="0"/>
              <w:left w:val="nil"/>
              <w:bottom w:val="single" w:color="000000" w:sz="4" w:space="0"/>
              <w:right w:val="single" w:color="000000" w:sz="4" w:space="0"/>
            </w:tcBorders>
            <w:noWrap w:val="0"/>
            <w:vAlign w:val="center"/>
          </w:tcPr>
          <w:p w14:paraId="1844E20B">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w:t>
            </w:r>
          </w:p>
        </w:tc>
      </w:tr>
      <w:tr w14:paraId="15771528">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3CDE667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56" w:type="dxa"/>
            <w:tcBorders>
              <w:top w:val="single" w:color="000000" w:sz="4" w:space="0"/>
              <w:left w:val="nil"/>
              <w:bottom w:val="single" w:color="000000" w:sz="4" w:space="0"/>
              <w:right w:val="single" w:color="000000" w:sz="4" w:space="0"/>
            </w:tcBorders>
            <w:noWrap w:val="0"/>
            <w:vAlign w:val="center"/>
          </w:tcPr>
          <w:p w14:paraId="559B516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24" w:type="dxa"/>
            <w:tcBorders>
              <w:top w:val="single" w:color="000000" w:sz="4" w:space="0"/>
              <w:left w:val="nil"/>
              <w:bottom w:val="single" w:color="000000" w:sz="4" w:space="0"/>
              <w:right w:val="single" w:color="000000" w:sz="4" w:space="0"/>
            </w:tcBorders>
            <w:noWrap w:val="0"/>
            <w:vAlign w:val="center"/>
          </w:tcPr>
          <w:p w14:paraId="0342CD2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44" w:type="dxa"/>
            <w:tcBorders>
              <w:top w:val="single" w:color="000000" w:sz="4" w:space="0"/>
              <w:left w:val="nil"/>
              <w:bottom w:val="single" w:color="000000" w:sz="4" w:space="0"/>
              <w:right w:val="single" w:color="000000" w:sz="4" w:space="0"/>
            </w:tcBorders>
            <w:noWrap w:val="0"/>
            <w:vAlign w:val="center"/>
          </w:tcPr>
          <w:p w14:paraId="1B8EB93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36" w:type="dxa"/>
            <w:tcBorders>
              <w:top w:val="single" w:color="000000" w:sz="4" w:space="0"/>
              <w:left w:val="nil"/>
              <w:bottom w:val="single" w:color="000000" w:sz="4" w:space="0"/>
              <w:right w:val="single" w:color="000000" w:sz="4" w:space="0"/>
            </w:tcBorders>
            <w:noWrap w:val="0"/>
            <w:vAlign w:val="center"/>
          </w:tcPr>
          <w:p w14:paraId="138F7013">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4" w:type="dxa"/>
            <w:tcBorders>
              <w:top w:val="single" w:color="000000" w:sz="4" w:space="0"/>
              <w:left w:val="nil"/>
              <w:bottom w:val="single" w:color="000000" w:sz="4" w:space="0"/>
              <w:right w:val="single" w:color="000000" w:sz="4" w:space="0"/>
            </w:tcBorders>
            <w:noWrap w:val="0"/>
            <w:vAlign w:val="center"/>
          </w:tcPr>
          <w:p w14:paraId="459BC72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050" w:type="dxa"/>
            <w:tcBorders>
              <w:top w:val="single" w:color="000000" w:sz="4" w:space="0"/>
              <w:left w:val="nil"/>
              <w:bottom w:val="single" w:color="000000" w:sz="4" w:space="0"/>
              <w:right w:val="single" w:color="000000" w:sz="4" w:space="0"/>
            </w:tcBorders>
            <w:noWrap w:val="0"/>
            <w:vAlign w:val="center"/>
          </w:tcPr>
          <w:p w14:paraId="0977E19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08" w:type="dxa"/>
            <w:tcBorders>
              <w:top w:val="single" w:color="000000" w:sz="4" w:space="0"/>
              <w:left w:val="nil"/>
              <w:bottom w:val="single" w:color="000000" w:sz="4" w:space="0"/>
              <w:right w:val="single" w:color="000000" w:sz="4" w:space="0"/>
            </w:tcBorders>
            <w:noWrap w:val="0"/>
            <w:vAlign w:val="center"/>
          </w:tcPr>
          <w:p w14:paraId="054D1E7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92" w:type="dxa"/>
            <w:tcBorders>
              <w:top w:val="single" w:color="000000" w:sz="4" w:space="0"/>
              <w:left w:val="nil"/>
              <w:bottom w:val="single" w:color="000000" w:sz="4" w:space="0"/>
              <w:right w:val="single" w:color="000000" w:sz="4" w:space="0"/>
            </w:tcBorders>
            <w:noWrap w:val="0"/>
            <w:vAlign w:val="center"/>
          </w:tcPr>
          <w:p w14:paraId="512F744F">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34" w:type="dxa"/>
            <w:tcBorders>
              <w:top w:val="single" w:color="000000" w:sz="4" w:space="0"/>
              <w:left w:val="nil"/>
              <w:bottom w:val="single" w:color="000000" w:sz="4" w:space="0"/>
              <w:right w:val="single" w:color="000000" w:sz="4" w:space="0"/>
            </w:tcBorders>
            <w:noWrap w:val="0"/>
            <w:vAlign w:val="center"/>
          </w:tcPr>
          <w:p w14:paraId="36A6807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401A6C30">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50F0C766">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01286810">
        <w:tblPrEx>
          <w:tblCellMar>
            <w:top w:w="0" w:type="dxa"/>
            <w:left w:w="108" w:type="dxa"/>
            <w:bottom w:w="0" w:type="dxa"/>
            <w:right w:w="108" w:type="dxa"/>
          </w:tblCellMar>
        </w:tblPrEx>
        <w:trPr>
          <w:trHeight w:val="50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A7D015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56" w:type="dxa"/>
            <w:tcBorders>
              <w:top w:val="single" w:color="000000" w:sz="4" w:space="0"/>
              <w:left w:val="nil"/>
              <w:bottom w:val="single" w:color="000000" w:sz="4" w:space="0"/>
              <w:right w:val="single" w:color="000000" w:sz="4" w:space="0"/>
            </w:tcBorders>
            <w:noWrap w:val="0"/>
            <w:vAlign w:val="center"/>
          </w:tcPr>
          <w:p w14:paraId="04024675">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24" w:type="dxa"/>
            <w:tcBorders>
              <w:top w:val="single" w:color="000000" w:sz="4" w:space="0"/>
              <w:left w:val="nil"/>
              <w:bottom w:val="single" w:color="000000" w:sz="4" w:space="0"/>
              <w:right w:val="single" w:color="000000" w:sz="4" w:space="0"/>
            </w:tcBorders>
            <w:noWrap w:val="0"/>
            <w:vAlign w:val="center"/>
          </w:tcPr>
          <w:p w14:paraId="7BF00FB8">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44" w:type="dxa"/>
            <w:tcBorders>
              <w:top w:val="single" w:color="000000" w:sz="4" w:space="0"/>
              <w:left w:val="nil"/>
              <w:bottom w:val="single" w:color="000000" w:sz="4" w:space="0"/>
              <w:right w:val="single" w:color="000000" w:sz="4" w:space="0"/>
            </w:tcBorders>
            <w:noWrap w:val="0"/>
            <w:vAlign w:val="center"/>
          </w:tcPr>
          <w:p w14:paraId="3CCAB99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36" w:type="dxa"/>
            <w:tcBorders>
              <w:top w:val="single" w:color="000000" w:sz="4" w:space="0"/>
              <w:left w:val="nil"/>
              <w:bottom w:val="single" w:color="000000" w:sz="4" w:space="0"/>
              <w:right w:val="single" w:color="000000" w:sz="4" w:space="0"/>
            </w:tcBorders>
            <w:noWrap w:val="0"/>
            <w:vAlign w:val="center"/>
          </w:tcPr>
          <w:p w14:paraId="681505A9">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4" w:type="dxa"/>
            <w:tcBorders>
              <w:top w:val="single" w:color="000000" w:sz="4" w:space="0"/>
              <w:left w:val="nil"/>
              <w:bottom w:val="single" w:color="000000" w:sz="4" w:space="0"/>
              <w:right w:val="single" w:color="000000" w:sz="4" w:space="0"/>
            </w:tcBorders>
            <w:noWrap w:val="0"/>
            <w:vAlign w:val="center"/>
          </w:tcPr>
          <w:p w14:paraId="249A27F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050" w:type="dxa"/>
            <w:tcBorders>
              <w:top w:val="single" w:color="000000" w:sz="4" w:space="0"/>
              <w:left w:val="nil"/>
              <w:bottom w:val="single" w:color="000000" w:sz="4" w:space="0"/>
              <w:right w:val="single" w:color="000000" w:sz="4" w:space="0"/>
            </w:tcBorders>
            <w:noWrap w:val="0"/>
            <w:vAlign w:val="center"/>
          </w:tcPr>
          <w:p w14:paraId="32BE6C6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08" w:type="dxa"/>
            <w:tcBorders>
              <w:top w:val="single" w:color="000000" w:sz="4" w:space="0"/>
              <w:left w:val="nil"/>
              <w:bottom w:val="single" w:color="000000" w:sz="4" w:space="0"/>
              <w:right w:val="single" w:color="000000" w:sz="4" w:space="0"/>
            </w:tcBorders>
            <w:noWrap w:val="0"/>
            <w:vAlign w:val="center"/>
          </w:tcPr>
          <w:p w14:paraId="7E48283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92" w:type="dxa"/>
            <w:tcBorders>
              <w:top w:val="single" w:color="000000" w:sz="4" w:space="0"/>
              <w:left w:val="nil"/>
              <w:bottom w:val="single" w:color="000000" w:sz="4" w:space="0"/>
              <w:right w:val="single" w:color="000000" w:sz="4" w:space="0"/>
            </w:tcBorders>
            <w:noWrap w:val="0"/>
            <w:vAlign w:val="center"/>
          </w:tcPr>
          <w:p w14:paraId="4634821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34" w:type="dxa"/>
            <w:tcBorders>
              <w:top w:val="single" w:color="000000" w:sz="4" w:space="0"/>
              <w:left w:val="nil"/>
              <w:bottom w:val="single" w:color="000000" w:sz="4" w:space="0"/>
              <w:right w:val="single" w:color="000000" w:sz="4" w:space="0"/>
            </w:tcBorders>
            <w:noWrap w:val="0"/>
            <w:vAlign w:val="center"/>
          </w:tcPr>
          <w:p w14:paraId="3E7DF9DA">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770B12D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1A852BA7">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4BF47092">
        <w:tblPrEx>
          <w:tblCellMar>
            <w:top w:w="0" w:type="dxa"/>
            <w:left w:w="108" w:type="dxa"/>
            <w:bottom w:w="0" w:type="dxa"/>
            <w:right w:w="108" w:type="dxa"/>
          </w:tblCellMar>
        </w:tblPrEx>
        <w:trPr>
          <w:trHeight w:val="505"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4AC3B18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56" w:type="dxa"/>
            <w:tcBorders>
              <w:top w:val="single" w:color="000000" w:sz="4" w:space="0"/>
              <w:left w:val="nil"/>
              <w:bottom w:val="single" w:color="000000" w:sz="4" w:space="0"/>
              <w:right w:val="single" w:color="000000" w:sz="4" w:space="0"/>
            </w:tcBorders>
            <w:noWrap w:val="0"/>
            <w:vAlign w:val="center"/>
          </w:tcPr>
          <w:p w14:paraId="43E5219A">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24" w:type="dxa"/>
            <w:tcBorders>
              <w:top w:val="single" w:color="000000" w:sz="4" w:space="0"/>
              <w:left w:val="nil"/>
              <w:bottom w:val="single" w:color="000000" w:sz="4" w:space="0"/>
              <w:right w:val="single" w:color="000000" w:sz="4" w:space="0"/>
            </w:tcBorders>
            <w:noWrap w:val="0"/>
            <w:vAlign w:val="center"/>
          </w:tcPr>
          <w:p w14:paraId="6137667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44" w:type="dxa"/>
            <w:tcBorders>
              <w:top w:val="single" w:color="000000" w:sz="4" w:space="0"/>
              <w:left w:val="nil"/>
              <w:bottom w:val="single" w:color="000000" w:sz="4" w:space="0"/>
              <w:right w:val="single" w:color="000000" w:sz="4" w:space="0"/>
            </w:tcBorders>
            <w:noWrap w:val="0"/>
            <w:vAlign w:val="center"/>
          </w:tcPr>
          <w:p w14:paraId="685A8F68">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36" w:type="dxa"/>
            <w:tcBorders>
              <w:top w:val="single" w:color="000000" w:sz="4" w:space="0"/>
              <w:left w:val="nil"/>
              <w:bottom w:val="single" w:color="000000" w:sz="4" w:space="0"/>
              <w:right w:val="single" w:color="000000" w:sz="4" w:space="0"/>
            </w:tcBorders>
            <w:noWrap w:val="0"/>
            <w:vAlign w:val="center"/>
          </w:tcPr>
          <w:p w14:paraId="635F4E44">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4" w:type="dxa"/>
            <w:tcBorders>
              <w:top w:val="single" w:color="000000" w:sz="4" w:space="0"/>
              <w:left w:val="nil"/>
              <w:bottom w:val="single" w:color="000000" w:sz="4" w:space="0"/>
              <w:right w:val="single" w:color="000000" w:sz="4" w:space="0"/>
            </w:tcBorders>
            <w:noWrap w:val="0"/>
            <w:vAlign w:val="center"/>
          </w:tcPr>
          <w:p w14:paraId="299A0C13">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050" w:type="dxa"/>
            <w:tcBorders>
              <w:top w:val="single" w:color="000000" w:sz="4" w:space="0"/>
              <w:left w:val="nil"/>
              <w:bottom w:val="single" w:color="000000" w:sz="4" w:space="0"/>
              <w:right w:val="single" w:color="000000" w:sz="4" w:space="0"/>
            </w:tcBorders>
            <w:noWrap w:val="0"/>
            <w:vAlign w:val="center"/>
          </w:tcPr>
          <w:p w14:paraId="0651D17B">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08" w:type="dxa"/>
            <w:tcBorders>
              <w:top w:val="single" w:color="000000" w:sz="4" w:space="0"/>
              <w:left w:val="nil"/>
              <w:bottom w:val="single" w:color="000000" w:sz="4" w:space="0"/>
              <w:right w:val="single" w:color="000000" w:sz="4" w:space="0"/>
            </w:tcBorders>
            <w:noWrap w:val="0"/>
            <w:vAlign w:val="center"/>
          </w:tcPr>
          <w:p w14:paraId="6E6D4103">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992" w:type="dxa"/>
            <w:tcBorders>
              <w:top w:val="single" w:color="000000" w:sz="4" w:space="0"/>
              <w:left w:val="nil"/>
              <w:bottom w:val="single" w:color="000000" w:sz="4" w:space="0"/>
              <w:right w:val="single" w:color="000000" w:sz="4" w:space="0"/>
            </w:tcBorders>
            <w:noWrap w:val="0"/>
            <w:vAlign w:val="center"/>
          </w:tcPr>
          <w:p w14:paraId="4F96A94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134" w:type="dxa"/>
            <w:tcBorders>
              <w:top w:val="single" w:color="000000" w:sz="4" w:space="0"/>
              <w:left w:val="nil"/>
              <w:bottom w:val="single" w:color="000000" w:sz="4" w:space="0"/>
              <w:right w:val="single" w:color="000000" w:sz="4" w:space="0"/>
            </w:tcBorders>
            <w:noWrap w:val="0"/>
            <w:vAlign w:val="center"/>
          </w:tcPr>
          <w:p w14:paraId="7654FC7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7E7D7EB7">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701" w:type="dxa"/>
            <w:tcBorders>
              <w:top w:val="single" w:color="000000" w:sz="4" w:space="0"/>
              <w:left w:val="nil"/>
              <w:bottom w:val="single" w:color="000000" w:sz="4" w:space="0"/>
              <w:right w:val="single" w:color="000000" w:sz="4" w:space="0"/>
            </w:tcBorders>
            <w:noWrap w:val="0"/>
            <w:vAlign w:val="center"/>
          </w:tcPr>
          <w:p w14:paraId="4192C0BE">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62DC7A15">
        <w:tblPrEx>
          <w:tblCellMar>
            <w:top w:w="0" w:type="dxa"/>
            <w:left w:w="108" w:type="dxa"/>
            <w:bottom w:w="0" w:type="dxa"/>
            <w:right w:w="108" w:type="dxa"/>
          </w:tblCellMar>
        </w:tblPrEx>
        <w:trPr>
          <w:trHeight w:val="505" w:hRule="atLeast"/>
        </w:trPr>
        <w:tc>
          <w:tcPr>
            <w:tcW w:w="6272" w:type="dxa"/>
            <w:gridSpan w:val="6"/>
            <w:tcBorders>
              <w:top w:val="single" w:color="000000" w:sz="4" w:space="0"/>
              <w:left w:val="single" w:color="000000" w:sz="4" w:space="0"/>
              <w:bottom w:val="single" w:color="000000" w:sz="4" w:space="0"/>
              <w:right w:val="single" w:color="000000" w:sz="4" w:space="0"/>
            </w:tcBorders>
            <w:noWrap w:val="0"/>
            <w:vAlign w:val="center"/>
          </w:tcPr>
          <w:p w14:paraId="5DD3054F">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合计（</w:t>
            </w:r>
            <w:r>
              <w:rPr>
                <w:rFonts w:hint="eastAsia" w:ascii="宋体" w:hAnsi="宋体" w:cs="宋体"/>
                <w:b/>
                <w:szCs w:val="21"/>
              </w:rPr>
              <w:t>此表价格含在投标总价内</w:t>
            </w:r>
            <w:r>
              <w:rPr>
                <w:rFonts w:hint="eastAsia" w:ascii="宋体" w:hAnsi="宋体" w:cs="宋体"/>
                <w:szCs w:val="21"/>
              </w:rPr>
              <w:t>）</w:t>
            </w:r>
          </w:p>
        </w:tc>
        <w:tc>
          <w:tcPr>
            <w:tcW w:w="1050" w:type="dxa"/>
            <w:tcBorders>
              <w:top w:val="single" w:color="000000" w:sz="4" w:space="0"/>
              <w:left w:val="nil"/>
              <w:bottom w:val="single" w:color="000000" w:sz="4" w:space="0"/>
              <w:right w:val="single" w:color="000000" w:sz="4" w:space="0"/>
            </w:tcBorders>
            <w:noWrap w:val="0"/>
            <w:vAlign w:val="center"/>
          </w:tcPr>
          <w:p w14:paraId="6C94B5DB">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036" w:type="dxa"/>
            <w:gridSpan w:val="5"/>
            <w:tcBorders>
              <w:top w:val="single" w:color="000000" w:sz="4" w:space="0"/>
              <w:left w:val="nil"/>
              <w:bottom w:val="single" w:color="000000" w:sz="4" w:space="0"/>
              <w:right w:val="single" w:color="000000" w:sz="4" w:space="0"/>
            </w:tcBorders>
            <w:noWrap w:val="0"/>
            <w:vAlign w:val="center"/>
          </w:tcPr>
          <w:p w14:paraId="47816A65">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w:t>
            </w:r>
          </w:p>
        </w:tc>
      </w:tr>
      <w:tr w14:paraId="6291EBF1">
        <w:tblPrEx>
          <w:tblCellMar>
            <w:top w:w="0" w:type="dxa"/>
            <w:left w:w="108" w:type="dxa"/>
            <w:bottom w:w="0" w:type="dxa"/>
            <w:right w:w="108" w:type="dxa"/>
          </w:tblCellMar>
        </w:tblPrEx>
        <w:trPr>
          <w:trHeight w:val="505" w:hRule="atLeast"/>
        </w:trPr>
        <w:tc>
          <w:tcPr>
            <w:tcW w:w="6272" w:type="dxa"/>
            <w:gridSpan w:val="6"/>
            <w:tcBorders>
              <w:top w:val="single" w:color="000000" w:sz="4" w:space="0"/>
              <w:left w:val="single" w:color="000000" w:sz="4" w:space="0"/>
              <w:bottom w:val="single" w:color="000000" w:sz="4" w:space="0"/>
              <w:right w:val="single" w:color="000000" w:sz="4" w:space="0"/>
            </w:tcBorders>
            <w:noWrap w:val="0"/>
            <w:vAlign w:val="center"/>
          </w:tcPr>
          <w:p w14:paraId="65E122CA">
            <w:pPr>
              <w:keepNext w:val="0"/>
              <w:keepLines w:val="0"/>
              <w:widowControl/>
              <w:suppressLineNumbers w:val="0"/>
              <w:spacing w:before="0" w:beforeAutospacing="0" w:after="0" w:afterAutospacing="0"/>
              <w:ind w:left="0" w:right="0"/>
              <w:jc w:val="center"/>
              <w:rPr>
                <w:rFonts w:hint="eastAsia" w:ascii="宋体" w:hAnsi="宋体" w:cs="宋体"/>
                <w:szCs w:val="21"/>
              </w:rPr>
            </w:pPr>
          </w:p>
        </w:tc>
        <w:tc>
          <w:tcPr>
            <w:tcW w:w="1050" w:type="dxa"/>
            <w:tcBorders>
              <w:top w:val="single" w:color="000000" w:sz="4" w:space="0"/>
              <w:left w:val="nil"/>
              <w:bottom w:val="single" w:color="000000" w:sz="4" w:space="0"/>
              <w:right w:val="single" w:color="000000" w:sz="4" w:space="0"/>
            </w:tcBorders>
            <w:noWrap w:val="0"/>
            <w:vAlign w:val="center"/>
          </w:tcPr>
          <w:p w14:paraId="5401D60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7036" w:type="dxa"/>
            <w:gridSpan w:val="5"/>
            <w:tcBorders>
              <w:top w:val="single" w:color="000000" w:sz="4" w:space="0"/>
              <w:left w:val="nil"/>
              <w:bottom w:val="single" w:color="000000" w:sz="4" w:space="0"/>
              <w:right w:val="single" w:color="000000" w:sz="4" w:space="0"/>
            </w:tcBorders>
            <w:noWrap w:val="0"/>
            <w:vAlign w:val="center"/>
          </w:tcPr>
          <w:p w14:paraId="1FBEDEFB">
            <w:pPr>
              <w:keepNext w:val="0"/>
              <w:keepLines w:val="0"/>
              <w:widowControl/>
              <w:suppressLineNumbers w:val="0"/>
              <w:spacing w:before="0" w:beforeAutospacing="0" w:after="0" w:afterAutospacing="0"/>
              <w:ind w:left="0" w:right="0"/>
              <w:jc w:val="center"/>
              <w:rPr>
                <w:rFonts w:hint="eastAsia" w:ascii="宋体" w:hAnsi="宋体" w:cs="宋体"/>
                <w:szCs w:val="21"/>
              </w:rPr>
            </w:pPr>
          </w:p>
        </w:tc>
      </w:tr>
    </w:tbl>
    <w:p w14:paraId="7C44DD74">
      <w:pPr>
        <w:widowControl/>
        <w:spacing w:before="8" w:line="110" w:lineRule="atLeast"/>
        <w:rPr>
          <w:rFonts w:ascii="宋体" w:hAnsi="宋体" w:cs="宋体"/>
          <w:sz w:val="20"/>
          <w:szCs w:val="20"/>
        </w:rPr>
      </w:pPr>
      <w:r>
        <w:rPr>
          <w:rFonts w:hint="eastAsia" w:ascii="宋体" w:hAnsi="宋体" w:cs="宋体"/>
          <w:sz w:val="11"/>
          <w:szCs w:val="11"/>
        </w:rPr>
        <w:t xml:space="preserve"> </w:t>
      </w:r>
      <w:r>
        <w:rPr>
          <w:rFonts w:hint="eastAsia" w:ascii="宋体" w:hAnsi="宋体" w:cs="宋体"/>
          <w:sz w:val="20"/>
          <w:szCs w:val="20"/>
        </w:rPr>
        <w:t xml:space="preserve">  </w:t>
      </w:r>
    </w:p>
    <w:p w14:paraId="19C1D7C8">
      <w:pPr>
        <w:widowControl/>
        <w:spacing w:before="8" w:line="110" w:lineRule="atLeast"/>
        <w:rPr>
          <w:rFonts w:hint="eastAsia" w:ascii="宋体" w:hAnsi="宋体" w:cs="宋体"/>
          <w:kern w:val="0"/>
          <w:sz w:val="20"/>
          <w:szCs w:val="20"/>
        </w:rPr>
      </w:pPr>
      <w:r>
        <w:rPr>
          <w:rFonts w:hint="eastAsia" w:ascii="宋体" w:hAnsi="宋体" w:cs="宋体"/>
          <w:kern w:val="0"/>
          <w:sz w:val="11"/>
          <w:szCs w:val="11"/>
        </w:rPr>
        <w:t xml:space="preserve"> </w:t>
      </w:r>
      <w:r>
        <w:rPr>
          <w:rFonts w:hint="eastAsia" w:ascii="宋体" w:hAnsi="宋体" w:cs="宋体"/>
          <w:kern w:val="0"/>
          <w:sz w:val="20"/>
          <w:szCs w:val="20"/>
        </w:rPr>
        <w:t xml:space="preserve">  </w:t>
      </w:r>
    </w:p>
    <w:p w14:paraId="4F3041B8">
      <w:pPr>
        <w:widowControl/>
        <w:spacing w:before="7"/>
        <w:ind w:left="5680" w:right="-20"/>
        <w:rPr>
          <w:rFonts w:hint="eastAsia" w:ascii="宋体" w:hAnsi="宋体" w:cs="宋体"/>
          <w:kern w:val="0"/>
          <w:szCs w:val="21"/>
        </w:rPr>
      </w:pPr>
    </w:p>
    <w:p w14:paraId="269F0E4E">
      <w:pPr>
        <w:widowControl/>
        <w:spacing w:before="7"/>
        <w:ind w:left="5680" w:right="-20"/>
        <w:rPr>
          <w:rFonts w:hint="eastAsia" w:ascii="宋体" w:hAnsi="宋体" w:cs="宋体"/>
          <w:kern w:val="0"/>
          <w:szCs w:val="21"/>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08FF7AA9">
      <w:pPr>
        <w:pStyle w:val="3"/>
        <w:widowControl/>
        <w:spacing w:before="120" w:after="120" w:line="240" w:lineRule="auto"/>
        <w:jc w:val="center"/>
        <w:rPr>
          <w:rStyle w:val="98"/>
          <w:rFonts w:hint="eastAsia" w:ascii="宋体" w:hAnsi="宋体" w:eastAsia="宋体" w:cs="宋体"/>
          <w:b w:val="0"/>
          <w:bCs w:val="0"/>
          <w:sz w:val="30"/>
          <w:szCs w:val="30"/>
        </w:rPr>
      </w:pPr>
      <w:bookmarkStart w:id="857" w:name="_Toc466024589"/>
      <w:r>
        <w:rPr>
          <w:rStyle w:val="98"/>
          <w:rFonts w:hint="eastAsia" w:ascii="宋体" w:hAnsi="宋体" w:eastAsia="宋体" w:cs="宋体"/>
          <w:b w:val="0"/>
          <w:bCs w:val="0"/>
          <w:sz w:val="30"/>
          <w:szCs w:val="30"/>
        </w:rPr>
        <w:t>四、</w:t>
      </w:r>
      <w:bookmarkEnd w:id="857"/>
      <w:r>
        <w:rPr>
          <w:rStyle w:val="98"/>
          <w:rFonts w:hint="eastAsia" w:ascii="宋体" w:hAnsi="宋体" w:eastAsia="宋体" w:cs="宋体"/>
          <w:b w:val="0"/>
          <w:bCs w:val="0"/>
          <w:sz w:val="30"/>
          <w:szCs w:val="30"/>
        </w:rPr>
        <w:t>中小企业声明函（货物）</w:t>
      </w:r>
    </w:p>
    <w:p w14:paraId="4410D5E9">
      <w:pPr>
        <w:pStyle w:val="26"/>
        <w:spacing w:line="360" w:lineRule="auto"/>
        <w:jc w:val="center"/>
        <w:rPr>
          <w:rFonts w:hint="eastAsia" w:hAnsi="宋体" w:cs="宋体"/>
        </w:rPr>
      </w:pPr>
      <w:r>
        <w:rPr>
          <w:rFonts w:hint="eastAsia" w:hAnsi="宋体" w:cs="宋体"/>
        </w:rPr>
        <w:t>（不符合中小企业扶持政策的，无需提供）</w:t>
      </w:r>
    </w:p>
    <w:p w14:paraId="45EA0DE5">
      <w:pPr>
        <w:pStyle w:val="18"/>
        <w:snapToGrid w:val="0"/>
        <w:spacing w:line="360" w:lineRule="auto"/>
        <w:ind w:firstLine="420" w:firstLineChars="200"/>
        <w:rPr>
          <w:rFonts w:hint="eastAsia" w:ascii="宋体" w:hAnsi="宋体" w:eastAsia="宋体" w:cs="宋体"/>
          <w:sz w:val="21"/>
          <w:szCs w:val="21"/>
        </w:rPr>
      </w:pPr>
    </w:p>
    <w:p w14:paraId="4699C0AF">
      <w:pPr>
        <w:pStyle w:val="41"/>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rPr>
      </w:pPr>
      <w:r>
        <w:rPr>
          <w:rFonts w:hint="eastAsia" w:cs="宋体"/>
          <w:color w:val="auto"/>
          <w:kern w:val="2"/>
          <w:sz w:val="21"/>
          <w:szCs w:val="21"/>
        </w:rPr>
        <w:t>本公司（联合体）郑重声明，根据《政府采购促进中小企业发展管理办法》（财库﹝2020﹞46号）的规定，本公司（联合体）参加</w:t>
      </w:r>
      <w:r>
        <w:rPr>
          <w:rFonts w:hint="eastAsia" w:cs="宋体"/>
          <w:i/>
          <w:color w:val="auto"/>
          <w:sz w:val="21"/>
          <w:szCs w:val="21"/>
          <w:u w:val="single" w:color="000000"/>
          <w:lang w:bidi="ar"/>
        </w:rPr>
        <w:t>（单位名称）</w:t>
      </w:r>
      <w:r>
        <w:rPr>
          <w:rFonts w:hint="eastAsia" w:cs="宋体"/>
          <w:color w:val="auto"/>
          <w:kern w:val="2"/>
          <w:sz w:val="21"/>
          <w:szCs w:val="21"/>
        </w:rPr>
        <w:t>的</w:t>
      </w:r>
      <w:r>
        <w:rPr>
          <w:rFonts w:hint="eastAsia" w:cs="宋体"/>
          <w:i/>
          <w:color w:val="auto"/>
          <w:sz w:val="21"/>
          <w:szCs w:val="21"/>
          <w:u w:val="single" w:color="000000"/>
          <w:lang w:bidi="ar"/>
        </w:rPr>
        <w:t>（项目名称）</w:t>
      </w:r>
      <w:r>
        <w:rPr>
          <w:rFonts w:hint="eastAsia" w:cs="宋体"/>
          <w:color w:val="auto"/>
          <w:kern w:val="2"/>
          <w:sz w:val="21"/>
          <w:szCs w:val="21"/>
        </w:rPr>
        <w:t>采购活动，提供的货物全部由符合政策要求的中小企业制造。相关企业（含联合体中的中小企业、签订分包意向协议的中小企业）的具体情况如下：</w:t>
      </w:r>
    </w:p>
    <w:p w14:paraId="6B12CE4D">
      <w:pPr>
        <w:pStyle w:val="41"/>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rPr>
      </w:pPr>
      <w:r>
        <w:rPr>
          <w:rFonts w:hint="eastAsia" w:cs="宋体"/>
          <w:color w:val="auto"/>
          <w:kern w:val="2"/>
          <w:sz w:val="21"/>
          <w:szCs w:val="21"/>
        </w:rPr>
        <w:t>1.</w:t>
      </w:r>
      <w:r>
        <w:rPr>
          <w:rFonts w:hint="eastAsia" w:cs="宋体"/>
          <w:i/>
          <w:iCs/>
          <w:color w:val="auto"/>
          <w:kern w:val="2"/>
          <w:sz w:val="21"/>
          <w:szCs w:val="21"/>
          <w:u w:val="single"/>
        </w:rPr>
        <w:t xml:space="preserve"> （标的名称） </w:t>
      </w:r>
      <w:r>
        <w:rPr>
          <w:rFonts w:hint="eastAsia" w:cs="宋体"/>
          <w:color w:val="auto"/>
          <w:kern w:val="2"/>
          <w:sz w:val="21"/>
          <w:szCs w:val="21"/>
        </w:rPr>
        <w:t>，属于</w:t>
      </w:r>
      <w:r>
        <w:rPr>
          <w:rFonts w:hint="eastAsia" w:cs="宋体"/>
          <w:i/>
          <w:iCs/>
          <w:color w:val="auto"/>
          <w:kern w:val="2"/>
          <w:sz w:val="21"/>
          <w:szCs w:val="21"/>
          <w:u w:val="single"/>
        </w:rPr>
        <w:t>（采购文件中明确的所属行业）行业</w:t>
      </w:r>
      <w:r>
        <w:rPr>
          <w:rFonts w:hint="eastAsia" w:cs="宋体"/>
          <w:color w:val="auto"/>
          <w:kern w:val="2"/>
          <w:sz w:val="21"/>
          <w:szCs w:val="21"/>
        </w:rPr>
        <w:t>；制造商为</w:t>
      </w:r>
      <w:r>
        <w:rPr>
          <w:rFonts w:hint="eastAsia" w:cs="宋体"/>
          <w:i/>
          <w:iCs/>
          <w:color w:val="auto"/>
          <w:kern w:val="2"/>
          <w:sz w:val="21"/>
          <w:szCs w:val="21"/>
          <w:u w:val="single"/>
        </w:rPr>
        <w:t>（企业名称）</w:t>
      </w:r>
      <w:r>
        <w:rPr>
          <w:rFonts w:hint="eastAsia" w:cs="宋体"/>
          <w:color w:val="auto"/>
          <w:kern w:val="2"/>
          <w:sz w:val="21"/>
          <w:szCs w:val="21"/>
        </w:rPr>
        <w:t>，从业人员</w:t>
      </w:r>
      <w:r>
        <w:rPr>
          <w:rFonts w:hint="eastAsia" w:cs="宋体"/>
          <w:color w:val="auto"/>
          <w:kern w:val="2"/>
          <w:sz w:val="21"/>
          <w:szCs w:val="21"/>
          <w:u w:val="single"/>
        </w:rPr>
        <w:t xml:space="preserve">     </w:t>
      </w:r>
      <w:r>
        <w:rPr>
          <w:rFonts w:hint="eastAsia" w:cs="宋体"/>
          <w:color w:val="auto"/>
          <w:kern w:val="2"/>
          <w:sz w:val="21"/>
          <w:szCs w:val="21"/>
        </w:rPr>
        <w:t>人，营业收入为</w:t>
      </w:r>
      <w:r>
        <w:rPr>
          <w:rFonts w:hint="eastAsia" w:cs="宋体"/>
          <w:color w:val="auto"/>
          <w:kern w:val="2"/>
          <w:sz w:val="21"/>
          <w:szCs w:val="21"/>
          <w:u w:val="single"/>
        </w:rPr>
        <w:t xml:space="preserve">     </w:t>
      </w:r>
      <w:r>
        <w:rPr>
          <w:rFonts w:hint="eastAsia" w:cs="宋体"/>
          <w:color w:val="auto"/>
          <w:kern w:val="2"/>
          <w:sz w:val="21"/>
          <w:szCs w:val="21"/>
        </w:rPr>
        <w:t>万元，资产总额为</w:t>
      </w:r>
      <w:r>
        <w:rPr>
          <w:rFonts w:hint="eastAsia" w:cs="宋体"/>
          <w:color w:val="auto"/>
          <w:kern w:val="2"/>
          <w:sz w:val="21"/>
          <w:szCs w:val="21"/>
          <w:u w:val="single"/>
        </w:rPr>
        <w:t xml:space="preserve">     </w:t>
      </w:r>
      <w:r>
        <w:rPr>
          <w:rFonts w:hint="eastAsia" w:cs="宋体"/>
          <w:color w:val="auto"/>
          <w:kern w:val="2"/>
          <w:sz w:val="21"/>
          <w:szCs w:val="21"/>
        </w:rPr>
        <w:t>万元，属于</w:t>
      </w:r>
      <w:r>
        <w:rPr>
          <w:rFonts w:hint="eastAsia" w:cs="宋体"/>
          <w:i/>
          <w:iCs/>
          <w:color w:val="auto"/>
          <w:kern w:val="2"/>
          <w:sz w:val="21"/>
          <w:szCs w:val="21"/>
          <w:u w:val="single"/>
        </w:rPr>
        <w:t>（中型企业、小型企业、微型企业）</w:t>
      </w:r>
      <w:r>
        <w:rPr>
          <w:rFonts w:hint="eastAsia" w:cs="宋体"/>
          <w:color w:val="auto"/>
          <w:kern w:val="2"/>
          <w:sz w:val="21"/>
          <w:szCs w:val="21"/>
        </w:rPr>
        <w:t>；</w:t>
      </w:r>
    </w:p>
    <w:p w14:paraId="228A60F9">
      <w:pPr>
        <w:pStyle w:val="41"/>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rPr>
      </w:pPr>
      <w:r>
        <w:rPr>
          <w:rFonts w:hint="eastAsia" w:cs="宋体"/>
          <w:color w:val="auto"/>
          <w:kern w:val="2"/>
          <w:sz w:val="21"/>
          <w:szCs w:val="21"/>
        </w:rPr>
        <w:t>2.</w:t>
      </w:r>
      <w:r>
        <w:rPr>
          <w:rFonts w:hint="eastAsia" w:cs="宋体"/>
          <w:i/>
          <w:iCs/>
          <w:color w:val="auto"/>
          <w:kern w:val="2"/>
          <w:sz w:val="21"/>
          <w:szCs w:val="21"/>
          <w:u w:val="single"/>
        </w:rPr>
        <w:t xml:space="preserve"> （标的名称） </w:t>
      </w:r>
      <w:r>
        <w:rPr>
          <w:rFonts w:hint="eastAsia" w:cs="宋体"/>
          <w:color w:val="auto"/>
          <w:kern w:val="2"/>
          <w:sz w:val="21"/>
          <w:szCs w:val="21"/>
        </w:rPr>
        <w:t>，属于</w:t>
      </w:r>
      <w:r>
        <w:rPr>
          <w:rFonts w:hint="eastAsia" w:cs="宋体"/>
          <w:i/>
          <w:iCs/>
          <w:color w:val="auto"/>
          <w:kern w:val="2"/>
          <w:sz w:val="21"/>
          <w:szCs w:val="21"/>
          <w:u w:val="single"/>
        </w:rPr>
        <w:t>（采购文件中明确的所属行业）行业</w:t>
      </w:r>
      <w:r>
        <w:rPr>
          <w:rFonts w:hint="eastAsia" w:cs="宋体"/>
          <w:color w:val="auto"/>
          <w:kern w:val="2"/>
          <w:sz w:val="21"/>
          <w:szCs w:val="21"/>
        </w:rPr>
        <w:t>；制造商为</w:t>
      </w:r>
      <w:r>
        <w:rPr>
          <w:rFonts w:hint="eastAsia" w:cs="宋体"/>
          <w:i/>
          <w:iCs/>
          <w:color w:val="auto"/>
          <w:kern w:val="2"/>
          <w:sz w:val="21"/>
          <w:szCs w:val="21"/>
          <w:u w:val="single"/>
        </w:rPr>
        <w:t>（企业名称）</w:t>
      </w:r>
      <w:r>
        <w:rPr>
          <w:rFonts w:hint="eastAsia" w:cs="宋体"/>
          <w:color w:val="auto"/>
          <w:kern w:val="2"/>
          <w:sz w:val="21"/>
          <w:szCs w:val="21"/>
        </w:rPr>
        <w:t>，从业人员</w:t>
      </w:r>
      <w:r>
        <w:rPr>
          <w:rFonts w:hint="eastAsia" w:cs="宋体"/>
          <w:color w:val="auto"/>
          <w:kern w:val="2"/>
          <w:sz w:val="21"/>
          <w:szCs w:val="21"/>
          <w:u w:val="single"/>
        </w:rPr>
        <w:t xml:space="preserve">     </w:t>
      </w:r>
      <w:r>
        <w:rPr>
          <w:rFonts w:hint="eastAsia" w:cs="宋体"/>
          <w:color w:val="auto"/>
          <w:kern w:val="2"/>
          <w:sz w:val="21"/>
          <w:szCs w:val="21"/>
        </w:rPr>
        <w:t>人，营业收入为</w:t>
      </w:r>
      <w:r>
        <w:rPr>
          <w:rFonts w:hint="eastAsia" w:cs="宋体"/>
          <w:color w:val="auto"/>
          <w:kern w:val="2"/>
          <w:sz w:val="21"/>
          <w:szCs w:val="21"/>
          <w:u w:val="single"/>
        </w:rPr>
        <w:t xml:space="preserve">     </w:t>
      </w:r>
      <w:r>
        <w:rPr>
          <w:rFonts w:hint="eastAsia" w:cs="宋体"/>
          <w:color w:val="auto"/>
          <w:kern w:val="2"/>
          <w:sz w:val="21"/>
          <w:szCs w:val="21"/>
        </w:rPr>
        <w:t>万元，资产总额为</w:t>
      </w:r>
      <w:r>
        <w:rPr>
          <w:rFonts w:hint="eastAsia" w:cs="宋体"/>
          <w:color w:val="auto"/>
          <w:kern w:val="2"/>
          <w:sz w:val="21"/>
          <w:szCs w:val="21"/>
          <w:u w:val="single"/>
        </w:rPr>
        <w:t xml:space="preserve">     </w:t>
      </w:r>
      <w:r>
        <w:rPr>
          <w:rFonts w:hint="eastAsia" w:cs="宋体"/>
          <w:color w:val="auto"/>
          <w:kern w:val="2"/>
          <w:sz w:val="21"/>
          <w:szCs w:val="21"/>
        </w:rPr>
        <w:t>万元，属于</w:t>
      </w:r>
      <w:r>
        <w:rPr>
          <w:rFonts w:hint="eastAsia" w:cs="宋体"/>
          <w:i/>
          <w:iCs/>
          <w:color w:val="auto"/>
          <w:kern w:val="2"/>
          <w:sz w:val="21"/>
          <w:szCs w:val="21"/>
          <w:u w:val="single"/>
        </w:rPr>
        <w:t>（中型企业、小型企业、微型企业）</w:t>
      </w:r>
      <w:r>
        <w:rPr>
          <w:rFonts w:hint="eastAsia" w:cs="宋体"/>
          <w:color w:val="auto"/>
          <w:kern w:val="2"/>
          <w:sz w:val="21"/>
          <w:szCs w:val="21"/>
        </w:rPr>
        <w:t>；</w:t>
      </w:r>
    </w:p>
    <w:p w14:paraId="64B67AF6">
      <w:pPr>
        <w:pStyle w:val="41"/>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rPr>
      </w:pPr>
      <w:r>
        <w:rPr>
          <w:rFonts w:hint="eastAsia" w:cs="宋体"/>
          <w:color w:val="auto"/>
          <w:kern w:val="2"/>
          <w:sz w:val="21"/>
          <w:szCs w:val="21"/>
        </w:rPr>
        <w:t>……</w:t>
      </w:r>
    </w:p>
    <w:p w14:paraId="2A7F619E">
      <w:pPr>
        <w:pStyle w:val="41"/>
        <w:widowControl w:val="0"/>
        <w:autoSpaceDE w:val="0"/>
        <w:autoSpaceDN w:val="0"/>
        <w:snapToGrid w:val="0"/>
        <w:spacing w:before="0" w:beforeAutospacing="0" w:after="0" w:afterAutospacing="0" w:line="360" w:lineRule="auto"/>
        <w:ind w:right="397" w:rightChars="189" w:firstLine="420" w:firstLineChars="200"/>
        <w:rPr>
          <w:rFonts w:hint="eastAsia" w:cs="宋体"/>
          <w:snapToGrid w:val="0"/>
          <w:color w:val="auto"/>
          <w:sz w:val="21"/>
          <w:szCs w:val="21"/>
          <w:lang w:bidi="ar"/>
        </w:rPr>
      </w:pPr>
      <w:r>
        <w:rPr>
          <w:rFonts w:hint="eastAsia" w:cs="宋体"/>
          <w:snapToGrid w:val="0"/>
          <w:color w:val="auto"/>
          <w:sz w:val="21"/>
          <w:szCs w:val="21"/>
          <w:lang w:bidi="ar"/>
        </w:rPr>
        <w:t>以上企业，不属于大企业的分支机构，不存在控股股东为大企业的情形，也不存在与大企业的负责人为同一人的情形。</w:t>
      </w:r>
    </w:p>
    <w:p w14:paraId="6B9E92FA">
      <w:pPr>
        <w:pStyle w:val="41"/>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rPr>
      </w:pPr>
      <w:r>
        <w:rPr>
          <w:rFonts w:hint="eastAsia" w:cs="宋体"/>
          <w:snapToGrid w:val="0"/>
          <w:color w:val="auto"/>
          <w:sz w:val="21"/>
          <w:szCs w:val="21"/>
          <w:lang w:bidi="ar"/>
        </w:rPr>
        <w:t>本企业对上述声明内容的真实性负责。如有虚假，将依法承担相应责任。</w:t>
      </w:r>
    </w:p>
    <w:p w14:paraId="43C7802C">
      <w:pPr>
        <w:pStyle w:val="41"/>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lang w:bidi="ar"/>
        </w:rPr>
      </w:pPr>
      <w:r>
        <w:rPr>
          <w:rFonts w:hint="eastAsia" w:cs="宋体"/>
          <w:snapToGrid w:val="0"/>
          <w:color w:val="auto"/>
          <w:sz w:val="21"/>
          <w:szCs w:val="21"/>
          <w:lang w:bidi="ar"/>
        </w:rPr>
        <w:t>企业名称（盖章）：</w:t>
      </w:r>
    </w:p>
    <w:p w14:paraId="21FEC8DC">
      <w:pPr>
        <w:pStyle w:val="41"/>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lang w:bidi="ar"/>
        </w:rPr>
      </w:pPr>
      <w:r>
        <w:rPr>
          <w:rFonts w:hint="eastAsia" w:cs="宋体"/>
          <w:snapToGrid w:val="0"/>
          <w:color w:val="auto"/>
          <w:sz w:val="21"/>
          <w:szCs w:val="21"/>
          <w:lang w:bidi="ar"/>
        </w:rPr>
        <w:t>日期：</w:t>
      </w:r>
    </w:p>
    <w:p w14:paraId="1793EC24">
      <w:pPr>
        <w:pStyle w:val="41"/>
        <w:widowControl w:val="0"/>
        <w:autoSpaceDE w:val="0"/>
        <w:autoSpaceDN w:val="0"/>
        <w:snapToGrid w:val="0"/>
        <w:spacing w:before="35" w:beforeAutospacing="0" w:after="0" w:afterAutospacing="0" w:line="360" w:lineRule="auto"/>
        <w:ind w:left="4060" w:right="2166"/>
        <w:rPr>
          <w:rFonts w:hint="eastAsia" w:cs="宋体"/>
          <w:snapToGrid w:val="0"/>
          <w:color w:val="auto"/>
          <w:sz w:val="21"/>
          <w:szCs w:val="21"/>
          <w:lang w:bidi="ar"/>
        </w:rPr>
      </w:pPr>
    </w:p>
    <w:p w14:paraId="49BCD66E">
      <w:pPr>
        <w:autoSpaceDE w:val="0"/>
        <w:autoSpaceDN w:val="0"/>
        <w:snapToGrid w:val="0"/>
        <w:spacing w:line="360" w:lineRule="auto"/>
        <w:ind w:left="80" w:leftChars="38" w:right="40" w:firstLine="420" w:firstLineChars="200"/>
        <w:rPr>
          <w:rFonts w:hint="eastAsia" w:ascii="宋体" w:hAnsi="宋体" w:cs="宋体"/>
          <w:szCs w:val="21"/>
        </w:rPr>
      </w:pPr>
      <w:r>
        <w:rPr>
          <w:rFonts w:hint="eastAsia" w:ascii="宋体" w:hAnsi="宋体" w:cs="宋体"/>
          <w:szCs w:val="21"/>
        </w:rPr>
        <w:t>注：1.监狱企业无需</w:t>
      </w:r>
      <w:r>
        <w:rPr>
          <w:rFonts w:hint="eastAsia" w:ascii="宋体" w:hAnsi="宋体" w:cs="宋体"/>
          <w:spacing w:val="6"/>
          <w:sz w:val="22"/>
        </w:rPr>
        <w:t>提供</w:t>
      </w:r>
      <w:r>
        <w:rPr>
          <w:rFonts w:hint="eastAsia" w:ascii="宋体" w:hAnsi="宋体" w:cs="宋体"/>
          <w:szCs w:val="21"/>
        </w:rPr>
        <w:t>《中小企业声明函》，需要提供由省级以上监狱管理局、戒毒管理局(含新疆生产建设兵团)出具的属于监狱企业的证明文件。</w:t>
      </w:r>
    </w:p>
    <w:p w14:paraId="17B209BD">
      <w:pPr>
        <w:autoSpaceDE w:val="0"/>
        <w:autoSpaceDN w:val="0"/>
        <w:snapToGrid w:val="0"/>
        <w:spacing w:line="360" w:lineRule="auto"/>
        <w:ind w:left="80" w:leftChars="38" w:right="40" w:firstLine="420" w:firstLineChars="200"/>
        <w:rPr>
          <w:rFonts w:hint="eastAsia" w:ascii="宋体" w:hAnsi="宋体" w:cs="宋体"/>
          <w:szCs w:val="21"/>
        </w:rPr>
      </w:pPr>
      <w:r>
        <w:rPr>
          <w:rFonts w:hint="eastAsia" w:ascii="宋体" w:hAnsi="宋体" w:cs="宋体"/>
          <w:szCs w:val="21"/>
        </w:rPr>
        <w:t>2.残疾人福利性单位无需提供《中小企业声明函》，提供以下格式的《残疾人福利性单位声明函》。</w:t>
      </w:r>
    </w:p>
    <w:p w14:paraId="546EE739">
      <w:pPr>
        <w:rPr>
          <w:rFonts w:hint="eastAsia" w:ascii="宋体" w:hAnsi="宋体" w:cs="宋体"/>
        </w:rPr>
      </w:pPr>
      <w:bookmarkStart w:id="858" w:name="OLE_LINK14"/>
      <w:bookmarkStart w:id="859" w:name="OLE_LINK13"/>
    </w:p>
    <w:p w14:paraId="372CD3F8">
      <w:pPr>
        <w:pStyle w:val="26"/>
        <w:spacing w:line="360" w:lineRule="auto"/>
        <w:jc w:val="center"/>
        <w:rPr>
          <w:rFonts w:hint="eastAsia" w:hAnsi="宋体" w:cs="宋体"/>
          <w:b/>
          <w:spacing w:val="6"/>
          <w:szCs w:val="24"/>
        </w:rPr>
      </w:pPr>
      <w:r>
        <w:rPr>
          <w:rFonts w:hint="eastAsia" w:hAnsi="宋体" w:cs="宋体"/>
          <w:b/>
          <w:spacing w:val="6"/>
          <w:szCs w:val="24"/>
        </w:rPr>
        <w:t>残疾人福利性单位声明函</w:t>
      </w:r>
    </w:p>
    <w:bookmarkEnd w:id="858"/>
    <w:bookmarkEnd w:id="859"/>
    <w:p w14:paraId="5A60790F">
      <w:pPr>
        <w:autoSpaceDE w:val="0"/>
        <w:autoSpaceDN w:val="0"/>
        <w:snapToGrid w:val="0"/>
        <w:spacing w:line="360" w:lineRule="auto"/>
        <w:ind w:left="80" w:leftChars="38" w:right="40" w:firstLine="464" w:firstLineChars="200"/>
        <w:rPr>
          <w:rFonts w:hint="eastAsia" w:ascii="宋体" w:hAnsi="宋体" w:cs="宋体"/>
          <w:spacing w:val="6"/>
          <w:sz w:val="22"/>
        </w:rPr>
      </w:pPr>
      <w:r>
        <w:rPr>
          <w:rFonts w:hint="eastAsia" w:ascii="宋体" w:hAnsi="宋体" w:cs="宋体"/>
          <w:spacing w:val="6"/>
          <w:sz w:val="22"/>
        </w:rPr>
        <w:t>本单位郑重声明，根据</w:t>
      </w:r>
      <w:r>
        <w:rPr>
          <w:rFonts w:hint="eastAsia" w:ascii="宋体" w:hAnsi="宋体" w:cs="宋体"/>
          <w:sz w:val="22"/>
          <w:lang w:val="zh-CN"/>
        </w:rPr>
        <w:t>《财政部 民政部 中国残疾人联合会关于促进残疾人就业政府采购政策的通知》</w:t>
      </w:r>
      <w:r>
        <w:rPr>
          <w:rFonts w:hint="eastAsia" w:ascii="宋体" w:hAnsi="宋体" w:cs="宋体"/>
          <w:spacing w:val="6"/>
          <w:sz w:val="22"/>
        </w:rPr>
        <w:t>（财库</w:t>
      </w:r>
      <w:r>
        <w:rPr>
          <w:rFonts w:hint="eastAsia" w:ascii="宋体" w:hAnsi="宋体" w:cs="宋体"/>
          <w:sz w:val="22"/>
        </w:rPr>
        <w:t>〔2017〕141</w:t>
      </w:r>
      <w:r>
        <w:rPr>
          <w:rFonts w:hint="eastAsia" w:ascii="宋体" w:hAnsi="宋体" w:cs="宋体"/>
          <w:spacing w:val="6"/>
          <w:sz w:val="22"/>
        </w:rPr>
        <w:t>号）的规定，本单位为符合条件的残疾人福利性单位，且本单位参加</w:t>
      </w:r>
      <w:r>
        <w:rPr>
          <w:rFonts w:hint="eastAsia" w:ascii="宋体" w:hAnsi="宋体" w:cs="宋体"/>
          <w:spacing w:val="6"/>
          <w:sz w:val="22"/>
          <w:u w:val="single"/>
        </w:rPr>
        <w:t>______</w:t>
      </w:r>
      <w:r>
        <w:rPr>
          <w:rFonts w:hint="eastAsia" w:ascii="宋体" w:hAnsi="宋体" w:cs="宋体"/>
          <w:spacing w:val="6"/>
          <w:sz w:val="22"/>
        </w:rPr>
        <w:t>单位的</w:t>
      </w:r>
      <w:r>
        <w:rPr>
          <w:rFonts w:hint="eastAsia" w:ascii="宋体" w:hAnsi="宋体" w:cs="宋体"/>
          <w:spacing w:val="6"/>
          <w:sz w:val="22"/>
          <w:u w:val="single"/>
        </w:rPr>
        <w:t>______</w:t>
      </w:r>
      <w:r>
        <w:rPr>
          <w:rFonts w:hint="eastAsia" w:ascii="宋体" w:hAnsi="宋体" w:cs="宋体"/>
          <w:spacing w:val="6"/>
          <w:sz w:val="22"/>
        </w:rPr>
        <w:t>项目采购活动提供本单位制造的货物（由本单位承担工程/提供服务），或者提供其他残疾人福利性单位制造的货物（不包括使用非残疾人福利性单位注册商标的货物）。</w:t>
      </w:r>
    </w:p>
    <w:p w14:paraId="22F26625">
      <w:pPr>
        <w:autoSpaceDE w:val="0"/>
        <w:autoSpaceDN w:val="0"/>
        <w:snapToGrid w:val="0"/>
        <w:spacing w:line="360" w:lineRule="auto"/>
        <w:ind w:left="80" w:leftChars="38" w:right="40" w:firstLine="464" w:firstLineChars="200"/>
        <w:rPr>
          <w:rFonts w:hint="eastAsia" w:ascii="宋体" w:hAnsi="宋体" w:cs="宋体"/>
          <w:spacing w:val="6"/>
          <w:sz w:val="22"/>
        </w:rPr>
      </w:pPr>
      <w:r>
        <w:rPr>
          <w:rFonts w:hint="eastAsia" w:ascii="宋体" w:hAnsi="宋体" w:cs="宋体"/>
          <w:spacing w:val="6"/>
          <w:sz w:val="22"/>
        </w:rPr>
        <w:t>本单位对上述声明的真实性负责。如有虚假，将依法承担相应责任。</w:t>
      </w:r>
    </w:p>
    <w:p w14:paraId="01BA6196">
      <w:pPr>
        <w:autoSpaceDE w:val="0"/>
        <w:autoSpaceDN w:val="0"/>
        <w:snapToGrid w:val="0"/>
        <w:spacing w:line="360" w:lineRule="auto"/>
        <w:ind w:left="80" w:leftChars="38" w:right="40" w:firstLine="464" w:firstLineChars="200"/>
        <w:rPr>
          <w:rFonts w:hint="eastAsia" w:ascii="宋体" w:hAnsi="宋体" w:cs="宋体"/>
          <w:spacing w:val="6"/>
          <w:sz w:val="22"/>
        </w:rPr>
      </w:pPr>
      <w:r>
        <w:rPr>
          <w:rFonts w:hint="eastAsia" w:ascii="宋体" w:hAnsi="宋体" w:cs="宋体"/>
          <w:spacing w:val="6"/>
          <w:sz w:val="22"/>
        </w:rPr>
        <w:t xml:space="preserve">               单位名称：</w:t>
      </w:r>
      <w:r>
        <w:rPr>
          <w:rFonts w:hint="eastAsia" w:ascii="宋体" w:hAnsi="宋体" w:cs="宋体"/>
          <w:spacing w:val="6"/>
          <w:sz w:val="22"/>
          <w:u w:val="single"/>
        </w:rPr>
        <w:t xml:space="preserve">          </w:t>
      </w:r>
      <w:r>
        <w:rPr>
          <w:rFonts w:hint="eastAsia" w:ascii="宋体" w:hAnsi="宋体" w:cs="宋体"/>
          <w:spacing w:val="6"/>
          <w:sz w:val="22"/>
        </w:rPr>
        <w:t>（盖单位章）</w:t>
      </w:r>
    </w:p>
    <w:p w14:paraId="782E0564">
      <w:pPr>
        <w:autoSpaceDE w:val="0"/>
        <w:autoSpaceDN w:val="0"/>
        <w:snapToGrid w:val="0"/>
        <w:spacing w:line="360" w:lineRule="auto"/>
        <w:ind w:left="80" w:leftChars="38" w:right="40" w:firstLine="464" w:firstLineChars="200"/>
        <w:rPr>
          <w:rFonts w:hint="eastAsia" w:ascii="宋体" w:hAnsi="宋体" w:cs="宋体"/>
          <w:sz w:val="24"/>
        </w:rPr>
      </w:pPr>
      <w:r>
        <w:rPr>
          <w:rFonts w:hint="eastAsia" w:ascii="宋体" w:hAnsi="宋体" w:cs="宋体"/>
          <w:spacing w:val="6"/>
          <w:sz w:val="22"/>
        </w:rPr>
        <w:t xml:space="preserve">               日  期：</w:t>
      </w:r>
      <w:r>
        <w:rPr>
          <w:rFonts w:hint="eastAsia" w:ascii="宋体" w:hAnsi="宋体" w:cs="宋体"/>
          <w:spacing w:val="6"/>
          <w:sz w:val="22"/>
          <w:u w:val="single"/>
        </w:rPr>
        <w:t xml:space="preserve">                   </w:t>
      </w:r>
      <w:r>
        <w:rPr>
          <w:rFonts w:hint="eastAsia" w:ascii="宋体" w:hAnsi="宋体" w:cs="宋体"/>
          <w:spacing w:val="6"/>
          <w:sz w:val="22"/>
          <w:u w:val="single"/>
        </w:rPr>
        <w:br w:type="page"/>
      </w:r>
      <w:r>
        <w:rPr>
          <w:rFonts w:hint="eastAsia" w:ascii="宋体" w:hAnsi="宋体" w:cs="宋体"/>
          <w:sz w:val="24"/>
        </w:rPr>
        <w:t>附：</w:t>
      </w:r>
    </w:p>
    <w:p w14:paraId="1AA14AD0">
      <w:pPr>
        <w:widowControl/>
        <w:jc w:val="center"/>
        <w:rPr>
          <w:rFonts w:hint="eastAsia" w:ascii="宋体" w:hAnsi="宋体" w:cs="宋体"/>
          <w:b/>
          <w:sz w:val="24"/>
          <w:szCs w:val="21"/>
        </w:rPr>
      </w:pPr>
      <w:r>
        <w:rPr>
          <w:rFonts w:hint="eastAsia" w:ascii="宋体" w:hAnsi="宋体" w:cs="宋体"/>
          <w:b/>
          <w:sz w:val="24"/>
          <w:szCs w:val="21"/>
        </w:rPr>
        <w:t>工业和信息化部、国家统计局、国家发展和改革委员会、财政部关于印发中小企业划型标准规定的通知</w:t>
      </w:r>
    </w:p>
    <w:p w14:paraId="109F5939">
      <w:pPr>
        <w:widowControl/>
        <w:jc w:val="center"/>
        <w:rPr>
          <w:rFonts w:hint="eastAsia" w:ascii="宋体" w:hAnsi="宋体" w:cs="宋体"/>
          <w:b/>
          <w:sz w:val="24"/>
          <w:szCs w:val="21"/>
        </w:rPr>
      </w:pPr>
      <w:r>
        <w:rPr>
          <w:rFonts w:hint="eastAsia" w:ascii="宋体" w:hAnsi="宋体" w:cs="宋体"/>
          <w:b/>
          <w:sz w:val="24"/>
          <w:szCs w:val="21"/>
        </w:rPr>
        <w:t>（工信部联企业〔2011〕300号）</w:t>
      </w:r>
    </w:p>
    <w:p w14:paraId="58E80BD9">
      <w:pPr>
        <w:widowControl/>
        <w:adjustRightInd w:val="0"/>
        <w:snapToGrid w:val="0"/>
        <w:spacing w:line="360" w:lineRule="auto"/>
        <w:rPr>
          <w:rFonts w:hint="eastAsia" w:ascii="宋体" w:hAnsi="宋体" w:cs="宋体"/>
          <w:szCs w:val="21"/>
        </w:rPr>
      </w:pPr>
      <w:r>
        <w:rPr>
          <w:rFonts w:hint="eastAsia" w:ascii="宋体" w:hAnsi="宋体" w:cs="宋体"/>
          <w:szCs w:val="21"/>
        </w:rPr>
        <w:t>各省、自治区、直辖市人民政府，国务院各部委、各直属机构及有关单位：</w:t>
      </w:r>
    </w:p>
    <w:p w14:paraId="2502BCC2">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71CCC2E5">
      <w:pPr>
        <w:widowControl/>
        <w:jc w:val="right"/>
        <w:rPr>
          <w:rFonts w:hint="eastAsia" w:ascii="宋体" w:hAnsi="宋体" w:cs="宋体"/>
          <w:szCs w:val="21"/>
        </w:rPr>
      </w:pPr>
      <w:r>
        <w:rPr>
          <w:rFonts w:hint="eastAsia" w:ascii="宋体" w:hAnsi="宋体" w:cs="宋体"/>
          <w:szCs w:val="21"/>
        </w:rPr>
        <w:t>工业和信息化部</w:t>
      </w:r>
    </w:p>
    <w:p w14:paraId="5DAC8F4B">
      <w:pPr>
        <w:widowControl/>
        <w:jc w:val="right"/>
        <w:rPr>
          <w:rFonts w:hint="eastAsia" w:ascii="宋体" w:hAnsi="宋体" w:cs="宋体"/>
          <w:szCs w:val="21"/>
        </w:rPr>
      </w:pPr>
      <w:r>
        <w:rPr>
          <w:rFonts w:hint="eastAsia" w:ascii="宋体" w:hAnsi="宋体" w:cs="宋体"/>
          <w:szCs w:val="21"/>
        </w:rPr>
        <w:t>国家统计局</w:t>
      </w:r>
    </w:p>
    <w:p w14:paraId="32751A64">
      <w:pPr>
        <w:widowControl/>
        <w:jc w:val="right"/>
        <w:rPr>
          <w:rFonts w:hint="eastAsia" w:ascii="宋体" w:hAnsi="宋体" w:cs="宋体"/>
          <w:szCs w:val="21"/>
        </w:rPr>
      </w:pPr>
      <w:r>
        <w:rPr>
          <w:rFonts w:hint="eastAsia" w:ascii="宋体" w:hAnsi="宋体" w:cs="宋体"/>
          <w:szCs w:val="21"/>
        </w:rPr>
        <w:t>国家发展和改革委员会</w:t>
      </w:r>
    </w:p>
    <w:p w14:paraId="299E0092">
      <w:pPr>
        <w:widowControl/>
        <w:jc w:val="right"/>
        <w:rPr>
          <w:rFonts w:hint="eastAsia" w:ascii="宋体" w:hAnsi="宋体" w:cs="宋体"/>
          <w:szCs w:val="21"/>
        </w:rPr>
      </w:pPr>
      <w:r>
        <w:rPr>
          <w:rFonts w:hint="eastAsia" w:ascii="宋体" w:hAnsi="宋体" w:cs="宋体"/>
          <w:szCs w:val="21"/>
        </w:rPr>
        <w:t>财政部</w:t>
      </w:r>
    </w:p>
    <w:p w14:paraId="13489AAA">
      <w:pPr>
        <w:widowControl/>
        <w:jc w:val="right"/>
        <w:rPr>
          <w:rFonts w:hint="eastAsia" w:ascii="宋体" w:hAnsi="宋体" w:cs="宋体"/>
          <w:szCs w:val="21"/>
        </w:rPr>
      </w:pPr>
      <w:r>
        <w:rPr>
          <w:rFonts w:hint="eastAsia" w:ascii="宋体" w:hAnsi="宋体" w:cs="宋体"/>
          <w:szCs w:val="21"/>
        </w:rPr>
        <w:t>二○一一年六月十八日</w:t>
      </w:r>
    </w:p>
    <w:p w14:paraId="3855BB9D">
      <w:pPr>
        <w:widowControl/>
        <w:spacing w:line="360" w:lineRule="auto"/>
        <w:jc w:val="center"/>
        <w:rPr>
          <w:rFonts w:hint="eastAsia" w:ascii="宋体" w:hAnsi="宋体" w:cs="宋体"/>
          <w:b/>
          <w:szCs w:val="21"/>
        </w:rPr>
      </w:pPr>
      <w:r>
        <w:rPr>
          <w:rFonts w:hint="eastAsia" w:ascii="宋体" w:hAnsi="宋体" w:cs="宋体"/>
          <w:b/>
          <w:szCs w:val="21"/>
        </w:rPr>
        <w:t>中小企业划型标准规定</w:t>
      </w:r>
    </w:p>
    <w:p w14:paraId="13885717">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一、根据《中华人民共和国中小企业促进法》和《国务院关于进一步促进中小企业发展的若干意见》（国发〔2009〕36号），制定本规定。</w:t>
      </w:r>
    </w:p>
    <w:p w14:paraId="701A016F">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二、中小企业划分为中型、小型、微型三种类型，具体标准根据企业从业人员、营业收入、资产总额等指标，结合行业特点制定。</w:t>
      </w:r>
    </w:p>
    <w:p w14:paraId="33E749E4">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F15F0B9">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四、各行业划型标准为：</w:t>
      </w:r>
    </w:p>
    <w:p w14:paraId="5BDD7217">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（一）农、林、牧、渔业。营业收入20000万元以下的为中小微型企业。其中，营业收入500万元及以上的为中型企业，营业收入50万元及以上的为小型企业，营业收入50万元以下的为微型企业。</w:t>
      </w:r>
    </w:p>
    <w:p w14:paraId="5336CC61">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B1F1DF8">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F0121FE">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DD5230C">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D498C9B">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六）交通运输业。从业人员1000人以下或营业收入30000万元以下的为中小微型企业。其中，从业人员300人及以上，且营业收入3000万元及以上的为中型企业；从业人员20人及以上，且营业收入170万元及以上的为小型企业；从业人员20人以下或营业收入170万元以下的为微型企业。</w:t>
      </w:r>
    </w:p>
    <w:p w14:paraId="08A619E5">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D21E0F0">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B446798">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46D3396">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4392C4A">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5CC2642">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64C9A1A4">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A172721">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92EE658">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92C8FD1">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（十六）其他未列明行业。从业人员300人以下的为中小微型企业。其中，从业人员100人及以上的为中型企业；从业人员10人及以上的为小型企业；从业人员10人以下的为微型企业。</w:t>
      </w:r>
    </w:p>
    <w:p w14:paraId="1425FCAA">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五、企业类型的划分以统计部门的统计数据为依据。</w:t>
      </w:r>
    </w:p>
    <w:p w14:paraId="033132CE">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六、本规定适用于在中华人民共和国境内依法设立的各类所有制和各种组织形式的企业。个体工商户和本规定以外的行业，参照本规定进行划型。</w:t>
      </w:r>
    </w:p>
    <w:p w14:paraId="04EF3B9F">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2FB69144">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八、本规定由工业和信息化部、国家统计局会同有关部门根据《国民经济行业分类》修订情况和企业发展变化情况适时修订。</w:t>
      </w:r>
    </w:p>
    <w:p w14:paraId="17B5D116">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九、本规定由工业和信息化部、国家统计局会同有关部门负责解释。</w:t>
      </w:r>
    </w:p>
    <w:p w14:paraId="6A727D15">
      <w:pPr>
        <w:widowControl/>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十、本规定自发布之日起执行，原国家经贸委、原国家计委、财政部和国家统计局2003年颁布的《中小企业标准暂行规定》同时废止。</w:t>
      </w:r>
    </w:p>
    <w:p w14:paraId="06ED6768">
      <w:pPr>
        <w:widowControl/>
        <w:spacing w:line="200" w:lineRule="atLeast"/>
        <w:rPr>
          <w:rFonts w:hint="eastAsia" w:ascii="宋体" w:hAnsi="宋体" w:cs="宋体"/>
          <w:kern w:val="0"/>
          <w:sz w:val="20"/>
          <w:szCs w:val="20"/>
        </w:rPr>
        <w:sectPr>
          <w:footnotePr>
            <w:numRestart w:val="eachPage"/>
          </w:footnotePr>
          <w:pgSz w:w="11906" w:h="16838"/>
          <w:pgMar w:top="1134" w:right="1134" w:bottom="1134" w:left="1134" w:header="851" w:footer="851" w:gutter="0"/>
          <w:cols w:space="720" w:num="1"/>
          <w:docGrid w:linePitch="312" w:charSpace="0"/>
        </w:sectPr>
      </w:pPr>
    </w:p>
    <w:p w14:paraId="7E3A1914">
      <w:pPr>
        <w:widowControl/>
        <w:spacing w:line="200" w:lineRule="atLeast"/>
        <w:rPr>
          <w:rFonts w:hint="eastAsia" w:ascii="宋体" w:hAnsi="宋体" w:cs="宋体"/>
          <w:kern w:val="0"/>
          <w:sz w:val="20"/>
          <w:szCs w:val="20"/>
        </w:rPr>
      </w:pPr>
    </w:p>
    <w:p w14:paraId="6836A3F3">
      <w:pPr>
        <w:pStyle w:val="3"/>
        <w:widowControl/>
        <w:spacing w:before="120" w:after="120" w:line="240" w:lineRule="auto"/>
        <w:jc w:val="center"/>
        <w:rPr>
          <w:rFonts w:hint="eastAsia" w:ascii="宋体" w:hAnsi="宋体" w:cs="宋体"/>
          <w:kern w:val="0"/>
          <w:sz w:val="28"/>
          <w:szCs w:val="28"/>
        </w:rPr>
      </w:pPr>
      <w:r>
        <w:rPr>
          <w:rFonts w:hint="eastAsia" w:ascii="宋体" w:hAnsi="宋体" w:cs="宋体"/>
          <w:bCs w:val="0"/>
          <w:kern w:val="0"/>
          <w:sz w:val="28"/>
          <w:szCs w:val="28"/>
        </w:rPr>
        <w:t>五、</w:t>
      </w:r>
      <w:r>
        <w:rPr>
          <w:rFonts w:hint="eastAsia" w:ascii="宋体" w:hAnsi="宋体" w:cs="宋体"/>
          <w:kern w:val="0"/>
          <w:sz w:val="28"/>
          <w:szCs w:val="28"/>
        </w:rPr>
        <w:t>法定代表人（单位负责人）身份证明或授权委托书</w:t>
      </w:r>
    </w:p>
    <w:p w14:paraId="0889BA8D">
      <w:pPr>
        <w:jc w:val="center"/>
        <w:rPr>
          <w:rFonts w:hint="eastAsia" w:ascii="宋体" w:hAnsi="宋体" w:cs="宋体"/>
          <w:b/>
        </w:rPr>
      </w:pPr>
      <w:r>
        <w:rPr>
          <w:rFonts w:hint="eastAsia" w:ascii="宋体" w:hAnsi="宋体" w:cs="宋体"/>
          <w:b/>
          <w:kern w:val="0"/>
          <w:sz w:val="28"/>
          <w:szCs w:val="28"/>
        </w:rPr>
        <w:t>法定代表人（单位负责人）身份证明</w:t>
      </w:r>
    </w:p>
    <w:p w14:paraId="0FF70AE4">
      <w:pPr>
        <w:widowControl/>
        <w:spacing w:line="360" w:lineRule="auto"/>
        <w:rPr>
          <w:rFonts w:hint="eastAsia" w:ascii="宋体" w:hAnsi="宋体" w:cs="宋体"/>
          <w:spacing w:val="3"/>
          <w:kern w:val="0"/>
        </w:rPr>
      </w:pPr>
      <w:r>
        <w:rPr>
          <w:rFonts w:hint="eastAsia" w:ascii="宋体" w:hAnsi="宋体" w:cs="宋体"/>
          <w:kern w:val="0"/>
        </w:rPr>
        <w:t>投标人名称：</w:t>
      </w:r>
      <w:r>
        <w:rPr>
          <w:rFonts w:hint="eastAsia" w:ascii="宋体" w:hAnsi="宋体" w:cs="宋体"/>
          <w:kern w:val="0"/>
          <w:u w:val="single"/>
        </w:rPr>
        <w:t xml:space="preserve">                                                      </w:t>
      </w:r>
      <w:r>
        <w:rPr>
          <w:rFonts w:hint="eastAsia" w:ascii="宋体" w:hAnsi="宋体" w:cs="宋体"/>
          <w:spacing w:val="3"/>
          <w:kern w:val="0"/>
          <w:u w:val="single"/>
        </w:rPr>
        <w:t xml:space="preserve"> </w:t>
      </w:r>
      <w:r>
        <w:rPr>
          <w:rFonts w:hint="eastAsia" w:ascii="宋体" w:hAnsi="宋体" w:cs="宋体"/>
          <w:spacing w:val="3"/>
          <w:kern w:val="0"/>
        </w:rPr>
        <w:t xml:space="preserve"> </w:t>
      </w:r>
    </w:p>
    <w:p w14:paraId="03166DE5">
      <w:pPr>
        <w:widowControl/>
        <w:spacing w:line="360" w:lineRule="auto"/>
        <w:rPr>
          <w:rFonts w:hint="eastAsia" w:ascii="宋体" w:hAnsi="宋体" w:cs="宋体"/>
          <w:spacing w:val="26"/>
          <w:kern w:val="0"/>
        </w:rPr>
      </w:pPr>
      <w:r>
        <w:rPr>
          <w:rFonts w:hint="eastAsia" w:ascii="宋体" w:hAnsi="宋体" w:cs="宋体"/>
          <w:kern w:val="0"/>
        </w:rPr>
        <w:t>单位</w:t>
      </w:r>
      <w:r>
        <w:rPr>
          <w:rFonts w:hint="eastAsia" w:ascii="宋体" w:hAnsi="宋体" w:cs="宋体"/>
          <w:spacing w:val="-1"/>
          <w:kern w:val="0"/>
        </w:rPr>
        <w:t>性</w:t>
      </w:r>
      <w:r>
        <w:rPr>
          <w:rFonts w:hint="eastAsia" w:ascii="宋体" w:hAnsi="宋体" w:cs="宋体"/>
          <w:kern w:val="0"/>
        </w:rPr>
        <w:t>质：</w:t>
      </w:r>
      <w:r>
        <w:rPr>
          <w:rFonts w:hint="eastAsia" w:ascii="宋体" w:hAnsi="宋体" w:cs="宋体"/>
          <w:kern w:val="0"/>
          <w:u w:val="single"/>
        </w:rPr>
        <w:t xml:space="preserve">                                                       </w:t>
      </w:r>
      <w:r>
        <w:rPr>
          <w:rFonts w:hint="eastAsia" w:ascii="宋体" w:hAnsi="宋体" w:cs="宋体"/>
          <w:spacing w:val="26"/>
          <w:kern w:val="0"/>
          <w:u w:val="single"/>
        </w:rPr>
        <w:t xml:space="preserve"> </w:t>
      </w:r>
      <w:r>
        <w:rPr>
          <w:rFonts w:hint="eastAsia" w:ascii="宋体" w:hAnsi="宋体" w:cs="宋体"/>
          <w:spacing w:val="26"/>
          <w:kern w:val="0"/>
        </w:rPr>
        <w:t xml:space="preserve"> </w:t>
      </w:r>
    </w:p>
    <w:p w14:paraId="0B103A9B">
      <w:pPr>
        <w:widowControl/>
        <w:spacing w:line="360" w:lineRule="auto"/>
        <w:rPr>
          <w:rFonts w:hint="eastAsia" w:ascii="宋体" w:hAnsi="宋体" w:cs="宋体"/>
          <w:spacing w:val="10"/>
          <w:kern w:val="0"/>
        </w:rPr>
      </w:pPr>
      <w:r>
        <w:rPr>
          <w:rFonts w:hint="eastAsia" w:ascii="宋体" w:hAnsi="宋体" w:cs="宋体"/>
          <w:kern w:val="0"/>
        </w:rPr>
        <w:t>地    址</w:t>
      </w:r>
      <w:r>
        <w:rPr>
          <w:rFonts w:hint="eastAsia" w:ascii="宋体" w:hAnsi="宋体" w:cs="宋体"/>
          <w:spacing w:val="-1"/>
          <w:kern w:val="0"/>
        </w:rPr>
        <w:t>：</w:t>
      </w:r>
      <w:r>
        <w:rPr>
          <w:rFonts w:hint="eastAsia" w:ascii="宋体" w:hAnsi="宋体" w:cs="宋体"/>
          <w:kern w:val="0"/>
          <w:u w:val="single"/>
        </w:rPr>
        <w:t xml:space="preserve">                                                       </w:t>
      </w:r>
      <w:r>
        <w:rPr>
          <w:rFonts w:hint="eastAsia" w:ascii="宋体" w:hAnsi="宋体" w:cs="宋体"/>
          <w:spacing w:val="10"/>
          <w:kern w:val="0"/>
          <w:u w:val="single"/>
        </w:rPr>
        <w:t xml:space="preserve"> </w:t>
      </w:r>
      <w:r>
        <w:rPr>
          <w:rFonts w:hint="eastAsia" w:ascii="宋体" w:hAnsi="宋体" w:cs="宋体"/>
          <w:spacing w:val="10"/>
          <w:kern w:val="0"/>
        </w:rPr>
        <w:t xml:space="preserve"> </w:t>
      </w:r>
    </w:p>
    <w:p w14:paraId="5369CCCA">
      <w:pPr>
        <w:widowControl/>
        <w:spacing w:line="360" w:lineRule="auto"/>
        <w:rPr>
          <w:rFonts w:hint="eastAsia" w:ascii="宋体" w:hAnsi="宋体" w:cs="宋体"/>
          <w:kern w:val="0"/>
        </w:rPr>
      </w:pPr>
      <w:r>
        <w:rPr>
          <w:rFonts w:hint="eastAsia" w:ascii="宋体" w:hAnsi="宋体" w:cs="宋体"/>
          <w:kern w:val="0"/>
        </w:rPr>
        <w:t>成立</w:t>
      </w:r>
      <w:r>
        <w:rPr>
          <w:rFonts w:hint="eastAsia" w:ascii="宋体" w:hAnsi="宋体" w:cs="宋体"/>
          <w:spacing w:val="-1"/>
          <w:kern w:val="0"/>
        </w:rPr>
        <w:t>时</w:t>
      </w:r>
      <w:r>
        <w:rPr>
          <w:rFonts w:hint="eastAsia" w:ascii="宋体" w:hAnsi="宋体" w:cs="宋体"/>
          <w:kern w:val="0"/>
        </w:rPr>
        <w:t>间：</w:t>
      </w:r>
      <w:r>
        <w:rPr>
          <w:rFonts w:hint="eastAsia" w:ascii="宋体" w:hAnsi="宋体" w:cs="宋体"/>
          <w:kern w:val="0"/>
          <w:u w:val="single"/>
        </w:rPr>
        <w:t xml:space="preserve">      </w:t>
      </w:r>
      <w:r>
        <w:rPr>
          <w:rFonts w:hint="eastAsia" w:ascii="宋体" w:hAnsi="宋体" w:cs="宋体"/>
          <w:spacing w:val="-6"/>
          <w:kern w:val="0"/>
          <w:u w:val="single"/>
        </w:rPr>
        <w:t xml:space="preserve"> </w:t>
      </w:r>
      <w:r>
        <w:rPr>
          <w:rFonts w:hint="eastAsia" w:ascii="宋体" w:hAnsi="宋体" w:cs="宋体"/>
          <w:spacing w:val="-1"/>
          <w:kern w:val="0"/>
        </w:rPr>
        <w:t>年</w:t>
      </w:r>
      <w:r>
        <w:rPr>
          <w:rFonts w:hint="eastAsia" w:ascii="宋体" w:hAnsi="宋体" w:cs="宋体"/>
          <w:kern w:val="0"/>
          <w:u w:val="single"/>
        </w:rPr>
        <w:t xml:space="preserve">  </w:t>
      </w:r>
      <w:r>
        <w:rPr>
          <w:rFonts w:hint="eastAsia" w:ascii="宋体" w:hAnsi="宋体" w:cs="宋体"/>
          <w:spacing w:val="42"/>
          <w:kern w:val="0"/>
          <w:u w:val="single"/>
        </w:rPr>
        <w:t xml:space="preserve"> </w:t>
      </w:r>
      <w:r>
        <w:rPr>
          <w:rFonts w:hint="eastAsia" w:ascii="宋体" w:hAnsi="宋体" w:cs="宋体"/>
          <w:kern w:val="0"/>
        </w:rPr>
        <w:t>月</w:t>
      </w:r>
      <w:r>
        <w:rPr>
          <w:rFonts w:hint="eastAsia" w:ascii="宋体" w:hAnsi="宋体" w:cs="宋体"/>
          <w:kern w:val="0"/>
          <w:u w:val="single"/>
        </w:rPr>
        <w:t xml:space="preserve">   </w:t>
      </w:r>
      <w:r>
        <w:rPr>
          <w:rFonts w:hint="eastAsia" w:ascii="宋体" w:hAnsi="宋体" w:cs="宋体"/>
          <w:spacing w:val="-49"/>
          <w:kern w:val="0"/>
        </w:rPr>
        <w:t xml:space="preserve"> </w:t>
      </w:r>
      <w:r>
        <w:rPr>
          <w:rFonts w:hint="eastAsia" w:ascii="宋体" w:hAnsi="宋体" w:cs="宋体"/>
          <w:kern w:val="0"/>
        </w:rPr>
        <w:t xml:space="preserve">日 </w:t>
      </w:r>
    </w:p>
    <w:p w14:paraId="60E3B858">
      <w:pPr>
        <w:widowControl/>
        <w:spacing w:line="360" w:lineRule="auto"/>
        <w:rPr>
          <w:rFonts w:hint="eastAsia" w:ascii="宋体" w:hAnsi="宋体" w:cs="宋体"/>
          <w:kern w:val="0"/>
        </w:rPr>
      </w:pPr>
      <w:r>
        <w:rPr>
          <w:rFonts w:hint="eastAsia" w:ascii="宋体" w:hAnsi="宋体" w:cs="宋体"/>
          <w:kern w:val="0"/>
        </w:rPr>
        <w:t>经营</w:t>
      </w:r>
      <w:r>
        <w:rPr>
          <w:rFonts w:hint="eastAsia" w:ascii="宋体" w:hAnsi="宋体" w:cs="宋体"/>
          <w:spacing w:val="-1"/>
          <w:kern w:val="0"/>
        </w:rPr>
        <w:t>期</w:t>
      </w:r>
      <w:r>
        <w:rPr>
          <w:rFonts w:hint="eastAsia" w:ascii="宋体" w:hAnsi="宋体" w:cs="宋体"/>
          <w:kern w:val="0"/>
        </w:rPr>
        <w:t>限：</w:t>
      </w:r>
      <w:r>
        <w:rPr>
          <w:rFonts w:hint="eastAsia" w:ascii="宋体" w:hAnsi="宋体" w:cs="宋体"/>
          <w:kern w:val="0"/>
          <w:u w:val="single"/>
        </w:rPr>
        <w:t xml:space="preserve">                                                         </w:t>
      </w:r>
      <w:r>
        <w:rPr>
          <w:rFonts w:hint="eastAsia" w:ascii="宋体" w:hAnsi="宋体" w:cs="宋体"/>
          <w:spacing w:val="26"/>
          <w:kern w:val="0"/>
          <w:u w:val="single"/>
        </w:rPr>
        <w:t xml:space="preserve"> </w:t>
      </w:r>
    </w:p>
    <w:p w14:paraId="03727D51">
      <w:pPr>
        <w:widowControl/>
        <w:spacing w:line="360" w:lineRule="auto"/>
        <w:rPr>
          <w:rFonts w:hint="eastAsia" w:ascii="宋体" w:hAnsi="宋体" w:cs="宋体"/>
          <w:kern w:val="0"/>
        </w:rPr>
      </w:pPr>
      <w:r>
        <w:rPr>
          <w:rFonts w:hint="eastAsia" w:ascii="宋体" w:hAnsi="宋体" w:cs="宋体"/>
          <w:kern w:val="0"/>
        </w:rPr>
        <w:t>姓名：</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kern w:val="0"/>
        </w:rPr>
        <w:t>性别：</w:t>
      </w:r>
      <w:r>
        <w:rPr>
          <w:rFonts w:hint="eastAsia" w:ascii="宋体" w:hAnsi="宋体" w:cs="宋体"/>
          <w:spacing w:val="42"/>
          <w:kern w:val="0"/>
          <w:u w:val="single"/>
        </w:rPr>
        <w:t xml:space="preserve">    </w:t>
      </w:r>
      <w:r>
        <w:rPr>
          <w:rFonts w:hint="eastAsia" w:ascii="宋体" w:hAnsi="宋体" w:cs="宋体"/>
          <w:kern w:val="0"/>
        </w:rPr>
        <w:t>年</w:t>
      </w:r>
      <w:r>
        <w:rPr>
          <w:rFonts w:hint="eastAsia" w:ascii="宋体" w:hAnsi="宋体" w:cs="宋体"/>
          <w:spacing w:val="-1"/>
          <w:kern w:val="0"/>
        </w:rPr>
        <w:t>龄</w:t>
      </w:r>
      <w:r>
        <w:rPr>
          <w:rFonts w:hint="eastAsia" w:ascii="宋体" w:hAnsi="宋体" w:cs="宋体"/>
          <w:kern w:val="0"/>
        </w:rPr>
        <w:t>：</w:t>
      </w:r>
      <w:r>
        <w:rPr>
          <w:rFonts w:hint="eastAsia" w:ascii="宋体" w:hAnsi="宋体" w:cs="宋体"/>
          <w:spacing w:val="42"/>
          <w:kern w:val="0"/>
          <w:u w:val="single"/>
        </w:rPr>
        <w:t xml:space="preserve">   </w:t>
      </w:r>
      <w:r>
        <w:rPr>
          <w:rFonts w:hint="eastAsia" w:ascii="宋体" w:hAnsi="宋体" w:cs="宋体"/>
          <w:kern w:val="0"/>
        </w:rPr>
        <w:t>职务</w:t>
      </w:r>
      <w:r>
        <w:rPr>
          <w:rFonts w:hint="eastAsia" w:ascii="宋体" w:hAnsi="宋体" w:cs="宋体"/>
          <w:spacing w:val="-1"/>
          <w:kern w:val="0"/>
        </w:rPr>
        <w:t>：</w:t>
      </w:r>
      <w:r>
        <w:rPr>
          <w:rFonts w:hint="eastAsia" w:ascii="宋体" w:hAnsi="宋体" w:cs="宋体"/>
          <w:kern w:val="0"/>
          <w:u w:val="single"/>
        </w:rPr>
        <w:t xml:space="preserve">       </w:t>
      </w:r>
      <w:r>
        <w:rPr>
          <w:rFonts w:hint="eastAsia" w:ascii="宋体" w:hAnsi="宋体" w:cs="宋体"/>
          <w:kern w:val="0"/>
        </w:rPr>
        <w:t xml:space="preserve"> </w:t>
      </w:r>
    </w:p>
    <w:p w14:paraId="7413AE44">
      <w:pPr>
        <w:widowControl/>
        <w:spacing w:line="360" w:lineRule="auto"/>
        <w:rPr>
          <w:rFonts w:hint="eastAsia" w:ascii="宋体" w:hAnsi="宋体" w:cs="宋体"/>
          <w:kern w:val="0"/>
        </w:rPr>
      </w:pPr>
      <w:r>
        <w:rPr>
          <w:rFonts w:hint="eastAsia" w:ascii="宋体" w:hAnsi="宋体" w:cs="宋体"/>
          <w:kern w:val="0"/>
        </w:rPr>
        <w:t>系</w:t>
      </w:r>
      <w:r>
        <w:rPr>
          <w:rFonts w:hint="eastAsia" w:ascii="宋体" w:hAnsi="宋体" w:cs="宋体"/>
          <w:kern w:val="0"/>
          <w:u w:val="single"/>
        </w:rPr>
        <w:t xml:space="preserve">                                      </w:t>
      </w:r>
      <w:r>
        <w:rPr>
          <w:rFonts w:hint="eastAsia" w:ascii="宋体" w:hAnsi="宋体" w:cs="宋体"/>
          <w:spacing w:val="-1"/>
          <w:kern w:val="0"/>
        </w:rPr>
        <w:t>（</w:t>
      </w:r>
      <w:r>
        <w:rPr>
          <w:rFonts w:hint="eastAsia" w:ascii="宋体" w:hAnsi="宋体" w:cs="宋体"/>
          <w:kern w:val="0"/>
        </w:rPr>
        <w:t>投标人名称）的法定代表人（单位负责人）。</w:t>
      </w:r>
    </w:p>
    <w:p w14:paraId="5B873855">
      <w:pPr>
        <w:widowControl/>
        <w:spacing w:line="360" w:lineRule="auto"/>
        <w:ind w:right="6463"/>
        <w:rPr>
          <w:rFonts w:hint="eastAsia" w:ascii="宋体" w:hAnsi="宋体" w:cs="宋体"/>
          <w:kern w:val="0"/>
        </w:rPr>
      </w:pPr>
      <w:r>
        <w:rPr>
          <w:rFonts w:hint="eastAsia" w:ascii="宋体" w:hAnsi="宋体" w:cs="宋体"/>
          <w:kern w:val="0"/>
        </w:rPr>
        <w:t>特此证明。</w:t>
      </w:r>
    </w:p>
    <w:p w14:paraId="449D0792">
      <w:pPr>
        <w:widowControl/>
        <w:spacing w:before="12" w:line="360" w:lineRule="auto"/>
        <w:rPr>
          <w:rFonts w:hint="eastAsia" w:ascii="宋体" w:hAnsi="宋体" w:cs="宋体"/>
          <w:kern w:val="0"/>
        </w:rPr>
      </w:pPr>
    </w:p>
    <w:p w14:paraId="05A9C7B7">
      <w:pPr>
        <w:widowControl/>
        <w:spacing w:line="360" w:lineRule="auto"/>
        <w:ind w:left="5068" w:right="-20"/>
        <w:rPr>
          <w:rFonts w:hint="eastAsia" w:ascii="宋体" w:hAnsi="宋体" w:cs="宋体"/>
          <w:kern w:val="0"/>
        </w:rPr>
      </w:pPr>
      <w:r>
        <w:rPr>
          <w:rFonts w:hint="eastAsia" w:ascii="宋体" w:hAnsi="宋体" w:cs="宋体"/>
          <w:kern w:val="0"/>
          <w:position w:val="-4"/>
        </w:rPr>
        <w:t>投标人：</w:t>
      </w:r>
      <w:r>
        <w:rPr>
          <w:rFonts w:hint="eastAsia" w:ascii="宋体" w:hAnsi="宋体" w:cs="宋体"/>
          <w:spacing w:val="42"/>
          <w:kern w:val="0"/>
          <w:position w:val="-4"/>
          <w:u w:val="single"/>
        </w:rPr>
        <w:t xml:space="preserve"> </w:t>
      </w:r>
      <w:r>
        <w:rPr>
          <w:rFonts w:hint="eastAsia" w:ascii="宋体" w:hAnsi="宋体" w:cs="宋体"/>
          <w:kern w:val="0"/>
          <w:position w:val="-4"/>
          <w:u w:val="single"/>
        </w:rPr>
        <w:t xml:space="preserve">          </w:t>
      </w:r>
      <w:r>
        <w:rPr>
          <w:rFonts w:hint="eastAsia" w:ascii="宋体" w:hAnsi="宋体" w:cs="宋体"/>
          <w:spacing w:val="-1"/>
          <w:kern w:val="0"/>
          <w:position w:val="-4"/>
        </w:rPr>
        <w:t>（</w:t>
      </w:r>
      <w:r>
        <w:rPr>
          <w:rFonts w:hint="eastAsia" w:ascii="宋体" w:hAnsi="宋体" w:cs="宋体"/>
          <w:kern w:val="0"/>
          <w:position w:val="-4"/>
        </w:rPr>
        <w:t>盖单位章）</w:t>
      </w:r>
    </w:p>
    <w:p w14:paraId="73D81496">
      <w:pPr>
        <w:widowControl/>
        <w:spacing w:line="360" w:lineRule="auto"/>
        <w:ind w:right="98"/>
        <w:jc w:val="right"/>
        <w:rPr>
          <w:rFonts w:hint="eastAsia" w:ascii="宋体" w:hAnsi="宋体" w:cs="宋体"/>
          <w:kern w:val="0"/>
        </w:rPr>
      </w:pPr>
      <w:r>
        <w:rPr>
          <w:rFonts w:hint="eastAsia" w:ascii="宋体" w:hAnsi="宋体" w:cs="宋体"/>
          <w:kern w:val="0"/>
          <w:position w:val="-2"/>
          <w:u w:val="single"/>
        </w:rPr>
        <w:t xml:space="preserve">       </w:t>
      </w:r>
      <w:r>
        <w:rPr>
          <w:rFonts w:hint="eastAsia" w:ascii="宋体" w:hAnsi="宋体" w:cs="宋体"/>
          <w:spacing w:val="-1"/>
          <w:kern w:val="0"/>
          <w:position w:val="-2"/>
        </w:rPr>
        <w:t>年</w:t>
      </w:r>
      <w:r>
        <w:rPr>
          <w:rFonts w:hint="eastAsia" w:ascii="宋体" w:hAnsi="宋体" w:cs="宋体"/>
          <w:spacing w:val="42"/>
          <w:kern w:val="0"/>
          <w:position w:val="-2"/>
          <w:u w:val="single"/>
        </w:rPr>
        <w:t xml:space="preserve"> </w:t>
      </w:r>
      <w:r>
        <w:rPr>
          <w:rFonts w:hint="eastAsia" w:ascii="宋体" w:hAnsi="宋体" w:cs="宋体"/>
          <w:kern w:val="0"/>
          <w:position w:val="-2"/>
          <w:u w:val="single"/>
        </w:rPr>
        <w:t xml:space="preserve">  </w:t>
      </w:r>
      <w:r>
        <w:rPr>
          <w:rFonts w:hint="eastAsia" w:ascii="宋体" w:hAnsi="宋体" w:cs="宋体"/>
          <w:kern w:val="0"/>
          <w:position w:val="-2"/>
        </w:rPr>
        <w:t>月</w:t>
      </w:r>
      <w:r>
        <w:rPr>
          <w:rFonts w:hint="eastAsia" w:ascii="宋体" w:hAnsi="宋体" w:cs="宋体"/>
          <w:spacing w:val="42"/>
          <w:kern w:val="0"/>
          <w:position w:val="-2"/>
          <w:u w:val="single"/>
        </w:rPr>
        <w:t xml:space="preserve"> </w:t>
      </w:r>
      <w:r>
        <w:rPr>
          <w:rFonts w:hint="eastAsia" w:ascii="宋体" w:hAnsi="宋体" w:cs="宋体"/>
          <w:kern w:val="0"/>
          <w:position w:val="-2"/>
          <w:u w:val="single"/>
        </w:rPr>
        <w:t xml:space="preserve">   </w:t>
      </w:r>
      <w:r>
        <w:rPr>
          <w:rFonts w:hint="eastAsia" w:ascii="宋体" w:hAnsi="宋体" w:cs="宋体"/>
          <w:kern w:val="0"/>
          <w:position w:val="-2"/>
        </w:rPr>
        <w:t>日</w:t>
      </w:r>
    </w:p>
    <w:p w14:paraId="3537B950">
      <w:pPr>
        <w:widowControl/>
        <w:ind w:left="2874" w:right="-20"/>
        <w:rPr>
          <w:rFonts w:hint="eastAsia" w:ascii="宋体" w:hAnsi="宋体" w:cs="宋体"/>
          <w:kern w:val="0"/>
          <w:sz w:val="28"/>
          <w:szCs w:val="28"/>
        </w:rPr>
      </w:pPr>
    </w:p>
    <w:p w14:paraId="389BEDE5">
      <w:pPr>
        <w:widowControl/>
        <w:ind w:left="2874" w:right="-20"/>
        <w:rPr>
          <w:rFonts w:hint="eastAsia" w:ascii="宋体" w:hAnsi="宋体" w:cs="宋体"/>
          <w:b/>
          <w:kern w:val="0"/>
          <w:sz w:val="28"/>
          <w:szCs w:val="28"/>
        </w:rPr>
      </w:pPr>
      <w:r>
        <w:rPr>
          <w:rFonts w:hint="eastAsia" w:ascii="宋体" w:hAnsi="宋体" w:cs="宋体"/>
          <w:b/>
          <w:kern w:val="0"/>
          <w:sz w:val="28"/>
          <w:szCs w:val="28"/>
        </w:rPr>
        <w:t>法定代表人（单位负责人）授权委托书</w:t>
      </w:r>
    </w:p>
    <w:p w14:paraId="27BCEB68">
      <w:pPr>
        <w:widowControl/>
        <w:spacing w:before="3" w:line="260" w:lineRule="atLeast"/>
        <w:rPr>
          <w:rFonts w:hint="eastAsia" w:ascii="宋体" w:hAnsi="宋体" w:cs="宋体"/>
          <w:kern w:val="0"/>
          <w:sz w:val="26"/>
          <w:szCs w:val="26"/>
        </w:rPr>
      </w:pPr>
    </w:p>
    <w:p w14:paraId="7D6C2057">
      <w:pPr>
        <w:widowControl/>
        <w:spacing w:line="360" w:lineRule="auto"/>
        <w:ind w:left="120" w:right="31" w:firstLine="421"/>
        <w:rPr>
          <w:rFonts w:hint="eastAsia" w:ascii="宋体" w:hAnsi="宋体" w:cs="宋体"/>
          <w:kern w:val="0"/>
        </w:rPr>
      </w:pPr>
      <w:r>
        <w:rPr>
          <w:rFonts w:hint="eastAsia" w:ascii="宋体" w:hAnsi="宋体" w:cs="宋体"/>
          <w:kern w:val="0"/>
        </w:rPr>
        <w:t>本人</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kern w:val="0"/>
        </w:rPr>
        <w:t>（</w:t>
      </w:r>
      <w:r>
        <w:rPr>
          <w:rFonts w:hint="eastAsia" w:ascii="宋体" w:hAnsi="宋体" w:cs="宋体"/>
          <w:spacing w:val="-1"/>
          <w:kern w:val="0"/>
        </w:rPr>
        <w:t>姓</w:t>
      </w:r>
      <w:r>
        <w:rPr>
          <w:rFonts w:hint="eastAsia" w:ascii="宋体" w:hAnsi="宋体" w:cs="宋体"/>
          <w:kern w:val="0"/>
        </w:rPr>
        <w:t>名）系</w:t>
      </w:r>
      <w:r>
        <w:rPr>
          <w:rFonts w:hint="eastAsia" w:ascii="宋体" w:hAnsi="宋体" w:cs="宋体"/>
          <w:spacing w:val="42"/>
          <w:kern w:val="0"/>
          <w:u w:val="single"/>
        </w:rPr>
        <w:t xml:space="preserve">   </w:t>
      </w:r>
      <w:r>
        <w:rPr>
          <w:rFonts w:hint="eastAsia" w:ascii="宋体" w:hAnsi="宋体" w:cs="宋体"/>
          <w:kern w:val="0"/>
        </w:rPr>
        <w:t>（投标人名称）</w:t>
      </w:r>
      <w:r>
        <w:rPr>
          <w:rFonts w:hint="eastAsia" w:ascii="宋体" w:hAnsi="宋体" w:cs="宋体"/>
          <w:spacing w:val="1"/>
          <w:kern w:val="0"/>
        </w:rPr>
        <w:t>的</w:t>
      </w:r>
      <w:r>
        <w:rPr>
          <w:rFonts w:hint="eastAsia" w:ascii="宋体" w:hAnsi="宋体" w:cs="宋体"/>
          <w:kern w:val="0"/>
        </w:rPr>
        <w:t>法定代表</w:t>
      </w:r>
      <w:r>
        <w:rPr>
          <w:rFonts w:hint="eastAsia" w:ascii="宋体" w:hAnsi="宋体" w:cs="宋体"/>
          <w:spacing w:val="1"/>
          <w:kern w:val="0"/>
        </w:rPr>
        <w:t>人</w:t>
      </w:r>
      <w:r>
        <w:rPr>
          <w:rFonts w:hint="eastAsia" w:ascii="宋体" w:hAnsi="宋体" w:cs="宋体"/>
          <w:kern w:val="0"/>
        </w:rPr>
        <w:t>，</w:t>
      </w:r>
      <w:r>
        <w:rPr>
          <w:rFonts w:hint="eastAsia" w:ascii="宋体" w:hAnsi="宋体" w:cs="宋体"/>
          <w:spacing w:val="1"/>
          <w:kern w:val="0"/>
        </w:rPr>
        <w:t>现</w:t>
      </w:r>
      <w:r>
        <w:rPr>
          <w:rFonts w:hint="eastAsia" w:ascii="宋体" w:hAnsi="宋体" w:cs="宋体"/>
          <w:kern w:val="0"/>
        </w:rPr>
        <w:t>委托</w:t>
      </w:r>
      <w:r>
        <w:rPr>
          <w:rFonts w:hint="eastAsia" w:ascii="宋体" w:hAnsi="宋体" w:cs="宋体"/>
          <w:spacing w:val="42"/>
          <w:kern w:val="0"/>
          <w:u w:val="single"/>
        </w:rPr>
        <w:t xml:space="preserve">     </w:t>
      </w:r>
      <w:r>
        <w:rPr>
          <w:rFonts w:hint="eastAsia" w:ascii="宋体" w:hAnsi="宋体" w:cs="宋体"/>
          <w:spacing w:val="-1"/>
          <w:kern w:val="0"/>
        </w:rPr>
        <w:t>（</w:t>
      </w:r>
      <w:r>
        <w:rPr>
          <w:rFonts w:hint="eastAsia" w:ascii="宋体" w:hAnsi="宋体" w:cs="宋体"/>
          <w:kern w:val="0"/>
        </w:rPr>
        <w:t>姓名）为我方代理人。代理人根据授权，以我方名义签署、澄清、说明、补正、递交</w:t>
      </w:r>
      <w:r>
        <w:rPr>
          <w:rFonts w:hint="eastAsia" w:ascii="宋体" w:hAnsi="宋体" w:cs="宋体"/>
          <w:spacing w:val="-13"/>
          <w:kern w:val="0"/>
        </w:rPr>
        <w:t>、</w:t>
      </w:r>
      <w:r>
        <w:rPr>
          <w:rFonts w:hint="eastAsia" w:ascii="宋体" w:hAnsi="宋体" w:cs="宋体"/>
          <w:kern w:val="0"/>
        </w:rPr>
        <w:t>撤回</w:t>
      </w:r>
      <w:r>
        <w:rPr>
          <w:rFonts w:hint="eastAsia" w:ascii="宋体" w:hAnsi="宋体" w:cs="宋体"/>
          <w:spacing w:val="-13"/>
          <w:kern w:val="0"/>
        </w:rPr>
        <w:t>、</w:t>
      </w:r>
      <w:r>
        <w:rPr>
          <w:rFonts w:hint="eastAsia" w:ascii="宋体" w:hAnsi="宋体" w:cs="宋体"/>
          <w:kern w:val="0"/>
        </w:rPr>
        <w:t>修改</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kern w:val="0"/>
        </w:rPr>
        <w:t>（项目名</w:t>
      </w:r>
      <w:r>
        <w:rPr>
          <w:rFonts w:hint="eastAsia" w:ascii="宋体" w:hAnsi="宋体" w:cs="宋体"/>
          <w:spacing w:val="-1"/>
          <w:kern w:val="0"/>
        </w:rPr>
        <w:t>称</w:t>
      </w:r>
      <w:r>
        <w:rPr>
          <w:rFonts w:hint="eastAsia" w:ascii="宋体" w:hAnsi="宋体" w:cs="宋体"/>
          <w:spacing w:val="-13"/>
          <w:kern w:val="0"/>
        </w:rPr>
        <w:t>）</w:t>
      </w:r>
      <w:r>
        <w:rPr>
          <w:rFonts w:hint="eastAsia" w:ascii="宋体" w:hAnsi="宋体" w:cs="宋体"/>
          <w:spacing w:val="42"/>
          <w:kern w:val="0"/>
          <w:u w:val="single"/>
        </w:rPr>
        <w:t xml:space="preserve"> </w:t>
      </w:r>
      <w:r>
        <w:rPr>
          <w:rFonts w:hint="eastAsia" w:ascii="宋体" w:hAnsi="宋体" w:cs="宋体"/>
          <w:kern w:val="0"/>
          <w:u w:val="single"/>
        </w:rPr>
        <w:t xml:space="preserve">   </w:t>
      </w:r>
      <w:r>
        <w:rPr>
          <w:rFonts w:hint="eastAsia" w:ascii="宋体" w:hAnsi="宋体" w:cs="宋体"/>
          <w:spacing w:val="-1"/>
          <w:kern w:val="0"/>
        </w:rPr>
        <w:t>（</w:t>
      </w:r>
      <w:r>
        <w:rPr>
          <w:rFonts w:hint="eastAsia" w:ascii="宋体" w:hAnsi="宋体" w:cs="宋体"/>
          <w:kern w:val="0"/>
        </w:rPr>
        <w:t>标包号。未分包的，此处不填写</w:t>
      </w:r>
      <w:r>
        <w:rPr>
          <w:rFonts w:hint="eastAsia" w:ascii="宋体" w:hAnsi="宋体" w:cs="宋体"/>
          <w:spacing w:val="-13"/>
          <w:kern w:val="0"/>
        </w:rPr>
        <w:t>）</w:t>
      </w:r>
      <w:r>
        <w:rPr>
          <w:rFonts w:hint="eastAsia" w:ascii="宋体" w:hAnsi="宋体" w:cs="宋体"/>
          <w:kern w:val="0"/>
        </w:rPr>
        <w:t>投标文件</w:t>
      </w:r>
      <w:r>
        <w:rPr>
          <w:rFonts w:hint="eastAsia" w:ascii="宋体" w:hAnsi="宋体" w:cs="宋体"/>
          <w:spacing w:val="-13"/>
          <w:kern w:val="0"/>
        </w:rPr>
        <w:t>、</w:t>
      </w:r>
      <w:r>
        <w:rPr>
          <w:rFonts w:hint="eastAsia" w:ascii="宋体" w:hAnsi="宋体" w:cs="宋体"/>
          <w:kern w:val="0"/>
        </w:rPr>
        <w:t>签订合同和处理有关事宜，其法律后果由我方承担。</w:t>
      </w:r>
    </w:p>
    <w:p w14:paraId="55F1B79D">
      <w:pPr>
        <w:widowControl/>
        <w:spacing w:before="12" w:line="360" w:lineRule="auto"/>
        <w:ind w:left="556" w:right="5491" w:hanging="14"/>
        <w:rPr>
          <w:rFonts w:hint="eastAsia" w:ascii="宋体" w:hAnsi="宋体" w:cs="宋体"/>
          <w:kern w:val="0"/>
        </w:rPr>
      </w:pPr>
      <w:r>
        <w:rPr>
          <w:rFonts w:hint="eastAsia" w:ascii="宋体" w:hAnsi="宋体" w:cs="宋体"/>
          <w:kern w:val="0"/>
        </w:rPr>
        <w:t>代理人无转委托权。</w:t>
      </w:r>
    </w:p>
    <w:p w14:paraId="5818134F">
      <w:pPr>
        <w:widowControl/>
        <w:spacing w:line="360" w:lineRule="auto"/>
        <w:rPr>
          <w:rFonts w:hint="eastAsia" w:ascii="宋体" w:hAnsi="宋体" w:cs="宋体"/>
          <w:kern w:val="0"/>
        </w:rPr>
      </w:pPr>
    </w:p>
    <w:p w14:paraId="39543821">
      <w:pPr>
        <w:pStyle w:val="148"/>
        <w:spacing w:line="360" w:lineRule="auto"/>
        <w:ind w:firstLine="2604" w:firstLineChars="1240"/>
        <w:rPr>
          <w:rFonts w:hint="eastAsia" w:ascii="宋体" w:hAnsi="宋体" w:cs="宋体"/>
          <w:szCs w:val="24"/>
          <w:u w:val="single"/>
        </w:rPr>
      </w:pPr>
      <w:r>
        <w:rPr>
          <w:rFonts w:hint="eastAsia" w:ascii="宋体" w:hAnsi="宋体" w:cs="宋体"/>
          <w:szCs w:val="24"/>
        </w:rPr>
        <w:t>代理人：</w:t>
      </w:r>
      <w:r>
        <w:rPr>
          <w:rFonts w:hint="eastAsia" w:ascii="宋体" w:hAnsi="宋体" w:cs="宋体"/>
          <w:szCs w:val="24"/>
          <w:u w:val="single"/>
        </w:rPr>
        <w:t xml:space="preserve">              </w:t>
      </w:r>
      <w:r>
        <w:rPr>
          <w:rFonts w:hint="eastAsia" w:ascii="宋体" w:hAnsi="宋体" w:cs="宋体"/>
          <w:szCs w:val="24"/>
        </w:rPr>
        <w:t>性别：</w:t>
      </w:r>
      <w:r>
        <w:rPr>
          <w:rFonts w:hint="eastAsia" w:ascii="宋体" w:hAnsi="宋体" w:cs="宋体"/>
          <w:szCs w:val="24"/>
          <w:u w:val="single"/>
        </w:rPr>
        <w:t xml:space="preserve">     </w:t>
      </w:r>
      <w:r>
        <w:rPr>
          <w:rFonts w:hint="eastAsia" w:ascii="宋体" w:hAnsi="宋体" w:cs="宋体"/>
          <w:szCs w:val="24"/>
        </w:rPr>
        <w:t>年龄：</w:t>
      </w:r>
      <w:r>
        <w:rPr>
          <w:rFonts w:hint="eastAsia" w:ascii="宋体" w:hAnsi="宋体" w:cs="宋体"/>
          <w:szCs w:val="24"/>
          <w:u w:val="single"/>
        </w:rPr>
        <w:t xml:space="preserve">     </w:t>
      </w:r>
    </w:p>
    <w:p w14:paraId="211DA25B">
      <w:pPr>
        <w:pStyle w:val="148"/>
        <w:spacing w:line="360" w:lineRule="auto"/>
        <w:ind w:firstLine="2604" w:firstLineChars="1240"/>
        <w:rPr>
          <w:rFonts w:hint="eastAsia" w:ascii="宋体" w:hAnsi="宋体" w:cs="宋体"/>
          <w:szCs w:val="24"/>
          <w:u w:val="single"/>
        </w:rPr>
      </w:pPr>
      <w:r>
        <w:rPr>
          <w:rFonts w:hint="eastAsia" w:ascii="宋体" w:hAnsi="宋体" w:cs="宋体"/>
          <w:szCs w:val="24"/>
        </w:rPr>
        <w:t>身份证号码：</w:t>
      </w:r>
      <w:r>
        <w:rPr>
          <w:rFonts w:hint="eastAsia" w:ascii="宋体" w:hAnsi="宋体" w:cs="宋体"/>
          <w:szCs w:val="24"/>
          <w:u w:val="single"/>
        </w:rPr>
        <w:t xml:space="preserve">                   </w:t>
      </w:r>
      <w:r>
        <w:rPr>
          <w:rFonts w:hint="eastAsia" w:ascii="宋体" w:hAnsi="宋体" w:cs="宋体"/>
          <w:szCs w:val="24"/>
        </w:rPr>
        <w:t xml:space="preserve"> 职务：</w:t>
      </w:r>
      <w:r>
        <w:rPr>
          <w:rFonts w:hint="eastAsia" w:ascii="宋体" w:hAnsi="宋体" w:cs="宋体"/>
          <w:szCs w:val="24"/>
          <w:u w:val="single"/>
        </w:rPr>
        <w:t xml:space="preserve">      </w:t>
      </w:r>
    </w:p>
    <w:p w14:paraId="5F6BF5D3">
      <w:pPr>
        <w:pStyle w:val="148"/>
        <w:spacing w:line="360" w:lineRule="auto"/>
        <w:ind w:firstLine="2604" w:firstLineChars="1240"/>
        <w:rPr>
          <w:rFonts w:hint="eastAsia" w:ascii="宋体" w:hAnsi="宋体" w:cs="宋体"/>
          <w:szCs w:val="24"/>
          <w:u w:val="single"/>
        </w:rPr>
      </w:pPr>
      <w:r>
        <w:rPr>
          <w:rFonts w:hint="eastAsia" w:ascii="宋体" w:hAnsi="宋体" w:cs="宋体"/>
          <w:szCs w:val="24"/>
        </w:rPr>
        <w:t>手机号码：</w:t>
      </w:r>
      <w:r>
        <w:rPr>
          <w:rFonts w:hint="eastAsia" w:ascii="宋体" w:hAnsi="宋体" w:cs="宋体"/>
          <w:szCs w:val="24"/>
          <w:u w:val="single"/>
        </w:rPr>
        <w:t xml:space="preserve">                        </w:t>
      </w:r>
    </w:p>
    <w:p w14:paraId="77D087B3">
      <w:pPr>
        <w:pStyle w:val="148"/>
        <w:spacing w:line="360" w:lineRule="auto"/>
        <w:ind w:firstLine="2604" w:firstLineChars="1240"/>
        <w:rPr>
          <w:rFonts w:hint="eastAsia" w:ascii="宋体" w:hAnsi="宋体" w:cs="宋体"/>
          <w:szCs w:val="24"/>
        </w:rPr>
      </w:pPr>
      <w:r>
        <w:rPr>
          <w:rFonts w:hint="eastAsia" w:ascii="宋体" w:hAnsi="宋体" w:cs="宋体"/>
          <w:szCs w:val="24"/>
        </w:rPr>
        <w:t>邮箱：</w:t>
      </w:r>
      <w:r>
        <w:rPr>
          <w:rFonts w:hint="eastAsia" w:ascii="宋体" w:hAnsi="宋体" w:cs="宋体"/>
          <w:szCs w:val="24"/>
          <w:u w:val="single"/>
        </w:rPr>
        <w:t xml:space="preserve">                            </w:t>
      </w:r>
      <w:r>
        <w:rPr>
          <w:rFonts w:hint="eastAsia" w:ascii="宋体" w:hAnsi="宋体" w:cs="宋体"/>
          <w:szCs w:val="24"/>
        </w:rPr>
        <w:t xml:space="preserve">                             </w:t>
      </w:r>
    </w:p>
    <w:p w14:paraId="430482B1">
      <w:pPr>
        <w:pStyle w:val="148"/>
        <w:spacing w:line="360" w:lineRule="auto"/>
        <w:ind w:firstLine="2604" w:firstLineChars="1240"/>
        <w:rPr>
          <w:rFonts w:hint="eastAsia" w:ascii="宋体" w:hAnsi="宋体" w:cs="宋体"/>
          <w:szCs w:val="24"/>
          <w:u w:val="single"/>
        </w:rPr>
      </w:pPr>
      <w:r>
        <w:rPr>
          <w:rFonts w:hint="eastAsia" w:ascii="宋体" w:hAnsi="宋体" w:cs="宋体"/>
          <w:szCs w:val="24"/>
        </w:rPr>
        <w:t>投标人：</w:t>
      </w:r>
      <w:r>
        <w:rPr>
          <w:rFonts w:hint="eastAsia" w:ascii="宋体" w:hAnsi="宋体" w:cs="宋体"/>
          <w:szCs w:val="24"/>
          <w:u w:val="single"/>
        </w:rPr>
        <w:t xml:space="preserve">                            （盖单位章）</w:t>
      </w:r>
    </w:p>
    <w:p w14:paraId="27CED8C3">
      <w:pPr>
        <w:pStyle w:val="148"/>
        <w:spacing w:line="360" w:lineRule="auto"/>
        <w:ind w:firstLine="2604" w:firstLineChars="1240"/>
        <w:rPr>
          <w:rFonts w:hint="eastAsia" w:ascii="宋体" w:hAnsi="宋体" w:cs="宋体"/>
          <w:szCs w:val="24"/>
          <w:u w:val="single"/>
        </w:rPr>
      </w:pPr>
      <w:r>
        <w:rPr>
          <w:rFonts w:hint="eastAsia" w:ascii="宋体" w:hAnsi="宋体" w:cs="宋体"/>
          <w:szCs w:val="24"/>
        </w:rPr>
        <w:t>法定代表人（单位负责人）：</w:t>
      </w:r>
      <w:r>
        <w:rPr>
          <w:rFonts w:hint="eastAsia" w:ascii="宋体" w:hAnsi="宋体" w:cs="宋体"/>
          <w:szCs w:val="24"/>
          <w:u w:val="single"/>
        </w:rPr>
        <w:t xml:space="preserve">                   （签字或盖章）</w:t>
      </w:r>
    </w:p>
    <w:p w14:paraId="780CFDF8">
      <w:pPr>
        <w:pStyle w:val="148"/>
        <w:spacing w:line="360" w:lineRule="auto"/>
        <w:ind w:firstLine="2604" w:firstLineChars="1240"/>
        <w:rPr>
          <w:rFonts w:hint="eastAsia" w:ascii="宋体" w:hAnsi="宋体" w:cs="宋体"/>
          <w:szCs w:val="24"/>
        </w:rPr>
      </w:pPr>
      <w:r>
        <w:rPr>
          <w:rFonts w:hint="eastAsia" w:ascii="宋体" w:hAnsi="宋体" w:cs="宋体"/>
          <w:szCs w:val="24"/>
        </w:rPr>
        <w:t>授权委托日期：</w:t>
      </w:r>
      <w:r>
        <w:rPr>
          <w:rFonts w:hint="eastAsia" w:ascii="宋体" w:hAnsi="宋体" w:cs="宋体"/>
          <w:szCs w:val="24"/>
          <w:u w:val="single"/>
        </w:rPr>
        <w:t xml:space="preserve">            </w:t>
      </w:r>
      <w:r>
        <w:rPr>
          <w:rFonts w:hint="eastAsia" w:ascii="宋体" w:hAnsi="宋体" w:cs="宋体"/>
          <w:szCs w:val="24"/>
        </w:rPr>
        <w:t>年</w:t>
      </w:r>
      <w:r>
        <w:rPr>
          <w:rFonts w:hint="eastAsia" w:ascii="宋体" w:hAnsi="宋体" w:cs="宋体"/>
          <w:szCs w:val="24"/>
          <w:u w:val="single"/>
        </w:rPr>
        <w:t xml:space="preserve">        </w:t>
      </w:r>
      <w:r>
        <w:rPr>
          <w:rFonts w:hint="eastAsia" w:ascii="宋体" w:hAnsi="宋体" w:cs="宋体"/>
          <w:szCs w:val="24"/>
        </w:rPr>
        <w:t>月</w:t>
      </w:r>
      <w:r>
        <w:rPr>
          <w:rFonts w:hint="eastAsia" w:ascii="宋体" w:hAnsi="宋体" w:cs="宋体"/>
          <w:szCs w:val="24"/>
          <w:u w:val="single"/>
        </w:rPr>
        <w:t xml:space="preserve">       </w:t>
      </w:r>
      <w:r>
        <w:rPr>
          <w:rFonts w:hint="eastAsia" w:ascii="宋体" w:hAnsi="宋体" w:cs="宋体"/>
          <w:szCs w:val="24"/>
        </w:rPr>
        <w:t>日</w:t>
      </w:r>
    </w:p>
    <w:p w14:paraId="0BF3BB65">
      <w:pPr>
        <w:widowControl/>
        <w:spacing w:before="2" w:line="100" w:lineRule="atLeast"/>
        <w:rPr>
          <w:rFonts w:hint="eastAsia" w:ascii="宋体" w:hAnsi="宋体" w:cs="宋体"/>
          <w:kern w:val="0"/>
          <w:sz w:val="24"/>
        </w:rPr>
      </w:pPr>
    </w:p>
    <w:p w14:paraId="481DB213">
      <w:pPr>
        <w:widowControl/>
        <w:spacing w:line="295" w:lineRule="atLeast"/>
        <w:ind w:left="556" w:right="-20"/>
        <w:rPr>
          <w:rFonts w:hint="eastAsia" w:ascii="宋体" w:hAnsi="宋体" w:cs="宋体"/>
          <w:kern w:val="0"/>
          <w:szCs w:val="21"/>
        </w:rPr>
      </w:pPr>
    </w:p>
    <w:p w14:paraId="3304A437">
      <w:pPr>
        <w:widowControl/>
        <w:jc w:val="left"/>
        <w:rPr>
          <w:rFonts w:hint="eastAsia" w:ascii="宋体" w:hAnsi="宋体" w:cs="宋体"/>
          <w:spacing w:val="12"/>
          <w:kern w:val="0"/>
          <w:position w:val="-3"/>
          <w:sz w:val="24"/>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65E62DE">
      <w:pPr>
        <w:pStyle w:val="3"/>
        <w:widowControl/>
        <w:spacing w:before="120" w:after="120" w:line="240" w:lineRule="auto"/>
        <w:jc w:val="center"/>
        <w:rPr>
          <w:rFonts w:hint="eastAsia" w:ascii="宋体" w:hAnsi="宋体" w:cs="宋体"/>
          <w:kern w:val="0"/>
          <w:sz w:val="28"/>
          <w:szCs w:val="28"/>
        </w:rPr>
      </w:pPr>
      <w:r>
        <w:rPr>
          <w:rFonts w:hint="eastAsia" w:ascii="宋体" w:hAnsi="宋体" w:cs="宋体"/>
          <w:kern w:val="0"/>
          <w:sz w:val="28"/>
          <w:szCs w:val="28"/>
        </w:rPr>
        <w:t>六、联合体协议书（如有）</w:t>
      </w:r>
    </w:p>
    <w:p w14:paraId="75303140">
      <w:pPr>
        <w:widowControl/>
        <w:spacing w:before="7" w:line="110" w:lineRule="atLeast"/>
        <w:rPr>
          <w:rFonts w:hint="eastAsia" w:ascii="宋体" w:hAnsi="宋体" w:cs="宋体"/>
          <w:kern w:val="0"/>
          <w:sz w:val="11"/>
          <w:szCs w:val="11"/>
        </w:rPr>
      </w:pPr>
      <w:r>
        <w:rPr>
          <w:rFonts w:hint="eastAsia" w:ascii="宋体" w:hAnsi="宋体" w:cs="宋体"/>
          <w:kern w:val="0"/>
          <w:sz w:val="11"/>
          <w:szCs w:val="11"/>
        </w:rPr>
        <w:t xml:space="preserve"> </w:t>
      </w:r>
    </w:p>
    <w:p w14:paraId="5E587B1A">
      <w:pPr>
        <w:pStyle w:val="148"/>
        <w:topLinePunct/>
        <w:spacing w:line="440" w:lineRule="atLeast"/>
        <w:ind w:firstLine="420"/>
        <w:rPr>
          <w:rFonts w:hint="eastAsia" w:ascii="宋体" w:hAnsi="宋体" w:cs="宋体"/>
          <w:szCs w:val="24"/>
        </w:rPr>
      </w:pPr>
      <w:r>
        <w:rPr>
          <w:rFonts w:hint="eastAsia" w:ascii="宋体" w:hAnsi="宋体" w:cs="宋体"/>
          <w:szCs w:val="24"/>
          <w:u w:val="single"/>
        </w:rPr>
        <w:t xml:space="preserve">       </w:t>
      </w:r>
      <w:r>
        <w:rPr>
          <w:rFonts w:hint="eastAsia" w:ascii="宋体" w:hAnsi="宋体" w:cs="宋体"/>
          <w:szCs w:val="24"/>
        </w:rPr>
        <w:t>（所有成员单位名称）自愿组成联合体，共同参加</w:t>
      </w:r>
      <w:r>
        <w:rPr>
          <w:rFonts w:hint="eastAsia" w:ascii="宋体" w:hAnsi="宋体" w:cs="宋体"/>
          <w:szCs w:val="24"/>
          <w:u w:val="single"/>
        </w:rPr>
        <w:t xml:space="preserve">     </w:t>
      </w:r>
      <w:r>
        <w:rPr>
          <w:rFonts w:hint="eastAsia" w:ascii="宋体" w:hAnsi="宋体" w:cs="宋体"/>
          <w:szCs w:val="24"/>
        </w:rPr>
        <w:t>（项目名称）</w:t>
      </w:r>
      <w:r>
        <w:rPr>
          <w:rFonts w:hint="eastAsia" w:ascii="宋体" w:hAnsi="宋体" w:cs="宋体"/>
          <w:szCs w:val="24"/>
          <w:u w:val="single"/>
        </w:rPr>
        <w:t xml:space="preserve">      </w:t>
      </w:r>
      <w:r>
        <w:rPr>
          <w:rFonts w:hint="eastAsia" w:ascii="宋体" w:hAnsi="宋体" w:cs="宋体"/>
          <w:szCs w:val="24"/>
        </w:rPr>
        <w:t>的采购活动。现就联合体投标事宜订立如下协议。</w:t>
      </w:r>
    </w:p>
    <w:p w14:paraId="7BA061BD">
      <w:pPr>
        <w:pStyle w:val="148"/>
        <w:topLinePunct/>
        <w:spacing w:line="440" w:lineRule="atLeast"/>
        <w:ind w:firstLine="420"/>
        <w:rPr>
          <w:rFonts w:hint="eastAsia" w:ascii="宋体" w:hAnsi="宋体" w:cs="宋体"/>
          <w:szCs w:val="24"/>
        </w:rPr>
      </w:pPr>
      <w:r>
        <w:rPr>
          <w:rFonts w:hint="eastAsia" w:ascii="宋体" w:hAnsi="宋体" w:cs="宋体"/>
          <w:szCs w:val="24"/>
        </w:rPr>
        <w:t>1、</w:t>
      </w:r>
      <w:r>
        <w:rPr>
          <w:rFonts w:hint="eastAsia" w:ascii="宋体" w:hAnsi="宋体" w:cs="宋体"/>
          <w:szCs w:val="24"/>
          <w:u w:val="single"/>
        </w:rPr>
        <w:t xml:space="preserve">       </w:t>
      </w:r>
      <w:r>
        <w:rPr>
          <w:rFonts w:hint="eastAsia" w:ascii="宋体" w:hAnsi="宋体" w:cs="宋体"/>
          <w:szCs w:val="24"/>
        </w:rPr>
        <w:t>（某成员单位名称）为牵头人。</w:t>
      </w:r>
    </w:p>
    <w:p w14:paraId="554E4E1B">
      <w:pPr>
        <w:pStyle w:val="148"/>
        <w:topLinePunct/>
        <w:spacing w:line="440" w:lineRule="atLeast"/>
        <w:ind w:firstLine="420"/>
        <w:rPr>
          <w:rFonts w:hint="eastAsia" w:ascii="宋体" w:hAnsi="宋体" w:cs="宋体"/>
          <w:szCs w:val="24"/>
        </w:rPr>
      </w:pPr>
      <w:r>
        <w:rPr>
          <w:rFonts w:hint="eastAsia" w:ascii="宋体" w:hAnsi="宋体" w:cs="宋体"/>
          <w:szCs w:val="24"/>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71904565">
      <w:pPr>
        <w:pStyle w:val="148"/>
        <w:topLinePunct/>
        <w:spacing w:line="440" w:lineRule="atLeast"/>
        <w:ind w:firstLine="420"/>
        <w:rPr>
          <w:rFonts w:hint="eastAsia" w:ascii="宋体" w:hAnsi="宋体" w:cs="宋体"/>
          <w:szCs w:val="24"/>
        </w:rPr>
      </w:pPr>
      <w:r>
        <w:rPr>
          <w:rFonts w:hint="eastAsia" w:ascii="宋体" w:hAnsi="宋体" w:cs="宋体"/>
          <w:szCs w:val="24"/>
        </w:rPr>
        <w:t>3、联合体将严格按照招标文件的各项要求，递交投标文件，履行合同，并对外承担连带责任。</w:t>
      </w:r>
    </w:p>
    <w:p w14:paraId="2C37D8BE">
      <w:pPr>
        <w:pStyle w:val="148"/>
        <w:topLinePunct/>
        <w:spacing w:line="440" w:lineRule="atLeast"/>
        <w:ind w:firstLine="420"/>
        <w:rPr>
          <w:rFonts w:hint="eastAsia" w:ascii="宋体" w:hAnsi="宋体" w:cs="宋体"/>
          <w:szCs w:val="24"/>
        </w:rPr>
      </w:pPr>
      <w:r>
        <w:rPr>
          <w:rFonts w:hint="eastAsia" w:ascii="宋体" w:hAnsi="宋体" w:cs="宋体"/>
          <w:szCs w:val="24"/>
        </w:rPr>
        <w:t>4、联合体各成员单位内部的职责分工如下：</w:t>
      </w:r>
    </w:p>
    <w:p w14:paraId="514E370F">
      <w:pPr>
        <w:pStyle w:val="148"/>
        <w:topLinePunct/>
        <w:spacing w:line="440" w:lineRule="atLeast"/>
        <w:ind w:firstLine="420"/>
        <w:rPr>
          <w:rFonts w:hint="eastAsia" w:ascii="宋体" w:hAnsi="宋体" w:cs="宋体"/>
          <w:szCs w:val="24"/>
          <w:u w:val="single"/>
        </w:rPr>
      </w:pPr>
      <w:r>
        <w:rPr>
          <w:rFonts w:hint="eastAsia" w:ascii="宋体" w:hAnsi="宋体" w:cs="宋体"/>
          <w:szCs w:val="24"/>
        </w:rPr>
        <w:t>（1）牵头人单位：</w:t>
      </w:r>
      <w:r>
        <w:rPr>
          <w:rFonts w:hint="eastAsia" w:ascii="宋体" w:hAnsi="宋体" w:cs="宋体"/>
          <w:szCs w:val="24"/>
          <w:u w:val="single"/>
        </w:rPr>
        <w:t xml:space="preserve">         ，</w:t>
      </w:r>
      <w:r>
        <w:rPr>
          <w:rFonts w:hint="eastAsia" w:ascii="宋体" w:hAnsi="宋体" w:cs="宋体"/>
          <w:szCs w:val="24"/>
        </w:rPr>
        <w:t>分工：</w:t>
      </w:r>
      <w:r>
        <w:rPr>
          <w:rFonts w:hint="eastAsia" w:ascii="宋体" w:hAnsi="宋体" w:cs="宋体"/>
          <w:szCs w:val="24"/>
          <w:u w:val="single"/>
        </w:rPr>
        <w:t xml:space="preserve">               </w:t>
      </w:r>
    </w:p>
    <w:p w14:paraId="77750B91">
      <w:pPr>
        <w:pStyle w:val="148"/>
        <w:topLinePunct/>
        <w:spacing w:line="440" w:lineRule="atLeast"/>
        <w:ind w:firstLine="420"/>
        <w:rPr>
          <w:rFonts w:hint="eastAsia" w:ascii="宋体" w:hAnsi="宋体" w:cs="宋体"/>
          <w:szCs w:val="24"/>
          <w:u w:val="single"/>
        </w:rPr>
      </w:pPr>
      <w:r>
        <w:rPr>
          <w:rFonts w:hint="eastAsia" w:ascii="宋体" w:hAnsi="宋体" w:cs="宋体"/>
          <w:szCs w:val="24"/>
        </w:rPr>
        <w:t>（2）成员单位一：</w:t>
      </w:r>
      <w:r>
        <w:rPr>
          <w:rFonts w:hint="eastAsia" w:ascii="宋体" w:hAnsi="宋体" w:cs="宋体"/>
          <w:szCs w:val="24"/>
          <w:u w:val="single"/>
        </w:rPr>
        <w:t xml:space="preserve">         ，</w:t>
      </w:r>
      <w:r>
        <w:rPr>
          <w:rFonts w:hint="eastAsia" w:ascii="宋体" w:hAnsi="宋体" w:cs="宋体"/>
          <w:szCs w:val="24"/>
        </w:rPr>
        <w:t>分工：</w:t>
      </w:r>
      <w:r>
        <w:rPr>
          <w:rFonts w:hint="eastAsia" w:ascii="宋体" w:hAnsi="宋体" w:cs="宋体"/>
          <w:szCs w:val="24"/>
          <w:u w:val="single"/>
        </w:rPr>
        <w:t xml:space="preserve">               </w:t>
      </w:r>
    </w:p>
    <w:p w14:paraId="44460A7B">
      <w:pPr>
        <w:pStyle w:val="148"/>
        <w:topLinePunct/>
        <w:spacing w:line="440" w:lineRule="atLeast"/>
        <w:ind w:firstLine="420"/>
        <w:rPr>
          <w:rFonts w:hint="eastAsia" w:ascii="宋体" w:hAnsi="宋体" w:cs="宋体"/>
          <w:szCs w:val="24"/>
          <w:u w:val="single"/>
        </w:rPr>
      </w:pPr>
      <w:r>
        <w:rPr>
          <w:rFonts w:hint="eastAsia" w:ascii="宋体" w:hAnsi="宋体" w:cs="宋体"/>
          <w:szCs w:val="24"/>
        </w:rPr>
        <w:t>（2）成员单位二：</w:t>
      </w:r>
      <w:r>
        <w:rPr>
          <w:rFonts w:hint="eastAsia" w:ascii="宋体" w:hAnsi="宋体" w:cs="宋体"/>
          <w:szCs w:val="24"/>
          <w:u w:val="single"/>
        </w:rPr>
        <w:t xml:space="preserve">         ，</w:t>
      </w:r>
      <w:r>
        <w:rPr>
          <w:rFonts w:hint="eastAsia" w:ascii="宋体" w:hAnsi="宋体" w:cs="宋体"/>
          <w:szCs w:val="24"/>
        </w:rPr>
        <w:t>分工：</w:t>
      </w:r>
      <w:r>
        <w:rPr>
          <w:rFonts w:hint="eastAsia" w:ascii="宋体" w:hAnsi="宋体" w:cs="宋体"/>
          <w:szCs w:val="24"/>
          <w:u w:val="single"/>
        </w:rPr>
        <w:t xml:space="preserve">               </w:t>
      </w:r>
    </w:p>
    <w:p w14:paraId="09EC8FE2">
      <w:pPr>
        <w:pStyle w:val="148"/>
        <w:topLinePunct/>
        <w:spacing w:line="440" w:lineRule="atLeast"/>
        <w:ind w:firstLine="420"/>
        <w:rPr>
          <w:rFonts w:hint="eastAsia" w:ascii="宋体" w:hAnsi="宋体" w:cs="宋体"/>
          <w:szCs w:val="24"/>
        </w:rPr>
      </w:pPr>
      <w:r>
        <w:rPr>
          <w:rFonts w:hint="eastAsia" w:ascii="宋体" w:hAnsi="宋体" w:cs="宋体"/>
          <w:szCs w:val="24"/>
        </w:rPr>
        <w:t>…</w:t>
      </w:r>
    </w:p>
    <w:p w14:paraId="3A03AA14">
      <w:pPr>
        <w:pStyle w:val="148"/>
        <w:topLinePunct/>
        <w:spacing w:line="440" w:lineRule="atLeast"/>
        <w:ind w:firstLine="420"/>
        <w:rPr>
          <w:rFonts w:hint="eastAsia" w:ascii="宋体" w:hAnsi="宋体" w:cs="宋体"/>
          <w:szCs w:val="24"/>
        </w:rPr>
      </w:pPr>
      <w:r>
        <w:rPr>
          <w:rFonts w:hint="eastAsia" w:ascii="宋体" w:hAnsi="宋体" w:cs="宋体"/>
          <w:szCs w:val="24"/>
        </w:rPr>
        <w:t xml:space="preserve">5、本协议书自签署之日起生效，合同履行完毕后自动失效。 </w:t>
      </w:r>
    </w:p>
    <w:p w14:paraId="36A3F73A">
      <w:pPr>
        <w:pStyle w:val="148"/>
        <w:topLinePunct/>
        <w:spacing w:line="440" w:lineRule="atLeast"/>
        <w:ind w:firstLine="420"/>
        <w:rPr>
          <w:rFonts w:hint="eastAsia" w:ascii="宋体" w:hAnsi="宋体" w:cs="宋体"/>
          <w:szCs w:val="24"/>
        </w:rPr>
      </w:pPr>
      <w:r>
        <w:rPr>
          <w:rFonts w:hint="eastAsia" w:ascii="宋体" w:hAnsi="宋体" w:cs="宋体"/>
          <w:szCs w:val="24"/>
        </w:rPr>
        <w:t>6、本协议书一式</w:t>
      </w:r>
      <w:r>
        <w:rPr>
          <w:rFonts w:hint="eastAsia" w:ascii="宋体" w:hAnsi="宋体" w:cs="宋体"/>
          <w:szCs w:val="24"/>
          <w:u w:val="single"/>
        </w:rPr>
        <w:t xml:space="preserve">      </w:t>
      </w:r>
      <w:r>
        <w:rPr>
          <w:rFonts w:hint="eastAsia" w:ascii="宋体" w:hAnsi="宋体" w:cs="宋体"/>
          <w:szCs w:val="24"/>
        </w:rPr>
        <w:t>份，联合体牵头人、成员和采购人各执一份。</w:t>
      </w:r>
    </w:p>
    <w:p w14:paraId="2B2EB6B5">
      <w:pPr>
        <w:pStyle w:val="148"/>
        <w:topLinePunct/>
        <w:spacing w:line="440" w:lineRule="atLeast"/>
        <w:rPr>
          <w:rFonts w:hint="eastAsia" w:ascii="宋体" w:hAnsi="宋体" w:cs="宋体"/>
          <w:szCs w:val="24"/>
        </w:rPr>
      </w:pPr>
    </w:p>
    <w:p w14:paraId="072A22FD">
      <w:pPr>
        <w:pStyle w:val="148"/>
        <w:topLinePunct/>
        <w:spacing w:line="440" w:lineRule="atLeast"/>
        <w:rPr>
          <w:rFonts w:hint="eastAsia" w:ascii="宋体" w:hAnsi="宋体" w:cs="宋体"/>
          <w:szCs w:val="24"/>
        </w:rPr>
      </w:pPr>
      <w:r>
        <w:rPr>
          <w:rFonts w:hint="eastAsia" w:ascii="宋体" w:hAnsi="宋体" w:cs="宋体"/>
          <w:szCs w:val="24"/>
        </w:rPr>
        <w:t>牵头人名称：</w:t>
      </w:r>
      <w:r>
        <w:rPr>
          <w:rFonts w:hint="eastAsia" w:ascii="宋体" w:hAnsi="宋体" w:cs="宋体"/>
          <w:szCs w:val="24"/>
          <w:u w:val="single"/>
        </w:rPr>
        <w:t xml:space="preserve">                                 </w:t>
      </w:r>
      <w:r>
        <w:rPr>
          <w:rFonts w:hint="eastAsia" w:ascii="宋体" w:hAnsi="宋体" w:cs="宋体"/>
          <w:szCs w:val="24"/>
        </w:rPr>
        <w:t>（盖单位章）</w:t>
      </w:r>
    </w:p>
    <w:p w14:paraId="06B741DF">
      <w:pPr>
        <w:pStyle w:val="148"/>
        <w:topLinePunct/>
        <w:spacing w:line="440" w:lineRule="atLeast"/>
        <w:rPr>
          <w:rFonts w:hint="eastAsia"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44204D90">
      <w:pPr>
        <w:pStyle w:val="148"/>
        <w:topLinePunct/>
        <w:spacing w:line="440" w:lineRule="atLeast"/>
        <w:rPr>
          <w:rFonts w:hint="eastAsia" w:ascii="宋体" w:hAnsi="宋体" w:cs="宋体"/>
          <w:szCs w:val="24"/>
        </w:rPr>
      </w:pPr>
      <w:r>
        <w:rPr>
          <w:rFonts w:hint="eastAsia" w:ascii="宋体" w:hAnsi="宋体" w:cs="宋体"/>
          <w:szCs w:val="24"/>
        </w:rPr>
        <w:t xml:space="preserve"> </w:t>
      </w:r>
    </w:p>
    <w:p w14:paraId="6B347194">
      <w:pPr>
        <w:pStyle w:val="148"/>
        <w:topLinePunct/>
        <w:spacing w:line="440" w:lineRule="atLeast"/>
        <w:rPr>
          <w:rFonts w:hint="eastAsia" w:ascii="宋体" w:hAnsi="宋体" w:cs="宋体"/>
          <w:szCs w:val="24"/>
        </w:rPr>
      </w:pPr>
      <w:r>
        <w:rPr>
          <w:rFonts w:hint="eastAsia" w:ascii="宋体" w:hAnsi="宋体" w:cs="宋体"/>
          <w:szCs w:val="24"/>
        </w:rPr>
        <w:t>成员一名称：</w:t>
      </w:r>
      <w:r>
        <w:rPr>
          <w:rFonts w:hint="eastAsia" w:ascii="宋体" w:hAnsi="宋体" w:cs="宋体"/>
          <w:szCs w:val="24"/>
          <w:u w:val="single"/>
        </w:rPr>
        <w:t xml:space="preserve">                                 </w:t>
      </w:r>
      <w:r>
        <w:rPr>
          <w:rFonts w:hint="eastAsia" w:ascii="宋体" w:hAnsi="宋体" w:cs="宋体"/>
          <w:szCs w:val="24"/>
        </w:rPr>
        <w:t>（盖单位章）</w:t>
      </w:r>
    </w:p>
    <w:p w14:paraId="153C62B1">
      <w:pPr>
        <w:pStyle w:val="148"/>
        <w:topLinePunct/>
        <w:spacing w:line="440" w:lineRule="atLeast"/>
        <w:rPr>
          <w:rFonts w:hint="eastAsia"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1FF73F03">
      <w:pPr>
        <w:pStyle w:val="148"/>
        <w:topLinePunct/>
        <w:spacing w:line="440" w:lineRule="atLeast"/>
        <w:rPr>
          <w:rFonts w:hint="eastAsia" w:ascii="宋体" w:hAnsi="宋体" w:cs="宋体"/>
          <w:szCs w:val="24"/>
        </w:rPr>
      </w:pPr>
      <w:r>
        <w:rPr>
          <w:rFonts w:hint="eastAsia" w:ascii="宋体" w:hAnsi="宋体" w:cs="宋体"/>
          <w:szCs w:val="24"/>
        </w:rPr>
        <w:t xml:space="preserve"> </w:t>
      </w:r>
    </w:p>
    <w:p w14:paraId="69A1C7DA">
      <w:pPr>
        <w:pStyle w:val="148"/>
        <w:topLinePunct/>
        <w:spacing w:line="440" w:lineRule="atLeast"/>
        <w:rPr>
          <w:rFonts w:hint="eastAsia" w:ascii="宋体" w:hAnsi="宋体" w:cs="宋体"/>
          <w:szCs w:val="24"/>
        </w:rPr>
      </w:pPr>
      <w:r>
        <w:rPr>
          <w:rFonts w:hint="eastAsia" w:ascii="宋体" w:hAnsi="宋体" w:cs="宋体"/>
          <w:szCs w:val="24"/>
        </w:rPr>
        <w:t>成员二名称：</w:t>
      </w:r>
      <w:r>
        <w:rPr>
          <w:rFonts w:hint="eastAsia" w:ascii="宋体" w:hAnsi="宋体" w:cs="宋体"/>
          <w:szCs w:val="24"/>
          <w:u w:val="single"/>
        </w:rPr>
        <w:t xml:space="preserve">                                 </w:t>
      </w:r>
      <w:r>
        <w:rPr>
          <w:rFonts w:hint="eastAsia" w:ascii="宋体" w:hAnsi="宋体" w:cs="宋体"/>
          <w:szCs w:val="24"/>
        </w:rPr>
        <w:t>（盖单位章）</w:t>
      </w:r>
    </w:p>
    <w:p w14:paraId="122E6581">
      <w:pPr>
        <w:pStyle w:val="148"/>
        <w:topLinePunct/>
        <w:spacing w:line="440" w:lineRule="atLeast"/>
        <w:rPr>
          <w:rFonts w:hint="eastAsia" w:ascii="宋体" w:hAnsi="宋体" w:cs="宋体"/>
          <w:szCs w:val="24"/>
        </w:rPr>
      </w:pPr>
      <w:r>
        <w:rPr>
          <w:rFonts w:hint="eastAsia" w:ascii="宋体" w:hAnsi="宋体" w:cs="宋体"/>
          <w:szCs w:val="24"/>
        </w:rPr>
        <w:t>法定代表人（单位负责人）：</w:t>
      </w:r>
      <w:r>
        <w:rPr>
          <w:rFonts w:hint="eastAsia" w:ascii="宋体" w:hAnsi="宋体" w:cs="宋体"/>
          <w:szCs w:val="24"/>
          <w:u w:val="single"/>
        </w:rPr>
        <w:t xml:space="preserve">                 </w:t>
      </w:r>
      <w:r>
        <w:rPr>
          <w:rFonts w:hint="eastAsia" w:ascii="宋体" w:hAnsi="宋体" w:cs="宋体"/>
          <w:szCs w:val="24"/>
        </w:rPr>
        <w:t>（签字或盖章）</w:t>
      </w:r>
    </w:p>
    <w:p w14:paraId="7B802AF3">
      <w:pPr>
        <w:pStyle w:val="148"/>
        <w:topLinePunct/>
        <w:spacing w:line="440" w:lineRule="atLeast"/>
        <w:rPr>
          <w:rFonts w:hint="eastAsia" w:ascii="宋体" w:hAnsi="宋体" w:cs="宋体"/>
          <w:szCs w:val="24"/>
        </w:rPr>
      </w:pPr>
      <w:r>
        <w:rPr>
          <w:rFonts w:hint="eastAsia" w:ascii="宋体" w:hAnsi="宋体" w:cs="宋体"/>
          <w:szCs w:val="24"/>
        </w:rPr>
        <w:t>……</w:t>
      </w:r>
    </w:p>
    <w:p w14:paraId="35C39096">
      <w:pPr>
        <w:pStyle w:val="148"/>
        <w:ind w:firstLine="2879"/>
        <w:rPr>
          <w:rFonts w:hint="eastAsia" w:ascii="宋体" w:hAnsi="宋体" w:cs="宋体"/>
          <w:szCs w:val="24"/>
        </w:rPr>
      </w:pPr>
      <w:r>
        <w:rPr>
          <w:rFonts w:hint="eastAsia" w:ascii="宋体" w:hAnsi="宋体" w:cs="宋体"/>
          <w:szCs w:val="24"/>
          <w:u w:val="single"/>
        </w:rPr>
        <w:t xml:space="preserve">        </w:t>
      </w:r>
      <w:r>
        <w:rPr>
          <w:rFonts w:hint="eastAsia" w:ascii="宋体" w:hAnsi="宋体" w:cs="宋体"/>
          <w:szCs w:val="24"/>
        </w:rPr>
        <w:t>年</w:t>
      </w:r>
      <w:r>
        <w:rPr>
          <w:rFonts w:hint="eastAsia" w:ascii="宋体" w:hAnsi="宋体" w:cs="宋体"/>
          <w:szCs w:val="24"/>
          <w:u w:val="single"/>
        </w:rPr>
        <w:t xml:space="preserve">       </w:t>
      </w:r>
      <w:r>
        <w:rPr>
          <w:rFonts w:hint="eastAsia" w:ascii="宋体" w:hAnsi="宋体" w:cs="宋体"/>
          <w:szCs w:val="24"/>
        </w:rPr>
        <w:t>月</w:t>
      </w:r>
      <w:r>
        <w:rPr>
          <w:rFonts w:hint="eastAsia" w:ascii="宋体" w:hAnsi="宋体" w:cs="宋体"/>
          <w:szCs w:val="24"/>
          <w:u w:val="single"/>
        </w:rPr>
        <w:t xml:space="preserve">       </w:t>
      </w:r>
      <w:r>
        <w:rPr>
          <w:rFonts w:hint="eastAsia" w:ascii="宋体" w:hAnsi="宋体" w:cs="宋体"/>
          <w:szCs w:val="24"/>
        </w:rPr>
        <w:t>日</w:t>
      </w:r>
    </w:p>
    <w:p w14:paraId="6D64F297">
      <w:pPr>
        <w:widowControl/>
        <w:spacing w:line="200" w:lineRule="atLeast"/>
        <w:rPr>
          <w:rFonts w:hint="eastAsia" w:ascii="宋体" w:hAnsi="宋体" w:cs="宋体"/>
          <w:kern w:val="0"/>
          <w:sz w:val="24"/>
        </w:rPr>
      </w:pPr>
    </w:p>
    <w:p w14:paraId="60FE9140">
      <w:pPr>
        <w:widowControl/>
        <w:rPr>
          <w:rFonts w:hint="eastAsia" w:ascii="宋体" w:hAnsi="宋体" w:cs="宋体"/>
        </w:rPr>
      </w:pPr>
    </w:p>
    <w:p w14:paraId="2C106293">
      <w:pPr>
        <w:widowControl/>
        <w:rPr>
          <w:rFonts w:hint="eastAsia" w:ascii="宋体" w:hAnsi="宋体" w:cs="宋体"/>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22DA5CB8">
      <w:pPr>
        <w:pStyle w:val="3"/>
        <w:jc w:val="center"/>
        <w:rPr>
          <w:rFonts w:hint="eastAsia" w:ascii="宋体" w:hAnsi="宋体" w:cs="宋体"/>
          <w:b w:val="0"/>
        </w:rPr>
      </w:pPr>
      <w:r>
        <w:rPr>
          <w:rFonts w:hint="eastAsia" w:ascii="宋体" w:hAnsi="宋体" w:cs="宋体"/>
          <w:b w:val="0"/>
        </w:rPr>
        <w:t>七、投标保证金</w:t>
      </w:r>
    </w:p>
    <w:p w14:paraId="698A1274">
      <w:pPr>
        <w:spacing w:line="440" w:lineRule="exact"/>
        <w:rPr>
          <w:rFonts w:hint="eastAsia" w:ascii="宋体" w:hAnsi="宋体" w:cs="宋体"/>
          <w:szCs w:val="21"/>
        </w:rPr>
      </w:pPr>
      <w:r>
        <w:rPr>
          <w:rFonts w:hint="eastAsia" w:ascii="宋体" w:hAnsi="宋体" w:cs="宋体"/>
          <w:szCs w:val="21"/>
        </w:rPr>
        <w:t>若采用转账或支票，投标人应在此提供汇款凭证的复印件。</w:t>
      </w:r>
    </w:p>
    <w:p w14:paraId="5B99AEA2">
      <w:pPr>
        <w:widowControl/>
        <w:rPr>
          <w:rFonts w:hint="eastAsia" w:ascii="宋体" w:hAnsi="宋体" w:cs="宋体"/>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3308B850">
      <w:pPr>
        <w:pStyle w:val="3"/>
        <w:widowControl/>
        <w:spacing w:before="120" w:after="120" w:line="240" w:lineRule="auto"/>
        <w:jc w:val="center"/>
        <w:rPr>
          <w:rStyle w:val="98"/>
          <w:rFonts w:hint="eastAsia" w:ascii="宋体" w:hAnsi="宋体" w:eastAsia="宋体" w:cs="宋体"/>
          <w:b/>
          <w:bCs w:val="0"/>
          <w:sz w:val="30"/>
          <w:szCs w:val="30"/>
        </w:rPr>
      </w:pPr>
      <w:r>
        <w:rPr>
          <w:rStyle w:val="98"/>
          <w:rFonts w:hint="eastAsia" w:ascii="宋体" w:hAnsi="宋体" w:eastAsia="宋体" w:cs="宋体"/>
          <w:b/>
          <w:bCs w:val="0"/>
          <w:sz w:val="30"/>
          <w:szCs w:val="30"/>
        </w:rPr>
        <w:t>八、资格证明文件</w:t>
      </w:r>
    </w:p>
    <w:p w14:paraId="6272F20E">
      <w:pPr>
        <w:pStyle w:val="4"/>
        <w:keepNext w:val="0"/>
        <w:tabs>
          <w:tab w:val="left" w:pos="1260"/>
        </w:tabs>
        <w:jc w:val="center"/>
        <w:rPr>
          <w:rFonts w:hint="eastAsia" w:cs="宋体"/>
          <w:sz w:val="20"/>
          <w:szCs w:val="20"/>
          <w:lang w:eastAsia="zh-CN"/>
        </w:rPr>
      </w:pPr>
      <w:r>
        <w:rPr>
          <w:rFonts w:hint="eastAsia" w:cs="宋体"/>
          <w:bCs w:val="0"/>
          <w:sz w:val="21"/>
          <w:szCs w:val="21"/>
          <w:lang w:eastAsia="zh-CN"/>
        </w:rPr>
        <w:t>（一）投标人基本情况表</w:t>
      </w:r>
    </w:p>
    <w:tbl>
      <w:tblPr>
        <w:tblStyle w:val="47"/>
        <w:tblW w:w="9255" w:type="dxa"/>
        <w:tblInd w:w="209" w:type="dxa"/>
        <w:tblLayout w:type="fixed"/>
        <w:tblCellMar>
          <w:top w:w="0" w:type="dxa"/>
          <w:left w:w="108" w:type="dxa"/>
          <w:bottom w:w="0" w:type="dxa"/>
          <w:right w:w="108" w:type="dxa"/>
        </w:tblCellMar>
      </w:tblPr>
      <w:tblGrid>
        <w:gridCol w:w="1648"/>
        <w:gridCol w:w="984"/>
        <w:gridCol w:w="1662"/>
        <w:gridCol w:w="684"/>
        <w:gridCol w:w="400"/>
        <w:gridCol w:w="1083"/>
        <w:gridCol w:w="169"/>
        <w:gridCol w:w="358"/>
        <w:gridCol w:w="542"/>
        <w:gridCol w:w="1725"/>
      </w:tblGrid>
      <w:tr w14:paraId="5AC7F18A">
        <w:tblPrEx>
          <w:tblCellMar>
            <w:top w:w="0" w:type="dxa"/>
            <w:left w:w="108" w:type="dxa"/>
            <w:bottom w:w="0" w:type="dxa"/>
            <w:right w:w="108" w:type="dxa"/>
          </w:tblCellMar>
        </w:tblPrEx>
        <w:trPr>
          <w:trHeight w:val="418"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6A91C86C">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投标人名称</w:t>
            </w:r>
          </w:p>
        </w:tc>
        <w:tc>
          <w:tcPr>
            <w:tcW w:w="7607" w:type="dxa"/>
            <w:gridSpan w:val="9"/>
            <w:tcBorders>
              <w:top w:val="single" w:color="000000" w:sz="4" w:space="0"/>
              <w:left w:val="nil"/>
              <w:bottom w:val="single" w:color="000000" w:sz="4" w:space="0"/>
              <w:right w:val="single" w:color="000000" w:sz="4" w:space="0"/>
            </w:tcBorders>
            <w:noWrap w:val="0"/>
            <w:vAlign w:val="center"/>
          </w:tcPr>
          <w:p w14:paraId="74CEC20A">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33CC9300">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502007AF">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注册地址</w:t>
            </w:r>
          </w:p>
        </w:tc>
        <w:tc>
          <w:tcPr>
            <w:tcW w:w="3730" w:type="dxa"/>
            <w:gridSpan w:val="4"/>
            <w:tcBorders>
              <w:top w:val="single" w:color="000000" w:sz="4" w:space="0"/>
              <w:left w:val="nil"/>
              <w:bottom w:val="single" w:color="000000" w:sz="4" w:space="0"/>
              <w:right w:val="single" w:color="000000" w:sz="4" w:space="0"/>
            </w:tcBorders>
            <w:noWrap w:val="0"/>
            <w:vAlign w:val="center"/>
          </w:tcPr>
          <w:p w14:paraId="3DD98ADA">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1083" w:type="dxa"/>
            <w:tcBorders>
              <w:top w:val="single" w:color="000000" w:sz="4" w:space="0"/>
              <w:left w:val="nil"/>
              <w:bottom w:val="single" w:color="000000" w:sz="4" w:space="0"/>
              <w:right w:val="single" w:color="000000" w:sz="4" w:space="0"/>
            </w:tcBorders>
            <w:noWrap w:val="0"/>
            <w:vAlign w:val="center"/>
          </w:tcPr>
          <w:p w14:paraId="63B39768">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邮政编码</w:t>
            </w:r>
          </w:p>
        </w:tc>
        <w:tc>
          <w:tcPr>
            <w:tcW w:w="2794" w:type="dxa"/>
            <w:gridSpan w:val="4"/>
            <w:tcBorders>
              <w:top w:val="single" w:color="000000" w:sz="4" w:space="0"/>
              <w:left w:val="nil"/>
              <w:bottom w:val="single" w:color="000000" w:sz="4" w:space="0"/>
              <w:right w:val="single" w:color="000000" w:sz="4" w:space="0"/>
            </w:tcBorders>
            <w:noWrap w:val="0"/>
            <w:vAlign w:val="center"/>
          </w:tcPr>
          <w:p w14:paraId="4B50CB18">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6C08528C">
        <w:tblPrEx>
          <w:tblCellMar>
            <w:top w:w="0" w:type="dxa"/>
            <w:left w:w="108" w:type="dxa"/>
            <w:bottom w:w="0" w:type="dxa"/>
            <w:right w:w="108" w:type="dxa"/>
          </w:tblCellMar>
        </w:tblPrEx>
        <w:trPr>
          <w:trHeight w:val="419" w:hRule="atLeast"/>
        </w:trPr>
        <w:tc>
          <w:tcPr>
            <w:tcW w:w="1648" w:type="dxa"/>
            <w:vMerge w:val="restart"/>
            <w:tcBorders>
              <w:top w:val="nil"/>
              <w:left w:val="single" w:color="000000" w:sz="4" w:space="0"/>
              <w:bottom w:val="single" w:color="000000" w:sz="4" w:space="0"/>
              <w:right w:val="single" w:color="000000" w:sz="4" w:space="0"/>
            </w:tcBorders>
            <w:noWrap w:val="0"/>
            <w:vAlign w:val="center"/>
          </w:tcPr>
          <w:p w14:paraId="53960E0B">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联系方式</w:t>
            </w:r>
          </w:p>
        </w:tc>
        <w:tc>
          <w:tcPr>
            <w:tcW w:w="984" w:type="dxa"/>
            <w:tcBorders>
              <w:top w:val="single" w:color="000000" w:sz="4" w:space="0"/>
              <w:left w:val="nil"/>
              <w:bottom w:val="single" w:color="000000" w:sz="4" w:space="0"/>
              <w:right w:val="single" w:color="000000" w:sz="4" w:space="0"/>
            </w:tcBorders>
            <w:noWrap w:val="0"/>
            <w:vAlign w:val="center"/>
          </w:tcPr>
          <w:p w14:paraId="7EDE53EC">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联系人</w:t>
            </w:r>
          </w:p>
        </w:tc>
        <w:tc>
          <w:tcPr>
            <w:tcW w:w="2746" w:type="dxa"/>
            <w:gridSpan w:val="3"/>
            <w:tcBorders>
              <w:top w:val="single" w:color="000000" w:sz="4" w:space="0"/>
              <w:left w:val="nil"/>
              <w:bottom w:val="single" w:color="000000" w:sz="4" w:space="0"/>
              <w:right w:val="single" w:color="000000" w:sz="4" w:space="0"/>
            </w:tcBorders>
            <w:noWrap w:val="0"/>
            <w:vAlign w:val="center"/>
          </w:tcPr>
          <w:p w14:paraId="44E460BB">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1083" w:type="dxa"/>
            <w:tcBorders>
              <w:top w:val="single" w:color="000000" w:sz="4" w:space="0"/>
              <w:left w:val="nil"/>
              <w:bottom w:val="single" w:color="000000" w:sz="4" w:space="0"/>
              <w:right w:val="single" w:color="000000" w:sz="4" w:space="0"/>
            </w:tcBorders>
            <w:noWrap w:val="0"/>
            <w:vAlign w:val="center"/>
          </w:tcPr>
          <w:p w14:paraId="6112B09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电话</w:t>
            </w:r>
          </w:p>
        </w:tc>
        <w:tc>
          <w:tcPr>
            <w:tcW w:w="2794" w:type="dxa"/>
            <w:gridSpan w:val="4"/>
            <w:tcBorders>
              <w:top w:val="single" w:color="000000" w:sz="4" w:space="0"/>
              <w:left w:val="nil"/>
              <w:bottom w:val="single" w:color="000000" w:sz="4" w:space="0"/>
              <w:right w:val="single" w:color="000000" w:sz="4" w:space="0"/>
            </w:tcBorders>
            <w:noWrap w:val="0"/>
            <w:vAlign w:val="center"/>
          </w:tcPr>
          <w:p w14:paraId="55B2091E">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0A6FB905">
        <w:tblPrEx>
          <w:tblCellMar>
            <w:top w:w="0" w:type="dxa"/>
            <w:left w:w="108" w:type="dxa"/>
            <w:bottom w:w="0" w:type="dxa"/>
            <w:right w:w="108" w:type="dxa"/>
          </w:tblCellMar>
        </w:tblPrEx>
        <w:trPr>
          <w:trHeight w:val="419" w:hRule="atLeast"/>
        </w:trPr>
        <w:tc>
          <w:tcPr>
            <w:tcW w:w="1648" w:type="dxa"/>
            <w:vMerge w:val="continue"/>
            <w:tcBorders>
              <w:top w:val="nil"/>
              <w:left w:val="single" w:color="000000" w:sz="4" w:space="0"/>
              <w:bottom w:val="single" w:color="000000" w:sz="4" w:space="0"/>
              <w:right w:val="single" w:color="000000" w:sz="4" w:space="0"/>
            </w:tcBorders>
            <w:noWrap w:val="0"/>
            <w:vAlign w:val="center"/>
          </w:tcPr>
          <w:p w14:paraId="00D0D08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984" w:type="dxa"/>
            <w:tcBorders>
              <w:top w:val="single" w:color="000000" w:sz="4" w:space="0"/>
              <w:left w:val="nil"/>
              <w:bottom w:val="single" w:color="000000" w:sz="4" w:space="0"/>
              <w:right w:val="single" w:color="000000" w:sz="4" w:space="0"/>
            </w:tcBorders>
            <w:noWrap w:val="0"/>
            <w:vAlign w:val="center"/>
          </w:tcPr>
          <w:p w14:paraId="4F39B78B">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传真</w:t>
            </w:r>
          </w:p>
        </w:tc>
        <w:tc>
          <w:tcPr>
            <w:tcW w:w="2746" w:type="dxa"/>
            <w:gridSpan w:val="3"/>
            <w:tcBorders>
              <w:top w:val="single" w:color="000000" w:sz="4" w:space="0"/>
              <w:left w:val="nil"/>
              <w:bottom w:val="single" w:color="000000" w:sz="4" w:space="0"/>
              <w:right w:val="single" w:color="000000" w:sz="4" w:space="0"/>
            </w:tcBorders>
            <w:noWrap w:val="0"/>
            <w:vAlign w:val="center"/>
          </w:tcPr>
          <w:p w14:paraId="4587EF2A">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1083" w:type="dxa"/>
            <w:tcBorders>
              <w:top w:val="single" w:color="000000" w:sz="4" w:space="0"/>
              <w:left w:val="nil"/>
              <w:bottom w:val="single" w:color="000000" w:sz="4" w:space="0"/>
              <w:right w:val="single" w:color="000000" w:sz="4" w:space="0"/>
            </w:tcBorders>
            <w:noWrap w:val="0"/>
            <w:vAlign w:val="center"/>
          </w:tcPr>
          <w:p w14:paraId="64E9D2CF">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网址</w:t>
            </w:r>
          </w:p>
        </w:tc>
        <w:tc>
          <w:tcPr>
            <w:tcW w:w="2794" w:type="dxa"/>
            <w:gridSpan w:val="4"/>
            <w:tcBorders>
              <w:top w:val="single" w:color="000000" w:sz="4" w:space="0"/>
              <w:left w:val="nil"/>
              <w:bottom w:val="single" w:color="000000" w:sz="4" w:space="0"/>
              <w:right w:val="single" w:color="000000" w:sz="4" w:space="0"/>
            </w:tcBorders>
            <w:noWrap w:val="0"/>
            <w:vAlign w:val="center"/>
          </w:tcPr>
          <w:p w14:paraId="6207A916">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00CC632F">
        <w:tblPrEx>
          <w:tblCellMar>
            <w:top w:w="0" w:type="dxa"/>
            <w:left w:w="108" w:type="dxa"/>
            <w:bottom w:w="0" w:type="dxa"/>
            <w:right w:w="108" w:type="dxa"/>
          </w:tblCellMar>
        </w:tblPrEx>
        <w:trPr>
          <w:trHeight w:val="418"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482A0BDE">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法定代表人</w:t>
            </w:r>
          </w:p>
          <w:p w14:paraId="24E1B68A">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（单位负责人）</w:t>
            </w:r>
          </w:p>
        </w:tc>
        <w:tc>
          <w:tcPr>
            <w:tcW w:w="984" w:type="dxa"/>
            <w:tcBorders>
              <w:top w:val="single" w:color="000000" w:sz="4" w:space="0"/>
              <w:left w:val="nil"/>
              <w:bottom w:val="single" w:color="000000" w:sz="4" w:space="0"/>
              <w:right w:val="single" w:color="000000" w:sz="4" w:space="0"/>
            </w:tcBorders>
            <w:noWrap w:val="0"/>
            <w:vAlign w:val="center"/>
          </w:tcPr>
          <w:p w14:paraId="553FC72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姓名</w:t>
            </w:r>
          </w:p>
        </w:tc>
        <w:tc>
          <w:tcPr>
            <w:tcW w:w="1662" w:type="dxa"/>
            <w:tcBorders>
              <w:top w:val="single" w:color="000000" w:sz="4" w:space="0"/>
              <w:left w:val="nil"/>
              <w:bottom w:val="single" w:color="000000" w:sz="4" w:space="0"/>
              <w:right w:val="single" w:color="000000" w:sz="4" w:space="0"/>
            </w:tcBorders>
            <w:noWrap w:val="0"/>
            <w:vAlign w:val="center"/>
          </w:tcPr>
          <w:p w14:paraId="0F4D28A3">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1084" w:type="dxa"/>
            <w:gridSpan w:val="2"/>
            <w:tcBorders>
              <w:top w:val="single" w:color="000000" w:sz="4" w:space="0"/>
              <w:left w:val="nil"/>
              <w:bottom w:val="single" w:color="000000" w:sz="4" w:space="0"/>
              <w:right w:val="single" w:color="000000" w:sz="4" w:space="0"/>
            </w:tcBorders>
            <w:noWrap w:val="0"/>
            <w:vAlign w:val="center"/>
          </w:tcPr>
          <w:p w14:paraId="7B03BBA7">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技术职称</w:t>
            </w:r>
          </w:p>
        </w:tc>
        <w:tc>
          <w:tcPr>
            <w:tcW w:w="1252" w:type="dxa"/>
            <w:gridSpan w:val="2"/>
            <w:tcBorders>
              <w:top w:val="single" w:color="000000" w:sz="4" w:space="0"/>
              <w:left w:val="nil"/>
              <w:bottom w:val="single" w:color="000000" w:sz="4" w:space="0"/>
              <w:right w:val="single" w:color="000000" w:sz="4" w:space="0"/>
            </w:tcBorders>
            <w:noWrap w:val="0"/>
            <w:vAlign w:val="center"/>
          </w:tcPr>
          <w:p w14:paraId="207E5722">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900" w:type="dxa"/>
            <w:gridSpan w:val="2"/>
            <w:tcBorders>
              <w:top w:val="single" w:color="000000" w:sz="4" w:space="0"/>
              <w:left w:val="nil"/>
              <w:bottom w:val="single" w:color="000000" w:sz="4" w:space="0"/>
              <w:right w:val="single" w:color="000000" w:sz="4" w:space="0"/>
            </w:tcBorders>
            <w:noWrap w:val="0"/>
            <w:vAlign w:val="center"/>
          </w:tcPr>
          <w:p w14:paraId="5410073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电话</w:t>
            </w:r>
          </w:p>
        </w:tc>
        <w:tc>
          <w:tcPr>
            <w:tcW w:w="1725" w:type="dxa"/>
            <w:tcBorders>
              <w:top w:val="single" w:color="000000" w:sz="4" w:space="0"/>
              <w:left w:val="nil"/>
              <w:bottom w:val="single" w:color="000000" w:sz="4" w:space="0"/>
              <w:right w:val="single" w:color="000000" w:sz="4" w:space="0"/>
            </w:tcBorders>
            <w:noWrap w:val="0"/>
            <w:vAlign w:val="center"/>
          </w:tcPr>
          <w:p w14:paraId="6D1F44B0">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4736623D">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5369C4D3">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成立时间</w:t>
            </w:r>
          </w:p>
        </w:tc>
        <w:tc>
          <w:tcPr>
            <w:tcW w:w="2646" w:type="dxa"/>
            <w:gridSpan w:val="2"/>
            <w:tcBorders>
              <w:top w:val="single" w:color="000000" w:sz="4" w:space="0"/>
              <w:left w:val="nil"/>
              <w:bottom w:val="single" w:color="000000" w:sz="4" w:space="0"/>
              <w:right w:val="single" w:color="000000" w:sz="4" w:space="0"/>
            </w:tcBorders>
            <w:noWrap w:val="0"/>
            <w:vAlign w:val="center"/>
          </w:tcPr>
          <w:p w14:paraId="539AF820">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4961" w:type="dxa"/>
            <w:gridSpan w:val="7"/>
            <w:tcBorders>
              <w:top w:val="single" w:color="000000" w:sz="4" w:space="0"/>
              <w:left w:val="nil"/>
              <w:bottom w:val="single" w:color="000000" w:sz="4" w:space="0"/>
              <w:right w:val="single" w:color="000000" w:sz="4" w:space="0"/>
            </w:tcBorders>
            <w:noWrap w:val="0"/>
            <w:vAlign w:val="center"/>
          </w:tcPr>
          <w:p w14:paraId="656FF24D">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员工总人数：</w:t>
            </w:r>
          </w:p>
        </w:tc>
      </w:tr>
      <w:tr w14:paraId="6989A041">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7448D12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许可证及级别</w:t>
            </w:r>
          </w:p>
        </w:tc>
        <w:tc>
          <w:tcPr>
            <w:tcW w:w="2646" w:type="dxa"/>
            <w:gridSpan w:val="2"/>
            <w:tcBorders>
              <w:top w:val="single" w:color="000000" w:sz="4" w:space="0"/>
              <w:left w:val="nil"/>
              <w:bottom w:val="single" w:color="000000" w:sz="4" w:space="0"/>
              <w:right w:val="single" w:color="000000" w:sz="4" w:space="0"/>
            </w:tcBorders>
            <w:noWrap w:val="0"/>
            <w:vAlign w:val="center"/>
          </w:tcPr>
          <w:p w14:paraId="5568ADDE">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 xml:space="preserve">           （如有）</w:t>
            </w:r>
          </w:p>
        </w:tc>
        <w:tc>
          <w:tcPr>
            <w:tcW w:w="684" w:type="dxa"/>
            <w:vMerge w:val="restart"/>
            <w:tcBorders>
              <w:top w:val="nil"/>
              <w:left w:val="nil"/>
              <w:bottom w:val="single" w:color="000000" w:sz="4" w:space="0"/>
              <w:right w:val="single" w:color="000000" w:sz="4" w:space="0"/>
            </w:tcBorders>
            <w:noWrap w:val="0"/>
            <w:vAlign w:val="center"/>
          </w:tcPr>
          <w:p w14:paraId="6A64BA1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其中</w:t>
            </w:r>
          </w:p>
        </w:tc>
        <w:tc>
          <w:tcPr>
            <w:tcW w:w="2010" w:type="dxa"/>
            <w:gridSpan w:val="4"/>
            <w:tcBorders>
              <w:top w:val="single" w:color="000000" w:sz="4" w:space="0"/>
              <w:left w:val="nil"/>
              <w:bottom w:val="single" w:color="000000" w:sz="4" w:space="0"/>
              <w:right w:val="single" w:color="000000" w:sz="4" w:space="0"/>
            </w:tcBorders>
            <w:noWrap w:val="0"/>
            <w:vAlign w:val="center"/>
          </w:tcPr>
          <w:p w14:paraId="19DA53B3">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高级职称人员</w:t>
            </w:r>
          </w:p>
        </w:tc>
        <w:tc>
          <w:tcPr>
            <w:tcW w:w="2267" w:type="dxa"/>
            <w:gridSpan w:val="2"/>
            <w:tcBorders>
              <w:top w:val="single" w:color="000000" w:sz="4" w:space="0"/>
              <w:left w:val="nil"/>
              <w:bottom w:val="single" w:color="000000" w:sz="4" w:space="0"/>
              <w:right w:val="single" w:color="000000" w:sz="4" w:space="0"/>
            </w:tcBorders>
            <w:noWrap w:val="0"/>
            <w:vAlign w:val="center"/>
          </w:tcPr>
          <w:p w14:paraId="3714682E">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07031ED1">
        <w:tblPrEx>
          <w:tblCellMar>
            <w:top w:w="0" w:type="dxa"/>
            <w:left w:w="108" w:type="dxa"/>
            <w:bottom w:w="0" w:type="dxa"/>
            <w:right w:w="108" w:type="dxa"/>
          </w:tblCellMar>
        </w:tblPrEx>
        <w:trPr>
          <w:trHeight w:val="418"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343C606D">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营业执照号</w:t>
            </w:r>
          </w:p>
        </w:tc>
        <w:tc>
          <w:tcPr>
            <w:tcW w:w="2646" w:type="dxa"/>
            <w:gridSpan w:val="2"/>
            <w:tcBorders>
              <w:top w:val="single" w:color="000000" w:sz="4" w:space="0"/>
              <w:left w:val="nil"/>
              <w:bottom w:val="single" w:color="000000" w:sz="4" w:space="0"/>
              <w:right w:val="single" w:color="000000" w:sz="4" w:space="0"/>
            </w:tcBorders>
            <w:noWrap w:val="0"/>
            <w:vAlign w:val="center"/>
          </w:tcPr>
          <w:p w14:paraId="62C9E92D">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684" w:type="dxa"/>
            <w:vMerge w:val="continue"/>
            <w:tcBorders>
              <w:top w:val="nil"/>
              <w:left w:val="nil"/>
              <w:bottom w:val="single" w:color="000000" w:sz="4" w:space="0"/>
              <w:right w:val="single" w:color="000000" w:sz="4" w:space="0"/>
            </w:tcBorders>
            <w:noWrap w:val="0"/>
            <w:vAlign w:val="center"/>
          </w:tcPr>
          <w:p w14:paraId="2FE5A252">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2010" w:type="dxa"/>
            <w:gridSpan w:val="4"/>
            <w:tcBorders>
              <w:top w:val="single" w:color="000000" w:sz="4" w:space="0"/>
              <w:left w:val="nil"/>
              <w:bottom w:val="single" w:color="000000" w:sz="4" w:space="0"/>
              <w:right w:val="single" w:color="000000" w:sz="4" w:space="0"/>
            </w:tcBorders>
            <w:noWrap w:val="0"/>
            <w:vAlign w:val="center"/>
          </w:tcPr>
          <w:p w14:paraId="165B832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中级职称人员</w:t>
            </w:r>
          </w:p>
        </w:tc>
        <w:tc>
          <w:tcPr>
            <w:tcW w:w="2267" w:type="dxa"/>
            <w:gridSpan w:val="2"/>
            <w:tcBorders>
              <w:top w:val="single" w:color="000000" w:sz="4" w:space="0"/>
              <w:left w:val="nil"/>
              <w:bottom w:val="single" w:color="000000" w:sz="4" w:space="0"/>
              <w:right w:val="single" w:color="000000" w:sz="4" w:space="0"/>
            </w:tcBorders>
            <w:noWrap w:val="0"/>
            <w:vAlign w:val="center"/>
          </w:tcPr>
          <w:p w14:paraId="55460AC5">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290B8D18">
        <w:tblPrEx>
          <w:tblCellMar>
            <w:top w:w="0" w:type="dxa"/>
            <w:left w:w="108" w:type="dxa"/>
            <w:bottom w:w="0" w:type="dxa"/>
            <w:right w:w="108" w:type="dxa"/>
          </w:tblCellMar>
        </w:tblPrEx>
        <w:trPr>
          <w:trHeight w:val="419"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66A31AA5">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注册资金</w:t>
            </w:r>
          </w:p>
        </w:tc>
        <w:tc>
          <w:tcPr>
            <w:tcW w:w="2646" w:type="dxa"/>
            <w:gridSpan w:val="2"/>
            <w:tcBorders>
              <w:top w:val="single" w:color="000000" w:sz="4" w:space="0"/>
              <w:left w:val="nil"/>
              <w:bottom w:val="single" w:color="000000" w:sz="4" w:space="0"/>
              <w:right w:val="single" w:color="000000" w:sz="4" w:space="0"/>
            </w:tcBorders>
            <w:noWrap w:val="0"/>
            <w:vAlign w:val="center"/>
          </w:tcPr>
          <w:p w14:paraId="4372C112">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684" w:type="dxa"/>
            <w:vMerge w:val="continue"/>
            <w:tcBorders>
              <w:top w:val="nil"/>
              <w:left w:val="nil"/>
              <w:bottom w:val="single" w:color="000000" w:sz="4" w:space="0"/>
              <w:right w:val="single" w:color="000000" w:sz="4" w:space="0"/>
            </w:tcBorders>
            <w:noWrap w:val="0"/>
            <w:vAlign w:val="center"/>
          </w:tcPr>
          <w:p w14:paraId="3551B923">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2010" w:type="dxa"/>
            <w:gridSpan w:val="4"/>
            <w:tcBorders>
              <w:top w:val="single" w:color="000000" w:sz="4" w:space="0"/>
              <w:left w:val="nil"/>
              <w:bottom w:val="single" w:color="000000" w:sz="4" w:space="0"/>
              <w:right w:val="single" w:color="000000" w:sz="4" w:space="0"/>
            </w:tcBorders>
            <w:noWrap w:val="0"/>
            <w:vAlign w:val="center"/>
          </w:tcPr>
          <w:p w14:paraId="6933F12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初级职称人员</w:t>
            </w:r>
          </w:p>
        </w:tc>
        <w:tc>
          <w:tcPr>
            <w:tcW w:w="2267" w:type="dxa"/>
            <w:gridSpan w:val="2"/>
            <w:tcBorders>
              <w:top w:val="single" w:color="000000" w:sz="4" w:space="0"/>
              <w:left w:val="nil"/>
              <w:bottom w:val="single" w:color="000000" w:sz="4" w:space="0"/>
              <w:right w:val="single" w:color="000000" w:sz="4" w:space="0"/>
            </w:tcBorders>
            <w:noWrap w:val="0"/>
            <w:vAlign w:val="center"/>
          </w:tcPr>
          <w:p w14:paraId="1664869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3AFADFCD">
        <w:tblPrEx>
          <w:tblCellMar>
            <w:top w:w="0" w:type="dxa"/>
            <w:left w:w="108" w:type="dxa"/>
            <w:bottom w:w="0" w:type="dxa"/>
            <w:right w:w="108" w:type="dxa"/>
          </w:tblCellMar>
        </w:tblPrEx>
        <w:trPr>
          <w:trHeight w:val="554"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231CCDF0">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2646" w:type="dxa"/>
            <w:gridSpan w:val="2"/>
            <w:tcBorders>
              <w:top w:val="single" w:color="000000" w:sz="4" w:space="0"/>
              <w:left w:val="nil"/>
              <w:bottom w:val="single" w:color="000000" w:sz="4" w:space="0"/>
              <w:right w:val="single" w:color="000000" w:sz="4" w:space="0"/>
            </w:tcBorders>
            <w:noWrap w:val="0"/>
            <w:vAlign w:val="center"/>
          </w:tcPr>
          <w:p w14:paraId="42FE370C">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684" w:type="dxa"/>
            <w:vMerge w:val="continue"/>
            <w:tcBorders>
              <w:top w:val="nil"/>
              <w:left w:val="nil"/>
              <w:bottom w:val="single" w:color="000000" w:sz="4" w:space="0"/>
              <w:right w:val="single" w:color="000000" w:sz="4" w:space="0"/>
            </w:tcBorders>
            <w:noWrap w:val="0"/>
            <w:vAlign w:val="center"/>
          </w:tcPr>
          <w:p w14:paraId="5B471BD3">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c>
          <w:tcPr>
            <w:tcW w:w="2010" w:type="dxa"/>
            <w:gridSpan w:val="4"/>
            <w:tcBorders>
              <w:top w:val="single" w:color="000000" w:sz="4" w:space="0"/>
              <w:left w:val="nil"/>
              <w:bottom w:val="single" w:color="000000" w:sz="4" w:space="0"/>
              <w:right w:val="single" w:color="000000" w:sz="4" w:space="0"/>
            </w:tcBorders>
            <w:noWrap w:val="0"/>
            <w:vAlign w:val="center"/>
          </w:tcPr>
          <w:p w14:paraId="6859C86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其他人员</w:t>
            </w:r>
          </w:p>
        </w:tc>
        <w:tc>
          <w:tcPr>
            <w:tcW w:w="2267" w:type="dxa"/>
            <w:gridSpan w:val="2"/>
            <w:tcBorders>
              <w:top w:val="single" w:color="000000" w:sz="4" w:space="0"/>
              <w:left w:val="nil"/>
              <w:bottom w:val="single" w:color="000000" w:sz="4" w:space="0"/>
              <w:right w:val="single" w:color="000000" w:sz="4" w:space="0"/>
            </w:tcBorders>
            <w:noWrap w:val="0"/>
            <w:vAlign w:val="center"/>
          </w:tcPr>
          <w:p w14:paraId="2924039E">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49A4348A">
        <w:tblPrEx>
          <w:tblCellMar>
            <w:top w:w="0" w:type="dxa"/>
            <w:left w:w="108" w:type="dxa"/>
            <w:bottom w:w="0" w:type="dxa"/>
            <w:right w:w="108" w:type="dxa"/>
          </w:tblCellMar>
        </w:tblPrEx>
        <w:trPr>
          <w:trHeight w:val="1822"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48114025">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经营范围</w:t>
            </w:r>
          </w:p>
        </w:tc>
        <w:tc>
          <w:tcPr>
            <w:tcW w:w="7607" w:type="dxa"/>
            <w:gridSpan w:val="9"/>
            <w:tcBorders>
              <w:top w:val="single" w:color="000000" w:sz="4" w:space="0"/>
              <w:left w:val="nil"/>
              <w:bottom w:val="single" w:color="000000" w:sz="4" w:space="0"/>
              <w:right w:val="single" w:color="000000" w:sz="4" w:space="0"/>
            </w:tcBorders>
            <w:noWrap w:val="0"/>
            <w:vAlign w:val="center"/>
          </w:tcPr>
          <w:p w14:paraId="44BB730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r w14:paraId="30B28425">
        <w:tblPrEx>
          <w:tblCellMar>
            <w:top w:w="0" w:type="dxa"/>
            <w:left w:w="108" w:type="dxa"/>
            <w:bottom w:w="0" w:type="dxa"/>
            <w:right w:w="108" w:type="dxa"/>
          </w:tblCellMar>
        </w:tblPrEx>
        <w:trPr>
          <w:trHeight w:val="1235"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21296A5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关联企业</w:t>
            </w:r>
          </w:p>
        </w:tc>
        <w:tc>
          <w:tcPr>
            <w:tcW w:w="7607" w:type="dxa"/>
            <w:gridSpan w:val="9"/>
            <w:tcBorders>
              <w:top w:val="single" w:color="000000" w:sz="4" w:space="0"/>
              <w:left w:val="nil"/>
              <w:bottom w:val="single" w:color="000000" w:sz="4" w:space="0"/>
              <w:right w:val="single" w:color="000000" w:sz="4" w:space="0"/>
            </w:tcBorders>
            <w:noWrap w:val="0"/>
            <w:vAlign w:val="center"/>
          </w:tcPr>
          <w:p w14:paraId="562F9896">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与本单位负责人为同一人的单位：</w:t>
            </w:r>
          </w:p>
          <w:p w14:paraId="628792DF">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与本单位存在直接控股关系的单位：</w:t>
            </w:r>
          </w:p>
          <w:p w14:paraId="40613932">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与本单位存在管理关系的单位：</w:t>
            </w:r>
          </w:p>
        </w:tc>
      </w:tr>
      <w:tr w14:paraId="17E2F940">
        <w:tblPrEx>
          <w:tblCellMar>
            <w:top w:w="0" w:type="dxa"/>
            <w:left w:w="108" w:type="dxa"/>
            <w:bottom w:w="0" w:type="dxa"/>
            <w:right w:w="108" w:type="dxa"/>
          </w:tblCellMar>
        </w:tblPrEx>
        <w:trPr>
          <w:trHeight w:val="852" w:hRule="atLeast"/>
        </w:trPr>
        <w:tc>
          <w:tcPr>
            <w:tcW w:w="1648" w:type="dxa"/>
            <w:tcBorders>
              <w:top w:val="single" w:color="000000" w:sz="4" w:space="0"/>
              <w:left w:val="single" w:color="000000" w:sz="4" w:space="0"/>
              <w:bottom w:val="single" w:color="000000" w:sz="4" w:space="0"/>
              <w:right w:val="single" w:color="000000" w:sz="4" w:space="0"/>
            </w:tcBorders>
            <w:noWrap w:val="0"/>
            <w:vAlign w:val="center"/>
          </w:tcPr>
          <w:p w14:paraId="55341E09">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r>
              <w:rPr>
                <w:rFonts w:hint="eastAsia" w:ascii="宋体" w:hAnsi="宋体" w:cs="宋体"/>
                <w:kern w:val="0"/>
                <w:szCs w:val="21"/>
              </w:rPr>
              <w:t>备注</w:t>
            </w:r>
          </w:p>
        </w:tc>
        <w:tc>
          <w:tcPr>
            <w:tcW w:w="7607" w:type="dxa"/>
            <w:gridSpan w:val="9"/>
            <w:tcBorders>
              <w:top w:val="single" w:color="000000" w:sz="4" w:space="0"/>
              <w:left w:val="nil"/>
              <w:bottom w:val="single" w:color="000000" w:sz="4" w:space="0"/>
              <w:right w:val="single" w:color="000000" w:sz="4" w:space="0"/>
            </w:tcBorders>
            <w:noWrap w:val="0"/>
            <w:vAlign w:val="center"/>
          </w:tcPr>
          <w:p w14:paraId="78BC2BD1">
            <w:pPr>
              <w:keepNext w:val="0"/>
              <w:keepLines w:val="0"/>
              <w:widowControl/>
              <w:suppressLineNumbers w:val="0"/>
              <w:adjustRightInd w:val="0"/>
              <w:snapToGrid w:val="0"/>
              <w:spacing w:before="0" w:beforeAutospacing="0" w:after="0" w:afterAutospacing="0"/>
              <w:ind w:left="0" w:right="0"/>
              <w:rPr>
                <w:rFonts w:hint="eastAsia" w:ascii="宋体" w:hAnsi="宋体" w:cs="宋体"/>
                <w:kern w:val="0"/>
                <w:szCs w:val="21"/>
              </w:rPr>
            </w:pPr>
          </w:p>
        </w:tc>
      </w:tr>
    </w:tbl>
    <w:p w14:paraId="6B81AB4B">
      <w:pPr>
        <w:widowControl/>
        <w:spacing w:line="200" w:lineRule="atLeast"/>
        <w:rPr>
          <w:rFonts w:hint="eastAsia" w:ascii="宋体" w:hAnsi="宋体" w:cs="宋体"/>
          <w:kern w:val="0"/>
          <w:sz w:val="20"/>
          <w:szCs w:val="20"/>
        </w:rPr>
      </w:pPr>
    </w:p>
    <w:p w14:paraId="2EA3E8CE">
      <w:pPr>
        <w:widowControl/>
        <w:rPr>
          <w:rFonts w:hint="eastAsia" w:ascii="宋体" w:hAnsi="宋体" w:cs="宋体"/>
        </w:rPr>
      </w:pPr>
    </w:p>
    <w:p w14:paraId="61AC1852">
      <w:pPr>
        <w:pStyle w:val="4"/>
        <w:keepNext w:val="0"/>
        <w:tabs>
          <w:tab w:val="left" w:pos="1260"/>
        </w:tabs>
        <w:jc w:val="center"/>
        <w:rPr>
          <w:rFonts w:hint="eastAsia" w:cs="宋体"/>
          <w:bCs w:val="0"/>
          <w:sz w:val="21"/>
          <w:szCs w:val="21"/>
          <w:lang w:eastAsia="zh-CN"/>
        </w:rPr>
        <w:sectPr>
          <w:footerReference r:id="rId15" w:type="even"/>
          <w:footnotePr>
            <w:numFmt w:val="decimalEnclosedCircleChinese"/>
            <w:numRestart w:val="eachPage"/>
          </w:footnotePr>
          <w:pgSz w:w="11906" w:h="16838"/>
          <w:pgMar w:top="1134" w:right="1134" w:bottom="1134" w:left="1134" w:header="851" w:footer="851" w:gutter="0"/>
          <w:cols w:space="720" w:num="1"/>
          <w:docGrid w:linePitch="312" w:charSpace="0"/>
        </w:sectPr>
      </w:pPr>
    </w:p>
    <w:p w14:paraId="35B688E7">
      <w:pPr>
        <w:pStyle w:val="4"/>
        <w:keepNext w:val="0"/>
        <w:tabs>
          <w:tab w:val="left" w:pos="1260"/>
        </w:tabs>
        <w:jc w:val="center"/>
        <w:rPr>
          <w:rFonts w:hint="eastAsia" w:cs="宋体"/>
          <w:sz w:val="20"/>
          <w:szCs w:val="20"/>
          <w:lang w:eastAsia="zh-CN"/>
        </w:rPr>
      </w:pPr>
      <w:r>
        <w:rPr>
          <w:rFonts w:hint="eastAsia" w:cs="宋体"/>
          <w:bCs w:val="0"/>
          <w:sz w:val="21"/>
          <w:szCs w:val="21"/>
          <w:lang w:eastAsia="zh-CN"/>
        </w:rPr>
        <w:t>（二）招标文件要求的相关资质证明</w:t>
      </w:r>
    </w:p>
    <w:p w14:paraId="0724736A">
      <w:pPr>
        <w:rPr>
          <w:rFonts w:hint="eastAsia" w:ascii="宋体" w:hAnsi="宋体" w:cs="宋体"/>
        </w:rPr>
      </w:pPr>
      <w:r>
        <w:rPr>
          <w:rFonts w:hint="eastAsia" w:ascii="宋体" w:hAnsi="宋体" w:cs="宋体"/>
        </w:rPr>
        <w:t>1、投标人相关符合要求的资质证明文件：</w:t>
      </w:r>
    </w:p>
    <w:p w14:paraId="41D134EF">
      <w:pPr>
        <w:rPr>
          <w:rFonts w:hint="eastAsia" w:ascii="宋体" w:hAnsi="宋体" w:cs="宋体"/>
          <w:b/>
        </w:rPr>
      </w:pPr>
      <w:r>
        <w:rPr>
          <w:rFonts w:hint="eastAsia" w:ascii="宋体" w:hAnsi="宋体" w:cs="宋体"/>
          <w:b/>
        </w:rPr>
        <w:t>1-1企业法人营业执照副本(全本)复印件</w:t>
      </w:r>
    </w:p>
    <w:p w14:paraId="4F23AA63">
      <w:pPr>
        <w:rPr>
          <w:rFonts w:hint="eastAsia" w:ascii="宋体" w:hAnsi="宋体" w:cs="宋体"/>
          <w:sz w:val="18"/>
          <w:szCs w:val="18"/>
        </w:rPr>
      </w:pPr>
      <w:r>
        <w:rPr>
          <w:rFonts w:hint="eastAsia" w:ascii="宋体" w:hAnsi="宋体" w:cs="宋体"/>
          <w:sz w:val="18"/>
          <w:szCs w:val="18"/>
        </w:rPr>
        <w:t>注：投标人提供资料复印件。</w:t>
      </w:r>
    </w:p>
    <w:p w14:paraId="01A91B1C">
      <w:pPr>
        <w:rPr>
          <w:rFonts w:hint="eastAsia" w:ascii="宋体" w:hAnsi="宋体" w:cs="宋体"/>
          <w:sz w:val="18"/>
          <w:szCs w:val="18"/>
        </w:rPr>
      </w:pPr>
    </w:p>
    <w:p w14:paraId="581D212E">
      <w:pPr>
        <w:rPr>
          <w:rFonts w:hint="eastAsia" w:ascii="宋体" w:hAnsi="宋体" w:cs="宋体"/>
          <w:b/>
        </w:rPr>
      </w:pPr>
      <w:r>
        <w:rPr>
          <w:rFonts w:hint="eastAsia" w:ascii="宋体" w:hAnsi="宋体" w:cs="宋体"/>
          <w:b/>
        </w:rPr>
        <w:t>1-2投标保证金凭证复印件</w:t>
      </w:r>
    </w:p>
    <w:p w14:paraId="7CD84E4C">
      <w:pPr>
        <w:rPr>
          <w:rFonts w:hint="eastAsia" w:ascii="宋体" w:hAnsi="宋体" w:cs="宋体"/>
          <w:sz w:val="18"/>
          <w:szCs w:val="18"/>
        </w:rPr>
      </w:pPr>
      <w:r>
        <w:rPr>
          <w:rFonts w:hint="eastAsia" w:ascii="宋体" w:hAnsi="宋体" w:cs="宋体"/>
          <w:sz w:val="18"/>
          <w:szCs w:val="18"/>
        </w:rPr>
        <w:t>注：投标人提供资料复印件。</w:t>
      </w:r>
    </w:p>
    <w:p w14:paraId="2436AF7D">
      <w:pPr>
        <w:rPr>
          <w:rFonts w:hint="eastAsia" w:ascii="宋体" w:hAnsi="宋体" w:cs="宋体"/>
          <w:sz w:val="18"/>
          <w:szCs w:val="18"/>
        </w:rPr>
      </w:pPr>
    </w:p>
    <w:p w14:paraId="489F01F9">
      <w:pPr>
        <w:rPr>
          <w:rFonts w:hint="eastAsia" w:ascii="宋体" w:hAnsi="宋体" w:cs="宋体"/>
          <w:b/>
        </w:rPr>
      </w:pPr>
      <w:r>
        <w:rPr>
          <w:rFonts w:hint="eastAsia" w:ascii="宋体" w:hAnsi="宋体" w:cs="宋体"/>
          <w:b/>
        </w:rPr>
        <w:t>1-3资质证书副本(全本)复印件（如有）</w:t>
      </w:r>
    </w:p>
    <w:p w14:paraId="7BF33917">
      <w:pPr>
        <w:rPr>
          <w:rFonts w:hint="eastAsia" w:ascii="宋体" w:hAnsi="宋体" w:cs="宋体"/>
          <w:snapToGrid w:val="0"/>
          <w:sz w:val="18"/>
          <w:szCs w:val="18"/>
        </w:rPr>
      </w:pPr>
      <w:r>
        <w:rPr>
          <w:rFonts w:hint="eastAsia" w:ascii="宋体" w:hAnsi="宋体" w:cs="宋体"/>
          <w:sz w:val="18"/>
          <w:szCs w:val="18"/>
        </w:rPr>
        <w:t>注：</w:t>
      </w:r>
      <w:r>
        <w:rPr>
          <w:rFonts w:hint="eastAsia" w:ascii="宋体" w:hAnsi="宋体" w:cs="宋体"/>
          <w:snapToGrid w:val="0"/>
          <w:sz w:val="18"/>
          <w:szCs w:val="18"/>
        </w:rPr>
        <w:t>资质证书包括但不限于投标货物生产（制造）、销售、服务（安装、改造、维修、保养）许可证及有关投标货物（产品）有效鉴定证明等材料。投标人提供资料复印件。</w:t>
      </w:r>
    </w:p>
    <w:p w14:paraId="126A7EDB">
      <w:pPr>
        <w:rPr>
          <w:rFonts w:hint="eastAsia" w:ascii="宋体" w:hAnsi="宋体" w:cs="宋体"/>
          <w:szCs w:val="21"/>
        </w:rPr>
      </w:pPr>
    </w:p>
    <w:p w14:paraId="4BEE911F">
      <w:pPr>
        <w:rPr>
          <w:rFonts w:hint="eastAsia" w:ascii="宋体" w:hAnsi="宋体" w:cs="宋体"/>
          <w:b/>
        </w:rPr>
      </w:pPr>
      <w:r>
        <w:rPr>
          <w:rFonts w:hint="eastAsia" w:ascii="宋体" w:hAnsi="宋体" w:cs="宋体"/>
          <w:b/>
        </w:rPr>
        <w:t>1-4财务状况报告</w:t>
      </w:r>
    </w:p>
    <w:p w14:paraId="67677801">
      <w:pPr>
        <w:rPr>
          <w:rFonts w:hint="eastAsia" w:ascii="宋体" w:hAnsi="宋体" w:cs="宋体"/>
          <w:sz w:val="18"/>
          <w:szCs w:val="18"/>
        </w:rPr>
      </w:pPr>
      <w:r>
        <w:rPr>
          <w:rFonts w:hint="eastAsia" w:ascii="宋体" w:hAnsi="宋体" w:cs="宋体"/>
          <w:sz w:val="18"/>
          <w:szCs w:val="18"/>
        </w:rPr>
        <w:t>注：投标人提供资料复印件。</w:t>
      </w:r>
    </w:p>
    <w:p w14:paraId="3B279DAD">
      <w:pPr>
        <w:rPr>
          <w:rFonts w:hint="eastAsia" w:ascii="宋体" w:hAnsi="宋体" w:cs="宋体"/>
          <w:b/>
        </w:rPr>
      </w:pPr>
    </w:p>
    <w:p w14:paraId="46004A67">
      <w:pPr>
        <w:rPr>
          <w:rFonts w:hint="eastAsia" w:ascii="宋体" w:hAnsi="宋体" w:cs="宋体"/>
          <w:b/>
        </w:rPr>
      </w:pPr>
      <w:r>
        <w:rPr>
          <w:rFonts w:hint="eastAsia" w:ascii="宋体" w:hAnsi="宋体" w:cs="宋体"/>
          <w:b/>
        </w:rPr>
        <w:t>1-5社会保险登记证或缴纳凭证</w:t>
      </w:r>
    </w:p>
    <w:p w14:paraId="35E8B174">
      <w:pPr>
        <w:rPr>
          <w:rFonts w:hint="eastAsia" w:ascii="宋体" w:hAnsi="宋体" w:cs="宋体"/>
          <w:sz w:val="18"/>
          <w:szCs w:val="18"/>
        </w:rPr>
      </w:pPr>
      <w:r>
        <w:rPr>
          <w:rFonts w:hint="eastAsia" w:ascii="宋体" w:hAnsi="宋体" w:cs="宋体"/>
          <w:sz w:val="18"/>
          <w:szCs w:val="18"/>
        </w:rPr>
        <w:t>注：投标人提供资料复印件。</w:t>
      </w:r>
    </w:p>
    <w:p w14:paraId="5D05ABF9">
      <w:pPr>
        <w:rPr>
          <w:rFonts w:hint="eastAsia" w:ascii="宋体" w:hAnsi="宋体" w:cs="宋体"/>
          <w:b/>
        </w:rPr>
      </w:pPr>
    </w:p>
    <w:p w14:paraId="41C1175A">
      <w:pPr>
        <w:rPr>
          <w:rFonts w:hint="eastAsia" w:ascii="宋体" w:hAnsi="宋体" w:cs="宋体"/>
          <w:b/>
        </w:rPr>
      </w:pPr>
      <w:r>
        <w:rPr>
          <w:rFonts w:hint="eastAsia" w:ascii="宋体" w:hAnsi="宋体" w:cs="宋体"/>
          <w:b/>
        </w:rPr>
        <w:t>1-6制造商的相关资质证明（如有）</w:t>
      </w:r>
    </w:p>
    <w:p w14:paraId="52106B2E">
      <w:pPr>
        <w:rPr>
          <w:rFonts w:hint="eastAsia" w:ascii="宋体" w:hAnsi="宋体" w:cs="宋体"/>
          <w:sz w:val="18"/>
          <w:szCs w:val="18"/>
        </w:rPr>
      </w:pPr>
      <w:r>
        <w:rPr>
          <w:rFonts w:hint="eastAsia" w:ascii="宋体" w:hAnsi="宋体" w:cs="宋体"/>
          <w:sz w:val="18"/>
          <w:szCs w:val="18"/>
        </w:rPr>
        <w:t>注：投标人提供资料复印件。</w:t>
      </w:r>
    </w:p>
    <w:p w14:paraId="4C5A4D3A">
      <w:pPr>
        <w:rPr>
          <w:rFonts w:hint="eastAsia" w:ascii="宋体" w:hAnsi="宋体" w:cs="宋体"/>
          <w:b/>
        </w:rPr>
      </w:pPr>
    </w:p>
    <w:p w14:paraId="49B76300">
      <w:pPr>
        <w:rPr>
          <w:rFonts w:hint="eastAsia" w:ascii="宋体" w:hAnsi="宋体" w:cs="宋体"/>
          <w:b/>
        </w:rPr>
      </w:pPr>
      <w:r>
        <w:rPr>
          <w:rFonts w:hint="eastAsia" w:ascii="宋体" w:hAnsi="宋体" w:cs="宋体"/>
          <w:b/>
        </w:rPr>
        <w:t>1-7产品的相关资质证明文件</w:t>
      </w:r>
    </w:p>
    <w:p w14:paraId="4C8D5DF3">
      <w:pPr>
        <w:rPr>
          <w:rFonts w:hint="eastAsia" w:ascii="宋体" w:hAnsi="宋体" w:cs="宋体"/>
          <w:sz w:val="18"/>
          <w:szCs w:val="18"/>
        </w:rPr>
      </w:pPr>
      <w:r>
        <w:rPr>
          <w:rFonts w:hint="eastAsia" w:ascii="宋体" w:hAnsi="宋体" w:cs="宋体"/>
          <w:sz w:val="18"/>
          <w:szCs w:val="18"/>
        </w:rPr>
        <w:t>注：投标人提供资料复印件。</w:t>
      </w:r>
    </w:p>
    <w:p w14:paraId="46A75BFC">
      <w:pPr>
        <w:rPr>
          <w:rFonts w:hint="eastAsia" w:ascii="宋体" w:hAnsi="宋体" w:cs="宋体"/>
          <w:b/>
        </w:rPr>
      </w:pPr>
    </w:p>
    <w:p w14:paraId="5563720C">
      <w:pPr>
        <w:rPr>
          <w:rFonts w:hint="eastAsia" w:ascii="宋体" w:hAnsi="宋体" w:cs="宋体"/>
          <w:b/>
        </w:rPr>
      </w:pPr>
      <w:r>
        <w:rPr>
          <w:rFonts w:hint="eastAsia" w:ascii="宋体" w:hAnsi="宋体" w:cs="宋体"/>
          <w:b/>
        </w:rPr>
        <w:t>1-8其他要求的相关资质证书复印件（如有）</w:t>
      </w:r>
    </w:p>
    <w:p w14:paraId="5964CC53">
      <w:pPr>
        <w:rPr>
          <w:rFonts w:hint="eastAsia" w:ascii="宋体" w:hAnsi="宋体" w:cs="宋体"/>
          <w:sz w:val="18"/>
          <w:szCs w:val="18"/>
        </w:rPr>
      </w:pPr>
      <w:r>
        <w:rPr>
          <w:rFonts w:hint="eastAsia" w:ascii="宋体" w:hAnsi="宋体" w:cs="宋体"/>
          <w:sz w:val="18"/>
          <w:szCs w:val="18"/>
        </w:rPr>
        <w:t>注：投标人提供资料复印件。</w:t>
      </w:r>
    </w:p>
    <w:p w14:paraId="076E27D0">
      <w:pPr>
        <w:widowControl/>
        <w:tabs>
          <w:tab w:val="left" w:pos="5580"/>
        </w:tabs>
        <w:spacing w:line="360" w:lineRule="auto"/>
        <w:rPr>
          <w:rFonts w:hint="eastAsia" w:ascii="宋体" w:hAnsi="宋体" w:cs="宋体"/>
          <w:szCs w:val="21"/>
        </w:rPr>
      </w:pPr>
    </w:p>
    <w:p w14:paraId="1ABB493A">
      <w:pPr>
        <w:widowControl/>
        <w:tabs>
          <w:tab w:val="left" w:pos="5580"/>
        </w:tabs>
        <w:spacing w:line="360" w:lineRule="auto"/>
        <w:rPr>
          <w:rFonts w:hint="eastAsia" w:ascii="宋体" w:hAnsi="宋体" w:cs="宋体"/>
          <w:b/>
          <w:szCs w:val="21"/>
        </w:rPr>
      </w:pPr>
      <w:r>
        <w:rPr>
          <w:rFonts w:hint="eastAsia" w:ascii="宋体" w:hAnsi="宋体" w:cs="宋体"/>
          <w:b/>
          <w:szCs w:val="21"/>
        </w:rPr>
        <w:t>注意对照采购公告（邀请）及评审办法规定，提供各类资质证明材料</w:t>
      </w:r>
    </w:p>
    <w:p w14:paraId="45B015BF">
      <w:pPr>
        <w:widowControl/>
        <w:tabs>
          <w:tab w:val="left" w:pos="5580"/>
        </w:tabs>
        <w:spacing w:line="360" w:lineRule="auto"/>
        <w:rPr>
          <w:rFonts w:hint="eastAsia" w:ascii="宋体" w:hAnsi="宋体" w:cs="宋体"/>
          <w:szCs w:val="21"/>
        </w:rPr>
      </w:pPr>
    </w:p>
    <w:p w14:paraId="1B2EF111">
      <w:pPr>
        <w:pStyle w:val="4"/>
        <w:keepNext w:val="0"/>
        <w:tabs>
          <w:tab w:val="left" w:pos="1260"/>
        </w:tabs>
        <w:jc w:val="center"/>
        <w:rPr>
          <w:rFonts w:hint="eastAsia" w:cs="宋体"/>
          <w:bCs w:val="0"/>
          <w:sz w:val="21"/>
          <w:szCs w:val="21"/>
          <w:lang w:eastAsia="zh-CN"/>
        </w:rPr>
      </w:pPr>
      <w:r>
        <w:rPr>
          <w:rFonts w:hint="eastAsia" w:cs="宋体"/>
          <w:bCs w:val="0"/>
          <w:sz w:val="21"/>
          <w:szCs w:val="21"/>
          <w:lang w:eastAsia="zh-CN"/>
        </w:rPr>
        <w:t>（三）无重大违法记录声明函</w:t>
      </w:r>
    </w:p>
    <w:p w14:paraId="71323AB3">
      <w:pPr>
        <w:snapToGrid w:val="0"/>
        <w:spacing w:line="360" w:lineRule="auto"/>
        <w:rPr>
          <w:rFonts w:hint="eastAsia" w:ascii="宋体" w:hAnsi="宋体" w:cs="宋体"/>
          <w:u w:val="single"/>
          <w:lang w:bidi="en-US"/>
        </w:rPr>
      </w:pPr>
      <w:r>
        <w:rPr>
          <w:rFonts w:hint="eastAsia" w:ascii="宋体" w:hAnsi="宋体" w:cs="宋体"/>
          <w:lang w:bidi="en-US"/>
        </w:rPr>
        <w:t>致：</w:t>
      </w:r>
      <w:r>
        <w:rPr>
          <w:rFonts w:hint="eastAsia" w:ascii="宋体" w:hAnsi="宋体" w:cs="宋体"/>
          <w:u w:val="single"/>
          <w:lang w:bidi="en-US"/>
        </w:rPr>
        <w:t xml:space="preserve">       采购人名称        </w:t>
      </w:r>
    </w:p>
    <w:p w14:paraId="58D13770">
      <w:pPr>
        <w:snapToGrid w:val="0"/>
        <w:spacing w:line="360" w:lineRule="auto"/>
        <w:rPr>
          <w:rFonts w:hint="eastAsia" w:ascii="宋体" w:hAnsi="宋体" w:cs="宋体"/>
          <w:lang w:bidi="en-US"/>
        </w:rPr>
      </w:pPr>
      <w:r>
        <w:rPr>
          <w:rFonts w:hint="eastAsia" w:ascii="宋体" w:hAnsi="宋体" w:cs="宋体"/>
          <w:lang w:bidi="en-US"/>
        </w:rPr>
        <w:t xml:space="preserve">    </w:t>
      </w:r>
      <w:r>
        <w:rPr>
          <w:rFonts w:hint="eastAsia" w:ascii="宋体" w:hAnsi="宋体" w:cs="宋体"/>
          <w:u w:val="single"/>
          <w:lang w:bidi="en-US"/>
        </w:rPr>
        <w:t xml:space="preserve">  安徽省招标集团股份有限公司</w:t>
      </w:r>
    </w:p>
    <w:p w14:paraId="2C13F7C2">
      <w:pPr>
        <w:snapToGrid w:val="0"/>
        <w:spacing w:line="360" w:lineRule="auto"/>
        <w:ind w:firstLine="420" w:firstLineChars="200"/>
        <w:rPr>
          <w:rFonts w:hint="eastAsia" w:ascii="宋体" w:hAnsi="宋体" w:cs="宋体"/>
          <w:lang w:bidi="en-US"/>
        </w:rPr>
      </w:pPr>
      <w:r>
        <w:rPr>
          <w:rFonts w:hint="eastAsia" w:ascii="宋体" w:hAnsi="宋体" w:cs="宋体"/>
          <w:lang w:bidi="en-US"/>
        </w:rPr>
        <w:t>本单位郑重声明，根据《中华人民共和国政府采购法》及《中华人民共和国政府采购法实施条例》的规定，参加政府采购活动前三年内，本单位在经营活动中没有重大违法记录，没有因违法经营受到刑事处罚或者责令停产停业、吊销许可证或者执照、较大数额罚款等行政处罚。</w:t>
      </w:r>
    </w:p>
    <w:p w14:paraId="7E641F97">
      <w:pPr>
        <w:snapToGrid w:val="0"/>
        <w:spacing w:line="360" w:lineRule="auto"/>
        <w:ind w:firstLine="420" w:firstLineChars="200"/>
        <w:rPr>
          <w:rFonts w:hint="eastAsia" w:ascii="宋体" w:hAnsi="宋体" w:cs="宋体"/>
          <w:lang w:bidi="en-US"/>
        </w:rPr>
      </w:pPr>
      <w:r>
        <w:rPr>
          <w:rFonts w:hint="eastAsia" w:ascii="宋体" w:hAnsi="宋体" w:cs="宋体"/>
          <w:lang w:bidi="en-US"/>
        </w:rPr>
        <w:t>本单位对上述声明的真实性负责。如有虚假，将依法承担相应责任。</w:t>
      </w:r>
    </w:p>
    <w:p w14:paraId="2F76A528">
      <w:pPr>
        <w:rPr>
          <w:rFonts w:hint="eastAsia" w:ascii="宋体" w:hAnsi="宋体" w:cs="宋体"/>
          <w:lang w:bidi="en-US"/>
        </w:rPr>
      </w:pPr>
    </w:p>
    <w:p w14:paraId="2D9FE132">
      <w:pPr>
        <w:jc w:val="center"/>
        <w:rPr>
          <w:rFonts w:hint="eastAsia" w:ascii="宋体" w:hAnsi="宋体" w:cs="宋体"/>
          <w:u w:val="single"/>
          <w:lang w:bidi="en-US"/>
        </w:rPr>
      </w:pPr>
      <w:r>
        <w:rPr>
          <w:rFonts w:hint="eastAsia" w:ascii="宋体" w:hAnsi="宋体" w:cs="宋体"/>
          <w:lang w:bidi="en-US"/>
        </w:rPr>
        <w:t xml:space="preserve">                   投标人：</w:t>
      </w:r>
      <w:r>
        <w:rPr>
          <w:rFonts w:hint="eastAsia" w:ascii="宋体" w:hAnsi="宋体" w:cs="宋体"/>
          <w:u w:val="single"/>
          <w:lang w:bidi="en-US"/>
        </w:rPr>
        <w:t xml:space="preserve">       （盖单位章）</w:t>
      </w:r>
    </w:p>
    <w:p w14:paraId="0E9A4B29">
      <w:pPr>
        <w:jc w:val="center"/>
        <w:rPr>
          <w:rFonts w:hint="eastAsia" w:ascii="宋体" w:hAnsi="宋体" w:cs="宋体"/>
          <w:u w:val="single"/>
          <w:lang w:bidi="en-US"/>
        </w:rPr>
      </w:pPr>
      <w:r>
        <w:rPr>
          <w:rFonts w:hint="eastAsia" w:ascii="宋体" w:hAnsi="宋体" w:cs="宋体"/>
          <w:lang w:bidi="en-US"/>
        </w:rPr>
        <w:t>日  期：</w:t>
      </w:r>
      <w:r>
        <w:rPr>
          <w:rFonts w:hint="eastAsia" w:ascii="宋体" w:hAnsi="宋体" w:cs="宋体"/>
          <w:u w:val="single"/>
          <w:lang w:bidi="en-US"/>
        </w:rPr>
        <w:t xml:space="preserve">                   </w:t>
      </w:r>
    </w:p>
    <w:p w14:paraId="78FA0151">
      <w:pPr>
        <w:rPr>
          <w:rFonts w:hint="eastAsia" w:ascii="宋体" w:hAnsi="宋体" w:cs="宋体"/>
          <w:lang w:bidi="en-US"/>
        </w:rPr>
      </w:pPr>
    </w:p>
    <w:p w14:paraId="7A8A118D">
      <w:pPr>
        <w:rPr>
          <w:rFonts w:hint="eastAsia" w:ascii="宋体" w:hAnsi="宋体" w:cs="宋体"/>
          <w:lang w:bidi="en-US"/>
        </w:rPr>
      </w:pPr>
    </w:p>
    <w:p w14:paraId="7951677C">
      <w:pPr>
        <w:rPr>
          <w:rFonts w:hint="eastAsia" w:ascii="宋体" w:hAnsi="宋体" w:cs="宋体"/>
          <w:lang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A3B5447">
      <w:pPr>
        <w:pStyle w:val="4"/>
        <w:keepNext w:val="0"/>
        <w:tabs>
          <w:tab w:val="left" w:pos="1260"/>
        </w:tabs>
        <w:jc w:val="center"/>
        <w:rPr>
          <w:rFonts w:hint="eastAsia" w:cs="宋体"/>
          <w:bCs w:val="0"/>
          <w:sz w:val="21"/>
          <w:szCs w:val="21"/>
          <w:lang w:eastAsia="zh-CN"/>
        </w:rPr>
      </w:pPr>
      <w:r>
        <w:rPr>
          <w:rFonts w:hint="eastAsia" w:cs="宋体"/>
          <w:bCs w:val="0"/>
          <w:sz w:val="21"/>
          <w:szCs w:val="21"/>
          <w:lang w:eastAsia="zh-CN"/>
        </w:rPr>
        <w:t>（四）近年财务状况表及财务报表</w:t>
      </w:r>
    </w:p>
    <w:p w14:paraId="4879C848">
      <w:pPr>
        <w:widowControl/>
        <w:jc w:val="right"/>
        <w:rPr>
          <w:rFonts w:hint="eastAsia" w:ascii="宋体" w:hAnsi="宋体" w:cs="宋体"/>
          <w:lang w:bidi="en-US"/>
        </w:rPr>
      </w:pPr>
      <w:r>
        <w:rPr>
          <w:rFonts w:hint="eastAsia" w:ascii="宋体" w:hAnsi="宋体" w:cs="宋体"/>
          <w:lang w:bidi="en-US"/>
        </w:rPr>
        <w:t>单位：万元，人民币</w:t>
      </w:r>
    </w:p>
    <w:tbl>
      <w:tblPr>
        <w:tblStyle w:val="47"/>
        <w:tblW w:w="9389" w:type="dxa"/>
        <w:tblInd w:w="217" w:type="dxa"/>
        <w:tblLayout w:type="fixed"/>
        <w:tblCellMar>
          <w:top w:w="0" w:type="dxa"/>
          <w:left w:w="108" w:type="dxa"/>
          <w:bottom w:w="0" w:type="dxa"/>
          <w:right w:w="108" w:type="dxa"/>
        </w:tblCellMar>
      </w:tblPr>
      <w:tblGrid>
        <w:gridCol w:w="2111"/>
        <w:gridCol w:w="1266"/>
        <w:gridCol w:w="2184"/>
        <w:gridCol w:w="1985"/>
        <w:gridCol w:w="1843"/>
      </w:tblGrid>
      <w:tr w14:paraId="6194F330">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649203D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名称</w:t>
            </w:r>
          </w:p>
        </w:tc>
        <w:tc>
          <w:tcPr>
            <w:tcW w:w="1266" w:type="dxa"/>
            <w:tcBorders>
              <w:top w:val="single" w:color="000000" w:sz="4" w:space="0"/>
              <w:left w:val="nil"/>
              <w:bottom w:val="single" w:color="000000" w:sz="4" w:space="0"/>
              <w:right w:val="single" w:color="000000" w:sz="4" w:space="0"/>
            </w:tcBorders>
            <w:noWrap w:val="0"/>
            <w:vAlign w:val="center"/>
          </w:tcPr>
          <w:p w14:paraId="4B953AE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单位</w:t>
            </w:r>
          </w:p>
        </w:tc>
        <w:tc>
          <w:tcPr>
            <w:tcW w:w="2184" w:type="dxa"/>
            <w:tcBorders>
              <w:top w:val="single" w:color="000000" w:sz="4" w:space="0"/>
              <w:left w:val="nil"/>
              <w:bottom w:val="single" w:color="000000" w:sz="4" w:space="0"/>
              <w:right w:val="single" w:color="000000" w:sz="4" w:space="0"/>
            </w:tcBorders>
            <w:noWrap w:val="0"/>
            <w:vAlign w:val="center"/>
          </w:tcPr>
          <w:p w14:paraId="45D2747E">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年</w:t>
            </w:r>
          </w:p>
        </w:tc>
        <w:tc>
          <w:tcPr>
            <w:tcW w:w="1985" w:type="dxa"/>
            <w:tcBorders>
              <w:top w:val="single" w:color="000000" w:sz="4" w:space="0"/>
              <w:left w:val="nil"/>
              <w:bottom w:val="single" w:color="000000" w:sz="4" w:space="0"/>
              <w:right w:val="single" w:color="000000" w:sz="4" w:space="0"/>
            </w:tcBorders>
            <w:noWrap w:val="0"/>
            <w:vAlign w:val="center"/>
          </w:tcPr>
          <w:p w14:paraId="3C65F43D">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年</w:t>
            </w:r>
          </w:p>
        </w:tc>
        <w:tc>
          <w:tcPr>
            <w:tcW w:w="1843" w:type="dxa"/>
            <w:tcBorders>
              <w:top w:val="single" w:color="000000" w:sz="4" w:space="0"/>
              <w:left w:val="nil"/>
              <w:bottom w:val="single" w:color="000000" w:sz="4" w:space="0"/>
              <w:right w:val="single" w:color="000000" w:sz="4" w:space="0"/>
            </w:tcBorders>
            <w:noWrap w:val="0"/>
            <w:vAlign w:val="center"/>
          </w:tcPr>
          <w:p w14:paraId="472A99B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年</w:t>
            </w:r>
          </w:p>
        </w:tc>
      </w:tr>
      <w:tr w14:paraId="4EFC6C2F">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38730AC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一、注册资金</w:t>
            </w:r>
          </w:p>
        </w:tc>
        <w:tc>
          <w:tcPr>
            <w:tcW w:w="1266" w:type="dxa"/>
            <w:tcBorders>
              <w:top w:val="single" w:color="000000" w:sz="4" w:space="0"/>
              <w:left w:val="nil"/>
              <w:bottom w:val="single" w:color="000000" w:sz="4" w:space="0"/>
              <w:right w:val="single" w:color="000000" w:sz="4" w:space="0"/>
            </w:tcBorders>
            <w:noWrap w:val="0"/>
            <w:vAlign w:val="center"/>
          </w:tcPr>
          <w:p w14:paraId="3B08785B">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0D801A4A">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6247097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63CDBBF1">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4FC368BE">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1C0E8EE1">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二、净资产</w:t>
            </w:r>
          </w:p>
        </w:tc>
        <w:tc>
          <w:tcPr>
            <w:tcW w:w="1266" w:type="dxa"/>
            <w:tcBorders>
              <w:top w:val="single" w:color="000000" w:sz="4" w:space="0"/>
              <w:left w:val="nil"/>
              <w:bottom w:val="single" w:color="000000" w:sz="4" w:space="0"/>
              <w:right w:val="single" w:color="000000" w:sz="4" w:space="0"/>
            </w:tcBorders>
            <w:noWrap w:val="0"/>
            <w:vAlign w:val="center"/>
          </w:tcPr>
          <w:p w14:paraId="730C63C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1D029BA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04521B3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198001A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226F80AB">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04877FE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三、总资产</w:t>
            </w:r>
          </w:p>
        </w:tc>
        <w:tc>
          <w:tcPr>
            <w:tcW w:w="1266" w:type="dxa"/>
            <w:tcBorders>
              <w:top w:val="single" w:color="000000" w:sz="4" w:space="0"/>
              <w:left w:val="nil"/>
              <w:bottom w:val="single" w:color="000000" w:sz="4" w:space="0"/>
              <w:right w:val="single" w:color="000000" w:sz="4" w:space="0"/>
            </w:tcBorders>
            <w:noWrap w:val="0"/>
            <w:vAlign w:val="center"/>
          </w:tcPr>
          <w:p w14:paraId="06FEABDF">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08914A8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50A7A6D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1E21812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63382B00">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41CDB96A">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四、固定资产</w:t>
            </w:r>
          </w:p>
        </w:tc>
        <w:tc>
          <w:tcPr>
            <w:tcW w:w="1266" w:type="dxa"/>
            <w:tcBorders>
              <w:top w:val="single" w:color="000000" w:sz="4" w:space="0"/>
              <w:left w:val="nil"/>
              <w:bottom w:val="single" w:color="000000" w:sz="4" w:space="0"/>
              <w:right w:val="single" w:color="000000" w:sz="4" w:space="0"/>
            </w:tcBorders>
            <w:noWrap w:val="0"/>
            <w:vAlign w:val="center"/>
          </w:tcPr>
          <w:p w14:paraId="0CE8AAA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1C1CF66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00C4559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79A4A09A">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78D1FEAB">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2EB9C25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五、流动资产</w:t>
            </w:r>
          </w:p>
        </w:tc>
        <w:tc>
          <w:tcPr>
            <w:tcW w:w="1266" w:type="dxa"/>
            <w:tcBorders>
              <w:top w:val="single" w:color="000000" w:sz="4" w:space="0"/>
              <w:left w:val="nil"/>
              <w:bottom w:val="single" w:color="000000" w:sz="4" w:space="0"/>
              <w:right w:val="single" w:color="000000" w:sz="4" w:space="0"/>
            </w:tcBorders>
            <w:noWrap w:val="0"/>
            <w:vAlign w:val="center"/>
          </w:tcPr>
          <w:p w14:paraId="045C4036">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469F514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6344FBB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28110A7E">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17E248AC">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099845AB">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六、流动负债</w:t>
            </w:r>
          </w:p>
        </w:tc>
        <w:tc>
          <w:tcPr>
            <w:tcW w:w="1266" w:type="dxa"/>
            <w:tcBorders>
              <w:top w:val="single" w:color="000000" w:sz="4" w:space="0"/>
              <w:left w:val="nil"/>
              <w:bottom w:val="single" w:color="000000" w:sz="4" w:space="0"/>
              <w:right w:val="single" w:color="000000" w:sz="4" w:space="0"/>
            </w:tcBorders>
            <w:noWrap w:val="0"/>
            <w:vAlign w:val="center"/>
          </w:tcPr>
          <w:p w14:paraId="2013382D">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728B30BE">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370F5697">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356BAA5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512E3BB3">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2DC0E3A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七、负债合计</w:t>
            </w:r>
          </w:p>
        </w:tc>
        <w:tc>
          <w:tcPr>
            <w:tcW w:w="1266" w:type="dxa"/>
            <w:tcBorders>
              <w:top w:val="single" w:color="000000" w:sz="4" w:space="0"/>
              <w:left w:val="nil"/>
              <w:bottom w:val="single" w:color="000000" w:sz="4" w:space="0"/>
              <w:right w:val="single" w:color="000000" w:sz="4" w:space="0"/>
            </w:tcBorders>
            <w:noWrap w:val="0"/>
            <w:vAlign w:val="center"/>
          </w:tcPr>
          <w:p w14:paraId="1D9CDF7D">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0A38CEB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669F14E3">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5FF5371F">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2A4351E0">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68411B2E">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八、营业收入</w:t>
            </w:r>
          </w:p>
        </w:tc>
        <w:tc>
          <w:tcPr>
            <w:tcW w:w="1266" w:type="dxa"/>
            <w:tcBorders>
              <w:top w:val="single" w:color="000000" w:sz="4" w:space="0"/>
              <w:left w:val="nil"/>
              <w:bottom w:val="single" w:color="000000" w:sz="4" w:space="0"/>
              <w:right w:val="single" w:color="000000" w:sz="4" w:space="0"/>
            </w:tcBorders>
            <w:noWrap w:val="0"/>
            <w:vAlign w:val="center"/>
          </w:tcPr>
          <w:p w14:paraId="660C5FE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2948B1F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0FC0C0E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67DBD42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62CA60FC">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1F55298B">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九、净利润</w:t>
            </w:r>
          </w:p>
        </w:tc>
        <w:tc>
          <w:tcPr>
            <w:tcW w:w="1266" w:type="dxa"/>
            <w:tcBorders>
              <w:top w:val="single" w:color="000000" w:sz="4" w:space="0"/>
              <w:left w:val="nil"/>
              <w:bottom w:val="single" w:color="000000" w:sz="4" w:space="0"/>
              <w:right w:val="single" w:color="000000" w:sz="4" w:space="0"/>
            </w:tcBorders>
            <w:noWrap w:val="0"/>
            <w:vAlign w:val="center"/>
          </w:tcPr>
          <w:p w14:paraId="15EC94F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611A250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0B94A6C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6AB9F28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6B8023F6">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654EACC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十、现金流量净额</w:t>
            </w:r>
          </w:p>
        </w:tc>
        <w:tc>
          <w:tcPr>
            <w:tcW w:w="1266" w:type="dxa"/>
            <w:tcBorders>
              <w:top w:val="single" w:color="000000" w:sz="4" w:space="0"/>
              <w:left w:val="nil"/>
              <w:bottom w:val="single" w:color="000000" w:sz="4" w:space="0"/>
              <w:right w:val="single" w:color="000000" w:sz="4" w:space="0"/>
            </w:tcBorders>
            <w:noWrap w:val="0"/>
            <w:vAlign w:val="center"/>
          </w:tcPr>
          <w:p w14:paraId="1D5D0293">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万元</w:t>
            </w:r>
          </w:p>
        </w:tc>
        <w:tc>
          <w:tcPr>
            <w:tcW w:w="2184" w:type="dxa"/>
            <w:tcBorders>
              <w:top w:val="single" w:color="000000" w:sz="4" w:space="0"/>
              <w:left w:val="nil"/>
              <w:bottom w:val="single" w:color="000000" w:sz="4" w:space="0"/>
              <w:right w:val="single" w:color="000000" w:sz="4" w:space="0"/>
            </w:tcBorders>
            <w:noWrap w:val="0"/>
            <w:vAlign w:val="center"/>
          </w:tcPr>
          <w:p w14:paraId="74A8B386">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3BEE57E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7974142E">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4CB07A93">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3929678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十一、主要财务指标</w:t>
            </w:r>
          </w:p>
        </w:tc>
        <w:tc>
          <w:tcPr>
            <w:tcW w:w="1266" w:type="dxa"/>
            <w:tcBorders>
              <w:top w:val="single" w:color="000000" w:sz="4" w:space="0"/>
              <w:left w:val="nil"/>
              <w:bottom w:val="single" w:color="000000" w:sz="4" w:space="0"/>
              <w:right w:val="single" w:color="000000" w:sz="4" w:space="0"/>
            </w:tcBorders>
            <w:noWrap w:val="0"/>
            <w:vAlign w:val="center"/>
          </w:tcPr>
          <w:p w14:paraId="682779AD">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267237D1">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6C25B05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7EF90383">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04E202A0">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3BA92E95">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1、净资产</w:t>
            </w:r>
            <w:r>
              <w:rPr>
                <w:rFonts w:hint="eastAsia" w:ascii="宋体" w:hAnsi="宋体" w:cs="宋体"/>
                <w:spacing w:val="-1"/>
                <w:kern w:val="0"/>
                <w:szCs w:val="21"/>
              </w:rPr>
              <w:t>收</w:t>
            </w:r>
            <w:r>
              <w:rPr>
                <w:rFonts w:hint="eastAsia" w:ascii="宋体" w:hAnsi="宋体" w:cs="宋体"/>
                <w:kern w:val="0"/>
                <w:szCs w:val="21"/>
              </w:rPr>
              <w:t>益率</w:t>
            </w:r>
          </w:p>
        </w:tc>
        <w:tc>
          <w:tcPr>
            <w:tcW w:w="1266" w:type="dxa"/>
            <w:tcBorders>
              <w:top w:val="single" w:color="000000" w:sz="4" w:space="0"/>
              <w:left w:val="nil"/>
              <w:bottom w:val="single" w:color="000000" w:sz="4" w:space="0"/>
              <w:right w:val="single" w:color="000000" w:sz="4" w:space="0"/>
            </w:tcBorders>
            <w:noWrap w:val="0"/>
            <w:vAlign w:val="center"/>
          </w:tcPr>
          <w:p w14:paraId="0B6DF5BE">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35ABA07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7151AA9A">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54F4C87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6177C017">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219D6194">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2、总资产</w:t>
            </w:r>
            <w:r>
              <w:rPr>
                <w:rFonts w:hint="eastAsia" w:ascii="宋体" w:hAnsi="宋体" w:cs="宋体"/>
                <w:spacing w:val="-1"/>
                <w:kern w:val="0"/>
                <w:szCs w:val="21"/>
              </w:rPr>
              <w:t>报</w:t>
            </w:r>
            <w:r>
              <w:rPr>
                <w:rFonts w:hint="eastAsia" w:ascii="宋体" w:hAnsi="宋体" w:cs="宋体"/>
                <w:kern w:val="0"/>
                <w:szCs w:val="21"/>
              </w:rPr>
              <w:t>酬率</w:t>
            </w:r>
          </w:p>
        </w:tc>
        <w:tc>
          <w:tcPr>
            <w:tcW w:w="1266" w:type="dxa"/>
            <w:tcBorders>
              <w:top w:val="single" w:color="000000" w:sz="4" w:space="0"/>
              <w:left w:val="nil"/>
              <w:bottom w:val="single" w:color="000000" w:sz="4" w:space="0"/>
              <w:right w:val="single" w:color="000000" w:sz="4" w:space="0"/>
            </w:tcBorders>
            <w:noWrap w:val="0"/>
            <w:vAlign w:val="center"/>
          </w:tcPr>
          <w:p w14:paraId="3581458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53F47CD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1615198F">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2184EFC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086C6F3A">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45CA519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3、主营业</w:t>
            </w:r>
            <w:r>
              <w:rPr>
                <w:rFonts w:hint="eastAsia" w:ascii="宋体" w:hAnsi="宋体" w:cs="宋体"/>
                <w:spacing w:val="-1"/>
                <w:kern w:val="0"/>
                <w:szCs w:val="21"/>
              </w:rPr>
              <w:t>务</w:t>
            </w:r>
            <w:r>
              <w:rPr>
                <w:rFonts w:hint="eastAsia" w:ascii="宋体" w:hAnsi="宋体" w:cs="宋体"/>
                <w:kern w:val="0"/>
                <w:szCs w:val="21"/>
              </w:rPr>
              <w:t>利润</w:t>
            </w:r>
          </w:p>
        </w:tc>
        <w:tc>
          <w:tcPr>
            <w:tcW w:w="1266" w:type="dxa"/>
            <w:tcBorders>
              <w:top w:val="single" w:color="000000" w:sz="4" w:space="0"/>
              <w:left w:val="nil"/>
              <w:bottom w:val="single" w:color="000000" w:sz="4" w:space="0"/>
              <w:right w:val="single" w:color="000000" w:sz="4" w:space="0"/>
            </w:tcBorders>
            <w:noWrap w:val="0"/>
            <w:vAlign w:val="center"/>
          </w:tcPr>
          <w:p w14:paraId="22BF6737">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20B8B2CD">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0D1CF86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2121188D">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06C123D9">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62ED5298">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4、资产负</w:t>
            </w:r>
            <w:r>
              <w:rPr>
                <w:rFonts w:hint="eastAsia" w:ascii="宋体" w:hAnsi="宋体" w:cs="宋体"/>
                <w:spacing w:val="-1"/>
                <w:kern w:val="0"/>
                <w:szCs w:val="21"/>
              </w:rPr>
              <w:t>债</w:t>
            </w:r>
            <w:r>
              <w:rPr>
                <w:rFonts w:hint="eastAsia" w:ascii="宋体" w:hAnsi="宋体" w:cs="宋体"/>
                <w:kern w:val="0"/>
                <w:szCs w:val="21"/>
              </w:rPr>
              <w:t>率</w:t>
            </w:r>
          </w:p>
        </w:tc>
        <w:tc>
          <w:tcPr>
            <w:tcW w:w="1266" w:type="dxa"/>
            <w:tcBorders>
              <w:top w:val="single" w:color="000000" w:sz="4" w:space="0"/>
              <w:left w:val="nil"/>
              <w:bottom w:val="single" w:color="000000" w:sz="4" w:space="0"/>
              <w:right w:val="single" w:color="000000" w:sz="4" w:space="0"/>
            </w:tcBorders>
            <w:noWrap w:val="0"/>
            <w:vAlign w:val="center"/>
          </w:tcPr>
          <w:p w14:paraId="7A046292">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24D0C3D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499E3600">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2DAA2CB4">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2292A1C1">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59AB90FA">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5、流动比率</w:t>
            </w:r>
          </w:p>
        </w:tc>
        <w:tc>
          <w:tcPr>
            <w:tcW w:w="1266" w:type="dxa"/>
            <w:tcBorders>
              <w:top w:val="single" w:color="000000" w:sz="4" w:space="0"/>
              <w:left w:val="nil"/>
              <w:bottom w:val="single" w:color="000000" w:sz="4" w:space="0"/>
              <w:right w:val="single" w:color="000000" w:sz="4" w:space="0"/>
            </w:tcBorders>
            <w:noWrap w:val="0"/>
            <w:vAlign w:val="center"/>
          </w:tcPr>
          <w:p w14:paraId="1E2150C7">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7914742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3C486CB4">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4C0BD37F">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59D2497D">
        <w:tblPrEx>
          <w:tblCellMar>
            <w:top w:w="0" w:type="dxa"/>
            <w:left w:w="108" w:type="dxa"/>
            <w:bottom w:w="0" w:type="dxa"/>
            <w:right w:w="108" w:type="dxa"/>
          </w:tblCellMar>
        </w:tblPrEx>
        <w:trPr>
          <w:trHeight w:val="520"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0312CC4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6、速动比率</w:t>
            </w:r>
          </w:p>
        </w:tc>
        <w:tc>
          <w:tcPr>
            <w:tcW w:w="1266" w:type="dxa"/>
            <w:tcBorders>
              <w:top w:val="single" w:color="000000" w:sz="4" w:space="0"/>
              <w:left w:val="nil"/>
              <w:bottom w:val="single" w:color="000000" w:sz="4" w:space="0"/>
              <w:right w:val="single" w:color="000000" w:sz="4" w:space="0"/>
            </w:tcBorders>
            <w:noWrap w:val="0"/>
            <w:vAlign w:val="center"/>
          </w:tcPr>
          <w:p w14:paraId="40217537">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732C8CF6">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7C8260D6">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47A8F10A">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r w14:paraId="3EF85E6C">
        <w:tblPrEx>
          <w:tblCellMar>
            <w:top w:w="0" w:type="dxa"/>
            <w:left w:w="108" w:type="dxa"/>
            <w:bottom w:w="0" w:type="dxa"/>
            <w:right w:w="108" w:type="dxa"/>
          </w:tblCellMar>
        </w:tblPrEx>
        <w:trPr>
          <w:trHeight w:val="521" w:hRule="atLeast"/>
        </w:trPr>
        <w:tc>
          <w:tcPr>
            <w:tcW w:w="2111" w:type="dxa"/>
            <w:tcBorders>
              <w:top w:val="single" w:color="000000" w:sz="4" w:space="0"/>
              <w:left w:val="single" w:color="000000" w:sz="4" w:space="0"/>
              <w:bottom w:val="single" w:color="000000" w:sz="4" w:space="0"/>
              <w:right w:val="single" w:color="000000" w:sz="4" w:space="0"/>
            </w:tcBorders>
            <w:noWrap w:val="0"/>
            <w:vAlign w:val="center"/>
          </w:tcPr>
          <w:p w14:paraId="0F02BF3B">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r>
              <w:rPr>
                <w:rFonts w:hint="eastAsia" w:ascii="宋体" w:hAnsi="宋体" w:cs="宋体"/>
                <w:kern w:val="0"/>
                <w:szCs w:val="21"/>
              </w:rPr>
              <w:t>……</w:t>
            </w:r>
          </w:p>
        </w:tc>
        <w:tc>
          <w:tcPr>
            <w:tcW w:w="1266" w:type="dxa"/>
            <w:tcBorders>
              <w:top w:val="single" w:color="000000" w:sz="4" w:space="0"/>
              <w:left w:val="nil"/>
              <w:bottom w:val="single" w:color="000000" w:sz="4" w:space="0"/>
              <w:right w:val="single" w:color="000000" w:sz="4" w:space="0"/>
            </w:tcBorders>
            <w:noWrap w:val="0"/>
            <w:vAlign w:val="center"/>
          </w:tcPr>
          <w:p w14:paraId="649D6D9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2184" w:type="dxa"/>
            <w:tcBorders>
              <w:top w:val="single" w:color="000000" w:sz="4" w:space="0"/>
              <w:left w:val="nil"/>
              <w:bottom w:val="single" w:color="000000" w:sz="4" w:space="0"/>
              <w:right w:val="single" w:color="000000" w:sz="4" w:space="0"/>
            </w:tcBorders>
            <w:noWrap w:val="0"/>
            <w:vAlign w:val="center"/>
          </w:tcPr>
          <w:p w14:paraId="5E60600C">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985" w:type="dxa"/>
            <w:tcBorders>
              <w:top w:val="single" w:color="000000" w:sz="4" w:space="0"/>
              <w:left w:val="nil"/>
              <w:bottom w:val="single" w:color="000000" w:sz="4" w:space="0"/>
              <w:right w:val="single" w:color="000000" w:sz="4" w:space="0"/>
            </w:tcBorders>
            <w:noWrap w:val="0"/>
            <w:vAlign w:val="center"/>
          </w:tcPr>
          <w:p w14:paraId="08E3C0F9">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c>
          <w:tcPr>
            <w:tcW w:w="1843" w:type="dxa"/>
            <w:tcBorders>
              <w:top w:val="single" w:color="000000" w:sz="4" w:space="0"/>
              <w:left w:val="nil"/>
              <w:bottom w:val="single" w:color="000000" w:sz="4" w:space="0"/>
              <w:right w:val="single" w:color="000000" w:sz="4" w:space="0"/>
            </w:tcBorders>
            <w:noWrap w:val="0"/>
            <w:vAlign w:val="center"/>
          </w:tcPr>
          <w:p w14:paraId="5185370F">
            <w:pPr>
              <w:keepNext w:val="0"/>
              <w:keepLines w:val="0"/>
              <w:widowControl/>
              <w:suppressLineNumbers w:val="0"/>
              <w:snapToGrid w:val="0"/>
              <w:spacing w:before="0" w:beforeAutospacing="0" w:after="0" w:afterAutospacing="0"/>
              <w:ind w:left="0" w:right="0"/>
              <w:jc w:val="center"/>
              <w:rPr>
                <w:rFonts w:hint="eastAsia" w:ascii="宋体" w:hAnsi="宋体" w:cs="宋体"/>
                <w:kern w:val="0"/>
                <w:szCs w:val="21"/>
              </w:rPr>
            </w:pPr>
          </w:p>
        </w:tc>
      </w:tr>
    </w:tbl>
    <w:p w14:paraId="7C55F1D5">
      <w:pPr>
        <w:widowControl/>
        <w:ind w:firstLine="420" w:firstLineChars="200"/>
        <w:jc w:val="left"/>
        <w:rPr>
          <w:rFonts w:hint="eastAsia" w:ascii="宋体" w:hAnsi="宋体" w:cs="宋体"/>
          <w:szCs w:val="21"/>
        </w:rPr>
      </w:pPr>
      <w:r>
        <w:rPr>
          <w:rFonts w:hint="eastAsia" w:ascii="宋体" w:hAnsi="宋体" w:cs="宋体"/>
          <w:szCs w:val="21"/>
        </w:rPr>
        <w:t>注：</w:t>
      </w:r>
    </w:p>
    <w:p w14:paraId="352F7048">
      <w:pPr>
        <w:widowControl/>
        <w:ind w:firstLine="400" w:firstLineChars="200"/>
        <w:jc w:val="left"/>
        <w:rPr>
          <w:rFonts w:hint="eastAsia" w:ascii="宋体" w:hAnsi="宋体" w:cs="宋体"/>
          <w:sz w:val="20"/>
          <w:szCs w:val="21"/>
        </w:rPr>
      </w:pPr>
      <w:r>
        <w:rPr>
          <w:rFonts w:hint="eastAsia" w:ascii="宋体" w:hAnsi="宋体" w:cs="宋体"/>
          <w:sz w:val="20"/>
          <w:szCs w:val="21"/>
        </w:rPr>
        <w:t>1、本表后应附财务会计报表，包括资产负债表、现金流量表、利润表和财务情况说明书的复印件。</w:t>
      </w:r>
    </w:p>
    <w:p w14:paraId="1CC2A7BB">
      <w:pPr>
        <w:widowControl/>
        <w:ind w:firstLine="400" w:firstLineChars="200"/>
        <w:jc w:val="left"/>
        <w:rPr>
          <w:rFonts w:hint="eastAsia" w:ascii="宋体" w:hAnsi="宋体" w:cs="宋体"/>
          <w:sz w:val="20"/>
          <w:szCs w:val="21"/>
        </w:rPr>
      </w:pPr>
      <w:r>
        <w:rPr>
          <w:rFonts w:hint="eastAsia" w:ascii="宋体" w:hAnsi="宋体" w:cs="宋体"/>
          <w:sz w:val="20"/>
          <w:szCs w:val="21"/>
        </w:rPr>
        <w:t>2、本表所列数据必须与本表各附件中的数据相一致。如果有不一致之处，以不利于投标人的数据为准。</w:t>
      </w:r>
    </w:p>
    <w:p w14:paraId="691AC73F">
      <w:pPr>
        <w:widowControl/>
        <w:ind w:firstLine="400" w:firstLineChars="200"/>
        <w:jc w:val="left"/>
        <w:rPr>
          <w:rFonts w:hint="eastAsia" w:ascii="宋体" w:hAnsi="宋体" w:cs="宋体"/>
          <w:sz w:val="20"/>
          <w:szCs w:val="21"/>
        </w:rPr>
      </w:pPr>
      <w:r>
        <w:rPr>
          <w:rFonts w:hint="eastAsia" w:ascii="宋体" w:hAnsi="宋体" w:cs="宋体"/>
          <w:sz w:val="20"/>
          <w:szCs w:val="21"/>
        </w:rPr>
        <w:t>3、以联合体形式投标的，联合体各成员应分别填写。</w:t>
      </w:r>
    </w:p>
    <w:p w14:paraId="4124CCDA">
      <w:pPr>
        <w:widowControl/>
        <w:ind w:firstLine="400" w:firstLineChars="200"/>
        <w:jc w:val="left"/>
        <w:rPr>
          <w:rFonts w:hint="eastAsia" w:ascii="宋体" w:hAnsi="宋体" w:cs="宋体"/>
          <w:sz w:val="20"/>
          <w:szCs w:val="21"/>
        </w:rPr>
      </w:pPr>
      <w:r>
        <w:rPr>
          <w:rFonts w:hint="eastAsia" w:ascii="宋体" w:hAnsi="宋体" w:cs="宋体"/>
          <w:sz w:val="20"/>
          <w:szCs w:val="21"/>
        </w:rPr>
        <w:t>4、具体年份要求，以招标文件要求为准。</w:t>
      </w:r>
    </w:p>
    <w:p w14:paraId="209430E6">
      <w:pPr>
        <w:widowControl/>
        <w:ind w:firstLine="400" w:firstLineChars="200"/>
        <w:jc w:val="left"/>
        <w:rPr>
          <w:rFonts w:hint="eastAsia" w:ascii="宋体" w:hAnsi="宋体" w:cs="宋体"/>
          <w:sz w:val="20"/>
          <w:szCs w:val="21"/>
        </w:rPr>
      </w:pPr>
      <w:r>
        <w:rPr>
          <w:rFonts w:hint="eastAsia" w:ascii="宋体" w:hAnsi="宋体" w:cs="宋体"/>
          <w:sz w:val="20"/>
          <w:szCs w:val="21"/>
        </w:rPr>
        <w:t>5、投标人开户行为其出具的资信证明的，可不提供此表及财务报告。</w:t>
      </w:r>
    </w:p>
    <w:p w14:paraId="3AD060D5">
      <w:pPr>
        <w:widowControl/>
        <w:ind w:firstLine="400" w:firstLineChars="200"/>
        <w:jc w:val="left"/>
        <w:rPr>
          <w:rFonts w:hint="eastAsia" w:ascii="宋体" w:hAnsi="宋体" w:cs="宋体"/>
          <w:sz w:val="20"/>
          <w:szCs w:val="21"/>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6726EAA6">
      <w:pPr>
        <w:pStyle w:val="4"/>
        <w:keepNext w:val="0"/>
        <w:tabs>
          <w:tab w:val="left" w:pos="1260"/>
        </w:tabs>
        <w:jc w:val="center"/>
        <w:rPr>
          <w:rFonts w:hint="eastAsia" w:cs="宋体"/>
          <w:bCs w:val="0"/>
          <w:sz w:val="21"/>
          <w:szCs w:val="21"/>
          <w:lang w:eastAsia="zh-CN"/>
        </w:rPr>
      </w:pPr>
      <w:r>
        <w:rPr>
          <w:rFonts w:hint="eastAsia" w:cs="宋体"/>
          <w:bCs w:val="0"/>
          <w:sz w:val="21"/>
          <w:szCs w:val="21"/>
          <w:lang w:eastAsia="zh-CN"/>
        </w:rPr>
        <w:t>（五）类似业绩证明材料</w:t>
      </w:r>
    </w:p>
    <w:p w14:paraId="020160A4">
      <w:pPr>
        <w:spacing w:line="360" w:lineRule="auto"/>
        <w:jc w:val="center"/>
        <w:rPr>
          <w:rFonts w:hint="eastAsia" w:ascii="宋体" w:hAnsi="宋体" w:cs="宋体"/>
          <w:b/>
          <w:bCs/>
          <w:sz w:val="24"/>
        </w:rPr>
      </w:pPr>
      <w:r>
        <w:rPr>
          <w:rFonts w:hint="eastAsia" w:ascii="宋体" w:hAnsi="宋体" w:cs="宋体"/>
          <w:b/>
          <w:bCs/>
          <w:sz w:val="24"/>
        </w:rPr>
        <w:t>1、业绩承诺函</w:t>
      </w:r>
    </w:p>
    <w:p w14:paraId="3C913612">
      <w:pPr>
        <w:pStyle w:val="26"/>
        <w:spacing w:line="360" w:lineRule="auto"/>
        <w:rPr>
          <w:rFonts w:hint="eastAsia" w:hAnsi="宋体" w:cs="宋体"/>
          <w:b/>
          <w:sz w:val="21"/>
          <w:u w:val="single"/>
        </w:rPr>
      </w:pPr>
      <w:r>
        <w:rPr>
          <w:rFonts w:hint="eastAsia" w:hAnsi="宋体" w:cs="宋体"/>
          <w:sz w:val="21"/>
        </w:rPr>
        <w:t>致：</w:t>
      </w:r>
      <w:r>
        <w:rPr>
          <w:rFonts w:hint="eastAsia" w:hAnsi="宋体" w:cs="宋体"/>
          <w:sz w:val="21"/>
          <w:u w:val="single"/>
        </w:rPr>
        <w:t xml:space="preserve">  </w:t>
      </w:r>
      <w:r>
        <w:rPr>
          <w:rFonts w:hint="eastAsia" w:hAnsi="宋体" w:cs="宋体"/>
          <w:b/>
          <w:sz w:val="21"/>
          <w:u w:val="single"/>
        </w:rPr>
        <w:t xml:space="preserve">采购人名称   </w:t>
      </w:r>
    </w:p>
    <w:p w14:paraId="4147F02A">
      <w:pPr>
        <w:spacing w:line="360" w:lineRule="auto"/>
        <w:ind w:firstLine="435"/>
        <w:rPr>
          <w:rFonts w:hint="eastAsia" w:ascii="宋体" w:hAnsi="宋体" w:cs="宋体"/>
        </w:rPr>
      </w:pPr>
      <w:r>
        <w:rPr>
          <w:rFonts w:hint="eastAsia" w:ascii="宋体" w:hAnsi="宋体" w:cs="宋体"/>
        </w:rPr>
        <w:t>我方承诺：投标文件中所提供的业绩均真实有效，若有质疑，我方承诺会将2个工作日内可就以下业绩信息提供(合同、对应的发票、验收报告或用户评价意见)原件供贵单位核对。若被发现存在任何虚假、隐瞒情况，我公司承担由此产生的一切后果。同时我方承诺贵方可就我方业绩进行公布。</w:t>
      </w:r>
    </w:p>
    <w:p w14:paraId="5D81F334">
      <w:pPr>
        <w:spacing w:line="360" w:lineRule="auto"/>
        <w:ind w:firstLine="3700" w:firstLineChars="1762"/>
        <w:rPr>
          <w:rFonts w:hint="eastAsia" w:ascii="宋体" w:hAnsi="宋体" w:cs="宋体"/>
          <w:u w:val="single"/>
        </w:rPr>
      </w:pPr>
      <w:r>
        <w:rPr>
          <w:rFonts w:hint="eastAsia" w:ascii="宋体" w:hAnsi="宋体" w:cs="宋体"/>
        </w:rPr>
        <w:t>投标人：</w:t>
      </w:r>
      <w:r>
        <w:rPr>
          <w:rFonts w:hint="eastAsia" w:ascii="宋体" w:hAnsi="宋体" w:cs="宋体"/>
          <w:u w:val="single"/>
        </w:rPr>
        <w:t xml:space="preserve">              </w:t>
      </w:r>
      <w:r>
        <w:rPr>
          <w:rFonts w:hint="eastAsia" w:ascii="宋体" w:hAnsi="宋体" w:cs="宋体"/>
        </w:rPr>
        <w:t>（盖单位章）</w:t>
      </w:r>
    </w:p>
    <w:p w14:paraId="2DD7A382">
      <w:pPr>
        <w:tabs>
          <w:tab w:val="left" w:pos="630"/>
        </w:tabs>
        <w:spacing w:line="360" w:lineRule="auto"/>
        <w:ind w:firstLine="3700" w:firstLineChars="1762"/>
        <w:rPr>
          <w:rFonts w:hint="eastAsia" w:ascii="宋体" w:hAnsi="宋体" w:cs="宋体"/>
        </w:rPr>
      </w:pPr>
      <w:r>
        <w:rPr>
          <w:rFonts w:hint="eastAsia" w:ascii="宋体" w:hAnsi="宋体" w:cs="宋体"/>
        </w:rPr>
        <w:t>日  期：</w:t>
      </w:r>
      <w:r>
        <w:rPr>
          <w:rFonts w:hint="eastAsia" w:ascii="宋体" w:hAnsi="宋体" w:cs="宋体"/>
          <w:u w:val="single"/>
        </w:rPr>
        <w:t xml:space="preserve">                     </w:t>
      </w:r>
    </w:p>
    <w:p w14:paraId="4A21D270">
      <w:pPr>
        <w:jc w:val="center"/>
        <w:rPr>
          <w:rFonts w:hint="eastAsia" w:ascii="宋体" w:hAnsi="宋体" w:cs="宋体"/>
          <w:sz w:val="28"/>
        </w:rPr>
      </w:pPr>
    </w:p>
    <w:p w14:paraId="4791957F">
      <w:pPr>
        <w:jc w:val="center"/>
        <w:rPr>
          <w:rFonts w:hint="eastAsia" w:ascii="宋体" w:hAnsi="宋体" w:cs="宋体"/>
          <w:sz w:val="28"/>
        </w:rPr>
      </w:pPr>
      <w:r>
        <w:rPr>
          <w:rFonts w:hint="eastAsia" w:ascii="宋体" w:hAnsi="宋体" w:cs="宋体"/>
          <w:sz w:val="28"/>
        </w:rPr>
        <w:t>业绩汇总表</w:t>
      </w:r>
    </w:p>
    <w:tbl>
      <w:tblPr>
        <w:tblStyle w:val="47"/>
        <w:tblW w:w="49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466"/>
        <w:gridCol w:w="1845"/>
        <w:gridCol w:w="1247"/>
        <w:gridCol w:w="1865"/>
        <w:gridCol w:w="1535"/>
        <w:gridCol w:w="926"/>
      </w:tblGrid>
      <w:tr w14:paraId="65A7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2A44B992">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序号</w:t>
            </w:r>
          </w:p>
        </w:tc>
        <w:tc>
          <w:tcPr>
            <w:tcW w:w="757" w:type="pct"/>
            <w:noWrap w:val="0"/>
            <w:vAlign w:val="center"/>
          </w:tcPr>
          <w:p w14:paraId="311624FB">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项目名称</w:t>
            </w:r>
          </w:p>
        </w:tc>
        <w:tc>
          <w:tcPr>
            <w:tcW w:w="953" w:type="pct"/>
            <w:noWrap w:val="0"/>
            <w:vAlign w:val="center"/>
          </w:tcPr>
          <w:p w14:paraId="46B670EB">
            <w:pPr>
              <w:keepNext w:val="0"/>
              <w:keepLines w:val="0"/>
              <w:widowControl/>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合同主要内容</w:t>
            </w:r>
          </w:p>
        </w:tc>
        <w:tc>
          <w:tcPr>
            <w:tcW w:w="644" w:type="pct"/>
            <w:noWrap w:val="0"/>
            <w:vAlign w:val="center"/>
          </w:tcPr>
          <w:p w14:paraId="383DD27E">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签约合同价金额</w:t>
            </w:r>
          </w:p>
        </w:tc>
        <w:tc>
          <w:tcPr>
            <w:tcW w:w="963" w:type="pct"/>
            <w:noWrap w:val="0"/>
            <w:vAlign w:val="center"/>
          </w:tcPr>
          <w:p w14:paraId="726AAB10">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业主单位</w:t>
            </w:r>
          </w:p>
          <w:p w14:paraId="47ECF69B">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及联系电话</w:t>
            </w:r>
          </w:p>
        </w:tc>
        <w:tc>
          <w:tcPr>
            <w:tcW w:w="793" w:type="pct"/>
            <w:noWrap w:val="0"/>
            <w:vAlign w:val="center"/>
          </w:tcPr>
          <w:p w14:paraId="6E93BD5F">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合同签订时间</w:t>
            </w:r>
          </w:p>
        </w:tc>
        <w:tc>
          <w:tcPr>
            <w:tcW w:w="478" w:type="pct"/>
            <w:noWrap w:val="0"/>
            <w:vAlign w:val="center"/>
          </w:tcPr>
          <w:p w14:paraId="74B3FC5E">
            <w:pPr>
              <w:keepNext w:val="0"/>
              <w:keepLines w:val="0"/>
              <w:suppressLineNumbers w:val="0"/>
              <w:spacing w:before="0" w:beforeAutospacing="0" w:after="0" w:afterAutospacing="0"/>
              <w:ind w:left="0" w:right="0"/>
              <w:jc w:val="center"/>
              <w:rPr>
                <w:rFonts w:hint="eastAsia" w:ascii="宋体" w:hAnsi="宋体" w:cs="宋体"/>
                <w:b/>
              </w:rPr>
            </w:pPr>
            <w:r>
              <w:rPr>
                <w:rFonts w:hint="eastAsia" w:ascii="宋体" w:hAnsi="宋体" w:cs="宋体"/>
                <w:b/>
              </w:rPr>
              <w:t>备注</w:t>
            </w:r>
          </w:p>
        </w:tc>
      </w:tr>
      <w:tr w14:paraId="2DB2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14521521">
            <w:pPr>
              <w:keepNext w:val="0"/>
              <w:keepLines w:val="0"/>
              <w:suppressLineNumbers w:val="0"/>
              <w:spacing w:before="0" w:beforeAutospacing="0" w:after="0" w:afterAutospacing="0"/>
              <w:ind w:left="0" w:right="0"/>
              <w:jc w:val="center"/>
              <w:rPr>
                <w:rFonts w:hint="eastAsia" w:ascii="宋体" w:hAnsi="宋体" w:cs="宋体"/>
              </w:rPr>
            </w:pPr>
            <w:r>
              <w:rPr>
                <w:rFonts w:hint="eastAsia" w:ascii="宋体" w:hAnsi="宋体" w:cs="宋体"/>
              </w:rPr>
              <w:t>1</w:t>
            </w:r>
          </w:p>
        </w:tc>
        <w:tc>
          <w:tcPr>
            <w:tcW w:w="757" w:type="pct"/>
            <w:noWrap w:val="0"/>
            <w:vAlign w:val="center"/>
          </w:tcPr>
          <w:p w14:paraId="08E0CB88">
            <w:pPr>
              <w:keepNext w:val="0"/>
              <w:keepLines w:val="0"/>
              <w:suppressLineNumbers w:val="0"/>
              <w:spacing w:before="0" w:beforeAutospacing="0" w:after="0" w:afterAutospacing="0"/>
              <w:ind w:left="0" w:right="0"/>
              <w:rPr>
                <w:rFonts w:hint="eastAsia" w:ascii="宋体" w:hAnsi="宋体" w:cs="宋体"/>
              </w:rPr>
            </w:pPr>
          </w:p>
        </w:tc>
        <w:tc>
          <w:tcPr>
            <w:tcW w:w="953" w:type="pct"/>
            <w:noWrap w:val="0"/>
            <w:vAlign w:val="center"/>
          </w:tcPr>
          <w:p w14:paraId="0CF38B09">
            <w:pPr>
              <w:keepNext w:val="0"/>
              <w:keepLines w:val="0"/>
              <w:suppressLineNumbers w:val="0"/>
              <w:spacing w:before="0" w:beforeAutospacing="0" w:after="0" w:afterAutospacing="0"/>
              <w:ind w:left="0" w:right="0"/>
              <w:rPr>
                <w:rFonts w:hint="eastAsia" w:ascii="宋体" w:hAnsi="宋体" w:cs="宋体"/>
              </w:rPr>
            </w:pPr>
          </w:p>
        </w:tc>
        <w:tc>
          <w:tcPr>
            <w:tcW w:w="644" w:type="pct"/>
            <w:noWrap w:val="0"/>
            <w:vAlign w:val="center"/>
          </w:tcPr>
          <w:p w14:paraId="42BD67FF">
            <w:pPr>
              <w:keepNext w:val="0"/>
              <w:keepLines w:val="0"/>
              <w:suppressLineNumbers w:val="0"/>
              <w:spacing w:before="0" w:beforeAutospacing="0" w:after="0" w:afterAutospacing="0"/>
              <w:ind w:left="0" w:right="0"/>
              <w:rPr>
                <w:rFonts w:hint="eastAsia" w:ascii="宋体" w:hAnsi="宋体" w:cs="宋体"/>
              </w:rPr>
            </w:pPr>
          </w:p>
        </w:tc>
        <w:tc>
          <w:tcPr>
            <w:tcW w:w="963" w:type="pct"/>
            <w:noWrap w:val="0"/>
            <w:vAlign w:val="center"/>
          </w:tcPr>
          <w:p w14:paraId="63E9E43C">
            <w:pPr>
              <w:keepNext w:val="0"/>
              <w:keepLines w:val="0"/>
              <w:suppressLineNumbers w:val="0"/>
              <w:spacing w:before="0" w:beforeAutospacing="0" w:after="0" w:afterAutospacing="0"/>
              <w:ind w:left="0" w:right="0"/>
              <w:rPr>
                <w:rFonts w:hint="eastAsia" w:ascii="宋体" w:hAnsi="宋体" w:cs="宋体"/>
              </w:rPr>
            </w:pPr>
          </w:p>
        </w:tc>
        <w:tc>
          <w:tcPr>
            <w:tcW w:w="793" w:type="pct"/>
            <w:noWrap w:val="0"/>
            <w:vAlign w:val="top"/>
          </w:tcPr>
          <w:p w14:paraId="317F6CEC">
            <w:pPr>
              <w:keepNext w:val="0"/>
              <w:keepLines w:val="0"/>
              <w:suppressLineNumbers w:val="0"/>
              <w:spacing w:before="0" w:beforeAutospacing="0" w:after="0" w:afterAutospacing="0"/>
              <w:ind w:left="0" w:right="0"/>
              <w:rPr>
                <w:rFonts w:hint="eastAsia" w:ascii="宋体" w:hAnsi="宋体" w:cs="宋体"/>
              </w:rPr>
            </w:pPr>
          </w:p>
        </w:tc>
        <w:tc>
          <w:tcPr>
            <w:tcW w:w="478" w:type="pct"/>
            <w:noWrap w:val="0"/>
            <w:vAlign w:val="center"/>
          </w:tcPr>
          <w:p w14:paraId="7461740F">
            <w:pPr>
              <w:keepNext w:val="0"/>
              <w:keepLines w:val="0"/>
              <w:suppressLineNumbers w:val="0"/>
              <w:spacing w:before="0" w:beforeAutospacing="0" w:after="0" w:afterAutospacing="0"/>
              <w:ind w:left="0" w:right="0"/>
              <w:rPr>
                <w:rFonts w:hint="eastAsia" w:ascii="宋体" w:hAnsi="宋体" w:cs="宋体"/>
              </w:rPr>
            </w:pPr>
          </w:p>
        </w:tc>
      </w:tr>
      <w:tr w14:paraId="19A3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183138EE">
            <w:pPr>
              <w:keepNext w:val="0"/>
              <w:keepLines w:val="0"/>
              <w:suppressLineNumbers w:val="0"/>
              <w:spacing w:before="0" w:beforeAutospacing="0" w:after="0" w:afterAutospacing="0"/>
              <w:ind w:left="0" w:right="0"/>
              <w:jc w:val="center"/>
              <w:rPr>
                <w:rFonts w:hint="eastAsia" w:ascii="宋体" w:hAnsi="宋体" w:cs="宋体"/>
              </w:rPr>
            </w:pPr>
            <w:r>
              <w:rPr>
                <w:rFonts w:hint="eastAsia" w:ascii="宋体" w:hAnsi="宋体" w:cs="宋体"/>
              </w:rPr>
              <w:t>2</w:t>
            </w:r>
          </w:p>
        </w:tc>
        <w:tc>
          <w:tcPr>
            <w:tcW w:w="757" w:type="pct"/>
            <w:noWrap w:val="0"/>
            <w:vAlign w:val="center"/>
          </w:tcPr>
          <w:p w14:paraId="2D069118">
            <w:pPr>
              <w:keepNext w:val="0"/>
              <w:keepLines w:val="0"/>
              <w:suppressLineNumbers w:val="0"/>
              <w:spacing w:before="0" w:beforeAutospacing="0" w:after="0" w:afterAutospacing="0"/>
              <w:ind w:left="0" w:right="0"/>
              <w:rPr>
                <w:rFonts w:hint="eastAsia" w:ascii="宋体" w:hAnsi="宋体" w:cs="宋体"/>
              </w:rPr>
            </w:pPr>
          </w:p>
        </w:tc>
        <w:tc>
          <w:tcPr>
            <w:tcW w:w="953" w:type="pct"/>
            <w:noWrap w:val="0"/>
            <w:vAlign w:val="center"/>
          </w:tcPr>
          <w:p w14:paraId="617B6711">
            <w:pPr>
              <w:keepNext w:val="0"/>
              <w:keepLines w:val="0"/>
              <w:suppressLineNumbers w:val="0"/>
              <w:spacing w:before="0" w:beforeAutospacing="0" w:after="0" w:afterAutospacing="0"/>
              <w:ind w:left="0" w:right="0"/>
              <w:rPr>
                <w:rFonts w:hint="eastAsia" w:ascii="宋体" w:hAnsi="宋体" w:cs="宋体"/>
              </w:rPr>
            </w:pPr>
          </w:p>
        </w:tc>
        <w:tc>
          <w:tcPr>
            <w:tcW w:w="644" w:type="pct"/>
            <w:noWrap w:val="0"/>
            <w:vAlign w:val="center"/>
          </w:tcPr>
          <w:p w14:paraId="415ADEC9">
            <w:pPr>
              <w:keepNext w:val="0"/>
              <w:keepLines w:val="0"/>
              <w:suppressLineNumbers w:val="0"/>
              <w:spacing w:before="0" w:beforeAutospacing="0" w:after="0" w:afterAutospacing="0"/>
              <w:ind w:left="0" w:right="0"/>
              <w:rPr>
                <w:rFonts w:hint="eastAsia" w:ascii="宋体" w:hAnsi="宋体" w:cs="宋体"/>
              </w:rPr>
            </w:pPr>
          </w:p>
        </w:tc>
        <w:tc>
          <w:tcPr>
            <w:tcW w:w="963" w:type="pct"/>
            <w:noWrap w:val="0"/>
            <w:vAlign w:val="center"/>
          </w:tcPr>
          <w:p w14:paraId="210B28D4">
            <w:pPr>
              <w:keepNext w:val="0"/>
              <w:keepLines w:val="0"/>
              <w:suppressLineNumbers w:val="0"/>
              <w:spacing w:before="0" w:beforeAutospacing="0" w:after="0" w:afterAutospacing="0"/>
              <w:ind w:left="0" w:right="0"/>
              <w:rPr>
                <w:rFonts w:hint="eastAsia" w:ascii="宋体" w:hAnsi="宋体" w:cs="宋体"/>
              </w:rPr>
            </w:pPr>
          </w:p>
        </w:tc>
        <w:tc>
          <w:tcPr>
            <w:tcW w:w="793" w:type="pct"/>
            <w:noWrap w:val="0"/>
            <w:vAlign w:val="top"/>
          </w:tcPr>
          <w:p w14:paraId="64F0D25C">
            <w:pPr>
              <w:keepNext w:val="0"/>
              <w:keepLines w:val="0"/>
              <w:suppressLineNumbers w:val="0"/>
              <w:spacing w:before="0" w:beforeAutospacing="0" w:after="0" w:afterAutospacing="0"/>
              <w:ind w:left="0" w:right="0"/>
              <w:rPr>
                <w:rFonts w:hint="eastAsia" w:ascii="宋体" w:hAnsi="宋体" w:cs="宋体"/>
              </w:rPr>
            </w:pPr>
          </w:p>
        </w:tc>
        <w:tc>
          <w:tcPr>
            <w:tcW w:w="478" w:type="pct"/>
            <w:noWrap w:val="0"/>
            <w:vAlign w:val="center"/>
          </w:tcPr>
          <w:p w14:paraId="2C3F46F2">
            <w:pPr>
              <w:keepNext w:val="0"/>
              <w:keepLines w:val="0"/>
              <w:suppressLineNumbers w:val="0"/>
              <w:spacing w:before="0" w:beforeAutospacing="0" w:after="0" w:afterAutospacing="0"/>
              <w:ind w:left="0" w:right="0"/>
              <w:rPr>
                <w:rFonts w:hint="eastAsia" w:ascii="宋体" w:hAnsi="宋体" w:cs="宋体"/>
              </w:rPr>
            </w:pPr>
          </w:p>
        </w:tc>
      </w:tr>
      <w:tr w14:paraId="6B4B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6709850C">
            <w:pPr>
              <w:keepNext w:val="0"/>
              <w:keepLines w:val="0"/>
              <w:suppressLineNumbers w:val="0"/>
              <w:spacing w:before="0" w:beforeAutospacing="0" w:after="0" w:afterAutospacing="0"/>
              <w:ind w:left="0" w:right="0"/>
              <w:jc w:val="center"/>
              <w:rPr>
                <w:rFonts w:hint="eastAsia" w:ascii="宋体" w:hAnsi="宋体" w:cs="宋体"/>
              </w:rPr>
            </w:pPr>
            <w:r>
              <w:rPr>
                <w:rFonts w:hint="eastAsia" w:ascii="宋体" w:hAnsi="宋体" w:cs="宋体"/>
              </w:rPr>
              <w:t>3</w:t>
            </w:r>
          </w:p>
        </w:tc>
        <w:tc>
          <w:tcPr>
            <w:tcW w:w="757" w:type="pct"/>
            <w:noWrap w:val="0"/>
            <w:vAlign w:val="center"/>
          </w:tcPr>
          <w:p w14:paraId="7FD58245">
            <w:pPr>
              <w:keepNext w:val="0"/>
              <w:keepLines w:val="0"/>
              <w:suppressLineNumbers w:val="0"/>
              <w:spacing w:before="0" w:beforeAutospacing="0" w:after="0" w:afterAutospacing="0"/>
              <w:ind w:left="0" w:right="0"/>
              <w:rPr>
                <w:rFonts w:hint="eastAsia" w:ascii="宋体" w:hAnsi="宋体" w:cs="宋体"/>
              </w:rPr>
            </w:pPr>
          </w:p>
        </w:tc>
        <w:tc>
          <w:tcPr>
            <w:tcW w:w="953" w:type="pct"/>
            <w:noWrap w:val="0"/>
            <w:vAlign w:val="center"/>
          </w:tcPr>
          <w:p w14:paraId="46136D3B">
            <w:pPr>
              <w:keepNext w:val="0"/>
              <w:keepLines w:val="0"/>
              <w:suppressLineNumbers w:val="0"/>
              <w:spacing w:before="0" w:beforeAutospacing="0" w:after="0" w:afterAutospacing="0"/>
              <w:ind w:left="0" w:right="0"/>
              <w:rPr>
                <w:rFonts w:hint="eastAsia" w:ascii="宋体" w:hAnsi="宋体" w:cs="宋体"/>
              </w:rPr>
            </w:pPr>
          </w:p>
        </w:tc>
        <w:tc>
          <w:tcPr>
            <w:tcW w:w="644" w:type="pct"/>
            <w:noWrap w:val="0"/>
            <w:vAlign w:val="center"/>
          </w:tcPr>
          <w:p w14:paraId="22DD9923">
            <w:pPr>
              <w:keepNext w:val="0"/>
              <w:keepLines w:val="0"/>
              <w:suppressLineNumbers w:val="0"/>
              <w:spacing w:before="0" w:beforeAutospacing="0" w:after="0" w:afterAutospacing="0"/>
              <w:ind w:left="0" w:right="0"/>
              <w:rPr>
                <w:rFonts w:hint="eastAsia" w:ascii="宋体" w:hAnsi="宋体" w:cs="宋体"/>
              </w:rPr>
            </w:pPr>
          </w:p>
        </w:tc>
        <w:tc>
          <w:tcPr>
            <w:tcW w:w="963" w:type="pct"/>
            <w:noWrap w:val="0"/>
            <w:vAlign w:val="center"/>
          </w:tcPr>
          <w:p w14:paraId="03C9A9E3">
            <w:pPr>
              <w:keepNext w:val="0"/>
              <w:keepLines w:val="0"/>
              <w:suppressLineNumbers w:val="0"/>
              <w:spacing w:before="0" w:beforeAutospacing="0" w:after="0" w:afterAutospacing="0"/>
              <w:ind w:left="0" w:right="0"/>
              <w:rPr>
                <w:rFonts w:hint="eastAsia" w:ascii="宋体" w:hAnsi="宋体" w:cs="宋体"/>
              </w:rPr>
            </w:pPr>
          </w:p>
        </w:tc>
        <w:tc>
          <w:tcPr>
            <w:tcW w:w="793" w:type="pct"/>
            <w:noWrap w:val="0"/>
            <w:vAlign w:val="top"/>
          </w:tcPr>
          <w:p w14:paraId="66AF0946">
            <w:pPr>
              <w:keepNext w:val="0"/>
              <w:keepLines w:val="0"/>
              <w:suppressLineNumbers w:val="0"/>
              <w:spacing w:before="0" w:beforeAutospacing="0" w:after="0" w:afterAutospacing="0"/>
              <w:ind w:left="0" w:right="0"/>
              <w:rPr>
                <w:rFonts w:hint="eastAsia" w:ascii="宋体" w:hAnsi="宋体" w:cs="宋体"/>
              </w:rPr>
            </w:pPr>
          </w:p>
        </w:tc>
        <w:tc>
          <w:tcPr>
            <w:tcW w:w="478" w:type="pct"/>
            <w:noWrap w:val="0"/>
            <w:vAlign w:val="center"/>
          </w:tcPr>
          <w:p w14:paraId="3CA455D3">
            <w:pPr>
              <w:keepNext w:val="0"/>
              <w:keepLines w:val="0"/>
              <w:suppressLineNumbers w:val="0"/>
              <w:spacing w:before="0" w:beforeAutospacing="0" w:after="0" w:afterAutospacing="0"/>
              <w:ind w:left="0" w:right="0"/>
              <w:rPr>
                <w:rFonts w:hint="eastAsia" w:ascii="宋体" w:hAnsi="宋体" w:cs="宋体"/>
              </w:rPr>
            </w:pPr>
          </w:p>
        </w:tc>
      </w:tr>
      <w:tr w14:paraId="3885C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05977B0A">
            <w:pPr>
              <w:keepNext w:val="0"/>
              <w:keepLines w:val="0"/>
              <w:suppressLineNumbers w:val="0"/>
              <w:spacing w:before="0" w:beforeAutospacing="0" w:after="0" w:afterAutospacing="0"/>
              <w:ind w:left="0" w:right="0"/>
              <w:jc w:val="center"/>
              <w:rPr>
                <w:rFonts w:hint="eastAsia" w:ascii="宋体" w:hAnsi="宋体" w:cs="宋体"/>
              </w:rPr>
            </w:pPr>
            <w:r>
              <w:rPr>
                <w:rFonts w:hint="eastAsia" w:ascii="宋体" w:hAnsi="宋体" w:cs="宋体"/>
              </w:rPr>
              <w:t>4</w:t>
            </w:r>
          </w:p>
        </w:tc>
        <w:tc>
          <w:tcPr>
            <w:tcW w:w="757" w:type="pct"/>
            <w:noWrap w:val="0"/>
            <w:vAlign w:val="center"/>
          </w:tcPr>
          <w:p w14:paraId="4CB4F3E7">
            <w:pPr>
              <w:keepNext w:val="0"/>
              <w:keepLines w:val="0"/>
              <w:suppressLineNumbers w:val="0"/>
              <w:spacing w:before="0" w:beforeAutospacing="0" w:after="0" w:afterAutospacing="0"/>
              <w:ind w:left="0" w:right="0"/>
              <w:rPr>
                <w:rFonts w:hint="eastAsia" w:ascii="宋体" w:hAnsi="宋体" w:cs="宋体"/>
              </w:rPr>
            </w:pPr>
          </w:p>
        </w:tc>
        <w:tc>
          <w:tcPr>
            <w:tcW w:w="953" w:type="pct"/>
            <w:noWrap w:val="0"/>
            <w:vAlign w:val="center"/>
          </w:tcPr>
          <w:p w14:paraId="249BE1D9">
            <w:pPr>
              <w:keepNext w:val="0"/>
              <w:keepLines w:val="0"/>
              <w:suppressLineNumbers w:val="0"/>
              <w:spacing w:before="0" w:beforeAutospacing="0" w:after="0" w:afterAutospacing="0"/>
              <w:ind w:left="0" w:right="0"/>
              <w:rPr>
                <w:rFonts w:hint="eastAsia" w:ascii="宋体" w:hAnsi="宋体" w:cs="宋体"/>
              </w:rPr>
            </w:pPr>
          </w:p>
        </w:tc>
        <w:tc>
          <w:tcPr>
            <w:tcW w:w="644" w:type="pct"/>
            <w:noWrap w:val="0"/>
            <w:vAlign w:val="center"/>
          </w:tcPr>
          <w:p w14:paraId="78D61A8D">
            <w:pPr>
              <w:keepNext w:val="0"/>
              <w:keepLines w:val="0"/>
              <w:suppressLineNumbers w:val="0"/>
              <w:spacing w:before="0" w:beforeAutospacing="0" w:after="0" w:afterAutospacing="0"/>
              <w:ind w:left="0" w:right="0"/>
              <w:rPr>
                <w:rFonts w:hint="eastAsia" w:ascii="宋体" w:hAnsi="宋体" w:cs="宋体"/>
              </w:rPr>
            </w:pPr>
          </w:p>
        </w:tc>
        <w:tc>
          <w:tcPr>
            <w:tcW w:w="963" w:type="pct"/>
            <w:noWrap w:val="0"/>
            <w:vAlign w:val="center"/>
          </w:tcPr>
          <w:p w14:paraId="2C5230C7">
            <w:pPr>
              <w:keepNext w:val="0"/>
              <w:keepLines w:val="0"/>
              <w:suppressLineNumbers w:val="0"/>
              <w:spacing w:before="0" w:beforeAutospacing="0" w:after="0" w:afterAutospacing="0"/>
              <w:ind w:left="0" w:right="0"/>
              <w:rPr>
                <w:rFonts w:hint="eastAsia" w:ascii="宋体" w:hAnsi="宋体" w:cs="宋体"/>
              </w:rPr>
            </w:pPr>
          </w:p>
        </w:tc>
        <w:tc>
          <w:tcPr>
            <w:tcW w:w="793" w:type="pct"/>
            <w:noWrap w:val="0"/>
            <w:vAlign w:val="top"/>
          </w:tcPr>
          <w:p w14:paraId="6F404E2F">
            <w:pPr>
              <w:keepNext w:val="0"/>
              <w:keepLines w:val="0"/>
              <w:suppressLineNumbers w:val="0"/>
              <w:spacing w:before="0" w:beforeAutospacing="0" w:after="0" w:afterAutospacing="0"/>
              <w:ind w:left="0" w:right="0"/>
              <w:rPr>
                <w:rFonts w:hint="eastAsia" w:ascii="宋体" w:hAnsi="宋体" w:cs="宋体"/>
              </w:rPr>
            </w:pPr>
          </w:p>
        </w:tc>
        <w:tc>
          <w:tcPr>
            <w:tcW w:w="478" w:type="pct"/>
            <w:noWrap w:val="0"/>
            <w:vAlign w:val="center"/>
          </w:tcPr>
          <w:p w14:paraId="11B4ACAE">
            <w:pPr>
              <w:keepNext w:val="0"/>
              <w:keepLines w:val="0"/>
              <w:suppressLineNumbers w:val="0"/>
              <w:spacing w:before="0" w:beforeAutospacing="0" w:after="0" w:afterAutospacing="0"/>
              <w:ind w:left="0" w:right="0"/>
              <w:rPr>
                <w:rFonts w:hint="eastAsia" w:ascii="宋体" w:hAnsi="宋体" w:cs="宋体"/>
              </w:rPr>
            </w:pPr>
          </w:p>
        </w:tc>
      </w:tr>
      <w:tr w14:paraId="27FC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7955E2F2">
            <w:pPr>
              <w:keepNext w:val="0"/>
              <w:keepLines w:val="0"/>
              <w:suppressLineNumbers w:val="0"/>
              <w:spacing w:before="0" w:beforeAutospacing="0" w:after="0" w:afterAutospacing="0"/>
              <w:ind w:left="0" w:right="0"/>
              <w:jc w:val="center"/>
              <w:rPr>
                <w:rFonts w:hint="eastAsia" w:ascii="宋体" w:hAnsi="宋体" w:cs="宋体"/>
              </w:rPr>
            </w:pPr>
            <w:r>
              <w:rPr>
                <w:rFonts w:hint="eastAsia" w:ascii="宋体" w:hAnsi="宋体" w:cs="宋体"/>
              </w:rPr>
              <w:t>5</w:t>
            </w:r>
          </w:p>
        </w:tc>
        <w:tc>
          <w:tcPr>
            <w:tcW w:w="757" w:type="pct"/>
            <w:noWrap w:val="0"/>
            <w:vAlign w:val="center"/>
          </w:tcPr>
          <w:p w14:paraId="2DAEA112">
            <w:pPr>
              <w:keepNext w:val="0"/>
              <w:keepLines w:val="0"/>
              <w:suppressLineNumbers w:val="0"/>
              <w:spacing w:before="0" w:beforeAutospacing="0" w:after="0" w:afterAutospacing="0"/>
              <w:ind w:left="0" w:right="0"/>
              <w:rPr>
                <w:rFonts w:hint="eastAsia" w:ascii="宋体" w:hAnsi="宋体" w:cs="宋体"/>
              </w:rPr>
            </w:pPr>
          </w:p>
        </w:tc>
        <w:tc>
          <w:tcPr>
            <w:tcW w:w="953" w:type="pct"/>
            <w:noWrap w:val="0"/>
            <w:vAlign w:val="center"/>
          </w:tcPr>
          <w:p w14:paraId="1DE57E66">
            <w:pPr>
              <w:keepNext w:val="0"/>
              <w:keepLines w:val="0"/>
              <w:suppressLineNumbers w:val="0"/>
              <w:spacing w:before="0" w:beforeAutospacing="0" w:after="0" w:afterAutospacing="0"/>
              <w:ind w:left="0" w:right="0"/>
              <w:rPr>
                <w:rFonts w:hint="eastAsia" w:ascii="宋体" w:hAnsi="宋体" w:cs="宋体"/>
              </w:rPr>
            </w:pPr>
          </w:p>
        </w:tc>
        <w:tc>
          <w:tcPr>
            <w:tcW w:w="644" w:type="pct"/>
            <w:noWrap w:val="0"/>
            <w:vAlign w:val="center"/>
          </w:tcPr>
          <w:p w14:paraId="3EA0F80D">
            <w:pPr>
              <w:keepNext w:val="0"/>
              <w:keepLines w:val="0"/>
              <w:suppressLineNumbers w:val="0"/>
              <w:spacing w:before="0" w:beforeAutospacing="0" w:after="0" w:afterAutospacing="0"/>
              <w:ind w:left="0" w:right="0"/>
              <w:rPr>
                <w:rFonts w:hint="eastAsia" w:ascii="宋体" w:hAnsi="宋体" w:cs="宋体"/>
              </w:rPr>
            </w:pPr>
          </w:p>
        </w:tc>
        <w:tc>
          <w:tcPr>
            <w:tcW w:w="963" w:type="pct"/>
            <w:noWrap w:val="0"/>
            <w:vAlign w:val="center"/>
          </w:tcPr>
          <w:p w14:paraId="6B4DE47F">
            <w:pPr>
              <w:keepNext w:val="0"/>
              <w:keepLines w:val="0"/>
              <w:suppressLineNumbers w:val="0"/>
              <w:spacing w:before="0" w:beforeAutospacing="0" w:after="0" w:afterAutospacing="0"/>
              <w:ind w:left="0" w:right="0"/>
              <w:rPr>
                <w:rFonts w:hint="eastAsia" w:ascii="宋体" w:hAnsi="宋体" w:cs="宋体"/>
              </w:rPr>
            </w:pPr>
          </w:p>
        </w:tc>
        <w:tc>
          <w:tcPr>
            <w:tcW w:w="793" w:type="pct"/>
            <w:noWrap w:val="0"/>
            <w:vAlign w:val="top"/>
          </w:tcPr>
          <w:p w14:paraId="24CB27E7">
            <w:pPr>
              <w:keepNext w:val="0"/>
              <w:keepLines w:val="0"/>
              <w:suppressLineNumbers w:val="0"/>
              <w:spacing w:before="0" w:beforeAutospacing="0" w:after="0" w:afterAutospacing="0"/>
              <w:ind w:left="0" w:right="0"/>
              <w:rPr>
                <w:rFonts w:hint="eastAsia" w:ascii="宋体" w:hAnsi="宋体" w:cs="宋体"/>
              </w:rPr>
            </w:pPr>
          </w:p>
        </w:tc>
        <w:tc>
          <w:tcPr>
            <w:tcW w:w="478" w:type="pct"/>
            <w:noWrap w:val="0"/>
            <w:vAlign w:val="center"/>
          </w:tcPr>
          <w:p w14:paraId="0370E994">
            <w:pPr>
              <w:keepNext w:val="0"/>
              <w:keepLines w:val="0"/>
              <w:suppressLineNumbers w:val="0"/>
              <w:spacing w:before="0" w:beforeAutospacing="0" w:after="0" w:afterAutospacing="0"/>
              <w:ind w:left="0" w:right="0"/>
              <w:rPr>
                <w:rFonts w:hint="eastAsia" w:ascii="宋体" w:hAnsi="宋体" w:cs="宋体"/>
              </w:rPr>
            </w:pPr>
          </w:p>
        </w:tc>
      </w:tr>
      <w:tr w14:paraId="000D0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2" w:type="pct"/>
            <w:noWrap w:val="0"/>
            <w:vAlign w:val="center"/>
          </w:tcPr>
          <w:p w14:paraId="7923A6DA">
            <w:pPr>
              <w:keepNext w:val="0"/>
              <w:keepLines w:val="0"/>
              <w:suppressLineNumbers w:val="0"/>
              <w:spacing w:before="0" w:beforeAutospacing="0" w:after="0" w:afterAutospacing="0"/>
              <w:ind w:left="0" w:right="0"/>
              <w:jc w:val="center"/>
              <w:rPr>
                <w:rFonts w:hint="eastAsia" w:ascii="宋体" w:hAnsi="宋体" w:cs="宋体"/>
              </w:rPr>
            </w:pPr>
            <w:r>
              <w:rPr>
                <w:rFonts w:hint="eastAsia" w:ascii="宋体" w:hAnsi="宋体" w:cs="宋体"/>
              </w:rPr>
              <w:t>……</w:t>
            </w:r>
          </w:p>
        </w:tc>
        <w:tc>
          <w:tcPr>
            <w:tcW w:w="757" w:type="pct"/>
            <w:noWrap w:val="0"/>
            <w:vAlign w:val="center"/>
          </w:tcPr>
          <w:p w14:paraId="4E187274">
            <w:pPr>
              <w:keepNext w:val="0"/>
              <w:keepLines w:val="0"/>
              <w:suppressLineNumbers w:val="0"/>
              <w:spacing w:before="0" w:beforeAutospacing="0" w:after="0" w:afterAutospacing="0"/>
              <w:ind w:left="0" w:right="0"/>
              <w:rPr>
                <w:rFonts w:hint="eastAsia" w:ascii="宋体" w:hAnsi="宋体" w:cs="宋体"/>
              </w:rPr>
            </w:pPr>
          </w:p>
        </w:tc>
        <w:tc>
          <w:tcPr>
            <w:tcW w:w="953" w:type="pct"/>
            <w:noWrap w:val="0"/>
            <w:vAlign w:val="center"/>
          </w:tcPr>
          <w:p w14:paraId="0BAACB30">
            <w:pPr>
              <w:keepNext w:val="0"/>
              <w:keepLines w:val="0"/>
              <w:suppressLineNumbers w:val="0"/>
              <w:spacing w:before="0" w:beforeAutospacing="0" w:after="0" w:afterAutospacing="0"/>
              <w:ind w:left="0" w:right="0"/>
              <w:rPr>
                <w:rFonts w:hint="eastAsia" w:ascii="宋体" w:hAnsi="宋体" w:cs="宋体"/>
              </w:rPr>
            </w:pPr>
          </w:p>
        </w:tc>
        <w:tc>
          <w:tcPr>
            <w:tcW w:w="644" w:type="pct"/>
            <w:noWrap w:val="0"/>
            <w:vAlign w:val="center"/>
          </w:tcPr>
          <w:p w14:paraId="26C07830">
            <w:pPr>
              <w:keepNext w:val="0"/>
              <w:keepLines w:val="0"/>
              <w:suppressLineNumbers w:val="0"/>
              <w:spacing w:before="0" w:beforeAutospacing="0" w:after="0" w:afterAutospacing="0"/>
              <w:ind w:left="0" w:right="0"/>
              <w:rPr>
                <w:rFonts w:hint="eastAsia" w:ascii="宋体" w:hAnsi="宋体" w:cs="宋体"/>
              </w:rPr>
            </w:pPr>
          </w:p>
        </w:tc>
        <w:tc>
          <w:tcPr>
            <w:tcW w:w="963" w:type="pct"/>
            <w:noWrap w:val="0"/>
            <w:vAlign w:val="center"/>
          </w:tcPr>
          <w:p w14:paraId="3A0DB47D">
            <w:pPr>
              <w:keepNext w:val="0"/>
              <w:keepLines w:val="0"/>
              <w:suppressLineNumbers w:val="0"/>
              <w:spacing w:before="0" w:beforeAutospacing="0" w:after="0" w:afterAutospacing="0"/>
              <w:ind w:left="0" w:right="0"/>
              <w:rPr>
                <w:rFonts w:hint="eastAsia" w:ascii="宋体" w:hAnsi="宋体" w:cs="宋体"/>
              </w:rPr>
            </w:pPr>
          </w:p>
        </w:tc>
        <w:tc>
          <w:tcPr>
            <w:tcW w:w="793" w:type="pct"/>
            <w:noWrap w:val="0"/>
            <w:vAlign w:val="top"/>
          </w:tcPr>
          <w:p w14:paraId="2CDC8198">
            <w:pPr>
              <w:keepNext w:val="0"/>
              <w:keepLines w:val="0"/>
              <w:suppressLineNumbers w:val="0"/>
              <w:spacing w:before="0" w:beforeAutospacing="0" w:after="0" w:afterAutospacing="0"/>
              <w:ind w:left="0" w:right="0"/>
              <w:rPr>
                <w:rFonts w:hint="eastAsia" w:ascii="宋体" w:hAnsi="宋体" w:cs="宋体"/>
              </w:rPr>
            </w:pPr>
          </w:p>
        </w:tc>
        <w:tc>
          <w:tcPr>
            <w:tcW w:w="478" w:type="pct"/>
            <w:noWrap w:val="0"/>
            <w:vAlign w:val="center"/>
          </w:tcPr>
          <w:p w14:paraId="0BF7AF51">
            <w:pPr>
              <w:keepNext w:val="0"/>
              <w:keepLines w:val="0"/>
              <w:suppressLineNumbers w:val="0"/>
              <w:spacing w:before="0" w:beforeAutospacing="0" w:after="0" w:afterAutospacing="0"/>
              <w:ind w:left="0" w:right="0"/>
              <w:rPr>
                <w:rFonts w:hint="eastAsia" w:ascii="宋体" w:hAnsi="宋体" w:cs="宋体"/>
              </w:rPr>
            </w:pPr>
          </w:p>
        </w:tc>
      </w:tr>
    </w:tbl>
    <w:p w14:paraId="373768E0">
      <w:pPr>
        <w:widowControl/>
        <w:jc w:val="left"/>
        <w:rPr>
          <w:rFonts w:hint="eastAsia" w:ascii="宋体" w:hAnsi="宋体" w:cs="宋体"/>
          <w:szCs w:val="21"/>
        </w:rPr>
      </w:pPr>
      <w:r>
        <w:rPr>
          <w:rFonts w:hint="eastAsia" w:ascii="宋体" w:hAnsi="宋体" w:cs="宋体"/>
          <w:szCs w:val="21"/>
        </w:rPr>
        <w:t>注：应附中标通知书（如有）和合同协议书，以及验收证表（验收证明文件）等材料（具体以评标办法章节、投标须知前附表要求为准），具体年份时间要求见评标办法章节、投标人须知前附表。</w:t>
      </w:r>
    </w:p>
    <w:p w14:paraId="356F78D9">
      <w:pPr>
        <w:rPr>
          <w:rFonts w:hint="eastAsia" w:ascii="宋体" w:hAnsi="宋体" w:cs="宋体"/>
          <w:lang w:bidi="en-US"/>
        </w:rPr>
      </w:pPr>
    </w:p>
    <w:p w14:paraId="7EAAF9C9">
      <w:pPr>
        <w:rPr>
          <w:rFonts w:hint="eastAsia" w:ascii="宋体" w:hAnsi="宋体" w:cs="宋体"/>
          <w:lang w:bidi="en-US"/>
        </w:rPr>
      </w:pPr>
    </w:p>
    <w:p w14:paraId="6252DFB7">
      <w:pPr>
        <w:rPr>
          <w:rFonts w:hint="eastAsia" w:ascii="宋体" w:hAnsi="宋体" w:cs="宋体"/>
          <w:lang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C9A4BAE">
      <w:pPr>
        <w:pStyle w:val="4"/>
        <w:keepNext w:val="0"/>
        <w:tabs>
          <w:tab w:val="left" w:pos="1260"/>
        </w:tabs>
        <w:jc w:val="center"/>
        <w:rPr>
          <w:rFonts w:hint="eastAsia" w:cs="宋体"/>
          <w:bCs w:val="0"/>
          <w:sz w:val="21"/>
          <w:szCs w:val="21"/>
          <w:lang w:eastAsia="zh-CN"/>
        </w:rPr>
      </w:pPr>
      <w:r>
        <w:rPr>
          <w:rFonts w:hint="eastAsia" w:cs="宋体"/>
          <w:bCs w:val="0"/>
          <w:sz w:val="21"/>
          <w:szCs w:val="21"/>
          <w:lang w:eastAsia="zh-CN"/>
        </w:rPr>
        <w:t>（六）制造商授权书</w:t>
      </w:r>
    </w:p>
    <w:p w14:paraId="709F60C5">
      <w:pPr>
        <w:tabs>
          <w:tab w:val="left" w:pos="0"/>
        </w:tabs>
        <w:spacing w:line="440" w:lineRule="exact"/>
        <w:rPr>
          <w:rFonts w:hint="eastAsia"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（采购人）</w:t>
      </w:r>
    </w:p>
    <w:p w14:paraId="12127426">
      <w:pPr>
        <w:tabs>
          <w:tab w:val="left" w:pos="0"/>
        </w:tabs>
        <w:spacing w:line="440" w:lineRule="exact"/>
        <w:ind w:left="105" w:leftChars="50" w:firstLine="420" w:firstLineChars="200"/>
        <w:rPr>
          <w:rFonts w:hint="eastAsia" w:ascii="宋体" w:hAnsi="宋体" w:cs="宋体"/>
          <w:szCs w:val="21"/>
        </w:rPr>
      </w:pPr>
      <w:r>
        <w:rPr>
          <w:rFonts w:hint="eastAsia" w:ascii="宋体" w:hAnsi="宋体" w:cs="宋体"/>
          <w:szCs w:val="21"/>
        </w:rPr>
        <w:t>我单位</w:t>
      </w:r>
      <w:r>
        <w:rPr>
          <w:rFonts w:hint="eastAsia" w:ascii="宋体" w:hAnsi="宋体" w:cs="宋体"/>
          <w:szCs w:val="21"/>
          <w:u w:val="single"/>
        </w:rPr>
        <w:t xml:space="preserve">                </w:t>
      </w:r>
      <w:r>
        <w:rPr>
          <w:rFonts w:hint="eastAsia" w:ascii="宋体" w:hAnsi="宋体" w:cs="宋体"/>
          <w:szCs w:val="21"/>
        </w:rPr>
        <w:t>（制造商名称）是按</w:t>
      </w:r>
      <w:r>
        <w:rPr>
          <w:rFonts w:hint="eastAsia" w:ascii="宋体" w:hAnsi="宋体" w:cs="宋体"/>
          <w:szCs w:val="21"/>
          <w:u w:val="single"/>
        </w:rPr>
        <w:t xml:space="preserve">         </w:t>
      </w:r>
      <w:r>
        <w:rPr>
          <w:rFonts w:hint="eastAsia" w:ascii="宋体" w:hAnsi="宋体" w:cs="宋体"/>
          <w:szCs w:val="21"/>
        </w:rPr>
        <w:t>（国家/地区名称）法律成立的制造商，主要营业地点设在</w:t>
      </w:r>
      <w:r>
        <w:rPr>
          <w:rFonts w:hint="eastAsia" w:ascii="宋体" w:hAnsi="宋体" w:cs="宋体"/>
          <w:szCs w:val="21"/>
          <w:u w:val="single"/>
        </w:rPr>
        <w:t xml:space="preserve">                      </w:t>
      </w:r>
      <w:r>
        <w:rPr>
          <w:rFonts w:hint="eastAsia" w:ascii="宋体" w:hAnsi="宋体" w:cs="宋体"/>
          <w:szCs w:val="21"/>
        </w:rPr>
        <w:t>（制造商地址）。兹指派按中华人民共和国的法律正式成立的，主要营业地点设在</w:t>
      </w:r>
      <w:r>
        <w:rPr>
          <w:rFonts w:hint="eastAsia" w:ascii="宋体" w:hAnsi="宋体" w:cs="宋体"/>
          <w:szCs w:val="21"/>
          <w:u w:val="single"/>
        </w:rPr>
        <w:t xml:space="preserve">             </w:t>
      </w:r>
      <w:r>
        <w:rPr>
          <w:rFonts w:hint="eastAsia" w:ascii="宋体" w:hAnsi="宋体" w:cs="宋体"/>
          <w:szCs w:val="21"/>
        </w:rPr>
        <w:t>（投标人地址）的</w:t>
      </w:r>
      <w:r>
        <w:rPr>
          <w:rFonts w:hint="eastAsia" w:ascii="宋体" w:hAnsi="宋体" w:cs="宋体"/>
          <w:szCs w:val="21"/>
          <w:u w:val="single"/>
        </w:rPr>
        <w:t xml:space="preserve">           </w:t>
      </w:r>
      <w:r>
        <w:rPr>
          <w:rFonts w:hint="eastAsia" w:ascii="宋体" w:hAnsi="宋体" w:cs="宋体"/>
          <w:szCs w:val="21"/>
        </w:rPr>
        <w:t>（投标人名称）进行</w:t>
      </w:r>
      <w:r>
        <w:rPr>
          <w:rFonts w:hint="eastAsia" w:ascii="宋体" w:hAnsi="宋体" w:cs="宋体"/>
          <w:szCs w:val="21"/>
          <w:u w:val="single"/>
        </w:rPr>
        <w:t xml:space="preserve">         </w:t>
      </w:r>
      <w:r>
        <w:rPr>
          <w:rFonts w:hint="eastAsia" w:ascii="宋体" w:hAnsi="宋体" w:cs="宋体"/>
          <w:szCs w:val="21"/>
        </w:rPr>
        <w:t>（项目名称）投标活动。我单位同意按照成交合同供货，并对产品质量承担责任。</w:t>
      </w:r>
    </w:p>
    <w:p w14:paraId="6C0E1E7B">
      <w:pPr>
        <w:tabs>
          <w:tab w:val="left" w:pos="0"/>
        </w:tabs>
        <w:spacing w:after="120" w:line="440" w:lineRule="exact"/>
        <w:ind w:left="105" w:leftChars="50" w:right="105" w:rightChars="50" w:firstLine="420" w:firstLineChars="200"/>
        <w:rPr>
          <w:rFonts w:hint="eastAsia" w:ascii="宋体" w:hAnsi="宋体" w:cs="宋体"/>
          <w:szCs w:val="21"/>
        </w:rPr>
      </w:pPr>
    </w:p>
    <w:p w14:paraId="1ED03E05">
      <w:pPr>
        <w:tabs>
          <w:tab w:val="left" w:pos="0"/>
        </w:tabs>
        <w:spacing w:after="120" w:line="440" w:lineRule="exact"/>
        <w:ind w:left="105" w:leftChars="50" w:right="105" w:rightChars="50" w:firstLine="420" w:firstLineChars="200"/>
        <w:rPr>
          <w:rFonts w:hint="eastAsia" w:ascii="宋体" w:hAnsi="宋体" w:cs="宋体"/>
          <w:szCs w:val="21"/>
        </w:rPr>
      </w:pPr>
      <w:r>
        <w:rPr>
          <w:rFonts w:hint="eastAsia" w:ascii="宋体" w:hAnsi="宋体" w:cs="宋体"/>
          <w:szCs w:val="21"/>
        </w:rPr>
        <w:t>投标人名称</w:t>
      </w:r>
      <w:r>
        <w:rPr>
          <w:rFonts w:hint="eastAsia" w:ascii="宋体" w:hAnsi="宋体" w:cs="宋体"/>
          <w:szCs w:val="21"/>
          <w:u w:val="single"/>
        </w:rPr>
        <w:t xml:space="preserve">               </w:t>
      </w:r>
      <w:r>
        <w:rPr>
          <w:rFonts w:hint="eastAsia" w:ascii="宋体" w:hAnsi="宋体" w:cs="宋体"/>
          <w:szCs w:val="21"/>
        </w:rPr>
        <w:t xml:space="preserve">（盖单位章）  制造商名称 </w:t>
      </w:r>
      <w:r>
        <w:rPr>
          <w:rFonts w:hint="eastAsia" w:ascii="宋体" w:hAnsi="宋体" w:cs="宋体"/>
          <w:szCs w:val="21"/>
          <w:u w:val="single"/>
        </w:rPr>
        <w:t xml:space="preserve">              </w:t>
      </w:r>
      <w:r>
        <w:rPr>
          <w:rFonts w:hint="eastAsia" w:ascii="宋体" w:hAnsi="宋体" w:cs="宋体"/>
          <w:szCs w:val="21"/>
        </w:rPr>
        <w:t>（盖单位章）</w:t>
      </w:r>
    </w:p>
    <w:p w14:paraId="2690E58E">
      <w:pPr>
        <w:tabs>
          <w:tab w:val="left" w:pos="0"/>
        </w:tabs>
        <w:spacing w:after="120" w:line="440" w:lineRule="exact"/>
        <w:ind w:left="105" w:leftChars="50" w:right="105" w:rightChars="50" w:firstLine="420" w:firstLineChars="200"/>
        <w:rPr>
          <w:rFonts w:hint="eastAsia" w:ascii="宋体" w:hAnsi="宋体" w:cs="宋体"/>
          <w:szCs w:val="21"/>
        </w:rPr>
      </w:pPr>
      <w:r>
        <w:rPr>
          <w:rFonts w:hint="eastAsia" w:ascii="宋体" w:hAnsi="宋体" w:cs="宋体"/>
          <w:szCs w:val="21"/>
        </w:rPr>
        <w:t>签字人职务</w:t>
      </w:r>
      <w:r>
        <w:rPr>
          <w:rFonts w:hint="eastAsia" w:ascii="宋体" w:hAnsi="宋体" w:cs="宋体"/>
          <w:szCs w:val="21"/>
          <w:u w:val="single"/>
        </w:rPr>
        <w:t xml:space="preserve">                         </w:t>
      </w:r>
      <w:r>
        <w:rPr>
          <w:rFonts w:hint="eastAsia" w:ascii="宋体" w:hAnsi="宋体" w:cs="宋体"/>
          <w:szCs w:val="21"/>
        </w:rPr>
        <w:t xml:space="preserve">    签字人职务</w:t>
      </w:r>
      <w:r>
        <w:rPr>
          <w:rFonts w:hint="eastAsia" w:ascii="宋体" w:hAnsi="宋体" w:cs="宋体"/>
          <w:szCs w:val="21"/>
          <w:u w:val="single"/>
        </w:rPr>
        <w:t xml:space="preserve">                             </w:t>
      </w:r>
    </w:p>
    <w:p w14:paraId="04923A06">
      <w:pPr>
        <w:tabs>
          <w:tab w:val="left" w:pos="0"/>
        </w:tabs>
        <w:spacing w:after="120" w:line="440" w:lineRule="exact"/>
        <w:ind w:left="105" w:leftChars="50" w:right="105" w:rightChars="50" w:firstLine="420" w:firstLineChars="200"/>
        <w:rPr>
          <w:rFonts w:hint="eastAsia" w:ascii="宋体" w:hAnsi="宋体" w:cs="宋体"/>
          <w:szCs w:val="21"/>
        </w:rPr>
      </w:pPr>
      <w:r>
        <w:rPr>
          <w:rFonts w:hint="eastAsia" w:ascii="宋体" w:hAnsi="宋体" w:cs="宋体"/>
          <w:szCs w:val="21"/>
        </w:rPr>
        <w:t>签字人姓名</w:t>
      </w:r>
      <w:r>
        <w:rPr>
          <w:rFonts w:hint="eastAsia" w:ascii="宋体" w:hAnsi="宋体" w:cs="宋体"/>
          <w:szCs w:val="21"/>
          <w:u w:val="single"/>
        </w:rPr>
        <w:t xml:space="preserve">                         </w:t>
      </w:r>
      <w:r>
        <w:rPr>
          <w:rFonts w:hint="eastAsia" w:ascii="宋体" w:hAnsi="宋体" w:cs="宋体"/>
          <w:szCs w:val="21"/>
        </w:rPr>
        <w:t xml:space="preserve">    签字人姓名</w:t>
      </w:r>
      <w:r>
        <w:rPr>
          <w:rFonts w:hint="eastAsia" w:ascii="宋体" w:hAnsi="宋体" w:cs="宋体"/>
          <w:szCs w:val="21"/>
          <w:u w:val="single"/>
        </w:rPr>
        <w:t xml:space="preserve">                             </w:t>
      </w:r>
    </w:p>
    <w:p w14:paraId="603B37AC">
      <w:pPr>
        <w:tabs>
          <w:tab w:val="left" w:pos="0"/>
        </w:tabs>
        <w:spacing w:after="120" w:line="440" w:lineRule="exact"/>
        <w:ind w:left="105" w:leftChars="50" w:right="105" w:rightChars="50" w:firstLine="420" w:firstLineChars="200"/>
        <w:rPr>
          <w:rFonts w:hint="eastAsia" w:ascii="宋体" w:hAnsi="宋体" w:cs="宋体"/>
          <w:szCs w:val="21"/>
        </w:rPr>
      </w:pPr>
      <w:r>
        <w:rPr>
          <w:rFonts w:hint="eastAsia" w:ascii="宋体" w:hAnsi="宋体" w:cs="宋体"/>
          <w:szCs w:val="21"/>
        </w:rPr>
        <w:t>签字人签名</w:t>
      </w:r>
      <w:r>
        <w:rPr>
          <w:rFonts w:hint="eastAsia" w:ascii="宋体" w:hAnsi="宋体" w:cs="宋体"/>
          <w:szCs w:val="21"/>
          <w:u w:val="single"/>
        </w:rPr>
        <w:t xml:space="preserve">                         </w:t>
      </w:r>
      <w:r>
        <w:rPr>
          <w:rFonts w:hint="eastAsia" w:ascii="宋体" w:hAnsi="宋体" w:cs="宋体"/>
          <w:szCs w:val="21"/>
        </w:rPr>
        <w:t xml:space="preserve">    签字人签名</w:t>
      </w:r>
      <w:r>
        <w:rPr>
          <w:rFonts w:hint="eastAsia" w:ascii="宋体" w:hAnsi="宋体" w:cs="宋体"/>
          <w:szCs w:val="21"/>
          <w:u w:val="single"/>
        </w:rPr>
        <w:t xml:space="preserve">                             </w:t>
      </w:r>
    </w:p>
    <w:p w14:paraId="12304A79">
      <w:pPr>
        <w:tabs>
          <w:tab w:val="left" w:pos="0"/>
        </w:tabs>
        <w:spacing w:after="120" w:line="440" w:lineRule="exact"/>
        <w:ind w:left="105" w:leftChars="50" w:right="105" w:rightChars="50" w:firstLine="420" w:firstLineChars="200"/>
        <w:rPr>
          <w:rFonts w:hint="eastAsia" w:ascii="宋体" w:hAnsi="宋体" w:cs="宋体"/>
          <w:szCs w:val="21"/>
        </w:rPr>
      </w:pPr>
      <w:r>
        <w:rPr>
          <w:rFonts w:hint="eastAsia" w:ascii="宋体" w:hAnsi="宋体" w:cs="宋体"/>
          <w:szCs w:val="21"/>
        </w:rPr>
        <w:t>手机号码</w:t>
      </w:r>
      <w:r>
        <w:rPr>
          <w:rFonts w:hint="eastAsia" w:ascii="宋体" w:hAnsi="宋体" w:cs="宋体"/>
          <w:szCs w:val="21"/>
          <w:u w:val="single"/>
        </w:rPr>
        <w:t xml:space="preserve">                           </w:t>
      </w:r>
      <w:r>
        <w:rPr>
          <w:rFonts w:hint="eastAsia" w:ascii="宋体" w:hAnsi="宋体" w:cs="宋体"/>
          <w:szCs w:val="21"/>
        </w:rPr>
        <w:t xml:space="preserve">    手机号码</w:t>
      </w:r>
      <w:r>
        <w:rPr>
          <w:rFonts w:hint="eastAsia" w:ascii="宋体" w:hAnsi="宋体" w:cs="宋体"/>
          <w:szCs w:val="21"/>
          <w:u w:val="single"/>
        </w:rPr>
        <w:t xml:space="preserve">                               </w:t>
      </w:r>
    </w:p>
    <w:p w14:paraId="5C78A428">
      <w:pPr>
        <w:widowControl/>
        <w:spacing w:before="5" w:line="200" w:lineRule="atLeast"/>
        <w:rPr>
          <w:rFonts w:hint="eastAsia" w:ascii="宋体" w:hAnsi="宋体" w:cs="宋体"/>
          <w:kern w:val="0"/>
          <w:sz w:val="20"/>
          <w:szCs w:val="20"/>
        </w:rPr>
      </w:pPr>
    </w:p>
    <w:p w14:paraId="24BF2E20">
      <w:pPr>
        <w:widowControl/>
        <w:spacing w:line="200" w:lineRule="atLeast"/>
        <w:rPr>
          <w:rFonts w:hint="eastAsia" w:ascii="宋体" w:hAnsi="宋体" w:cs="宋体"/>
          <w:kern w:val="0"/>
          <w:sz w:val="20"/>
          <w:szCs w:val="20"/>
        </w:rPr>
      </w:pPr>
    </w:p>
    <w:p w14:paraId="3C752C1A">
      <w:pPr>
        <w:widowControl/>
        <w:spacing w:line="200" w:lineRule="atLeast"/>
        <w:rPr>
          <w:rFonts w:hint="eastAsia" w:ascii="宋体" w:hAnsi="宋体" w:cs="宋体"/>
          <w:kern w:val="0"/>
          <w:sz w:val="22"/>
        </w:rPr>
      </w:pPr>
    </w:p>
    <w:p w14:paraId="38AABCE8">
      <w:pPr>
        <w:widowControl/>
        <w:spacing w:line="261" w:lineRule="auto"/>
        <w:ind w:left="120" w:right="40"/>
        <w:rPr>
          <w:rFonts w:hint="eastAsia" w:ascii="宋体" w:hAnsi="宋体" w:cs="宋体"/>
          <w:kern w:val="0"/>
          <w:szCs w:val="21"/>
        </w:rPr>
      </w:pPr>
      <w:r>
        <w:rPr>
          <w:rFonts w:hint="eastAsia" w:ascii="宋体" w:hAnsi="宋体" w:cs="宋体"/>
          <w:kern w:val="0"/>
          <w:szCs w:val="21"/>
        </w:rPr>
        <w:br w:type="page"/>
      </w:r>
    </w:p>
    <w:p w14:paraId="78EF2521">
      <w:pPr>
        <w:pStyle w:val="3"/>
        <w:widowControl/>
        <w:spacing w:before="120" w:after="120" w:line="240" w:lineRule="auto"/>
        <w:jc w:val="center"/>
        <w:rPr>
          <w:rStyle w:val="98"/>
          <w:rFonts w:ascii="宋体" w:hAnsi="宋体" w:eastAsia="宋体" w:cs="宋体"/>
          <w:b/>
          <w:bCs/>
          <w:sz w:val="30"/>
          <w:szCs w:val="30"/>
        </w:rPr>
      </w:pPr>
      <w:r>
        <w:rPr>
          <w:rStyle w:val="98"/>
          <w:rFonts w:hint="eastAsia" w:ascii="宋体" w:hAnsi="宋体" w:eastAsia="宋体" w:cs="宋体"/>
          <w:b/>
          <w:bCs w:val="0"/>
          <w:sz w:val="30"/>
          <w:szCs w:val="30"/>
        </w:rPr>
        <w:t>九、</w:t>
      </w:r>
      <w:r>
        <w:rPr>
          <w:rStyle w:val="98"/>
          <w:rFonts w:hint="eastAsia" w:ascii="宋体" w:hAnsi="宋体" w:eastAsia="宋体" w:cs="宋体"/>
          <w:b/>
          <w:bCs/>
          <w:sz w:val="30"/>
          <w:szCs w:val="30"/>
        </w:rPr>
        <w:t>商务条款偏离表</w:t>
      </w:r>
    </w:p>
    <w:tbl>
      <w:tblPr>
        <w:tblStyle w:val="47"/>
        <w:tblW w:w="9978" w:type="dxa"/>
        <w:tblInd w:w="0" w:type="dxa"/>
        <w:tblLayout w:type="fixed"/>
        <w:tblCellMar>
          <w:top w:w="0" w:type="dxa"/>
          <w:left w:w="108" w:type="dxa"/>
          <w:bottom w:w="0" w:type="dxa"/>
          <w:right w:w="108" w:type="dxa"/>
        </w:tblCellMar>
      </w:tblPr>
      <w:tblGrid>
        <w:gridCol w:w="738"/>
        <w:gridCol w:w="1370"/>
        <w:gridCol w:w="2382"/>
        <w:gridCol w:w="2553"/>
        <w:gridCol w:w="1570"/>
        <w:gridCol w:w="1365"/>
      </w:tblGrid>
      <w:tr w14:paraId="4D1542C5">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0DBB0453">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序号</w:t>
            </w:r>
          </w:p>
        </w:tc>
        <w:tc>
          <w:tcPr>
            <w:tcW w:w="1370" w:type="dxa"/>
            <w:tcBorders>
              <w:top w:val="single" w:color="000000" w:sz="4" w:space="0"/>
              <w:left w:val="nil"/>
              <w:bottom w:val="single" w:color="000000" w:sz="4" w:space="0"/>
              <w:right w:val="single" w:color="000000" w:sz="4" w:space="0"/>
            </w:tcBorders>
            <w:noWrap w:val="0"/>
            <w:vAlign w:val="center"/>
          </w:tcPr>
          <w:p w14:paraId="74BA6219">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项目</w:t>
            </w:r>
          </w:p>
        </w:tc>
        <w:tc>
          <w:tcPr>
            <w:tcW w:w="2382" w:type="dxa"/>
            <w:tcBorders>
              <w:top w:val="single" w:color="000000" w:sz="4" w:space="0"/>
              <w:left w:val="nil"/>
              <w:bottom w:val="single" w:color="000000" w:sz="4" w:space="0"/>
              <w:right w:val="single" w:color="000000" w:sz="4" w:space="0"/>
            </w:tcBorders>
            <w:noWrap w:val="0"/>
            <w:vAlign w:val="center"/>
          </w:tcPr>
          <w:p w14:paraId="6E571298">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招标文件的条款</w:t>
            </w:r>
          </w:p>
        </w:tc>
        <w:tc>
          <w:tcPr>
            <w:tcW w:w="2553" w:type="dxa"/>
            <w:tcBorders>
              <w:top w:val="single" w:color="000000" w:sz="4" w:space="0"/>
              <w:left w:val="nil"/>
              <w:bottom w:val="single" w:color="000000" w:sz="4" w:space="0"/>
              <w:right w:val="single" w:color="000000" w:sz="4" w:space="0"/>
            </w:tcBorders>
            <w:noWrap w:val="0"/>
            <w:vAlign w:val="center"/>
          </w:tcPr>
          <w:p w14:paraId="74E1810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投标文件的条款</w:t>
            </w:r>
          </w:p>
        </w:tc>
        <w:tc>
          <w:tcPr>
            <w:tcW w:w="1570" w:type="dxa"/>
            <w:tcBorders>
              <w:top w:val="single" w:color="000000" w:sz="4" w:space="0"/>
              <w:left w:val="nil"/>
              <w:bottom w:val="single" w:color="000000" w:sz="4" w:space="0"/>
              <w:right w:val="single" w:color="000000" w:sz="4" w:space="0"/>
            </w:tcBorders>
            <w:noWrap w:val="0"/>
            <w:vAlign w:val="center"/>
          </w:tcPr>
          <w:p w14:paraId="6BC0CB40">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偏离说明</w:t>
            </w:r>
          </w:p>
        </w:tc>
        <w:tc>
          <w:tcPr>
            <w:tcW w:w="1365" w:type="dxa"/>
            <w:tcBorders>
              <w:top w:val="single" w:color="000000" w:sz="4" w:space="0"/>
              <w:left w:val="nil"/>
              <w:bottom w:val="single" w:color="000000" w:sz="4" w:space="0"/>
              <w:right w:val="single" w:color="000000" w:sz="4" w:space="0"/>
            </w:tcBorders>
            <w:noWrap w:val="0"/>
            <w:vAlign w:val="center"/>
          </w:tcPr>
          <w:p w14:paraId="6FFF3693">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备注</w:t>
            </w:r>
          </w:p>
        </w:tc>
      </w:tr>
      <w:tr w14:paraId="75D3368C">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702E950">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1</w:t>
            </w:r>
          </w:p>
        </w:tc>
        <w:tc>
          <w:tcPr>
            <w:tcW w:w="1370" w:type="dxa"/>
            <w:tcBorders>
              <w:top w:val="single" w:color="000000" w:sz="4" w:space="0"/>
              <w:left w:val="nil"/>
              <w:bottom w:val="single" w:color="000000" w:sz="4" w:space="0"/>
              <w:right w:val="single" w:color="000000" w:sz="4" w:space="0"/>
            </w:tcBorders>
            <w:noWrap w:val="0"/>
            <w:vAlign w:val="center"/>
          </w:tcPr>
          <w:p w14:paraId="0C7E434A">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交货地点</w:t>
            </w:r>
          </w:p>
        </w:tc>
        <w:tc>
          <w:tcPr>
            <w:tcW w:w="2382" w:type="dxa"/>
            <w:tcBorders>
              <w:top w:val="single" w:color="000000" w:sz="4" w:space="0"/>
              <w:left w:val="nil"/>
              <w:bottom w:val="single" w:color="000000" w:sz="4" w:space="0"/>
              <w:right w:val="single" w:color="000000" w:sz="4" w:space="0"/>
            </w:tcBorders>
            <w:noWrap w:val="0"/>
            <w:vAlign w:val="center"/>
          </w:tcPr>
          <w:p w14:paraId="1758E5DF">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553" w:type="dxa"/>
            <w:tcBorders>
              <w:top w:val="single" w:color="000000" w:sz="4" w:space="0"/>
              <w:left w:val="nil"/>
              <w:bottom w:val="single" w:color="000000" w:sz="4" w:space="0"/>
              <w:right w:val="single" w:color="000000" w:sz="4" w:space="0"/>
            </w:tcBorders>
            <w:noWrap w:val="0"/>
            <w:vAlign w:val="center"/>
          </w:tcPr>
          <w:p w14:paraId="0B1FA51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0" w:type="dxa"/>
            <w:tcBorders>
              <w:top w:val="single" w:color="000000" w:sz="4" w:space="0"/>
              <w:left w:val="nil"/>
              <w:bottom w:val="single" w:color="000000" w:sz="4" w:space="0"/>
              <w:right w:val="single" w:color="000000" w:sz="4" w:space="0"/>
            </w:tcBorders>
            <w:noWrap w:val="0"/>
            <w:vAlign w:val="center"/>
          </w:tcPr>
          <w:p w14:paraId="0207A12D">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无偏离</w:t>
            </w:r>
          </w:p>
          <w:p w14:paraId="2EC78FAB">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正偏离</w:t>
            </w:r>
          </w:p>
          <w:p w14:paraId="374AB80C">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负偏离</w:t>
            </w:r>
          </w:p>
        </w:tc>
        <w:tc>
          <w:tcPr>
            <w:tcW w:w="1365" w:type="dxa"/>
            <w:tcBorders>
              <w:top w:val="single" w:color="000000" w:sz="4" w:space="0"/>
              <w:left w:val="nil"/>
              <w:bottom w:val="single" w:color="000000" w:sz="4" w:space="0"/>
              <w:right w:val="single" w:color="000000" w:sz="4" w:space="0"/>
            </w:tcBorders>
            <w:noWrap w:val="0"/>
            <w:vAlign w:val="center"/>
          </w:tcPr>
          <w:p w14:paraId="4FFE0E6C">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6465A5D7">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101DABD3">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2</w:t>
            </w:r>
          </w:p>
        </w:tc>
        <w:tc>
          <w:tcPr>
            <w:tcW w:w="1370" w:type="dxa"/>
            <w:tcBorders>
              <w:top w:val="single" w:color="000000" w:sz="4" w:space="0"/>
              <w:left w:val="nil"/>
              <w:bottom w:val="single" w:color="000000" w:sz="4" w:space="0"/>
              <w:right w:val="single" w:color="000000" w:sz="4" w:space="0"/>
            </w:tcBorders>
            <w:noWrap w:val="0"/>
            <w:vAlign w:val="center"/>
          </w:tcPr>
          <w:p w14:paraId="118F5C8B">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交货期</w:t>
            </w:r>
          </w:p>
        </w:tc>
        <w:tc>
          <w:tcPr>
            <w:tcW w:w="2382" w:type="dxa"/>
            <w:tcBorders>
              <w:top w:val="single" w:color="000000" w:sz="4" w:space="0"/>
              <w:left w:val="nil"/>
              <w:bottom w:val="single" w:color="000000" w:sz="4" w:space="0"/>
              <w:right w:val="single" w:color="000000" w:sz="4" w:space="0"/>
            </w:tcBorders>
            <w:noWrap w:val="0"/>
            <w:vAlign w:val="center"/>
          </w:tcPr>
          <w:p w14:paraId="500D1D79">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553" w:type="dxa"/>
            <w:tcBorders>
              <w:top w:val="single" w:color="000000" w:sz="4" w:space="0"/>
              <w:left w:val="nil"/>
              <w:bottom w:val="single" w:color="000000" w:sz="4" w:space="0"/>
              <w:right w:val="single" w:color="000000" w:sz="4" w:space="0"/>
            </w:tcBorders>
            <w:noWrap w:val="0"/>
            <w:vAlign w:val="center"/>
          </w:tcPr>
          <w:p w14:paraId="5C9DB59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0" w:type="dxa"/>
            <w:tcBorders>
              <w:top w:val="single" w:color="000000" w:sz="4" w:space="0"/>
              <w:left w:val="nil"/>
              <w:bottom w:val="single" w:color="000000" w:sz="4" w:space="0"/>
              <w:right w:val="single" w:color="000000" w:sz="4" w:space="0"/>
            </w:tcBorders>
            <w:noWrap w:val="0"/>
            <w:vAlign w:val="center"/>
          </w:tcPr>
          <w:p w14:paraId="43E173F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365" w:type="dxa"/>
            <w:tcBorders>
              <w:top w:val="single" w:color="000000" w:sz="4" w:space="0"/>
              <w:left w:val="nil"/>
              <w:bottom w:val="single" w:color="000000" w:sz="4" w:space="0"/>
              <w:right w:val="single" w:color="000000" w:sz="4" w:space="0"/>
            </w:tcBorders>
            <w:noWrap w:val="0"/>
            <w:vAlign w:val="center"/>
          </w:tcPr>
          <w:p w14:paraId="039DD2B0">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4875ADF0">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5EB3B842">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3</w:t>
            </w:r>
          </w:p>
        </w:tc>
        <w:tc>
          <w:tcPr>
            <w:tcW w:w="1370" w:type="dxa"/>
            <w:tcBorders>
              <w:top w:val="single" w:color="000000" w:sz="4" w:space="0"/>
              <w:left w:val="nil"/>
              <w:bottom w:val="single" w:color="000000" w:sz="4" w:space="0"/>
              <w:right w:val="single" w:color="000000" w:sz="4" w:space="0"/>
            </w:tcBorders>
            <w:noWrap w:val="0"/>
            <w:vAlign w:val="center"/>
          </w:tcPr>
          <w:p w14:paraId="25189FEB">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质保期</w:t>
            </w:r>
          </w:p>
        </w:tc>
        <w:tc>
          <w:tcPr>
            <w:tcW w:w="2382" w:type="dxa"/>
            <w:tcBorders>
              <w:top w:val="single" w:color="000000" w:sz="4" w:space="0"/>
              <w:left w:val="nil"/>
              <w:bottom w:val="single" w:color="000000" w:sz="4" w:space="0"/>
              <w:right w:val="single" w:color="000000" w:sz="4" w:space="0"/>
            </w:tcBorders>
            <w:noWrap w:val="0"/>
            <w:vAlign w:val="center"/>
          </w:tcPr>
          <w:p w14:paraId="0BE3DF95">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553" w:type="dxa"/>
            <w:tcBorders>
              <w:top w:val="single" w:color="000000" w:sz="4" w:space="0"/>
              <w:left w:val="nil"/>
              <w:bottom w:val="single" w:color="000000" w:sz="4" w:space="0"/>
              <w:right w:val="single" w:color="000000" w:sz="4" w:space="0"/>
            </w:tcBorders>
            <w:noWrap w:val="0"/>
            <w:vAlign w:val="center"/>
          </w:tcPr>
          <w:p w14:paraId="6249AE8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0" w:type="dxa"/>
            <w:tcBorders>
              <w:top w:val="single" w:color="000000" w:sz="4" w:space="0"/>
              <w:left w:val="nil"/>
              <w:bottom w:val="single" w:color="000000" w:sz="4" w:space="0"/>
              <w:right w:val="single" w:color="000000" w:sz="4" w:space="0"/>
            </w:tcBorders>
            <w:noWrap w:val="0"/>
            <w:vAlign w:val="center"/>
          </w:tcPr>
          <w:p w14:paraId="22092A84">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365" w:type="dxa"/>
            <w:tcBorders>
              <w:top w:val="single" w:color="000000" w:sz="4" w:space="0"/>
              <w:left w:val="nil"/>
              <w:bottom w:val="single" w:color="000000" w:sz="4" w:space="0"/>
              <w:right w:val="single" w:color="000000" w:sz="4" w:space="0"/>
            </w:tcBorders>
            <w:noWrap w:val="0"/>
            <w:vAlign w:val="center"/>
          </w:tcPr>
          <w:p w14:paraId="29175F52">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0127822C">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5F638678">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4</w:t>
            </w:r>
          </w:p>
        </w:tc>
        <w:tc>
          <w:tcPr>
            <w:tcW w:w="1370" w:type="dxa"/>
            <w:tcBorders>
              <w:top w:val="single" w:color="000000" w:sz="4" w:space="0"/>
              <w:left w:val="nil"/>
              <w:bottom w:val="single" w:color="000000" w:sz="4" w:space="0"/>
              <w:right w:val="single" w:color="000000" w:sz="4" w:space="0"/>
            </w:tcBorders>
            <w:noWrap w:val="0"/>
            <w:vAlign w:val="center"/>
          </w:tcPr>
          <w:p w14:paraId="582E843A">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付款方式</w:t>
            </w:r>
          </w:p>
        </w:tc>
        <w:tc>
          <w:tcPr>
            <w:tcW w:w="2382" w:type="dxa"/>
            <w:tcBorders>
              <w:top w:val="single" w:color="000000" w:sz="4" w:space="0"/>
              <w:left w:val="nil"/>
              <w:bottom w:val="single" w:color="000000" w:sz="4" w:space="0"/>
              <w:right w:val="single" w:color="000000" w:sz="4" w:space="0"/>
            </w:tcBorders>
            <w:noWrap w:val="0"/>
            <w:vAlign w:val="center"/>
          </w:tcPr>
          <w:p w14:paraId="5546D6F8">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553" w:type="dxa"/>
            <w:tcBorders>
              <w:top w:val="single" w:color="000000" w:sz="4" w:space="0"/>
              <w:left w:val="nil"/>
              <w:bottom w:val="single" w:color="000000" w:sz="4" w:space="0"/>
              <w:right w:val="single" w:color="000000" w:sz="4" w:space="0"/>
            </w:tcBorders>
            <w:noWrap w:val="0"/>
            <w:vAlign w:val="center"/>
          </w:tcPr>
          <w:p w14:paraId="7391919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0" w:type="dxa"/>
            <w:tcBorders>
              <w:top w:val="single" w:color="000000" w:sz="4" w:space="0"/>
              <w:left w:val="nil"/>
              <w:bottom w:val="single" w:color="000000" w:sz="4" w:space="0"/>
              <w:right w:val="single" w:color="000000" w:sz="4" w:space="0"/>
            </w:tcBorders>
            <w:noWrap w:val="0"/>
            <w:vAlign w:val="center"/>
          </w:tcPr>
          <w:p w14:paraId="46803507">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365" w:type="dxa"/>
            <w:tcBorders>
              <w:top w:val="single" w:color="000000" w:sz="4" w:space="0"/>
              <w:left w:val="nil"/>
              <w:bottom w:val="single" w:color="000000" w:sz="4" w:space="0"/>
              <w:right w:val="single" w:color="000000" w:sz="4" w:space="0"/>
            </w:tcBorders>
            <w:noWrap w:val="0"/>
            <w:vAlign w:val="center"/>
          </w:tcPr>
          <w:p w14:paraId="35EC29AA">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5FB6FCF8">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7AE455EF">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5</w:t>
            </w:r>
          </w:p>
        </w:tc>
        <w:tc>
          <w:tcPr>
            <w:tcW w:w="1370" w:type="dxa"/>
            <w:tcBorders>
              <w:top w:val="single" w:color="000000" w:sz="4" w:space="0"/>
              <w:left w:val="nil"/>
              <w:bottom w:val="single" w:color="000000" w:sz="4" w:space="0"/>
              <w:right w:val="single" w:color="000000" w:sz="4" w:space="0"/>
            </w:tcBorders>
            <w:noWrap w:val="0"/>
            <w:vAlign w:val="center"/>
          </w:tcPr>
          <w:p w14:paraId="608E0F18">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售后服务</w:t>
            </w:r>
          </w:p>
        </w:tc>
        <w:tc>
          <w:tcPr>
            <w:tcW w:w="2382" w:type="dxa"/>
            <w:tcBorders>
              <w:top w:val="single" w:color="000000" w:sz="4" w:space="0"/>
              <w:left w:val="nil"/>
              <w:bottom w:val="single" w:color="000000" w:sz="4" w:space="0"/>
              <w:right w:val="single" w:color="000000" w:sz="4" w:space="0"/>
            </w:tcBorders>
            <w:noWrap w:val="0"/>
            <w:vAlign w:val="center"/>
          </w:tcPr>
          <w:p w14:paraId="160A62E9">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553" w:type="dxa"/>
            <w:tcBorders>
              <w:top w:val="single" w:color="000000" w:sz="4" w:space="0"/>
              <w:left w:val="nil"/>
              <w:bottom w:val="single" w:color="000000" w:sz="4" w:space="0"/>
              <w:right w:val="single" w:color="000000" w:sz="4" w:space="0"/>
            </w:tcBorders>
            <w:noWrap w:val="0"/>
            <w:vAlign w:val="center"/>
          </w:tcPr>
          <w:p w14:paraId="227A4706">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0" w:type="dxa"/>
            <w:tcBorders>
              <w:top w:val="single" w:color="000000" w:sz="4" w:space="0"/>
              <w:left w:val="nil"/>
              <w:bottom w:val="single" w:color="000000" w:sz="4" w:space="0"/>
              <w:right w:val="single" w:color="000000" w:sz="4" w:space="0"/>
            </w:tcBorders>
            <w:noWrap w:val="0"/>
            <w:vAlign w:val="center"/>
          </w:tcPr>
          <w:p w14:paraId="019D6C5F">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365" w:type="dxa"/>
            <w:tcBorders>
              <w:top w:val="single" w:color="000000" w:sz="4" w:space="0"/>
              <w:left w:val="nil"/>
              <w:bottom w:val="single" w:color="000000" w:sz="4" w:space="0"/>
              <w:right w:val="single" w:color="000000" w:sz="4" w:space="0"/>
            </w:tcBorders>
            <w:noWrap w:val="0"/>
            <w:vAlign w:val="center"/>
          </w:tcPr>
          <w:p w14:paraId="5237373B">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535976FD">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34F93EA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370" w:type="dxa"/>
            <w:tcBorders>
              <w:top w:val="single" w:color="000000" w:sz="4" w:space="0"/>
              <w:left w:val="nil"/>
              <w:bottom w:val="single" w:color="000000" w:sz="4" w:space="0"/>
              <w:right w:val="single" w:color="000000" w:sz="4" w:space="0"/>
            </w:tcBorders>
            <w:noWrap w:val="0"/>
            <w:vAlign w:val="center"/>
          </w:tcPr>
          <w:p w14:paraId="59CBEA51">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382" w:type="dxa"/>
            <w:tcBorders>
              <w:top w:val="single" w:color="000000" w:sz="4" w:space="0"/>
              <w:left w:val="nil"/>
              <w:bottom w:val="single" w:color="000000" w:sz="4" w:space="0"/>
              <w:right w:val="single" w:color="000000" w:sz="4" w:space="0"/>
            </w:tcBorders>
            <w:noWrap w:val="0"/>
            <w:vAlign w:val="center"/>
          </w:tcPr>
          <w:p w14:paraId="795430B5">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2553" w:type="dxa"/>
            <w:tcBorders>
              <w:top w:val="single" w:color="000000" w:sz="4" w:space="0"/>
              <w:left w:val="nil"/>
              <w:bottom w:val="single" w:color="000000" w:sz="4" w:space="0"/>
              <w:right w:val="single" w:color="000000" w:sz="4" w:space="0"/>
            </w:tcBorders>
            <w:noWrap w:val="0"/>
            <w:vAlign w:val="center"/>
          </w:tcPr>
          <w:p w14:paraId="17CE591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570" w:type="dxa"/>
            <w:tcBorders>
              <w:top w:val="single" w:color="000000" w:sz="4" w:space="0"/>
              <w:left w:val="nil"/>
              <w:bottom w:val="single" w:color="000000" w:sz="4" w:space="0"/>
              <w:right w:val="single" w:color="000000" w:sz="4" w:space="0"/>
            </w:tcBorders>
            <w:noWrap w:val="0"/>
            <w:vAlign w:val="center"/>
          </w:tcPr>
          <w:p w14:paraId="0500B575">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365" w:type="dxa"/>
            <w:tcBorders>
              <w:top w:val="single" w:color="000000" w:sz="4" w:space="0"/>
              <w:left w:val="nil"/>
              <w:bottom w:val="single" w:color="000000" w:sz="4" w:space="0"/>
              <w:right w:val="single" w:color="000000" w:sz="4" w:space="0"/>
            </w:tcBorders>
            <w:noWrap w:val="0"/>
            <w:vAlign w:val="center"/>
          </w:tcPr>
          <w:p w14:paraId="567F8149">
            <w:pPr>
              <w:keepNext w:val="0"/>
              <w:keepLines w:val="0"/>
              <w:widowControl/>
              <w:suppressLineNumbers w:val="0"/>
              <w:spacing w:before="0" w:beforeAutospacing="0" w:after="0" w:afterAutospacing="0"/>
              <w:ind w:left="0" w:right="0"/>
              <w:jc w:val="center"/>
              <w:rPr>
                <w:rFonts w:hint="default" w:ascii="宋体" w:hAnsi="宋体" w:cs="宋体"/>
                <w:szCs w:val="21"/>
              </w:rPr>
            </w:pPr>
          </w:p>
        </w:tc>
      </w:tr>
    </w:tbl>
    <w:p w14:paraId="0F881337">
      <w:pPr>
        <w:rPr>
          <w:rFonts w:ascii="宋体" w:hAnsi="宋体" w:cs="宋体"/>
          <w:szCs w:val="21"/>
        </w:rPr>
      </w:pPr>
      <w:r>
        <w:rPr>
          <w:rFonts w:hint="eastAsia" w:ascii="宋体" w:hAnsi="宋体" w:cs="宋体"/>
          <w:szCs w:val="21"/>
        </w:rPr>
        <w:t>投标人保证：投标人须逐条响应招标文件第三章采购需求中商务要求的全部要求。</w:t>
      </w:r>
    </w:p>
    <w:p w14:paraId="5DF308E6">
      <w:pPr>
        <w:widowControl/>
        <w:spacing w:line="360" w:lineRule="exact"/>
        <w:ind w:firstLine="411"/>
        <w:rPr>
          <w:rFonts w:ascii="宋体" w:hAnsi="宋体" w:cs="宋体"/>
        </w:rPr>
      </w:pPr>
    </w:p>
    <w:p w14:paraId="4CFBC4C5">
      <w:pPr>
        <w:pStyle w:val="3"/>
        <w:widowControl/>
        <w:spacing w:before="120" w:after="120" w:line="240" w:lineRule="auto"/>
        <w:jc w:val="center"/>
        <w:rPr>
          <w:rStyle w:val="98"/>
          <w:rFonts w:ascii="宋体" w:hAnsi="宋体" w:eastAsia="宋体" w:cs="宋体"/>
          <w:b/>
          <w:bCs w:val="0"/>
          <w:sz w:val="30"/>
          <w:szCs w:val="30"/>
        </w:rPr>
      </w:pPr>
      <w:r>
        <w:rPr>
          <w:rStyle w:val="98"/>
          <w:rFonts w:hint="eastAsia" w:ascii="宋体" w:hAnsi="宋体" w:eastAsia="宋体" w:cs="宋体"/>
          <w:b/>
          <w:bCs w:val="0"/>
          <w:sz w:val="30"/>
          <w:szCs w:val="30"/>
        </w:rPr>
        <w:t>十、技术规格偏离表</w:t>
      </w:r>
    </w:p>
    <w:tbl>
      <w:tblPr>
        <w:tblStyle w:val="47"/>
        <w:tblW w:w="9938" w:type="dxa"/>
        <w:tblInd w:w="93" w:type="dxa"/>
        <w:tblLayout w:type="fixed"/>
        <w:tblCellMar>
          <w:top w:w="0" w:type="dxa"/>
          <w:left w:w="108" w:type="dxa"/>
          <w:bottom w:w="0" w:type="dxa"/>
          <w:right w:w="108" w:type="dxa"/>
        </w:tblCellMar>
      </w:tblPr>
      <w:tblGrid>
        <w:gridCol w:w="1023"/>
        <w:gridCol w:w="1372"/>
        <w:gridCol w:w="2665"/>
        <w:gridCol w:w="1615"/>
        <w:gridCol w:w="1845"/>
        <w:gridCol w:w="1418"/>
      </w:tblGrid>
      <w:tr w14:paraId="465B47D2">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noWrap w:val="0"/>
            <w:vAlign w:val="center"/>
          </w:tcPr>
          <w:p w14:paraId="2B92CAC4">
            <w:pPr>
              <w:keepNext w:val="0"/>
              <w:keepLines w:val="0"/>
              <w:widowControl/>
              <w:suppressLineNumbers w:val="0"/>
              <w:spacing w:before="0" w:beforeAutospacing="0" w:after="0" w:afterAutospacing="0"/>
              <w:ind w:left="0" w:right="0"/>
              <w:jc w:val="center"/>
              <w:rPr>
                <w:rFonts w:hint="default" w:ascii="宋体" w:hAnsi="宋体" w:cs="宋体"/>
                <w:bCs/>
                <w:sz w:val="24"/>
              </w:rPr>
            </w:pPr>
            <w:r>
              <w:rPr>
                <w:rFonts w:hint="eastAsia" w:ascii="宋体" w:hAnsi="宋体" w:cs="宋体"/>
                <w:bCs/>
                <w:sz w:val="24"/>
              </w:rPr>
              <w:t>序号</w:t>
            </w:r>
          </w:p>
        </w:tc>
        <w:tc>
          <w:tcPr>
            <w:tcW w:w="1372" w:type="dxa"/>
            <w:tcBorders>
              <w:top w:val="single" w:color="000000" w:sz="4" w:space="0"/>
              <w:left w:val="nil"/>
              <w:bottom w:val="single" w:color="auto" w:sz="4" w:space="0"/>
              <w:right w:val="single" w:color="000000" w:sz="4" w:space="0"/>
            </w:tcBorders>
            <w:noWrap w:val="0"/>
            <w:vAlign w:val="center"/>
          </w:tcPr>
          <w:p w14:paraId="402EC2BC">
            <w:pPr>
              <w:keepNext w:val="0"/>
              <w:keepLines w:val="0"/>
              <w:widowControl/>
              <w:suppressLineNumbers w:val="0"/>
              <w:spacing w:before="0" w:beforeAutospacing="0" w:after="0" w:afterAutospacing="0"/>
              <w:ind w:left="0" w:right="0"/>
              <w:jc w:val="left"/>
              <w:rPr>
                <w:rFonts w:hint="default" w:ascii="宋体" w:hAnsi="宋体" w:cs="宋体"/>
                <w:bCs/>
                <w:sz w:val="24"/>
              </w:rPr>
            </w:pPr>
            <w:r>
              <w:rPr>
                <w:rFonts w:hint="eastAsia" w:ascii="宋体" w:hAnsi="宋体" w:cs="宋体"/>
                <w:bCs/>
                <w:sz w:val="24"/>
              </w:rPr>
              <w:t>设备名称</w:t>
            </w:r>
          </w:p>
        </w:tc>
        <w:tc>
          <w:tcPr>
            <w:tcW w:w="2665" w:type="dxa"/>
            <w:tcBorders>
              <w:top w:val="single" w:color="000000" w:sz="4" w:space="0"/>
              <w:left w:val="nil"/>
              <w:bottom w:val="single" w:color="000000" w:sz="4" w:space="0"/>
              <w:right w:val="single" w:color="000000" w:sz="4" w:space="0"/>
            </w:tcBorders>
            <w:noWrap w:val="0"/>
            <w:vAlign w:val="center"/>
          </w:tcPr>
          <w:p w14:paraId="7EEE9F76">
            <w:pPr>
              <w:keepNext w:val="0"/>
              <w:keepLines w:val="0"/>
              <w:widowControl/>
              <w:suppressLineNumbers w:val="0"/>
              <w:spacing w:before="0" w:beforeAutospacing="0" w:after="0" w:afterAutospacing="0"/>
              <w:ind w:left="0" w:right="0"/>
              <w:jc w:val="left"/>
              <w:rPr>
                <w:rFonts w:hint="default" w:ascii="宋体" w:hAnsi="宋体" w:cs="宋体"/>
                <w:bCs/>
                <w:sz w:val="24"/>
              </w:rPr>
            </w:pPr>
            <w:r>
              <w:rPr>
                <w:rFonts w:hint="eastAsia" w:ascii="宋体" w:hAnsi="宋体" w:cs="宋体"/>
                <w:bCs/>
                <w:sz w:val="24"/>
              </w:rPr>
              <w:t>招标规格型号</w:t>
            </w:r>
          </w:p>
        </w:tc>
        <w:tc>
          <w:tcPr>
            <w:tcW w:w="1615" w:type="dxa"/>
            <w:tcBorders>
              <w:top w:val="single" w:color="000000" w:sz="4" w:space="0"/>
              <w:left w:val="nil"/>
              <w:bottom w:val="single" w:color="000000" w:sz="4" w:space="0"/>
              <w:right w:val="single" w:color="000000" w:sz="4" w:space="0"/>
            </w:tcBorders>
            <w:noWrap w:val="0"/>
            <w:vAlign w:val="center"/>
          </w:tcPr>
          <w:p w14:paraId="51879915">
            <w:pPr>
              <w:keepNext w:val="0"/>
              <w:keepLines w:val="0"/>
              <w:widowControl/>
              <w:suppressLineNumbers w:val="0"/>
              <w:spacing w:before="0" w:beforeAutospacing="0" w:after="0" w:afterAutospacing="0"/>
              <w:ind w:left="0" w:right="0"/>
              <w:jc w:val="left"/>
              <w:rPr>
                <w:rFonts w:hint="default" w:ascii="宋体" w:hAnsi="宋体" w:cs="宋体"/>
                <w:bCs/>
                <w:sz w:val="24"/>
              </w:rPr>
            </w:pPr>
            <w:r>
              <w:rPr>
                <w:rFonts w:hint="eastAsia" w:ascii="宋体" w:hAnsi="宋体" w:cs="宋体"/>
                <w:bCs/>
                <w:sz w:val="24"/>
              </w:rPr>
              <w:t>投标规格</w:t>
            </w:r>
          </w:p>
        </w:tc>
        <w:tc>
          <w:tcPr>
            <w:tcW w:w="1845" w:type="dxa"/>
            <w:tcBorders>
              <w:top w:val="single" w:color="000000" w:sz="4" w:space="0"/>
              <w:left w:val="nil"/>
              <w:bottom w:val="single" w:color="000000" w:sz="4" w:space="0"/>
              <w:right w:val="single" w:color="000000" w:sz="4" w:space="0"/>
            </w:tcBorders>
            <w:noWrap w:val="0"/>
            <w:vAlign w:val="center"/>
          </w:tcPr>
          <w:p w14:paraId="58978B6F">
            <w:pPr>
              <w:keepNext w:val="0"/>
              <w:keepLines w:val="0"/>
              <w:widowControl/>
              <w:suppressLineNumbers w:val="0"/>
              <w:spacing w:before="0" w:beforeAutospacing="0" w:after="0" w:afterAutospacing="0"/>
              <w:ind w:left="0" w:right="0"/>
              <w:jc w:val="left"/>
              <w:rPr>
                <w:rFonts w:hint="default" w:ascii="宋体" w:hAnsi="宋体" w:cs="宋体"/>
                <w:bCs/>
                <w:sz w:val="24"/>
              </w:rPr>
            </w:pPr>
            <w:r>
              <w:rPr>
                <w:rFonts w:hint="eastAsia" w:ascii="宋体" w:hAnsi="宋体" w:cs="宋体"/>
                <w:bCs/>
                <w:sz w:val="24"/>
              </w:rPr>
              <w:t>偏离说明</w:t>
            </w:r>
          </w:p>
        </w:tc>
        <w:tc>
          <w:tcPr>
            <w:tcW w:w="1418" w:type="dxa"/>
            <w:tcBorders>
              <w:top w:val="single" w:color="000000" w:sz="4" w:space="0"/>
              <w:left w:val="nil"/>
              <w:bottom w:val="single" w:color="000000" w:sz="4" w:space="0"/>
              <w:right w:val="single" w:color="000000" w:sz="4" w:space="0"/>
            </w:tcBorders>
            <w:noWrap w:val="0"/>
            <w:vAlign w:val="top"/>
          </w:tcPr>
          <w:p w14:paraId="1D023159">
            <w:pPr>
              <w:keepNext w:val="0"/>
              <w:keepLines w:val="0"/>
              <w:widowControl/>
              <w:suppressLineNumbers w:val="0"/>
              <w:spacing w:before="0" w:beforeAutospacing="0" w:after="0" w:afterAutospacing="0"/>
              <w:ind w:left="0" w:right="0"/>
              <w:jc w:val="left"/>
              <w:rPr>
                <w:rFonts w:hint="default" w:ascii="宋体" w:hAnsi="宋体" w:cs="宋体"/>
                <w:bCs/>
                <w:sz w:val="24"/>
              </w:rPr>
            </w:pPr>
            <w:r>
              <w:rPr>
                <w:rFonts w:hint="eastAsia" w:ascii="宋体" w:hAnsi="宋体" w:cs="宋体"/>
                <w:bCs/>
                <w:sz w:val="24"/>
              </w:rPr>
              <w:t>备注</w:t>
            </w:r>
          </w:p>
        </w:tc>
      </w:tr>
      <w:tr w14:paraId="2FA6611F">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0E1618E1">
            <w:pPr>
              <w:keepNext w:val="0"/>
              <w:keepLines w:val="0"/>
              <w:widowControl/>
              <w:suppressLineNumbers w:val="0"/>
              <w:spacing w:before="0" w:beforeAutospacing="0" w:after="0" w:afterAutospacing="0"/>
              <w:ind w:left="0" w:right="0"/>
              <w:rPr>
                <w:rFonts w:hint="default" w:ascii="宋体" w:hAnsi="宋体" w:cs="宋体"/>
                <w:bCs/>
                <w:sz w:val="24"/>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39589383">
            <w:pPr>
              <w:keepNext w:val="0"/>
              <w:keepLines w:val="0"/>
              <w:widowControl/>
              <w:suppressLineNumbers w:val="0"/>
              <w:spacing w:before="0" w:beforeAutospacing="0" w:after="0" w:afterAutospacing="0"/>
              <w:ind w:left="0" w:right="0"/>
              <w:rPr>
                <w:rFonts w:hint="default" w:ascii="宋体" w:hAnsi="宋体" w:cs="宋体"/>
                <w:sz w:val="24"/>
              </w:rPr>
            </w:pPr>
          </w:p>
        </w:tc>
        <w:tc>
          <w:tcPr>
            <w:tcW w:w="2665" w:type="dxa"/>
            <w:tcBorders>
              <w:top w:val="single" w:color="000000" w:sz="4" w:space="0"/>
              <w:left w:val="nil"/>
              <w:bottom w:val="single" w:color="000000" w:sz="4" w:space="0"/>
              <w:right w:val="single" w:color="000000" w:sz="4" w:space="0"/>
            </w:tcBorders>
            <w:noWrap w:val="0"/>
            <w:vAlign w:val="center"/>
          </w:tcPr>
          <w:p w14:paraId="3679FEC3">
            <w:pPr>
              <w:keepNext w:val="0"/>
              <w:keepLines w:val="0"/>
              <w:widowControl/>
              <w:suppressLineNumbers w:val="0"/>
              <w:spacing w:before="0" w:beforeAutospacing="0" w:after="0" w:afterAutospacing="0"/>
              <w:ind w:left="0" w:right="0"/>
              <w:rPr>
                <w:rFonts w:hint="default" w:ascii="宋体" w:hAnsi="宋体" w:cs="宋体"/>
                <w:sz w:val="24"/>
              </w:rPr>
            </w:pPr>
          </w:p>
        </w:tc>
        <w:tc>
          <w:tcPr>
            <w:tcW w:w="1615" w:type="dxa"/>
            <w:tcBorders>
              <w:top w:val="single" w:color="000000" w:sz="4" w:space="0"/>
              <w:left w:val="nil"/>
              <w:bottom w:val="single" w:color="000000" w:sz="4" w:space="0"/>
              <w:right w:val="single" w:color="000000" w:sz="4" w:space="0"/>
            </w:tcBorders>
            <w:noWrap w:val="0"/>
            <w:vAlign w:val="center"/>
          </w:tcPr>
          <w:p w14:paraId="5FFF2EC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845" w:type="dxa"/>
            <w:tcBorders>
              <w:top w:val="single" w:color="000000" w:sz="4" w:space="0"/>
              <w:left w:val="nil"/>
              <w:bottom w:val="single" w:color="000000" w:sz="4" w:space="0"/>
              <w:right w:val="single" w:color="000000" w:sz="4" w:space="0"/>
            </w:tcBorders>
            <w:noWrap w:val="0"/>
            <w:vAlign w:val="top"/>
          </w:tcPr>
          <w:p w14:paraId="503258C9">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无偏离</w:t>
            </w:r>
          </w:p>
          <w:p w14:paraId="57FCCF2C">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正偏离</w:t>
            </w:r>
          </w:p>
          <w:p w14:paraId="5A2B28E5">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负偏离</w:t>
            </w:r>
          </w:p>
        </w:tc>
        <w:tc>
          <w:tcPr>
            <w:tcW w:w="1418" w:type="dxa"/>
            <w:tcBorders>
              <w:top w:val="single" w:color="000000" w:sz="4" w:space="0"/>
              <w:left w:val="nil"/>
              <w:bottom w:val="single" w:color="000000" w:sz="4" w:space="0"/>
              <w:right w:val="single" w:color="000000" w:sz="4" w:space="0"/>
            </w:tcBorders>
            <w:noWrap w:val="0"/>
            <w:vAlign w:val="top"/>
          </w:tcPr>
          <w:p w14:paraId="36A3103F">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2FD0486B">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5B0AE273">
            <w:pPr>
              <w:keepNext w:val="0"/>
              <w:keepLines w:val="0"/>
              <w:widowControl/>
              <w:suppressLineNumbers w:val="0"/>
              <w:spacing w:before="0" w:beforeAutospacing="0" w:after="0" w:afterAutospacing="0"/>
              <w:ind w:left="0" w:right="0"/>
              <w:jc w:val="left"/>
              <w:rPr>
                <w:rFonts w:hint="default" w:ascii="宋体" w:hAnsi="宋体" w:cs="宋体"/>
                <w:bCs/>
                <w:sz w:val="24"/>
              </w:rPr>
            </w:pPr>
          </w:p>
        </w:tc>
        <w:tc>
          <w:tcPr>
            <w:tcW w:w="1372" w:type="dxa"/>
            <w:vMerge w:val="continue"/>
            <w:tcBorders>
              <w:top w:val="nil"/>
              <w:left w:val="nil"/>
              <w:bottom w:val="single" w:color="000000" w:sz="4" w:space="0"/>
              <w:right w:val="single" w:color="000000" w:sz="4" w:space="0"/>
            </w:tcBorders>
            <w:noWrap w:val="0"/>
            <w:vAlign w:val="center"/>
          </w:tcPr>
          <w:p w14:paraId="750452A4">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2665" w:type="dxa"/>
            <w:tcBorders>
              <w:top w:val="single" w:color="000000" w:sz="4" w:space="0"/>
              <w:left w:val="nil"/>
              <w:bottom w:val="single" w:color="000000" w:sz="4" w:space="0"/>
              <w:right w:val="single" w:color="000000" w:sz="4" w:space="0"/>
            </w:tcBorders>
            <w:noWrap w:val="0"/>
            <w:vAlign w:val="center"/>
          </w:tcPr>
          <w:p w14:paraId="739EB8EE">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1615" w:type="dxa"/>
            <w:tcBorders>
              <w:top w:val="single" w:color="000000" w:sz="4" w:space="0"/>
              <w:left w:val="nil"/>
              <w:bottom w:val="single" w:color="000000" w:sz="4" w:space="0"/>
              <w:right w:val="single" w:color="000000" w:sz="4" w:space="0"/>
            </w:tcBorders>
            <w:noWrap w:val="0"/>
            <w:vAlign w:val="top"/>
          </w:tcPr>
          <w:p w14:paraId="65DF2EEA">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845" w:type="dxa"/>
            <w:tcBorders>
              <w:top w:val="single" w:color="000000" w:sz="4" w:space="0"/>
              <w:left w:val="nil"/>
              <w:bottom w:val="single" w:color="000000" w:sz="4" w:space="0"/>
              <w:right w:val="single" w:color="000000" w:sz="4" w:space="0"/>
            </w:tcBorders>
            <w:noWrap w:val="0"/>
            <w:vAlign w:val="top"/>
          </w:tcPr>
          <w:p w14:paraId="67703CE4">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418" w:type="dxa"/>
            <w:tcBorders>
              <w:top w:val="single" w:color="000000" w:sz="4" w:space="0"/>
              <w:left w:val="nil"/>
              <w:bottom w:val="single" w:color="000000" w:sz="4" w:space="0"/>
              <w:right w:val="single" w:color="000000" w:sz="4" w:space="0"/>
            </w:tcBorders>
            <w:noWrap w:val="0"/>
            <w:vAlign w:val="top"/>
          </w:tcPr>
          <w:p w14:paraId="67783DA8">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576B7D15">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noWrap w:val="0"/>
            <w:vAlign w:val="center"/>
          </w:tcPr>
          <w:p w14:paraId="2C54E900">
            <w:pPr>
              <w:keepNext w:val="0"/>
              <w:keepLines w:val="0"/>
              <w:widowControl/>
              <w:suppressLineNumbers w:val="0"/>
              <w:spacing w:before="0" w:beforeAutospacing="0" w:after="0" w:afterAutospacing="0"/>
              <w:ind w:left="0" w:right="0"/>
              <w:jc w:val="left"/>
              <w:rPr>
                <w:rFonts w:hint="default" w:ascii="宋体" w:hAnsi="宋体" w:cs="宋体"/>
                <w:bCs/>
                <w:sz w:val="24"/>
              </w:rPr>
            </w:pPr>
          </w:p>
        </w:tc>
        <w:tc>
          <w:tcPr>
            <w:tcW w:w="1372" w:type="dxa"/>
            <w:vMerge w:val="continue"/>
            <w:tcBorders>
              <w:top w:val="nil"/>
              <w:left w:val="nil"/>
              <w:bottom w:val="single" w:color="auto" w:sz="4" w:space="0"/>
              <w:right w:val="single" w:color="000000" w:sz="4" w:space="0"/>
            </w:tcBorders>
            <w:noWrap w:val="0"/>
            <w:vAlign w:val="center"/>
          </w:tcPr>
          <w:p w14:paraId="2265DF8A">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2665" w:type="dxa"/>
            <w:tcBorders>
              <w:top w:val="single" w:color="000000" w:sz="4" w:space="0"/>
              <w:left w:val="nil"/>
              <w:bottom w:val="single" w:color="000000" w:sz="4" w:space="0"/>
              <w:right w:val="single" w:color="000000" w:sz="4" w:space="0"/>
            </w:tcBorders>
            <w:noWrap w:val="0"/>
            <w:vAlign w:val="center"/>
          </w:tcPr>
          <w:p w14:paraId="4B643AD7">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1615" w:type="dxa"/>
            <w:tcBorders>
              <w:top w:val="single" w:color="000000" w:sz="4" w:space="0"/>
              <w:left w:val="nil"/>
              <w:bottom w:val="single" w:color="000000" w:sz="4" w:space="0"/>
              <w:right w:val="single" w:color="000000" w:sz="4" w:space="0"/>
            </w:tcBorders>
            <w:noWrap w:val="0"/>
            <w:vAlign w:val="top"/>
          </w:tcPr>
          <w:p w14:paraId="328AB802">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845" w:type="dxa"/>
            <w:tcBorders>
              <w:top w:val="single" w:color="000000" w:sz="4" w:space="0"/>
              <w:left w:val="nil"/>
              <w:bottom w:val="single" w:color="000000" w:sz="4" w:space="0"/>
              <w:right w:val="single" w:color="000000" w:sz="4" w:space="0"/>
            </w:tcBorders>
            <w:noWrap w:val="0"/>
            <w:vAlign w:val="top"/>
          </w:tcPr>
          <w:p w14:paraId="3FD501FB">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418" w:type="dxa"/>
            <w:tcBorders>
              <w:top w:val="single" w:color="000000" w:sz="4" w:space="0"/>
              <w:left w:val="nil"/>
              <w:bottom w:val="single" w:color="000000" w:sz="4" w:space="0"/>
              <w:right w:val="single" w:color="000000" w:sz="4" w:space="0"/>
            </w:tcBorders>
            <w:noWrap w:val="0"/>
            <w:vAlign w:val="top"/>
          </w:tcPr>
          <w:p w14:paraId="471CA7A8">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366D95A9">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5AC77D2B">
            <w:pPr>
              <w:keepNext w:val="0"/>
              <w:keepLines w:val="0"/>
              <w:widowControl/>
              <w:suppressLineNumbers w:val="0"/>
              <w:spacing w:before="0" w:beforeAutospacing="0" w:after="0" w:afterAutospacing="0"/>
              <w:ind w:left="0" w:right="0"/>
              <w:jc w:val="left"/>
              <w:rPr>
                <w:rFonts w:hint="default" w:ascii="宋体" w:hAnsi="宋体" w:cs="宋体"/>
                <w:bCs/>
                <w:sz w:val="24"/>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31714CBD">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2665" w:type="dxa"/>
            <w:tcBorders>
              <w:top w:val="single" w:color="000000" w:sz="4" w:space="0"/>
              <w:left w:val="nil"/>
              <w:bottom w:val="single" w:color="000000" w:sz="4" w:space="0"/>
              <w:right w:val="single" w:color="000000" w:sz="4" w:space="0"/>
            </w:tcBorders>
            <w:noWrap w:val="0"/>
            <w:vAlign w:val="center"/>
          </w:tcPr>
          <w:p w14:paraId="23EF93D8">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1615" w:type="dxa"/>
            <w:tcBorders>
              <w:top w:val="single" w:color="000000" w:sz="4" w:space="0"/>
              <w:left w:val="nil"/>
              <w:bottom w:val="single" w:color="000000" w:sz="4" w:space="0"/>
              <w:right w:val="single" w:color="000000" w:sz="4" w:space="0"/>
            </w:tcBorders>
            <w:noWrap w:val="0"/>
            <w:vAlign w:val="top"/>
          </w:tcPr>
          <w:p w14:paraId="56C436E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845" w:type="dxa"/>
            <w:tcBorders>
              <w:top w:val="single" w:color="000000" w:sz="4" w:space="0"/>
              <w:left w:val="nil"/>
              <w:bottom w:val="single" w:color="000000" w:sz="4" w:space="0"/>
              <w:right w:val="single" w:color="000000" w:sz="4" w:space="0"/>
            </w:tcBorders>
            <w:noWrap w:val="0"/>
            <w:vAlign w:val="top"/>
          </w:tcPr>
          <w:p w14:paraId="72F005B0">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418" w:type="dxa"/>
            <w:tcBorders>
              <w:top w:val="single" w:color="000000" w:sz="4" w:space="0"/>
              <w:left w:val="nil"/>
              <w:bottom w:val="single" w:color="000000" w:sz="4" w:space="0"/>
              <w:right w:val="single" w:color="000000" w:sz="4" w:space="0"/>
            </w:tcBorders>
            <w:noWrap w:val="0"/>
            <w:vAlign w:val="top"/>
          </w:tcPr>
          <w:p w14:paraId="7D443E31">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18E362BF">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04049984">
            <w:pPr>
              <w:keepNext w:val="0"/>
              <w:keepLines w:val="0"/>
              <w:widowControl/>
              <w:suppressLineNumbers w:val="0"/>
              <w:spacing w:before="0" w:beforeAutospacing="0" w:after="0" w:afterAutospacing="0"/>
              <w:ind w:left="0" w:right="0"/>
              <w:jc w:val="left"/>
              <w:rPr>
                <w:rFonts w:hint="default" w:ascii="宋体" w:hAnsi="宋体" w:cs="宋体"/>
                <w:bCs/>
                <w:sz w:val="24"/>
              </w:rPr>
            </w:pPr>
          </w:p>
        </w:tc>
        <w:tc>
          <w:tcPr>
            <w:tcW w:w="1372" w:type="dxa"/>
            <w:vMerge w:val="continue"/>
            <w:tcBorders>
              <w:top w:val="nil"/>
              <w:left w:val="nil"/>
              <w:bottom w:val="single" w:color="000000" w:sz="4" w:space="0"/>
              <w:right w:val="single" w:color="000000" w:sz="4" w:space="0"/>
            </w:tcBorders>
            <w:noWrap w:val="0"/>
            <w:vAlign w:val="center"/>
          </w:tcPr>
          <w:p w14:paraId="44628311">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2665" w:type="dxa"/>
            <w:tcBorders>
              <w:top w:val="single" w:color="000000" w:sz="4" w:space="0"/>
              <w:left w:val="nil"/>
              <w:bottom w:val="single" w:color="000000" w:sz="4" w:space="0"/>
              <w:right w:val="single" w:color="000000" w:sz="4" w:space="0"/>
            </w:tcBorders>
            <w:noWrap w:val="0"/>
            <w:vAlign w:val="center"/>
          </w:tcPr>
          <w:p w14:paraId="2B5772B5">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1615" w:type="dxa"/>
            <w:tcBorders>
              <w:top w:val="single" w:color="000000" w:sz="4" w:space="0"/>
              <w:left w:val="nil"/>
              <w:bottom w:val="single" w:color="000000" w:sz="4" w:space="0"/>
              <w:right w:val="single" w:color="000000" w:sz="4" w:space="0"/>
            </w:tcBorders>
            <w:noWrap w:val="0"/>
            <w:vAlign w:val="top"/>
          </w:tcPr>
          <w:p w14:paraId="3CD75A7C">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845" w:type="dxa"/>
            <w:tcBorders>
              <w:top w:val="single" w:color="000000" w:sz="4" w:space="0"/>
              <w:left w:val="nil"/>
              <w:bottom w:val="single" w:color="000000" w:sz="4" w:space="0"/>
              <w:right w:val="single" w:color="000000" w:sz="4" w:space="0"/>
            </w:tcBorders>
            <w:noWrap w:val="0"/>
            <w:vAlign w:val="top"/>
          </w:tcPr>
          <w:p w14:paraId="2A4E965A">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418" w:type="dxa"/>
            <w:tcBorders>
              <w:top w:val="single" w:color="000000" w:sz="4" w:space="0"/>
              <w:left w:val="nil"/>
              <w:bottom w:val="single" w:color="000000" w:sz="4" w:space="0"/>
              <w:right w:val="single" w:color="000000" w:sz="4" w:space="0"/>
            </w:tcBorders>
            <w:noWrap w:val="0"/>
            <w:vAlign w:val="top"/>
          </w:tcPr>
          <w:p w14:paraId="4FC72E08">
            <w:pPr>
              <w:keepNext w:val="0"/>
              <w:keepLines w:val="0"/>
              <w:widowControl/>
              <w:suppressLineNumbers w:val="0"/>
              <w:spacing w:before="0" w:beforeAutospacing="0" w:after="0" w:afterAutospacing="0"/>
              <w:ind w:left="0" w:right="0"/>
              <w:jc w:val="center"/>
              <w:rPr>
                <w:rFonts w:hint="default" w:ascii="宋体" w:hAnsi="宋体" w:cs="宋体"/>
                <w:szCs w:val="21"/>
              </w:rPr>
            </w:pPr>
          </w:p>
        </w:tc>
      </w:tr>
      <w:tr w14:paraId="50BDF139">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126F7A55">
            <w:pPr>
              <w:keepNext w:val="0"/>
              <w:keepLines w:val="0"/>
              <w:widowControl/>
              <w:suppressLineNumbers w:val="0"/>
              <w:spacing w:before="0" w:beforeAutospacing="0" w:after="0" w:afterAutospacing="0"/>
              <w:ind w:left="0" w:right="0"/>
              <w:jc w:val="left"/>
              <w:rPr>
                <w:rFonts w:hint="default" w:ascii="宋体" w:hAnsi="宋体" w:cs="宋体"/>
                <w:bCs/>
                <w:sz w:val="24"/>
              </w:rPr>
            </w:pPr>
          </w:p>
        </w:tc>
        <w:tc>
          <w:tcPr>
            <w:tcW w:w="1372" w:type="dxa"/>
            <w:vMerge w:val="continue"/>
            <w:tcBorders>
              <w:top w:val="nil"/>
              <w:left w:val="nil"/>
              <w:bottom w:val="single" w:color="000000" w:sz="4" w:space="0"/>
              <w:right w:val="single" w:color="000000" w:sz="4" w:space="0"/>
            </w:tcBorders>
            <w:noWrap w:val="0"/>
            <w:vAlign w:val="center"/>
          </w:tcPr>
          <w:p w14:paraId="58DDE904">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2665" w:type="dxa"/>
            <w:tcBorders>
              <w:top w:val="single" w:color="000000" w:sz="4" w:space="0"/>
              <w:left w:val="nil"/>
              <w:bottom w:val="single" w:color="000000" w:sz="4" w:space="0"/>
              <w:right w:val="single" w:color="000000" w:sz="4" w:space="0"/>
            </w:tcBorders>
            <w:noWrap w:val="0"/>
            <w:vAlign w:val="center"/>
          </w:tcPr>
          <w:p w14:paraId="4DAED85E">
            <w:pPr>
              <w:keepNext w:val="0"/>
              <w:keepLines w:val="0"/>
              <w:widowControl/>
              <w:suppressLineNumbers w:val="0"/>
              <w:spacing w:before="0" w:beforeAutospacing="0" w:after="0" w:afterAutospacing="0"/>
              <w:ind w:left="0" w:right="0"/>
              <w:jc w:val="left"/>
              <w:rPr>
                <w:rFonts w:hint="default" w:ascii="宋体" w:hAnsi="宋体" w:cs="宋体"/>
                <w:sz w:val="24"/>
              </w:rPr>
            </w:pPr>
          </w:p>
        </w:tc>
        <w:tc>
          <w:tcPr>
            <w:tcW w:w="1615" w:type="dxa"/>
            <w:tcBorders>
              <w:top w:val="single" w:color="000000" w:sz="4" w:space="0"/>
              <w:left w:val="nil"/>
              <w:bottom w:val="single" w:color="000000" w:sz="4" w:space="0"/>
              <w:right w:val="single" w:color="000000" w:sz="4" w:space="0"/>
            </w:tcBorders>
            <w:noWrap w:val="0"/>
            <w:vAlign w:val="top"/>
          </w:tcPr>
          <w:p w14:paraId="44B0E70E">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845" w:type="dxa"/>
            <w:tcBorders>
              <w:top w:val="single" w:color="000000" w:sz="4" w:space="0"/>
              <w:left w:val="nil"/>
              <w:bottom w:val="single" w:color="000000" w:sz="4" w:space="0"/>
              <w:right w:val="single" w:color="000000" w:sz="4" w:space="0"/>
            </w:tcBorders>
            <w:noWrap w:val="0"/>
            <w:vAlign w:val="top"/>
          </w:tcPr>
          <w:p w14:paraId="4524FCAD">
            <w:pPr>
              <w:keepNext w:val="0"/>
              <w:keepLines w:val="0"/>
              <w:widowControl/>
              <w:suppressLineNumbers w:val="0"/>
              <w:spacing w:before="0" w:beforeAutospacing="0" w:after="0" w:afterAutospacing="0"/>
              <w:ind w:left="0" w:right="0"/>
              <w:jc w:val="center"/>
              <w:rPr>
                <w:rFonts w:hint="default" w:ascii="宋体" w:hAnsi="宋体" w:cs="宋体"/>
                <w:szCs w:val="21"/>
              </w:rPr>
            </w:pPr>
          </w:p>
        </w:tc>
        <w:tc>
          <w:tcPr>
            <w:tcW w:w="1418" w:type="dxa"/>
            <w:tcBorders>
              <w:top w:val="single" w:color="000000" w:sz="4" w:space="0"/>
              <w:left w:val="nil"/>
              <w:bottom w:val="single" w:color="000000" w:sz="4" w:space="0"/>
              <w:right w:val="single" w:color="000000" w:sz="4" w:space="0"/>
            </w:tcBorders>
            <w:noWrap w:val="0"/>
            <w:vAlign w:val="top"/>
          </w:tcPr>
          <w:p w14:paraId="66AFC390">
            <w:pPr>
              <w:keepNext w:val="0"/>
              <w:keepLines w:val="0"/>
              <w:widowControl/>
              <w:suppressLineNumbers w:val="0"/>
              <w:spacing w:before="0" w:beforeAutospacing="0" w:after="0" w:afterAutospacing="0"/>
              <w:ind w:left="0" w:right="0"/>
              <w:jc w:val="center"/>
              <w:rPr>
                <w:rFonts w:hint="default" w:ascii="宋体" w:hAnsi="宋体" w:cs="宋体"/>
                <w:szCs w:val="21"/>
              </w:rPr>
            </w:pPr>
          </w:p>
        </w:tc>
      </w:tr>
    </w:tbl>
    <w:p w14:paraId="6381241C">
      <w:pPr>
        <w:rPr>
          <w:rFonts w:ascii="宋体" w:hAnsi="宋体" w:cs="宋体"/>
          <w:szCs w:val="21"/>
        </w:rPr>
      </w:pPr>
      <w:r>
        <w:rPr>
          <w:rFonts w:hint="eastAsia" w:ascii="宋体" w:hAnsi="宋体" w:cs="宋体"/>
          <w:szCs w:val="21"/>
        </w:rPr>
        <w:t>投标人保证：投标人须逐条响应招标文件第三章采购需求中技术要求表的全部要求。</w:t>
      </w:r>
    </w:p>
    <w:p w14:paraId="3B4B6B4F">
      <w:pPr>
        <w:widowControl/>
        <w:spacing w:line="360" w:lineRule="exact"/>
        <w:ind w:firstLine="470"/>
        <w:rPr>
          <w:rFonts w:ascii="宋体" w:hAnsi="宋体" w:cs="宋体"/>
          <w:sz w:val="24"/>
        </w:rPr>
      </w:pPr>
      <w:r>
        <w:rPr>
          <w:rFonts w:hint="eastAsia" w:ascii="宋体" w:hAnsi="宋体" w:cs="宋体"/>
          <w:sz w:val="24"/>
        </w:rPr>
        <w:t xml:space="preserve"> </w:t>
      </w:r>
    </w:p>
    <w:p w14:paraId="521E95CB">
      <w:pPr>
        <w:widowControl/>
        <w:spacing w:line="360" w:lineRule="exact"/>
        <w:ind w:firstLine="470" w:firstLineChars="196"/>
        <w:rPr>
          <w:rFonts w:hint="eastAsia" w:ascii="宋体" w:hAnsi="宋体" w:cs="宋体"/>
          <w:kern w:val="0"/>
          <w:sz w:val="24"/>
        </w:rPr>
      </w:pPr>
    </w:p>
    <w:p w14:paraId="35DC2FB7">
      <w:pPr>
        <w:pStyle w:val="3"/>
        <w:widowControl/>
        <w:spacing w:before="120" w:after="120" w:line="240" w:lineRule="auto"/>
        <w:jc w:val="center"/>
        <w:rPr>
          <w:rStyle w:val="98"/>
          <w:rFonts w:hint="eastAsia" w:ascii="宋体" w:hAnsi="宋体" w:eastAsia="宋体" w:cs="宋体"/>
          <w:b/>
          <w:bCs w:val="0"/>
          <w:sz w:val="30"/>
          <w:szCs w:val="30"/>
        </w:rPr>
      </w:pPr>
      <w:r>
        <w:rPr>
          <w:rFonts w:hint="eastAsia" w:ascii="宋体" w:hAnsi="宋体" w:cs="宋体"/>
        </w:rPr>
        <w:br w:type="page"/>
      </w:r>
      <w:r>
        <w:rPr>
          <w:rFonts w:hint="eastAsia" w:ascii="宋体" w:hAnsi="宋体" w:cs="宋体"/>
        </w:rPr>
        <w:t>十一</w:t>
      </w:r>
      <w:r>
        <w:rPr>
          <w:rStyle w:val="98"/>
          <w:rFonts w:hint="eastAsia" w:ascii="宋体" w:hAnsi="宋体" w:eastAsia="宋体" w:cs="宋体"/>
          <w:b/>
          <w:bCs w:val="0"/>
          <w:sz w:val="30"/>
          <w:szCs w:val="30"/>
        </w:rPr>
        <w:t>、技术响应资料</w:t>
      </w:r>
    </w:p>
    <w:p w14:paraId="320D069E">
      <w:pPr>
        <w:widowControl/>
        <w:jc w:val="left"/>
        <w:rPr>
          <w:rFonts w:hint="eastAsia" w:ascii="宋体" w:hAnsi="宋体" w:cs="宋体"/>
        </w:rPr>
      </w:pPr>
    </w:p>
    <w:p w14:paraId="41E0F135">
      <w:pPr>
        <w:pStyle w:val="4"/>
        <w:keepNext w:val="0"/>
        <w:tabs>
          <w:tab w:val="left" w:pos="1260"/>
        </w:tabs>
        <w:jc w:val="center"/>
        <w:rPr>
          <w:rFonts w:hint="eastAsia" w:cs="宋体"/>
          <w:b w:val="0"/>
          <w:bCs w:val="0"/>
          <w:sz w:val="24"/>
          <w:lang w:eastAsia="zh-CN"/>
        </w:rPr>
      </w:pPr>
      <w:r>
        <w:rPr>
          <w:rFonts w:hint="eastAsia" w:cs="宋体"/>
          <w:bCs w:val="0"/>
          <w:sz w:val="21"/>
          <w:szCs w:val="21"/>
          <w:lang w:eastAsia="zh-CN"/>
        </w:rPr>
        <w:t>1、货物（服务）主要技术指标和性能的详细说明</w:t>
      </w:r>
    </w:p>
    <w:tbl>
      <w:tblPr>
        <w:tblStyle w:val="47"/>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701"/>
        <w:gridCol w:w="1134"/>
        <w:gridCol w:w="1984"/>
        <w:gridCol w:w="2269"/>
        <w:gridCol w:w="1135"/>
      </w:tblGrid>
      <w:tr w14:paraId="31C6C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35EBC5E5">
            <w:pPr>
              <w:keepNext w:val="0"/>
              <w:keepLines w:val="0"/>
              <w:widowControl/>
              <w:suppressLineNumbers w:val="0"/>
              <w:spacing w:before="0" w:beforeAutospacing="0" w:after="0" w:afterAutospacing="0"/>
              <w:ind w:left="0" w:right="0"/>
              <w:jc w:val="center"/>
              <w:rPr>
                <w:rFonts w:hint="eastAsia" w:ascii="宋体" w:hAnsi="宋体" w:cs="宋体"/>
                <w:b/>
                <w:bCs/>
                <w:kern w:val="0"/>
                <w:sz w:val="24"/>
              </w:rPr>
            </w:pPr>
            <w:r>
              <w:rPr>
                <w:rFonts w:hint="eastAsia" w:ascii="宋体" w:hAnsi="宋体" w:cs="宋体"/>
                <w:b/>
                <w:bCs/>
                <w:kern w:val="0"/>
                <w:sz w:val="24"/>
              </w:rPr>
              <w:t>设备名称</w:t>
            </w:r>
          </w:p>
        </w:tc>
        <w:tc>
          <w:tcPr>
            <w:tcW w:w="1701" w:type="dxa"/>
            <w:noWrap w:val="0"/>
            <w:vAlign w:val="center"/>
          </w:tcPr>
          <w:p w14:paraId="68BADDE8">
            <w:pPr>
              <w:keepNext w:val="0"/>
              <w:keepLines w:val="0"/>
              <w:widowControl/>
              <w:suppressLineNumbers w:val="0"/>
              <w:spacing w:before="0" w:beforeAutospacing="0" w:after="0" w:afterAutospacing="0"/>
              <w:ind w:left="0" w:right="0"/>
              <w:jc w:val="center"/>
              <w:rPr>
                <w:rFonts w:hint="eastAsia" w:ascii="宋体" w:hAnsi="宋体" w:cs="宋体"/>
                <w:b/>
                <w:bCs/>
                <w:kern w:val="0"/>
                <w:sz w:val="24"/>
              </w:rPr>
            </w:pPr>
            <w:r>
              <w:rPr>
                <w:rFonts w:hint="eastAsia" w:ascii="宋体" w:hAnsi="宋体" w:cs="宋体"/>
                <w:b/>
                <w:bCs/>
                <w:kern w:val="0"/>
                <w:sz w:val="24"/>
              </w:rPr>
              <w:t>主要部件或功能配置名称</w:t>
            </w:r>
          </w:p>
        </w:tc>
        <w:tc>
          <w:tcPr>
            <w:tcW w:w="1134" w:type="dxa"/>
            <w:noWrap w:val="0"/>
            <w:vAlign w:val="center"/>
          </w:tcPr>
          <w:p w14:paraId="36969157">
            <w:pPr>
              <w:keepNext w:val="0"/>
              <w:keepLines w:val="0"/>
              <w:widowControl/>
              <w:suppressLineNumbers w:val="0"/>
              <w:spacing w:before="0" w:beforeAutospacing="0" w:after="0" w:afterAutospacing="0"/>
              <w:ind w:left="0" w:right="0"/>
              <w:jc w:val="center"/>
              <w:rPr>
                <w:rFonts w:hint="eastAsia" w:ascii="宋体" w:hAnsi="宋体" w:cs="宋体"/>
                <w:b/>
                <w:sz w:val="24"/>
              </w:rPr>
            </w:pPr>
            <w:r>
              <w:rPr>
                <w:rFonts w:hint="eastAsia" w:ascii="宋体" w:hAnsi="宋体" w:cs="宋体"/>
                <w:b/>
                <w:sz w:val="24"/>
              </w:rPr>
              <w:t>规格/型号</w:t>
            </w:r>
          </w:p>
        </w:tc>
        <w:tc>
          <w:tcPr>
            <w:tcW w:w="1984" w:type="dxa"/>
            <w:noWrap w:val="0"/>
            <w:vAlign w:val="center"/>
          </w:tcPr>
          <w:p w14:paraId="4AB0CB49">
            <w:pPr>
              <w:keepNext w:val="0"/>
              <w:keepLines w:val="0"/>
              <w:widowControl/>
              <w:suppressLineNumbers w:val="0"/>
              <w:spacing w:before="0" w:beforeAutospacing="0" w:after="0" w:afterAutospacing="0"/>
              <w:ind w:left="0" w:right="0"/>
              <w:jc w:val="center"/>
              <w:rPr>
                <w:rFonts w:hint="eastAsia" w:ascii="宋体" w:hAnsi="宋体" w:cs="宋体"/>
                <w:b/>
                <w:sz w:val="24"/>
              </w:rPr>
            </w:pPr>
            <w:r>
              <w:rPr>
                <w:rFonts w:hint="eastAsia" w:ascii="宋体" w:hAnsi="宋体" w:cs="宋体"/>
                <w:b/>
                <w:sz w:val="24"/>
              </w:rPr>
              <w:t>产地、品牌及制造商名称</w:t>
            </w:r>
          </w:p>
        </w:tc>
        <w:tc>
          <w:tcPr>
            <w:tcW w:w="2269" w:type="dxa"/>
            <w:noWrap w:val="0"/>
            <w:vAlign w:val="center"/>
          </w:tcPr>
          <w:p w14:paraId="632C8925">
            <w:pPr>
              <w:keepNext w:val="0"/>
              <w:keepLines w:val="0"/>
              <w:widowControl/>
              <w:suppressLineNumbers w:val="0"/>
              <w:spacing w:before="0" w:beforeAutospacing="0" w:after="0" w:afterAutospacing="0"/>
              <w:ind w:left="0" w:right="0"/>
              <w:jc w:val="center"/>
              <w:rPr>
                <w:rFonts w:hint="eastAsia" w:ascii="宋体" w:hAnsi="宋体" w:cs="宋体"/>
                <w:b/>
                <w:sz w:val="24"/>
              </w:rPr>
            </w:pPr>
            <w:r>
              <w:rPr>
                <w:rFonts w:hint="eastAsia" w:ascii="宋体" w:hAnsi="宋体" w:cs="宋体"/>
                <w:b/>
                <w:sz w:val="24"/>
              </w:rPr>
              <w:t>主要技术指标及功能描述</w:t>
            </w:r>
          </w:p>
        </w:tc>
        <w:tc>
          <w:tcPr>
            <w:tcW w:w="1135" w:type="dxa"/>
            <w:noWrap w:val="0"/>
            <w:vAlign w:val="center"/>
          </w:tcPr>
          <w:p w14:paraId="1FC97576">
            <w:pPr>
              <w:keepNext w:val="0"/>
              <w:keepLines w:val="0"/>
              <w:widowControl/>
              <w:suppressLineNumbers w:val="0"/>
              <w:spacing w:before="0" w:beforeAutospacing="0" w:after="0" w:afterAutospacing="0"/>
              <w:ind w:left="0" w:right="0"/>
              <w:jc w:val="center"/>
              <w:rPr>
                <w:rFonts w:hint="eastAsia" w:ascii="宋体" w:hAnsi="宋体" w:cs="宋体"/>
                <w:b/>
                <w:bCs/>
                <w:kern w:val="0"/>
                <w:sz w:val="24"/>
              </w:rPr>
            </w:pPr>
            <w:r>
              <w:rPr>
                <w:rFonts w:hint="eastAsia" w:ascii="宋体" w:hAnsi="宋体" w:cs="宋体"/>
                <w:b/>
                <w:bCs/>
                <w:kern w:val="0"/>
                <w:sz w:val="24"/>
              </w:rPr>
              <w:t>备注</w:t>
            </w:r>
          </w:p>
        </w:tc>
      </w:tr>
      <w:tr w14:paraId="1A0D4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74C47294">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6750DAFF">
            <w:pPr>
              <w:keepNext w:val="0"/>
              <w:keepLines w:val="0"/>
              <w:widowControl/>
              <w:suppressLineNumbers w:val="0"/>
              <w:spacing w:before="0" w:beforeAutospacing="0" w:after="0" w:afterAutospacing="0"/>
              <w:ind w:left="0" w:right="0"/>
              <w:jc w:val="center"/>
              <w:rPr>
                <w:rFonts w:hint="eastAsia" w:ascii="宋体" w:hAnsi="宋体" w:cs="宋体"/>
                <w:b/>
                <w:sz w:val="24"/>
              </w:rPr>
            </w:pPr>
          </w:p>
        </w:tc>
        <w:tc>
          <w:tcPr>
            <w:tcW w:w="1134" w:type="dxa"/>
            <w:noWrap w:val="0"/>
            <w:vAlign w:val="center"/>
          </w:tcPr>
          <w:p w14:paraId="63BE050D">
            <w:pPr>
              <w:keepNext w:val="0"/>
              <w:keepLines w:val="0"/>
              <w:widowControl/>
              <w:suppressLineNumbers w:val="0"/>
              <w:spacing w:before="0" w:beforeAutospacing="0" w:after="0" w:afterAutospacing="0"/>
              <w:ind w:left="0" w:right="0"/>
              <w:jc w:val="center"/>
              <w:rPr>
                <w:rFonts w:hint="eastAsia" w:ascii="宋体" w:hAnsi="宋体" w:cs="宋体"/>
                <w:b/>
                <w:sz w:val="24"/>
              </w:rPr>
            </w:pPr>
          </w:p>
        </w:tc>
        <w:tc>
          <w:tcPr>
            <w:tcW w:w="1984" w:type="dxa"/>
            <w:noWrap w:val="0"/>
            <w:vAlign w:val="center"/>
          </w:tcPr>
          <w:p w14:paraId="1EDFD71C">
            <w:pPr>
              <w:keepNext w:val="0"/>
              <w:keepLines w:val="0"/>
              <w:widowControl/>
              <w:suppressLineNumbers w:val="0"/>
              <w:spacing w:before="0" w:beforeAutospacing="0" w:after="0" w:afterAutospacing="0"/>
              <w:ind w:left="0" w:right="0"/>
              <w:jc w:val="center"/>
              <w:rPr>
                <w:rFonts w:hint="eastAsia" w:ascii="宋体" w:hAnsi="宋体" w:cs="宋体"/>
                <w:b/>
                <w:sz w:val="24"/>
              </w:rPr>
            </w:pPr>
          </w:p>
        </w:tc>
        <w:tc>
          <w:tcPr>
            <w:tcW w:w="2269" w:type="dxa"/>
            <w:noWrap w:val="0"/>
            <w:vAlign w:val="top"/>
          </w:tcPr>
          <w:p w14:paraId="37FD9938">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21561A89">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673F9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1416C7A">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2D972AAF">
            <w:pPr>
              <w:keepNext w:val="0"/>
              <w:keepLines w:val="0"/>
              <w:widowControl/>
              <w:suppressLineNumbers w:val="0"/>
              <w:spacing w:before="0" w:beforeAutospacing="0" w:after="0" w:afterAutospacing="0"/>
              <w:ind w:left="0" w:right="0"/>
              <w:jc w:val="center"/>
              <w:rPr>
                <w:rFonts w:hint="eastAsia" w:ascii="宋体" w:hAnsi="宋体" w:cs="宋体"/>
                <w:b/>
                <w:sz w:val="24"/>
              </w:rPr>
            </w:pPr>
          </w:p>
        </w:tc>
        <w:tc>
          <w:tcPr>
            <w:tcW w:w="1134" w:type="dxa"/>
            <w:noWrap w:val="0"/>
            <w:vAlign w:val="center"/>
          </w:tcPr>
          <w:p w14:paraId="4A5D4B71">
            <w:pPr>
              <w:keepNext w:val="0"/>
              <w:keepLines w:val="0"/>
              <w:widowControl/>
              <w:suppressLineNumbers w:val="0"/>
              <w:spacing w:before="0" w:beforeAutospacing="0" w:after="0" w:afterAutospacing="0"/>
              <w:ind w:left="0" w:right="0"/>
              <w:jc w:val="center"/>
              <w:rPr>
                <w:rFonts w:hint="eastAsia" w:ascii="宋体" w:hAnsi="宋体" w:cs="宋体"/>
                <w:b/>
                <w:sz w:val="24"/>
              </w:rPr>
            </w:pPr>
          </w:p>
        </w:tc>
        <w:tc>
          <w:tcPr>
            <w:tcW w:w="1984" w:type="dxa"/>
            <w:noWrap w:val="0"/>
            <w:vAlign w:val="center"/>
          </w:tcPr>
          <w:p w14:paraId="1C75E630">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4B16F6EE">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59045282">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11F0D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781BFBEC">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75914F8D">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6A35EAED">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2A4E6E7A">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1471314C">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1BA0C8C5">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0C86E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67761716">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51CBB70A">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3544BB5F">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6FC32D0E">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727BB27E">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0A1AFAE0">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31210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5AFF4360">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455F338A">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3E29F271">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0E9BB34D">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0B6547CF">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7E8E4124">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50D25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76FAF006">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15CB038E">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3EC47BDF">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41A13D16">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0030A2C7">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48C62032">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36F13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2B45977F">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667EE29E">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48F1CE93">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7EA7AD69">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3A6F2D15">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6F9FFA59">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61A87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15F92442">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27E6826C">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0F190085">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77A22E07">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7B60E92C">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1C85050B">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r w14:paraId="7E090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27363C84">
            <w:pPr>
              <w:keepNext w:val="0"/>
              <w:keepLines w:val="0"/>
              <w:widowControl/>
              <w:suppressLineNumbers w:val="0"/>
              <w:spacing w:before="0" w:beforeAutospacing="0" w:after="0" w:afterAutospacing="0"/>
              <w:ind w:left="0" w:right="0"/>
              <w:rPr>
                <w:rFonts w:hint="eastAsia" w:ascii="宋体" w:hAnsi="宋体" w:cs="宋体"/>
                <w:kern w:val="0"/>
                <w:sz w:val="24"/>
              </w:rPr>
            </w:pPr>
          </w:p>
        </w:tc>
        <w:tc>
          <w:tcPr>
            <w:tcW w:w="1701" w:type="dxa"/>
            <w:noWrap w:val="0"/>
            <w:vAlign w:val="top"/>
          </w:tcPr>
          <w:p w14:paraId="78FA80B9">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4" w:type="dxa"/>
            <w:noWrap w:val="0"/>
            <w:vAlign w:val="center"/>
          </w:tcPr>
          <w:p w14:paraId="4E9ABD3D">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984" w:type="dxa"/>
            <w:noWrap w:val="0"/>
            <w:vAlign w:val="center"/>
          </w:tcPr>
          <w:p w14:paraId="04934A8D">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2269" w:type="dxa"/>
            <w:noWrap w:val="0"/>
            <w:vAlign w:val="top"/>
          </w:tcPr>
          <w:p w14:paraId="29177E14">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c>
          <w:tcPr>
            <w:tcW w:w="1135" w:type="dxa"/>
            <w:noWrap w:val="0"/>
            <w:vAlign w:val="center"/>
          </w:tcPr>
          <w:p w14:paraId="6C083FFE">
            <w:pPr>
              <w:keepNext w:val="0"/>
              <w:keepLines w:val="0"/>
              <w:widowControl/>
              <w:suppressLineNumbers w:val="0"/>
              <w:spacing w:before="0" w:beforeAutospacing="0" w:after="0" w:afterAutospacing="0"/>
              <w:ind w:left="0" w:right="0"/>
              <w:jc w:val="center"/>
              <w:rPr>
                <w:rFonts w:hint="eastAsia" w:ascii="宋体" w:hAnsi="宋体" w:cs="宋体"/>
                <w:kern w:val="0"/>
                <w:sz w:val="24"/>
              </w:rPr>
            </w:pPr>
          </w:p>
        </w:tc>
      </w:tr>
    </w:tbl>
    <w:p w14:paraId="37B685B0">
      <w:pPr>
        <w:widowControl/>
        <w:jc w:val="left"/>
        <w:rPr>
          <w:rFonts w:hint="eastAsia" w:ascii="宋体" w:hAnsi="宋体" w:cs="宋体"/>
        </w:rPr>
      </w:pPr>
      <w:r>
        <w:rPr>
          <w:rFonts w:hint="eastAsia" w:ascii="宋体" w:hAnsi="宋体" w:cs="宋体"/>
        </w:rPr>
        <w:t>注：投标人应将投标产品拆分为相关主要部件分别描述。</w:t>
      </w:r>
    </w:p>
    <w:p w14:paraId="3ED7AA4D">
      <w:pPr>
        <w:widowControl/>
        <w:jc w:val="left"/>
        <w:rPr>
          <w:rFonts w:hint="eastAsia" w:ascii="宋体" w:hAnsi="宋体" w:cs="宋体"/>
        </w:rPr>
      </w:pPr>
    </w:p>
    <w:p w14:paraId="55DF3EC6">
      <w:pPr>
        <w:pStyle w:val="4"/>
        <w:keepNext w:val="0"/>
        <w:tabs>
          <w:tab w:val="left" w:pos="1260"/>
        </w:tabs>
        <w:jc w:val="center"/>
        <w:rPr>
          <w:rFonts w:hint="eastAsia" w:cs="宋体"/>
          <w:bCs w:val="0"/>
          <w:sz w:val="21"/>
          <w:szCs w:val="21"/>
          <w:lang w:eastAsia="zh-CN"/>
        </w:rPr>
      </w:pPr>
      <w:r>
        <w:rPr>
          <w:rFonts w:hint="eastAsia" w:cs="宋体"/>
          <w:bCs w:val="0"/>
          <w:sz w:val="21"/>
          <w:szCs w:val="21"/>
          <w:lang w:eastAsia="zh-CN"/>
        </w:rPr>
        <w:t>2、货物（服务）说明（按此格式或者投标人自定格式）</w:t>
      </w:r>
    </w:p>
    <w:tbl>
      <w:tblPr>
        <w:tblStyle w:val="47"/>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9"/>
        <w:gridCol w:w="5930"/>
      </w:tblGrid>
      <w:tr w14:paraId="5A8CB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7" w:hRule="atLeast"/>
        </w:trPr>
        <w:tc>
          <w:tcPr>
            <w:tcW w:w="3109" w:type="dxa"/>
            <w:noWrap w:val="0"/>
            <w:vAlign w:val="center"/>
          </w:tcPr>
          <w:p w14:paraId="70A13889">
            <w:pPr>
              <w:keepNext w:val="0"/>
              <w:keepLines w:val="0"/>
              <w:widowControl/>
              <w:suppressLineNumbers w:val="0"/>
              <w:spacing w:before="0" w:beforeAutospacing="0" w:after="0" w:afterAutospacing="0"/>
              <w:ind w:left="0" w:right="0"/>
              <w:jc w:val="center"/>
              <w:rPr>
                <w:rFonts w:hint="eastAsia" w:ascii="宋体" w:hAnsi="宋体" w:cs="宋体"/>
                <w:b/>
                <w:bCs/>
                <w:kern w:val="0"/>
                <w:sz w:val="24"/>
              </w:rPr>
            </w:pPr>
            <w:r>
              <w:rPr>
                <w:rFonts w:hint="eastAsia" w:ascii="宋体" w:hAnsi="宋体" w:cs="宋体"/>
                <w:b/>
                <w:bCs/>
                <w:kern w:val="0"/>
                <w:sz w:val="24"/>
              </w:rPr>
              <w:t>设备名称</w:t>
            </w:r>
          </w:p>
        </w:tc>
        <w:tc>
          <w:tcPr>
            <w:tcW w:w="5930" w:type="dxa"/>
            <w:noWrap w:val="0"/>
            <w:vAlign w:val="center"/>
          </w:tcPr>
          <w:p w14:paraId="0B2A3C51">
            <w:pPr>
              <w:keepNext w:val="0"/>
              <w:keepLines w:val="0"/>
              <w:widowControl/>
              <w:suppressLineNumbers w:val="0"/>
              <w:spacing w:before="0" w:beforeAutospacing="0" w:after="0" w:afterAutospacing="0"/>
              <w:ind w:left="0" w:right="0"/>
              <w:jc w:val="center"/>
              <w:rPr>
                <w:rFonts w:hint="eastAsia" w:ascii="宋体" w:hAnsi="宋体" w:cs="宋体"/>
                <w:b/>
                <w:bCs/>
                <w:kern w:val="0"/>
                <w:sz w:val="24"/>
              </w:rPr>
            </w:pPr>
          </w:p>
        </w:tc>
      </w:tr>
      <w:tr w14:paraId="7ED17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trPr>
        <w:tc>
          <w:tcPr>
            <w:tcW w:w="9039" w:type="dxa"/>
            <w:gridSpan w:val="2"/>
            <w:noWrap w:val="0"/>
            <w:vAlign w:val="center"/>
          </w:tcPr>
          <w:p w14:paraId="697062B7">
            <w:pPr>
              <w:keepNext w:val="0"/>
              <w:keepLines w:val="0"/>
              <w:widowControl/>
              <w:suppressLineNumbers w:val="0"/>
              <w:spacing w:before="0" w:beforeAutospacing="0" w:after="0" w:afterAutospacing="0"/>
              <w:ind w:left="0" w:right="0"/>
              <w:rPr>
                <w:rFonts w:hint="eastAsia" w:ascii="宋体" w:hAnsi="宋体" w:cs="宋体"/>
                <w:b/>
                <w:bCs/>
                <w:kern w:val="0"/>
                <w:sz w:val="24"/>
              </w:rPr>
            </w:pPr>
            <w:r>
              <w:rPr>
                <w:rFonts w:hint="eastAsia" w:ascii="宋体" w:hAnsi="宋体" w:cs="宋体"/>
                <w:b/>
                <w:bCs/>
                <w:kern w:val="0"/>
                <w:sz w:val="24"/>
              </w:rPr>
              <w:t>供货范围</w:t>
            </w:r>
          </w:p>
        </w:tc>
      </w:tr>
      <w:tr w14:paraId="52462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trPr>
        <w:tc>
          <w:tcPr>
            <w:tcW w:w="9039" w:type="dxa"/>
            <w:gridSpan w:val="2"/>
            <w:noWrap w:val="0"/>
            <w:vAlign w:val="center"/>
          </w:tcPr>
          <w:p w14:paraId="501093D8">
            <w:pPr>
              <w:keepNext w:val="0"/>
              <w:keepLines w:val="0"/>
              <w:widowControl/>
              <w:suppressLineNumbers w:val="0"/>
              <w:spacing w:before="0" w:beforeAutospacing="0" w:after="0" w:afterAutospacing="0"/>
              <w:ind w:left="0" w:right="0"/>
              <w:rPr>
                <w:rFonts w:hint="eastAsia" w:ascii="宋体" w:hAnsi="宋体" w:cs="宋体"/>
                <w:b/>
                <w:bCs/>
                <w:kern w:val="0"/>
                <w:sz w:val="24"/>
              </w:rPr>
            </w:pPr>
            <w:r>
              <w:rPr>
                <w:rFonts w:hint="eastAsia" w:ascii="宋体" w:hAnsi="宋体" w:cs="宋体"/>
                <w:b/>
                <w:bCs/>
                <w:kern w:val="0"/>
                <w:sz w:val="24"/>
              </w:rPr>
              <w:t>工艺、参数等货物（服务）详细说明</w:t>
            </w:r>
          </w:p>
        </w:tc>
      </w:tr>
    </w:tbl>
    <w:p w14:paraId="7BF1CCFF">
      <w:pPr>
        <w:widowControl/>
        <w:jc w:val="left"/>
        <w:rPr>
          <w:rFonts w:hint="eastAsia" w:ascii="宋体" w:hAnsi="宋体" w:cs="宋体"/>
        </w:rPr>
      </w:pPr>
    </w:p>
    <w:p w14:paraId="2712BFAF">
      <w:pPr>
        <w:pStyle w:val="4"/>
        <w:keepNext w:val="0"/>
        <w:tabs>
          <w:tab w:val="left" w:pos="1260"/>
        </w:tabs>
        <w:jc w:val="center"/>
        <w:rPr>
          <w:rFonts w:hint="eastAsia" w:cs="宋体"/>
          <w:bCs w:val="0"/>
          <w:sz w:val="21"/>
          <w:szCs w:val="21"/>
          <w:lang w:eastAsia="zh-CN"/>
        </w:rPr>
      </w:pPr>
      <w:r>
        <w:rPr>
          <w:rFonts w:hint="eastAsia" w:cs="宋体"/>
          <w:bCs w:val="0"/>
          <w:sz w:val="21"/>
          <w:szCs w:val="21"/>
          <w:lang w:eastAsia="zh-CN"/>
        </w:rPr>
        <w:t>3、供货安装（调试）方案</w:t>
      </w:r>
    </w:p>
    <w:p w14:paraId="28CF3A88">
      <w:pPr>
        <w:rPr>
          <w:rFonts w:hint="eastAsia" w:ascii="宋体" w:hAnsi="宋体" w:cs="宋体"/>
          <w:lang w:bidi="en-US"/>
        </w:rPr>
      </w:pPr>
    </w:p>
    <w:p w14:paraId="576C6700">
      <w:pPr>
        <w:pStyle w:val="4"/>
        <w:tabs>
          <w:tab w:val="left" w:pos="1260"/>
        </w:tabs>
        <w:jc w:val="center"/>
        <w:rPr>
          <w:rFonts w:hint="eastAsia" w:cs="宋体"/>
          <w:bCs w:val="0"/>
          <w:sz w:val="21"/>
          <w:szCs w:val="21"/>
          <w:lang w:eastAsia="zh-CN"/>
        </w:rPr>
      </w:pPr>
      <w:r>
        <w:rPr>
          <w:rFonts w:hint="eastAsia" w:cs="宋体"/>
          <w:bCs w:val="0"/>
          <w:sz w:val="21"/>
          <w:szCs w:val="21"/>
          <w:lang w:eastAsia="zh-CN"/>
        </w:rPr>
        <w:t>4、维保、售后服务体系与维保方案</w:t>
      </w:r>
    </w:p>
    <w:p w14:paraId="12A07CF8">
      <w:pPr>
        <w:rPr>
          <w:rFonts w:hint="eastAsia" w:ascii="宋体" w:hAnsi="宋体" w:cs="宋体"/>
          <w:lang w:bidi="en-US"/>
        </w:rPr>
      </w:pPr>
    </w:p>
    <w:p w14:paraId="7BDB6270">
      <w:pPr>
        <w:pStyle w:val="4"/>
        <w:tabs>
          <w:tab w:val="left" w:pos="1260"/>
        </w:tabs>
        <w:jc w:val="center"/>
        <w:rPr>
          <w:rFonts w:hint="eastAsia" w:cs="宋体"/>
          <w:bCs w:val="0"/>
          <w:sz w:val="21"/>
          <w:szCs w:val="21"/>
          <w:lang w:eastAsia="zh-CN"/>
        </w:rPr>
      </w:pPr>
      <w:r>
        <w:rPr>
          <w:rFonts w:hint="eastAsia" w:cs="宋体"/>
          <w:bCs w:val="0"/>
          <w:sz w:val="21"/>
          <w:szCs w:val="21"/>
          <w:lang w:eastAsia="zh-CN"/>
        </w:rPr>
        <w:t>5、培训方案</w:t>
      </w:r>
    </w:p>
    <w:p w14:paraId="5D37F74C">
      <w:pPr>
        <w:rPr>
          <w:rFonts w:hint="eastAsia" w:ascii="宋体" w:hAnsi="宋体" w:cs="宋体"/>
          <w:lang w:bidi="en-US"/>
        </w:rPr>
      </w:pPr>
    </w:p>
    <w:p w14:paraId="57AE7BD9">
      <w:pPr>
        <w:pStyle w:val="4"/>
        <w:tabs>
          <w:tab w:val="left" w:pos="1260"/>
        </w:tabs>
        <w:jc w:val="center"/>
        <w:rPr>
          <w:rFonts w:hint="eastAsia" w:cs="宋体"/>
          <w:bCs w:val="0"/>
          <w:sz w:val="21"/>
          <w:szCs w:val="21"/>
          <w:lang w:eastAsia="zh-CN"/>
        </w:rPr>
      </w:pPr>
      <w:r>
        <w:rPr>
          <w:rFonts w:hint="eastAsia" w:cs="宋体"/>
          <w:bCs w:val="0"/>
          <w:sz w:val="21"/>
          <w:szCs w:val="21"/>
          <w:lang w:eastAsia="zh-CN"/>
        </w:rPr>
        <w:t>6、所投货物（服务）的技术资料或样本或检测报告等</w:t>
      </w:r>
    </w:p>
    <w:p w14:paraId="05BA6864">
      <w:pPr>
        <w:widowControl/>
        <w:jc w:val="left"/>
        <w:rPr>
          <w:rFonts w:hint="eastAsia" w:ascii="宋体" w:hAnsi="宋体" w:cs="宋体"/>
        </w:rPr>
      </w:pPr>
    </w:p>
    <w:p w14:paraId="5017AF46">
      <w:pPr>
        <w:widowControl/>
        <w:jc w:val="left"/>
        <w:rPr>
          <w:rFonts w:hint="eastAsia" w:ascii="宋体" w:hAnsi="宋体" w:cs="宋体"/>
        </w:rPr>
      </w:pPr>
    </w:p>
    <w:p w14:paraId="259071B7">
      <w:pPr>
        <w:widowControl/>
        <w:jc w:val="left"/>
        <w:rPr>
          <w:rFonts w:hint="eastAsia" w:ascii="宋体" w:hAnsi="宋体" w:cs="宋体"/>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13D224BB">
      <w:pPr>
        <w:pStyle w:val="3"/>
        <w:widowControl/>
        <w:spacing w:before="120" w:after="120" w:line="240" w:lineRule="auto"/>
        <w:jc w:val="center"/>
        <w:rPr>
          <w:rStyle w:val="98"/>
          <w:rFonts w:hint="eastAsia" w:ascii="宋体" w:hAnsi="宋体" w:eastAsia="宋体" w:cs="宋体"/>
          <w:b w:val="0"/>
          <w:bCs w:val="0"/>
          <w:sz w:val="30"/>
          <w:szCs w:val="30"/>
        </w:rPr>
      </w:pPr>
      <w:r>
        <w:rPr>
          <w:rStyle w:val="98"/>
          <w:rFonts w:hint="eastAsia" w:ascii="宋体" w:hAnsi="宋体" w:eastAsia="宋体" w:cs="宋体"/>
          <w:b w:val="0"/>
          <w:bCs w:val="0"/>
          <w:sz w:val="30"/>
          <w:szCs w:val="30"/>
        </w:rPr>
        <w:t>十二、样品（如有）</w:t>
      </w:r>
    </w:p>
    <w:p w14:paraId="03E047D9">
      <w:pPr>
        <w:widowControl/>
        <w:rPr>
          <w:rFonts w:hint="eastAsia" w:ascii="宋体" w:hAnsi="宋体" w:cs="宋体"/>
        </w:rPr>
      </w:pPr>
      <w:r>
        <w:rPr>
          <w:rFonts w:hint="eastAsia" w:ascii="宋体" w:hAnsi="宋体" w:cs="宋体"/>
        </w:rPr>
        <w:t>如招标文件要求提供样品的，请按规定提供。</w:t>
      </w:r>
    </w:p>
    <w:p w14:paraId="52943A2E">
      <w:pPr>
        <w:widowControl/>
        <w:rPr>
          <w:rFonts w:hint="eastAsia" w:ascii="宋体" w:hAnsi="宋体" w:cs="宋体"/>
        </w:rPr>
      </w:pPr>
    </w:p>
    <w:p w14:paraId="76DE71CE">
      <w:pPr>
        <w:widowControl/>
        <w:rPr>
          <w:rFonts w:hint="eastAsia" w:ascii="宋体" w:hAnsi="宋体" w:cs="宋体"/>
        </w:rPr>
      </w:pPr>
    </w:p>
    <w:p w14:paraId="26251006">
      <w:pPr>
        <w:pStyle w:val="3"/>
        <w:widowControl/>
        <w:spacing w:before="120" w:after="120" w:line="240" w:lineRule="auto"/>
        <w:jc w:val="center"/>
        <w:rPr>
          <w:rStyle w:val="98"/>
          <w:rFonts w:hint="eastAsia" w:ascii="宋体" w:hAnsi="宋体" w:eastAsia="宋体" w:cs="宋体"/>
          <w:b w:val="0"/>
          <w:bCs w:val="0"/>
          <w:sz w:val="30"/>
          <w:szCs w:val="30"/>
        </w:rPr>
      </w:pPr>
      <w:r>
        <w:rPr>
          <w:rStyle w:val="98"/>
          <w:rFonts w:hint="eastAsia" w:ascii="宋体" w:hAnsi="宋体" w:eastAsia="宋体" w:cs="宋体"/>
          <w:b w:val="0"/>
          <w:bCs w:val="0"/>
          <w:sz w:val="30"/>
          <w:szCs w:val="30"/>
        </w:rPr>
        <w:br w:type="page"/>
      </w:r>
      <w:r>
        <w:rPr>
          <w:rStyle w:val="98"/>
          <w:rFonts w:hint="eastAsia" w:ascii="宋体" w:hAnsi="宋体" w:eastAsia="宋体" w:cs="宋体"/>
          <w:b w:val="0"/>
          <w:bCs w:val="0"/>
          <w:sz w:val="30"/>
          <w:szCs w:val="30"/>
        </w:rPr>
        <w:t>十三、投标人须知前附表规定的其他材料</w:t>
      </w:r>
    </w:p>
    <w:p w14:paraId="6CB40B8B">
      <w:pPr>
        <w:rPr>
          <w:rFonts w:hint="eastAsia" w:ascii="宋体" w:hAnsi="宋体" w:cs="宋体"/>
        </w:rPr>
      </w:pPr>
    </w:p>
    <w:p w14:paraId="628352BD">
      <w:pPr>
        <w:rPr>
          <w:rFonts w:hint="eastAsia" w:ascii="宋体" w:hAnsi="宋体" w:cs="宋体"/>
        </w:rPr>
      </w:pPr>
    </w:p>
    <w:p w14:paraId="47B2DFC8">
      <w:pPr>
        <w:widowControl/>
        <w:spacing w:line="360" w:lineRule="auto"/>
        <w:jc w:val="center"/>
        <w:rPr>
          <w:rStyle w:val="98"/>
          <w:rFonts w:hint="eastAsia" w:ascii="宋体" w:hAnsi="宋体" w:eastAsia="宋体" w:cs="宋体"/>
          <w:sz w:val="30"/>
          <w:szCs w:val="30"/>
        </w:rPr>
      </w:pPr>
      <w:r>
        <w:rPr>
          <w:rStyle w:val="98"/>
          <w:rFonts w:hint="eastAsia" w:ascii="宋体" w:hAnsi="宋体" w:eastAsia="宋体" w:cs="宋体"/>
          <w:sz w:val="30"/>
          <w:szCs w:val="30"/>
        </w:rPr>
        <w:br w:type="page"/>
      </w:r>
      <w:r>
        <w:rPr>
          <w:rStyle w:val="98"/>
          <w:rFonts w:hint="eastAsia" w:ascii="宋体" w:hAnsi="宋体" w:eastAsia="宋体" w:cs="宋体"/>
          <w:sz w:val="30"/>
          <w:szCs w:val="30"/>
        </w:rPr>
        <w:t>十四、投标人认为应该提供的其他资料</w:t>
      </w:r>
    </w:p>
    <w:p w14:paraId="7C1CF441">
      <w:pPr>
        <w:pStyle w:val="2"/>
        <w:tabs>
          <w:tab w:val="left" w:pos="0"/>
        </w:tabs>
        <w:autoSpaceDE w:val="0"/>
        <w:autoSpaceDN w:val="0"/>
        <w:adjustRightInd w:val="0"/>
        <w:spacing w:before="0" w:after="0" w:line="360" w:lineRule="auto"/>
        <w:rPr>
          <w:rFonts w:hint="eastAsia" w:ascii="宋体" w:hAnsi="宋体" w:cs="宋体"/>
          <w:szCs w:val="28"/>
        </w:rPr>
      </w:pPr>
    </w:p>
    <w:sectPr>
      <w:footerReference r:id="rId16"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57781AA-6FAF-489D-984B-703A1A9EA0D7}"/>
  </w:font>
  <w:font w:name="Arial">
    <w:panose1 w:val="020B0604020202020204"/>
    <w:charset w:val="01"/>
    <w:family w:val="swiss"/>
    <w:pitch w:val="default"/>
    <w:sig w:usb0="E0002EFF" w:usb1="C000785B" w:usb2="00000009" w:usb3="00000000" w:csb0="400001FF" w:csb1="FFFF0000"/>
    <w:embedRegular r:id="rId2" w:fontKey="{24230152-2695-4FFB-9A26-71DC1EA7FAD1}"/>
  </w:font>
  <w:font w:name="黑体">
    <w:panose1 w:val="02010609060101010101"/>
    <w:charset w:val="86"/>
    <w:family w:val="auto"/>
    <w:pitch w:val="default"/>
    <w:sig w:usb0="800002BF" w:usb1="38CF7CFA" w:usb2="00000016" w:usb3="00000000" w:csb0="00040001" w:csb1="00000000"/>
    <w:embedRegular r:id="rId3" w:fontKey="{F30DAFCF-61E1-4B0E-A636-CD15D0B5A04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F3C7576-C245-499A-9032-7A58588A49FB}"/>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8A18C51F-6C75-441D-B56F-302080F55190}"/>
  </w:font>
  <w:font w:name="PMingLiU-ExtB">
    <w:panose1 w:val="02020500000000000000"/>
    <w:charset w:val="88"/>
    <w:family w:val="roman"/>
    <w:pitch w:val="default"/>
    <w:sig w:usb0="8000002F" w:usb1="02000008" w:usb2="00000000" w:usb3="00000000" w:csb0="00100001" w:csb1="00000000"/>
  </w:font>
  <w:font w:name="方正书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00000001" w:usb1="08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Wonder Arial">
    <w:panose1 w:val="00000500000000000000"/>
    <w:charset w:val="00"/>
    <w:family w:val="auto"/>
    <w:pitch w:val="default"/>
    <w:sig w:usb0="00000003" w:usb1="00000000" w:usb2="00000000" w:usb3="00000000" w:csb0="20000011" w:csb1="0000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6" w:fontKey="{2C024061-84C2-460C-A6E6-DF4CB8F1A390}"/>
  </w:font>
  <w:font w:name="仿宋">
    <w:panose1 w:val="02010609060101010101"/>
    <w:charset w:val="86"/>
    <w:family w:val="modern"/>
    <w:pitch w:val="default"/>
    <w:sig w:usb0="800002BF" w:usb1="38CF7CFA" w:usb2="00000016" w:usb3="00000000" w:csb0="00040001" w:csb1="00000000"/>
    <w:embedRegular r:id="rId7" w:fontKey="{4D8256AB-817C-4B92-868B-206DBAC163E3}"/>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华文中宋">
    <w:panose1 w:val="02010600040101010101"/>
    <w:charset w:val="86"/>
    <w:family w:val="auto"/>
    <w:pitch w:val="default"/>
    <w:sig w:usb0="00000287" w:usb1="080F0000" w:usb2="00000000" w:usb3="00000000" w:csb0="0004009F" w:csb1="DFD70000"/>
    <w:embedRegular r:id="rId8" w:fontKey="{98F32628-EB59-4BDC-B245-0D009735D2BA}"/>
  </w:font>
  <w:font w:name="等线">
    <w:panose1 w:val="02010600030101010101"/>
    <w:charset w:val="86"/>
    <w:family w:val="auto"/>
    <w:pitch w:val="default"/>
    <w:sig w:usb0="A00002BF" w:usb1="38CF7CFA" w:usb2="00000016" w:usb3="00000000" w:csb0="0004000F" w:csb1="00000000"/>
    <w:embedRegular r:id="rId9" w:fontKey="{F37E0EC2-B337-4EA2-895F-63A31B3645EE}"/>
  </w:font>
  <w:font w:name="Wingdings 2">
    <w:panose1 w:val="05020102010507070707"/>
    <w:charset w:val="02"/>
    <w:family w:val="roman"/>
    <w:pitch w:val="default"/>
    <w:sig w:usb0="00000000" w:usb1="00000000" w:usb2="00000000" w:usb3="00000000" w:csb0="80000000" w:csb1="00000000"/>
    <w:embedRegular r:id="rId10" w:fontKey="{EF6A5408-C829-4E9C-850C-997F13562465}"/>
  </w:font>
  <w:font w:name="方正仿宋_GB2312">
    <w:panose1 w:val="02000000000000000000"/>
    <w:charset w:val="86"/>
    <w:family w:val="auto"/>
    <w:pitch w:val="default"/>
    <w:sig w:usb0="A00002BF" w:usb1="184F6CFA" w:usb2="00000012" w:usb3="00000000" w:csb0="00040001" w:csb1="00000000"/>
    <w:embedRegular r:id="rId11" w:fontKey="{43F97B29-D0A5-4CAF-A4A2-916DDBA0D1E4}"/>
  </w:font>
  <w:font w:name="Microsoft JhengHei">
    <w:panose1 w:val="020B0604030504040204"/>
    <w:charset w:val="88"/>
    <w:family w:val="swiss"/>
    <w:pitch w:val="default"/>
    <w:sig w:usb0="000002A7" w:usb1="28CF4400" w:usb2="00000016" w:usb3="00000000" w:csb0="00100009" w:csb1="00000000"/>
    <w:embedRegular r:id="rId12" w:fontKey="{122416AB-F4C9-47B2-910A-420E44F9D8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A3B13">
    <w:pPr>
      <w:pStyle w:val="30"/>
      <w:jc w:val="center"/>
      <w:rPr>
        <w:rFonts w:ascii="宋体" w:hAnsi="宋体"/>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D970D">
    <w:pPr>
      <w:pStyle w:val="30"/>
      <w:jc w:val="center"/>
      <w:rPr>
        <w:rFonts w:ascii="宋体" w:hAnsi="宋体"/>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A2C498F">
                          <w:pPr>
                            <w:pStyle w:val="30"/>
                            <w:jc w:val="center"/>
                          </w:pPr>
                          <w:r>
                            <w:t xml:space="preserve">第 </w:t>
                          </w:r>
                          <w:r>
                            <w:fldChar w:fldCharType="begin"/>
                          </w:r>
                          <w:r>
                            <w:instrText xml:space="preserve"> PAGE  \* MERGEFORMAT </w:instrText>
                          </w:r>
                          <w:r>
                            <w:fldChar w:fldCharType="separate"/>
                          </w:r>
                          <w:r>
                            <w:t>12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14:paraId="0A2C498F">
                    <w:pPr>
                      <w:pStyle w:val="30"/>
                      <w:jc w:val="center"/>
                    </w:pPr>
                    <w:r>
                      <w:t xml:space="preserve">第 </w:t>
                    </w:r>
                    <w:r>
                      <w:fldChar w:fldCharType="begin"/>
                    </w:r>
                    <w:r>
                      <w:instrText xml:space="preserve"> PAGE  \* MERGEFORMAT </w:instrText>
                    </w:r>
                    <w:r>
                      <w:fldChar w:fldCharType="separate"/>
                    </w:r>
                    <w:r>
                      <w:t>12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65021">
    <w:pPr>
      <w:pStyle w:val="30"/>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B28A4">
    <w:pPr>
      <w:pStyle w:val="3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88</w:t>
    </w:r>
    <w:r>
      <w:rPr>
        <w:b/>
        <w:bCs/>
        <w:sz w:val="24"/>
        <w:szCs w:val="24"/>
      </w:rPr>
      <w:fldChar w:fldCharType="end"/>
    </w:r>
  </w:p>
  <w:p w14:paraId="660920E5">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A8E09">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F9BC4FC">
                          <w:pPr>
                            <w:pStyle w:val="30"/>
                          </w:pPr>
                          <w:r>
                            <w:fldChar w:fldCharType="begin"/>
                          </w:r>
                          <w:r>
                            <w:instrText xml:space="preserve"> PAGE  \* MERGEFORMAT </w:instrText>
                          </w:r>
                          <w:r>
                            <w:fldChar w:fldCharType="separate"/>
                          </w:r>
                          <w:r>
                            <w:t>55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14:paraId="4F9BC4FC">
                    <w:pPr>
                      <w:pStyle w:val="3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86D12">
    <w:pPr>
      <w:pStyle w:val="30"/>
      <w:jc w:val="both"/>
      <w:rPr>
        <w:rFonts w:ascii="宋体" w:hAnsi="宋体"/>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857885" cy="147955"/>
              <wp:effectExtent l="0" t="0" r="0" b="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57885" cy="147955"/>
                      </a:xfrm>
                      <a:prstGeom prst="rect">
                        <a:avLst/>
                      </a:prstGeom>
                      <a:noFill/>
                      <a:ln>
                        <a:noFill/>
                      </a:ln>
                      <a:effectLst/>
                    </wps:spPr>
                    <wps:txbx>
                      <w:txbxContent>
                        <w:p w14:paraId="3E4EBB25">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88</w:t>
                          </w:r>
                          <w:r>
                            <w:fldChar w:fldCharType="end"/>
                          </w:r>
                          <w:r>
                            <w:rPr>
                              <w:rFonts w:hint="eastAsia"/>
                            </w:rPr>
                            <w:t xml:space="preserve"> 页</w:t>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67.55pt;mso-position-horizontal:center;mso-position-horizontal-relative:margin;mso-wrap-style:none;z-index:251662336;mso-width-relative:page;mso-height-relative:page;" filled="f" stroked="f" coordsize="21600,21600" o:gfxdata="UEsDBAoAAAAAAIdO4kAAAAAAAAAAAAAAAAAEAAAAZHJzL1BLAwQUAAAACACHTuJA40N5R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qscSxBFhXVUg20b+&#10;h29/AFBLAwQUAAAACACHTuJAru3SihACAAAQBAAADgAAAGRycy9lMm9Eb2MueG1srVPNjtMwEL4j&#10;8Q6W7zRttWVL1HS1bFWEtPxICw/gOk5ikXissdukPAC8Aae9cOe5+hyMnaQsy2UPXKKJPfPNfN98&#10;Xl11Tc0OCp0Gk/HZZMqZMhJybcqMf/60fbHkzHlhclGDURk/Ksev1s+frVqbqjlUUOcKGYEYl7Y2&#10;45X3Nk0SJyvVCDcBqwxdFoCN8PSLZZKjaAm9qZP5dPoyaQFziyCVc3S66S/5gIhPAYSi0FJtQO4b&#10;ZXyPiqoWnii5SlvH13HaolDSfygKpzyrM05MffxSE4p34ZusVyItUdhKy2EE8ZQRHnFqhDbU9Ay1&#10;EV6wPep/oBotERwUfiKhSXoiURFiMZs+0uauElZFLiS1s2fR3f+Dle8PH5HpPOMXnBnR0MJPP76f&#10;7n+dfn5j8yBPa11KWXeW8nz3GjoyTaTq7C3IL44ZuKmEKdU1IrSVEjmNNwuVyYPSHscFkF37DnLq&#10;I/YeIlBXYBO0IzUYodNqjufVqM4zSYfLxeVyueBM0tXs4vLVYhE7iHQstuj8GwUNC0HGkTYfwcXh&#10;1vkwjEjHlNDLwFbXddx+bf46oMT+REX7DNWBSpi+5+G7XTdIs4P8SKQQemvRw6KgAvzKWUu2yrih&#10;V8RZ/daQLMGBY4BjsBsDYSQVZtxz1oc3vnfq3qIuK8Idhb8m6bY60gqD9TMMgpNRItvB1MGJD/9j&#10;1p+HvP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0N5RNIAAAAEAQAADwAAAAAAAAABACAAAAAi&#10;AAAAZHJzL2Rvd25yZXYueG1sUEsBAhQAFAAAAAgAh07iQK7t0ooQAgAAEAQAAA4AAAAAAAAAAQAg&#10;AAAAIQEAAGRycy9lMm9Eb2MueG1sUEsFBgAAAAAGAAYAWQEAAKMFAAAAAA==&#10;">
              <v:fill on="f" focussize="0,0"/>
              <v:stroke on="f"/>
              <v:imagedata o:title=""/>
              <o:lock v:ext="edit" aspectratio="f"/>
              <v:textbox inset="0mm,0mm,0mm,0mm" style="mso-fit-shape-to-text:t;">
                <w:txbxContent>
                  <w:p w14:paraId="3E4EBB25">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88</w:t>
                    </w:r>
                    <w:r>
                      <w:fldChar w:fldCharType="end"/>
                    </w:r>
                    <w:r>
                      <w:rPr>
                        <w:rFonts w:hint="eastAsia"/>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18E36">
    <w:pPr>
      <w:pStyle w:val="30"/>
      <w:jc w:val="both"/>
      <w:rPr>
        <w:rFonts w:ascii="宋体" w:hAnsi="宋体"/>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857885" cy="14795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57885" cy="147955"/>
                      </a:xfrm>
                      <a:prstGeom prst="rect">
                        <a:avLst/>
                      </a:prstGeom>
                      <a:noFill/>
                      <a:ln>
                        <a:noFill/>
                      </a:ln>
                      <a:effectLst/>
                    </wps:spPr>
                    <wps:txbx>
                      <w:txbxContent>
                        <w:p w14:paraId="3BAD2896">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88</w:t>
                          </w:r>
                          <w:r>
                            <w:fldChar w:fldCharType="end"/>
                          </w:r>
                          <w:r>
                            <w:rPr>
                              <w:rFonts w:hint="eastAsia"/>
                            </w:rPr>
                            <w:t xml:space="preserve"> 页</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65pt;width:67.55pt;mso-position-horizontal:center;mso-position-horizontal-relative:margin;mso-wrap-style:none;z-index:251660288;mso-width-relative:page;mso-height-relative:page;" filled="f" stroked="f" coordsize="21600,21600" o:gfxdata="UEsDBAoAAAAAAIdO4kAAAAAAAAAAAAAAAAAEAAAAZHJzL1BLAwQUAAAACACHTuJA40N5R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qscSxBFhXVUg20b+&#10;h29/AFBLAwQUAAAACACHTuJAlj1UKg8CAAAQBAAADgAAAGRycy9lMm9Eb2MueG1srVPNjtMwEL4j&#10;8Q6W7zRtRdkSNV0tWxUhLT/SwgO4jtNYxB5r7DZZHgDegBMX7jxXn4Oxk5RlueyBSzSxZ76Z75vP&#10;q8vONOyo0GuwBZ9NppwpK6HUdl/wTx+3z5ac+SBsKRqwquB3yvPL9dMnq9blag41NKVCRiDW560r&#10;eB2Cy7PMy1oZ4SfglKXLCtCIQL+4z0oULaGbJptPpy+yFrB0CFJ5T6eb/pIPiPgYQKgqLdUG5MEo&#10;G3pUVI0IRMnX2nm+TtNWlZLhfVV5FVhTcGIa0peaULyL32y9Evkehau1HEYQjxnhAScjtKWmZ6iN&#10;CIIdUP8DZbRE8FCFiQST9USSIsRiNn2gzW0tnEpcSGrvzqL7/wcr3x0/INNlweecWWFo4afv304/&#10;fp1+fmXzKE/rfE5Zt47yQvcKOjJNourdDcjPnlm4roXdqytEaGslShpvFiuze6U9jo8gu/YtlNRH&#10;HAIkoK5CE7UjNRih02ruzqtRXWCSDpeLi+VywZmkq9nzi5eLReog8rHYoQ+vFRgWg4IjbT6Bi+ON&#10;D3EYkY8psZeFrW6atP3G/nVAif2JSvYZqiOVOH3PI3S7bpBmB+UdkULorUUPi4Ia8AtnLdmq4JZe&#10;EWfNG0uyRAeOAY7BbgyElVRY8MBZH16H3qkHh3pfE+4o/BVJt9WJVhysn2EQnIyS2A6mjk68/5+y&#10;/jzk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Q3lE0gAAAAQBAAAPAAAAAAAAAAEAIAAAACIA&#10;AABkcnMvZG93bnJldi54bWxQSwECFAAUAAAACACHTuJAlj1UKg8CAAAQBAAADgAAAAAAAAABACAA&#10;AAAhAQAAZHJzL2Uyb0RvYy54bWxQSwUGAAAAAAYABgBZAQAAogUAAAAA&#10;">
              <v:fill on="f" focussize="0,0"/>
              <v:stroke on="f"/>
              <v:imagedata o:title=""/>
              <o:lock v:ext="edit" aspectratio="f"/>
              <v:textbox inset="0mm,0mm,0mm,0mm" style="mso-fit-shape-to-text:t;">
                <w:txbxContent>
                  <w:p w14:paraId="3BAD2896">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88</w:t>
                    </w:r>
                    <w:r>
                      <w:fldChar w:fldCharType="end"/>
                    </w:r>
                    <w:r>
                      <w:rPr>
                        <w:rFonts w:hint="eastAsia"/>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B9AF3">
    <w:pPr>
      <w:pStyle w:val="30"/>
      <w:framePr w:wrap="around" w:vAnchor="text" w:hAnchor="margin" w:xAlign="center" w:y="1"/>
      <w:rPr>
        <w:rStyle w:val="52"/>
      </w:rPr>
    </w:pPr>
    <w:r>
      <w:fldChar w:fldCharType="begin"/>
    </w:r>
    <w:r>
      <w:rPr>
        <w:rStyle w:val="52"/>
      </w:rPr>
      <w:instrText xml:space="preserve">PAGE  </w:instrText>
    </w:r>
    <w:r>
      <w:fldChar w:fldCharType="separate"/>
    </w:r>
    <w:r>
      <w:fldChar w:fldCharType="end"/>
    </w:r>
  </w:p>
  <w:p w14:paraId="7F75544F">
    <w:pPr>
      <w:pStyle w:val="3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63218">
    <w:pPr>
      <w:pStyle w:val="30"/>
      <w:framePr w:wrap="around" w:vAnchor="text" w:hAnchor="margin" w:xAlign="center" w:y="1"/>
      <w:rPr>
        <w:rStyle w:val="52"/>
      </w:rPr>
    </w:pPr>
    <w:r>
      <w:fldChar w:fldCharType="begin"/>
    </w:r>
    <w:r>
      <w:rPr>
        <w:rStyle w:val="52"/>
      </w:rPr>
      <w:instrText xml:space="preserve">PAGE  </w:instrText>
    </w:r>
    <w:r>
      <w:fldChar w:fldCharType="separate"/>
    </w:r>
    <w:r>
      <w:fldChar w:fldCharType="end"/>
    </w:r>
  </w:p>
  <w:p w14:paraId="1872D65D">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6CF7">
    <w:pPr>
      <w:pStyle w:val="31"/>
      <w:jc w:val="left"/>
      <w:rPr>
        <w:sz w:val="21"/>
      </w:rPr>
    </w:pPr>
    <w:r>
      <w:rPr>
        <w:rFonts w:hint="eastAsia"/>
        <w:sz w:val="21"/>
      </w:rPr>
      <w:t xml:space="preserve">        项目名称                                             安徽省招标集团股份有限公司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603D6">
    <w:pPr>
      <w:pStyle w:val="18"/>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06E7E">
    <w:pPr>
      <w:pStyle w:val="18"/>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66974">
    <w:pPr>
      <w:pStyle w:val="31"/>
      <w:pBdr>
        <w:bottom w:val="single" w:color="auto" w:sz="4" w:space="1"/>
      </w:pBdr>
      <w:jc w:val="right"/>
      <w:rPr>
        <w:sz w:val="24"/>
        <w:szCs w:val="24"/>
      </w:rPr>
    </w:pPr>
    <w:r>
      <w:rPr>
        <w:rFonts w:hint="eastAsia"/>
        <w:sz w:val="24"/>
        <w:szCs w:val="24"/>
      </w:rPr>
      <w:t>合同编号：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A28CB">
    <w:pPr>
      <w:pStyle w:val="31"/>
      <w:pBdr>
        <w:bottom w:val="single" w:color="auto" w:sz="4" w:space="1"/>
      </w:pBdr>
      <w:jc w:val="right"/>
      <w:rPr>
        <w:sz w:val="24"/>
        <w:szCs w:val="24"/>
      </w:rPr>
    </w:pPr>
    <w:r>
      <w:rPr>
        <w:rFonts w:hint="eastAsia"/>
        <w:sz w:val="24"/>
        <w:szCs w:val="24"/>
      </w:rPr>
      <w:t>合同编号：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E88BB8"/>
    <w:multiLevelType w:val="singleLevel"/>
    <w:tmpl w:val="F2E88BB8"/>
    <w:lvl w:ilvl="0" w:tentative="0">
      <w:start w:val="4"/>
      <w:numFmt w:val="decimal"/>
      <w:suff w:val="space"/>
      <w:lvlText w:val="%1."/>
      <w:lvlJc w:val="left"/>
    </w:lvl>
  </w:abstractNum>
  <w:abstractNum w:abstractNumId="1">
    <w:nsid w:val="30E20D84"/>
    <w:multiLevelType w:val="singleLevel"/>
    <w:tmpl w:val="30E20D84"/>
    <w:lvl w:ilvl="0" w:tentative="0">
      <w:start w:val="1"/>
      <w:numFmt w:val="decimal"/>
      <w:lvlText w:val="(%1)"/>
      <w:lvlJc w:val="left"/>
      <w:pPr>
        <w:tabs>
          <w:tab w:val="left" w:pos="960"/>
        </w:tabs>
        <w:ind w:left="960" w:hanging="465"/>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1MGYyZjliOTdmMjkzNjdjYzBiZjAxMTUzYjZlOTIifQ=="/>
  </w:docVars>
  <w:rsids>
    <w:rsidRoot w:val="00172A27"/>
    <w:rsid w:val="00000EE6"/>
    <w:rsid w:val="000015DE"/>
    <w:rsid w:val="0000339B"/>
    <w:rsid w:val="00003E42"/>
    <w:rsid w:val="00004E49"/>
    <w:rsid w:val="0000515D"/>
    <w:rsid w:val="000051EC"/>
    <w:rsid w:val="00005E04"/>
    <w:rsid w:val="00006D57"/>
    <w:rsid w:val="0000746E"/>
    <w:rsid w:val="00010114"/>
    <w:rsid w:val="0001038B"/>
    <w:rsid w:val="00010F47"/>
    <w:rsid w:val="000114E8"/>
    <w:rsid w:val="000124DF"/>
    <w:rsid w:val="00012FFE"/>
    <w:rsid w:val="00013B67"/>
    <w:rsid w:val="000155DE"/>
    <w:rsid w:val="00020481"/>
    <w:rsid w:val="000218DB"/>
    <w:rsid w:val="0002230A"/>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4E5A"/>
    <w:rsid w:val="000468AA"/>
    <w:rsid w:val="000468B6"/>
    <w:rsid w:val="000473AB"/>
    <w:rsid w:val="0005058F"/>
    <w:rsid w:val="00050D28"/>
    <w:rsid w:val="00052113"/>
    <w:rsid w:val="00053E8B"/>
    <w:rsid w:val="000547D3"/>
    <w:rsid w:val="00054E5C"/>
    <w:rsid w:val="000569B9"/>
    <w:rsid w:val="00056D97"/>
    <w:rsid w:val="00057923"/>
    <w:rsid w:val="00060A4A"/>
    <w:rsid w:val="0006196C"/>
    <w:rsid w:val="00063445"/>
    <w:rsid w:val="00063931"/>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D32"/>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C046E"/>
    <w:rsid w:val="000C0ECE"/>
    <w:rsid w:val="000C5A16"/>
    <w:rsid w:val="000C5BA6"/>
    <w:rsid w:val="000C5D50"/>
    <w:rsid w:val="000C7096"/>
    <w:rsid w:val="000C7736"/>
    <w:rsid w:val="000D279E"/>
    <w:rsid w:val="000D3FE0"/>
    <w:rsid w:val="000D4E5D"/>
    <w:rsid w:val="000D7B48"/>
    <w:rsid w:val="000E026A"/>
    <w:rsid w:val="000E11B8"/>
    <w:rsid w:val="000E21BD"/>
    <w:rsid w:val="000E4AD6"/>
    <w:rsid w:val="000E5ADA"/>
    <w:rsid w:val="000E6D50"/>
    <w:rsid w:val="000F01D6"/>
    <w:rsid w:val="000F0D8B"/>
    <w:rsid w:val="000F2211"/>
    <w:rsid w:val="000F2385"/>
    <w:rsid w:val="000F2F23"/>
    <w:rsid w:val="000F4ADB"/>
    <w:rsid w:val="000F53CC"/>
    <w:rsid w:val="000F584F"/>
    <w:rsid w:val="000F5D14"/>
    <w:rsid w:val="000F667F"/>
    <w:rsid w:val="000F7880"/>
    <w:rsid w:val="000F7E56"/>
    <w:rsid w:val="001025F4"/>
    <w:rsid w:val="001031AD"/>
    <w:rsid w:val="0010348B"/>
    <w:rsid w:val="00107FD5"/>
    <w:rsid w:val="00112587"/>
    <w:rsid w:val="00112E2C"/>
    <w:rsid w:val="00112EE6"/>
    <w:rsid w:val="0011378C"/>
    <w:rsid w:val="001152D7"/>
    <w:rsid w:val="00116812"/>
    <w:rsid w:val="00116960"/>
    <w:rsid w:val="00117B7B"/>
    <w:rsid w:val="00117FBE"/>
    <w:rsid w:val="0012110B"/>
    <w:rsid w:val="001215D2"/>
    <w:rsid w:val="00121B37"/>
    <w:rsid w:val="00121B69"/>
    <w:rsid w:val="001223FC"/>
    <w:rsid w:val="00122F13"/>
    <w:rsid w:val="001234D6"/>
    <w:rsid w:val="001238B9"/>
    <w:rsid w:val="00124A16"/>
    <w:rsid w:val="00127355"/>
    <w:rsid w:val="00127B39"/>
    <w:rsid w:val="001308B8"/>
    <w:rsid w:val="001312B3"/>
    <w:rsid w:val="001332F5"/>
    <w:rsid w:val="00133B1E"/>
    <w:rsid w:val="00134BF1"/>
    <w:rsid w:val="00134D87"/>
    <w:rsid w:val="0013669F"/>
    <w:rsid w:val="00140F5C"/>
    <w:rsid w:val="00141914"/>
    <w:rsid w:val="00142F60"/>
    <w:rsid w:val="00143525"/>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146"/>
    <w:rsid w:val="001728C2"/>
    <w:rsid w:val="00172A35"/>
    <w:rsid w:val="00175802"/>
    <w:rsid w:val="001771D6"/>
    <w:rsid w:val="0018065B"/>
    <w:rsid w:val="00180FD4"/>
    <w:rsid w:val="001828E4"/>
    <w:rsid w:val="00182B1E"/>
    <w:rsid w:val="00182FAC"/>
    <w:rsid w:val="001841F8"/>
    <w:rsid w:val="00186E39"/>
    <w:rsid w:val="00187020"/>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56F"/>
    <w:rsid w:val="001E2782"/>
    <w:rsid w:val="001E6D55"/>
    <w:rsid w:val="001E7EDC"/>
    <w:rsid w:val="001F00D0"/>
    <w:rsid w:val="001F0114"/>
    <w:rsid w:val="001F353B"/>
    <w:rsid w:val="001F6008"/>
    <w:rsid w:val="001F66E1"/>
    <w:rsid w:val="001F68D4"/>
    <w:rsid w:val="001F6A1B"/>
    <w:rsid w:val="0020035B"/>
    <w:rsid w:val="0020458B"/>
    <w:rsid w:val="00204F51"/>
    <w:rsid w:val="00206CE4"/>
    <w:rsid w:val="00210DFF"/>
    <w:rsid w:val="002112BC"/>
    <w:rsid w:val="0021199B"/>
    <w:rsid w:val="002128A6"/>
    <w:rsid w:val="002128BE"/>
    <w:rsid w:val="00212B56"/>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A12"/>
    <w:rsid w:val="00246076"/>
    <w:rsid w:val="0025032C"/>
    <w:rsid w:val="00251733"/>
    <w:rsid w:val="00255049"/>
    <w:rsid w:val="00257657"/>
    <w:rsid w:val="0026067A"/>
    <w:rsid w:val="00260BEB"/>
    <w:rsid w:val="00261B38"/>
    <w:rsid w:val="00263356"/>
    <w:rsid w:val="0026531B"/>
    <w:rsid w:val="00265615"/>
    <w:rsid w:val="00266066"/>
    <w:rsid w:val="00266565"/>
    <w:rsid w:val="00266B0E"/>
    <w:rsid w:val="0027098A"/>
    <w:rsid w:val="002715A1"/>
    <w:rsid w:val="00271C5D"/>
    <w:rsid w:val="00272008"/>
    <w:rsid w:val="00273E55"/>
    <w:rsid w:val="00274241"/>
    <w:rsid w:val="00274F39"/>
    <w:rsid w:val="00275980"/>
    <w:rsid w:val="00276080"/>
    <w:rsid w:val="00276280"/>
    <w:rsid w:val="002769A2"/>
    <w:rsid w:val="00276FE3"/>
    <w:rsid w:val="00277535"/>
    <w:rsid w:val="00281123"/>
    <w:rsid w:val="00281D54"/>
    <w:rsid w:val="00281D9F"/>
    <w:rsid w:val="0028213E"/>
    <w:rsid w:val="00283136"/>
    <w:rsid w:val="0028363E"/>
    <w:rsid w:val="00284E56"/>
    <w:rsid w:val="00286EAC"/>
    <w:rsid w:val="0028769B"/>
    <w:rsid w:val="00287DFF"/>
    <w:rsid w:val="002919AB"/>
    <w:rsid w:val="0029320E"/>
    <w:rsid w:val="00295C13"/>
    <w:rsid w:val="00296F58"/>
    <w:rsid w:val="002A01F0"/>
    <w:rsid w:val="002A0879"/>
    <w:rsid w:val="002A1C9C"/>
    <w:rsid w:val="002A444F"/>
    <w:rsid w:val="002A5D60"/>
    <w:rsid w:val="002A5EBD"/>
    <w:rsid w:val="002A5F75"/>
    <w:rsid w:val="002B08BA"/>
    <w:rsid w:val="002B12B6"/>
    <w:rsid w:val="002B1A96"/>
    <w:rsid w:val="002B1C7D"/>
    <w:rsid w:val="002B2078"/>
    <w:rsid w:val="002B2FA7"/>
    <w:rsid w:val="002B4A27"/>
    <w:rsid w:val="002B4AE4"/>
    <w:rsid w:val="002B70C1"/>
    <w:rsid w:val="002C14FE"/>
    <w:rsid w:val="002C213A"/>
    <w:rsid w:val="002C2FB0"/>
    <w:rsid w:val="002C3F6A"/>
    <w:rsid w:val="002C53B6"/>
    <w:rsid w:val="002C5E6B"/>
    <w:rsid w:val="002C73EB"/>
    <w:rsid w:val="002C790A"/>
    <w:rsid w:val="002D06CF"/>
    <w:rsid w:val="002D0E61"/>
    <w:rsid w:val="002D2007"/>
    <w:rsid w:val="002D27C9"/>
    <w:rsid w:val="002D28A8"/>
    <w:rsid w:val="002D43C3"/>
    <w:rsid w:val="002D5B6E"/>
    <w:rsid w:val="002D5D09"/>
    <w:rsid w:val="002D6122"/>
    <w:rsid w:val="002D6A1E"/>
    <w:rsid w:val="002D7BCC"/>
    <w:rsid w:val="002E0475"/>
    <w:rsid w:val="002E4A98"/>
    <w:rsid w:val="002E4CE5"/>
    <w:rsid w:val="002E5F09"/>
    <w:rsid w:val="002E7141"/>
    <w:rsid w:val="002F3EC6"/>
    <w:rsid w:val="002F4654"/>
    <w:rsid w:val="002F4E5D"/>
    <w:rsid w:val="002F6329"/>
    <w:rsid w:val="002F66AC"/>
    <w:rsid w:val="002F705A"/>
    <w:rsid w:val="002F7BEE"/>
    <w:rsid w:val="002F7F61"/>
    <w:rsid w:val="00300627"/>
    <w:rsid w:val="0030379C"/>
    <w:rsid w:val="00305BFF"/>
    <w:rsid w:val="00306B25"/>
    <w:rsid w:val="00307CC9"/>
    <w:rsid w:val="00307FD1"/>
    <w:rsid w:val="00310097"/>
    <w:rsid w:val="00312774"/>
    <w:rsid w:val="003148AA"/>
    <w:rsid w:val="0031586B"/>
    <w:rsid w:val="0031711F"/>
    <w:rsid w:val="003177DA"/>
    <w:rsid w:val="00317870"/>
    <w:rsid w:val="00320D03"/>
    <w:rsid w:val="00321FF9"/>
    <w:rsid w:val="00322124"/>
    <w:rsid w:val="003225EC"/>
    <w:rsid w:val="00323AE3"/>
    <w:rsid w:val="00324B74"/>
    <w:rsid w:val="003260D0"/>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3EE"/>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48A"/>
    <w:rsid w:val="0037310B"/>
    <w:rsid w:val="00373D8A"/>
    <w:rsid w:val="00374BB0"/>
    <w:rsid w:val="003760BB"/>
    <w:rsid w:val="003762AC"/>
    <w:rsid w:val="003775F4"/>
    <w:rsid w:val="00381246"/>
    <w:rsid w:val="00382560"/>
    <w:rsid w:val="00384920"/>
    <w:rsid w:val="00385E7A"/>
    <w:rsid w:val="00387913"/>
    <w:rsid w:val="003905F9"/>
    <w:rsid w:val="0039071F"/>
    <w:rsid w:val="003932B9"/>
    <w:rsid w:val="00395F44"/>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4D5"/>
    <w:rsid w:val="003C1CE5"/>
    <w:rsid w:val="003C1E21"/>
    <w:rsid w:val="003C2C89"/>
    <w:rsid w:val="003C3393"/>
    <w:rsid w:val="003C64C5"/>
    <w:rsid w:val="003C704C"/>
    <w:rsid w:val="003C7640"/>
    <w:rsid w:val="003D16BD"/>
    <w:rsid w:val="003D4199"/>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0CD"/>
    <w:rsid w:val="004053F3"/>
    <w:rsid w:val="004054D1"/>
    <w:rsid w:val="00406417"/>
    <w:rsid w:val="00406A90"/>
    <w:rsid w:val="00410D35"/>
    <w:rsid w:val="00412C19"/>
    <w:rsid w:val="00413192"/>
    <w:rsid w:val="00413208"/>
    <w:rsid w:val="0042211D"/>
    <w:rsid w:val="00422301"/>
    <w:rsid w:val="004230B5"/>
    <w:rsid w:val="00425ABC"/>
    <w:rsid w:val="00431932"/>
    <w:rsid w:val="004347EE"/>
    <w:rsid w:val="00434D17"/>
    <w:rsid w:val="00436185"/>
    <w:rsid w:val="004371D0"/>
    <w:rsid w:val="004372C8"/>
    <w:rsid w:val="00437397"/>
    <w:rsid w:val="00440C74"/>
    <w:rsid w:val="00444894"/>
    <w:rsid w:val="00450901"/>
    <w:rsid w:val="00451450"/>
    <w:rsid w:val="004516C9"/>
    <w:rsid w:val="00455BFC"/>
    <w:rsid w:val="004560B8"/>
    <w:rsid w:val="0046162D"/>
    <w:rsid w:val="00461BED"/>
    <w:rsid w:val="00461C22"/>
    <w:rsid w:val="00462227"/>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EBD"/>
    <w:rsid w:val="004851D5"/>
    <w:rsid w:val="004877F5"/>
    <w:rsid w:val="00490556"/>
    <w:rsid w:val="00490764"/>
    <w:rsid w:val="004911F3"/>
    <w:rsid w:val="00493FBE"/>
    <w:rsid w:val="00494B58"/>
    <w:rsid w:val="004954D9"/>
    <w:rsid w:val="00495CAE"/>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3034"/>
    <w:rsid w:val="004C4DD2"/>
    <w:rsid w:val="004C53E7"/>
    <w:rsid w:val="004C618F"/>
    <w:rsid w:val="004D1339"/>
    <w:rsid w:val="004D1387"/>
    <w:rsid w:val="004D2495"/>
    <w:rsid w:val="004D350B"/>
    <w:rsid w:val="004D4E39"/>
    <w:rsid w:val="004D5913"/>
    <w:rsid w:val="004D5C06"/>
    <w:rsid w:val="004D6D3C"/>
    <w:rsid w:val="004E0C6D"/>
    <w:rsid w:val="004E2397"/>
    <w:rsid w:val="004E2AC2"/>
    <w:rsid w:val="004E3242"/>
    <w:rsid w:val="004E3821"/>
    <w:rsid w:val="004E6F07"/>
    <w:rsid w:val="004F03D0"/>
    <w:rsid w:val="004F08DE"/>
    <w:rsid w:val="004F22A3"/>
    <w:rsid w:val="004F4659"/>
    <w:rsid w:val="004F5655"/>
    <w:rsid w:val="004F57F5"/>
    <w:rsid w:val="004F5C59"/>
    <w:rsid w:val="004F7AB7"/>
    <w:rsid w:val="00501A38"/>
    <w:rsid w:val="005026C3"/>
    <w:rsid w:val="0050273F"/>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26BB7"/>
    <w:rsid w:val="005323B2"/>
    <w:rsid w:val="00532557"/>
    <w:rsid w:val="00532F96"/>
    <w:rsid w:val="005334BC"/>
    <w:rsid w:val="005425C4"/>
    <w:rsid w:val="00542B90"/>
    <w:rsid w:val="005436DB"/>
    <w:rsid w:val="00544428"/>
    <w:rsid w:val="00544533"/>
    <w:rsid w:val="0054740D"/>
    <w:rsid w:val="00550AC5"/>
    <w:rsid w:val="00550C4F"/>
    <w:rsid w:val="00552515"/>
    <w:rsid w:val="005532C5"/>
    <w:rsid w:val="005535C2"/>
    <w:rsid w:val="00553A20"/>
    <w:rsid w:val="00562BF2"/>
    <w:rsid w:val="0056358E"/>
    <w:rsid w:val="00565B1B"/>
    <w:rsid w:val="005662F7"/>
    <w:rsid w:val="005678BA"/>
    <w:rsid w:val="00570194"/>
    <w:rsid w:val="005725D1"/>
    <w:rsid w:val="00572F0C"/>
    <w:rsid w:val="00573644"/>
    <w:rsid w:val="00573714"/>
    <w:rsid w:val="00574ABD"/>
    <w:rsid w:val="0057601A"/>
    <w:rsid w:val="00576FFC"/>
    <w:rsid w:val="00580C15"/>
    <w:rsid w:val="00581065"/>
    <w:rsid w:val="0058138D"/>
    <w:rsid w:val="00583396"/>
    <w:rsid w:val="00584087"/>
    <w:rsid w:val="0058523D"/>
    <w:rsid w:val="00587D01"/>
    <w:rsid w:val="00590704"/>
    <w:rsid w:val="005915AC"/>
    <w:rsid w:val="005921FC"/>
    <w:rsid w:val="00595FA3"/>
    <w:rsid w:val="00596FBF"/>
    <w:rsid w:val="005A09E6"/>
    <w:rsid w:val="005A1BFB"/>
    <w:rsid w:val="005A1E00"/>
    <w:rsid w:val="005A2E2F"/>
    <w:rsid w:val="005A36E2"/>
    <w:rsid w:val="005A57AB"/>
    <w:rsid w:val="005A6E70"/>
    <w:rsid w:val="005A78C5"/>
    <w:rsid w:val="005A7E35"/>
    <w:rsid w:val="005B11CF"/>
    <w:rsid w:val="005B1718"/>
    <w:rsid w:val="005B218E"/>
    <w:rsid w:val="005B23EC"/>
    <w:rsid w:val="005B2767"/>
    <w:rsid w:val="005B3A3A"/>
    <w:rsid w:val="005B3A51"/>
    <w:rsid w:val="005B5115"/>
    <w:rsid w:val="005C1942"/>
    <w:rsid w:val="005C2719"/>
    <w:rsid w:val="005C2FD6"/>
    <w:rsid w:val="005C4FD8"/>
    <w:rsid w:val="005C5BB9"/>
    <w:rsid w:val="005C7C99"/>
    <w:rsid w:val="005D02C9"/>
    <w:rsid w:val="005D3220"/>
    <w:rsid w:val="005D3A70"/>
    <w:rsid w:val="005D67F1"/>
    <w:rsid w:val="005D7854"/>
    <w:rsid w:val="005D78EB"/>
    <w:rsid w:val="005E0238"/>
    <w:rsid w:val="005E174D"/>
    <w:rsid w:val="005E177A"/>
    <w:rsid w:val="005E22E1"/>
    <w:rsid w:val="005E5081"/>
    <w:rsid w:val="005E5E31"/>
    <w:rsid w:val="005E7108"/>
    <w:rsid w:val="005F0B98"/>
    <w:rsid w:val="005F6552"/>
    <w:rsid w:val="005F6BE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5C5"/>
    <w:rsid w:val="00607743"/>
    <w:rsid w:val="00607D8D"/>
    <w:rsid w:val="00612482"/>
    <w:rsid w:val="006128E2"/>
    <w:rsid w:val="006132F9"/>
    <w:rsid w:val="006139AE"/>
    <w:rsid w:val="00613A30"/>
    <w:rsid w:val="00613A8D"/>
    <w:rsid w:val="00613F12"/>
    <w:rsid w:val="00620484"/>
    <w:rsid w:val="0062098B"/>
    <w:rsid w:val="00621D5C"/>
    <w:rsid w:val="00623120"/>
    <w:rsid w:val="0062338C"/>
    <w:rsid w:val="0062359C"/>
    <w:rsid w:val="0062741C"/>
    <w:rsid w:val="00627C85"/>
    <w:rsid w:val="00633F6A"/>
    <w:rsid w:val="00634BF7"/>
    <w:rsid w:val="006354E6"/>
    <w:rsid w:val="00635F79"/>
    <w:rsid w:val="00636108"/>
    <w:rsid w:val="00637B8B"/>
    <w:rsid w:val="00641649"/>
    <w:rsid w:val="0064240A"/>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A01E6"/>
    <w:rsid w:val="006A052D"/>
    <w:rsid w:val="006A1AE6"/>
    <w:rsid w:val="006A21C2"/>
    <w:rsid w:val="006A25F4"/>
    <w:rsid w:val="006A33EC"/>
    <w:rsid w:val="006A75F1"/>
    <w:rsid w:val="006B0D53"/>
    <w:rsid w:val="006B14E8"/>
    <w:rsid w:val="006B17F3"/>
    <w:rsid w:val="006B2DB9"/>
    <w:rsid w:val="006B40C5"/>
    <w:rsid w:val="006B4AA2"/>
    <w:rsid w:val="006B5B8C"/>
    <w:rsid w:val="006B5D1A"/>
    <w:rsid w:val="006B6329"/>
    <w:rsid w:val="006B6BD3"/>
    <w:rsid w:val="006B7769"/>
    <w:rsid w:val="006C0537"/>
    <w:rsid w:val="006C205A"/>
    <w:rsid w:val="006C2213"/>
    <w:rsid w:val="006C3263"/>
    <w:rsid w:val="006D1D18"/>
    <w:rsid w:val="006D2135"/>
    <w:rsid w:val="006D3E2B"/>
    <w:rsid w:val="006D4460"/>
    <w:rsid w:val="006D5A50"/>
    <w:rsid w:val="006D5F5C"/>
    <w:rsid w:val="006E18D3"/>
    <w:rsid w:val="006E26B6"/>
    <w:rsid w:val="006E2A24"/>
    <w:rsid w:val="006E3D11"/>
    <w:rsid w:val="006E4886"/>
    <w:rsid w:val="006E4A04"/>
    <w:rsid w:val="006E541D"/>
    <w:rsid w:val="006E5FE0"/>
    <w:rsid w:val="006E6F2C"/>
    <w:rsid w:val="006E7EA8"/>
    <w:rsid w:val="006F0993"/>
    <w:rsid w:val="006F1D64"/>
    <w:rsid w:val="006F1E6B"/>
    <w:rsid w:val="006F21A2"/>
    <w:rsid w:val="006F33C6"/>
    <w:rsid w:val="006F3A5E"/>
    <w:rsid w:val="006F3EDE"/>
    <w:rsid w:val="006F4111"/>
    <w:rsid w:val="006F6705"/>
    <w:rsid w:val="006F683B"/>
    <w:rsid w:val="007009EE"/>
    <w:rsid w:val="00701671"/>
    <w:rsid w:val="0070168D"/>
    <w:rsid w:val="007025FA"/>
    <w:rsid w:val="007030DF"/>
    <w:rsid w:val="00703354"/>
    <w:rsid w:val="00705DEC"/>
    <w:rsid w:val="007069B7"/>
    <w:rsid w:val="00706E96"/>
    <w:rsid w:val="0070700C"/>
    <w:rsid w:val="0070704E"/>
    <w:rsid w:val="0071003D"/>
    <w:rsid w:val="00710F99"/>
    <w:rsid w:val="007120A9"/>
    <w:rsid w:val="00712EE9"/>
    <w:rsid w:val="00715789"/>
    <w:rsid w:val="007159AE"/>
    <w:rsid w:val="00716901"/>
    <w:rsid w:val="007203FC"/>
    <w:rsid w:val="00720E95"/>
    <w:rsid w:val="00721709"/>
    <w:rsid w:val="00723B86"/>
    <w:rsid w:val="007249ED"/>
    <w:rsid w:val="007251E8"/>
    <w:rsid w:val="007268ED"/>
    <w:rsid w:val="00730DE9"/>
    <w:rsid w:val="00731B70"/>
    <w:rsid w:val="00731D64"/>
    <w:rsid w:val="00731EF1"/>
    <w:rsid w:val="0073257C"/>
    <w:rsid w:val="0073499C"/>
    <w:rsid w:val="007349BC"/>
    <w:rsid w:val="007356AA"/>
    <w:rsid w:val="007357B7"/>
    <w:rsid w:val="00735D2F"/>
    <w:rsid w:val="0073689F"/>
    <w:rsid w:val="00737077"/>
    <w:rsid w:val="007400EE"/>
    <w:rsid w:val="0074084E"/>
    <w:rsid w:val="007411FF"/>
    <w:rsid w:val="00741253"/>
    <w:rsid w:val="00742917"/>
    <w:rsid w:val="007436FC"/>
    <w:rsid w:val="007446E1"/>
    <w:rsid w:val="007456C5"/>
    <w:rsid w:val="00746A36"/>
    <w:rsid w:val="007478D7"/>
    <w:rsid w:val="0075111C"/>
    <w:rsid w:val="007529F3"/>
    <w:rsid w:val="0075311D"/>
    <w:rsid w:val="00753509"/>
    <w:rsid w:val="007578C3"/>
    <w:rsid w:val="007601AE"/>
    <w:rsid w:val="00763814"/>
    <w:rsid w:val="00763ED9"/>
    <w:rsid w:val="0076594E"/>
    <w:rsid w:val="00767AB0"/>
    <w:rsid w:val="00767D19"/>
    <w:rsid w:val="00767D49"/>
    <w:rsid w:val="007712AD"/>
    <w:rsid w:val="00771F5E"/>
    <w:rsid w:val="00775002"/>
    <w:rsid w:val="00783F52"/>
    <w:rsid w:val="007848FF"/>
    <w:rsid w:val="00785AD2"/>
    <w:rsid w:val="00786E84"/>
    <w:rsid w:val="00787122"/>
    <w:rsid w:val="0078781A"/>
    <w:rsid w:val="0079058B"/>
    <w:rsid w:val="0079402B"/>
    <w:rsid w:val="007941A9"/>
    <w:rsid w:val="00794949"/>
    <w:rsid w:val="00796FF4"/>
    <w:rsid w:val="007A0B9A"/>
    <w:rsid w:val="007A12CB"/>
    <w:rsid w:val="007A1581"/>
    <w:rsid w:val="007A2C59"/>
    <w:rsid w:val="007A4536"/>
    <w:rsid w:val="007A464A"/>
    <w:rsid w:val="007A47B8"/>
    <w:rsid w:val="007A6FAB"/>
    <w:rsid w:val="007B0381"/>
    <w:rsid w:val="007B1397"/>
    <w:rsid w:val="007B1C65"/>
    <w:rsid w:val="007B2044"/>
    <w:rsid w:val="007B63B7"/>
    <w:rsid w:val="007C028F"/>
    <w:rsid w:val="007C05C9"/>
    <w:rsid w:val="007C134E"/>
    <w:rsid w:val="007C240D"/>
    <w:rsid w:val="007C360F"/>
    <w:rsid w:val="007C3AA7"/>
    <w:rsid w:val="007C3CCD"/>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03BA"/>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38EF"/>
    <w:rsid w:val="008551CC"/>
    <w:rsid w:val="0086283F"/>
    <w:rsid w:val="00862AE0"/>
    <w:rsid w:val="00862E3A"/>
    <w:rsid w:val="00865AA7"/>
    <w:rsid w:val="00865BAF"/>
    <w:rsid w:val="00867433"/>
    <w:rsid w:val="00870B60"/>
    <w:rsid w:val="008723C3"/>
    <w:rsid w:val="00873D73"/>
    <w:rsid w:val="00873FED"/>
    <w:rsid w:val="00874CD5"/>
    <w:rsid w:val="00874F8C"/>
    <w:rsid w:val="0087724E"/>
    <w:rsid w:val="00881457"/>
    <w:rsid w:val="0088324D"/>
    <w:rsid w:val="00883428"/>
    <w:rsid w:val="00887C47"/>
    <w:rsid w:val="0089116B"/>
    <w:rsid w:val="00893C36"/>
    <w:rsid w:val="00894241"/>
    <w:rsid w:val="00894B7F"/>
    <w:rsid w:val="00894DAA"/>
    <w:rsid w:val="0089574F"/>
    <w:rsid w:val="00896767"/>
    <w:rsid w:val="00896A76"/>
    <w:rsid w:val="00897999"/>
    <w:rsid w:val="008A0A66"/>
    <w:rsid w:val="008A1D97"/>
    <w:rsid w:val="008A31B2"/>
    <w:rsid w:val="008A349B"/>
    <w:rsid w:val="008A4200"/>
    <w:rsid w:val="008A54F2"/>
    <w:rsid w:val="008A5DDC"/>
    <w:rsid w:val="008B05FB"/>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3C7"/>
    <w:rsid w:val="008D6494"/>
    <w:rsid w:val="008D7057"/>
    <w:rsid w:val="008D789A"/>
    <w:rsid w:val="008E0428"/>
    <w:rsid w:val="008E052C"/>
    <w:rsid w:val="008E05E7"/>
    <w:rsid w:val="008E0BD8"/>
    <w:rsid w:val="008E1748"/>
    <w:rsid w:val="008E2ACD"/>
    <w:rsid w:val="008E2FC7"/>
    <w:rsid w:val="008E374A"/>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3C08"/>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21C"/>
    <w:rsid w:val="009369DD"/>
    <w:rsid w:val="009400C7"/>
    <w:rsid w:val="00940D6D"/>
    <w:rsid w:val="00941127"/>
    <w:rsid w:val="00941DA2"/>
    <w:rsid w:val="00942484"/>
    <w:rsid w:val="00943649"/>
    <w:rsid w:val="00944BED"/>
    <w:rsid w:val="00944E56"/>
    <w:rsid w:val="00947140"/>
    <w:rsid w:val="0095107C"/>
    <w:rsid w:val="009520D2"/>
    <w:rsid w:val="00952EB0"/>
    <w:rsid w:val="0095321B"/>
    <w:rsid w:val="00953F92"/>
    <w:rsid w:val="00954D1F"/>
    <w:rsid w:val="00955751"/>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3110"/>
    <w:rsid w:val="00994862"/>
    <w:rsid w:val="009954E5"/>
    <w:rsid w:val="00995595"/>
    <w:rsid w:val="009964F2"/>
    <w:rsid w:val="009A0865"/>
    <w:rsid w:val="009A1ACC"/>
    <w:rsid w:val="009A2D43"/>
    <w:rsid w:val="009A2E3F"/>
    <w:rsid w:val="009A41ED"/>
    <w:rsid w:val="009A45E6"/>
    <w:rsid w:val="009A4B78"/>
    <w:rsid w:val="009A5DB5"/>
    <w:rsid w:val="009B154D"/>
    <w:rsid w:val="009B26AC"/>
    <w:rsid w:val="009B50E4"/>
    <w:rsid w:val="009B5640"/>
    <w:rsid w:val="009B63BE"/>
    <w:rsid w:val="009C1380"/>
    <w:rsid w:val="009C29D1"/>
    <w:rsid w:val="009C3563"/>
    <w:rsid w:val="009C528C"/>
    <w:rsid w:val="009C52F1"/>
    <w:rsid w:val="009C5554"/>
    <w:rsid w:val="009C666F"/>
    <w:rsid w:val="009D0A16"/>
    <w:rsid w:val="009D1083"/>
    <w:rsid w:val="009D36B3"/>
    <w:rsid w:val="009D52D4"/>
    <w:rsid w:val="009D724D"/>
    <w:rsid w:val="009E11C6"/>
    <w:rsid w:val="009E17F8"/>
    <w:rsid w:val="009E2219"/>
    <w:rsid w:val="009E2815"/>
    <w:rsid w:val="009E2FDE"/>
    <w:rsid w:val="009E409F"/>
    <w:rsid w:val="009E4144"/>
    <w:rsid w:val="009E6195"/>
    <w:rsid w:val="009E67CD"/>
    <w:rsid w:val="009E7D0E"/>
    <w:rsid w:val="009F0876"/>
    <w:rsid w:val="009F0F8C"/>
    <w:rsid w:val="009F1398"/>
    <w:rsid w:val="009F1AEF"/>
    <w:rsid w:val="009F2352"/>
    <w:rsid w:val="009F4DD3"/>
    <w:rsid w:val="009F611A"/>
    <w:rsid w:val="009F634D"/>
    <w:rsid w:val="009F6594"/>
    <w:rsid w:val="009F7949"/>
    <w:rsid w:val="00A002EC"/>
    <w:rsid w:val="00A0127A"/>
    <w:rsid w:val="00A0248B"/>
    <w:rsid w:val="00A0288A"/>
    <w:rsid w:val="00A03562"/>
    <w:rsid w:val="00A03869"/>
    <w:rsid w:val="00A04899"/>
    <w:rsid w:val="00A04E62"/>
    <w:rsid w:val="00A0503A"/>
    <w:rsid w:val="00A0513E"/>
    <w:rsid w:val="00A114D4"/>
    <w:rsid w:val="00A12F4A"/>
    <w:rsid w:val="00A132A2"/>
    <w:rsid w:val="00A14323"/>
    <w:rsid w:val="00A16E4A"/>
    <w:rsid w:val="00A17348"/>
    <w:rsid w:val="00A206D7"/>
    <w:rsid w:val="00A2103B"/>
    <w:rsid w:val="00A23E35"/>
    <w:rsid w:val="00A24F09"/>
    <w:rsid w:val="00A2607F"/>
    <w:rsid w:val="00A2695E"/>
    <w:rsid w:val="00A27CB8"/>
    <w:rsid w:val="00A30E48"/>
    <w:rsid w:val="00A32560"/>
    <w:rsid w:val="00A326F1"/>
    <w:rsid w:val="00A4083A"/>
    <w:rsid w:val="00A4092C"/>
    <w:rsid w:val="00A419CF"/>
    <w:rsid w:val="00A4249E"/>
    <w:rsid w:val="00A44DEE"/>
    <w:rsid w:val="00A45096"/>
    <w:rsid w:val="00A45599"/>
    <w:rsid w:val="00A45B14"/>
    <w:rsid w:val="00A50060"/>
    <w:rsid w:val="00A50CED"/>
    <w:rsid w:val="00A52CAE"/>
    <w:rsid w:val="00A54350"/>
    <w:rsid w:val="00A54E80"/>
    <w:rsid w:val="00A55B67"/>
    <w:rsid w:val="00A5735C"/>
    <w:rsid w:val="00A57508"/>
    <w:rsid w:val="00A57793"/>
    <w:rsid w:val="00A60C03"/>
    <w:rsid w:val="00A62E30"/>
    <w:rsid w:val="00A641B8"/>
    <w:rsid w:val="00A66080"/>
    <w:rsid w:val="00A67471"/>
    <w:rsid w:val="00A67DB7"/>
    <w:rsid w:val="00A714E9"/>
    <w:rsid w:val="00A715FE"/>
    <w:rsid w:val="00A71F03"/>
    <w:rsid w:val="00A7202D"/>
    <w:rsid w:val="00A73FDD"/>
    <w:rsid w:val="00A759EE"/>
    <w:rsid w:val="00A75EC1"/>
    <w:rsid w:val="00A76F89"/>
    <w:rsid w:val="00A812A7"/>
    <w:rsid w:val="00A81DF6"/>
    <w:rsid w:val="00A826BF"/>
    <w:rsid w:val="00A85DCC"/>
    <w:rsid w:val="00A85E5A"/>
    <w:rsid w:val="00A87BA8"/>
    <w:rsid w:val="00A929F6"/>
    <w:rsid w:val="00A92AD9"/>
    <w:rsid w:val="00A95E7D"/>
    <w:rsid w:val="00A96A66"/>
    <w:rsid w:val="00A96D39"/>
    <w:rsid w:val="00A96E1A"/>
    <w:rsid w:val="00A96F39"/>
    <w:rsid w:val="00A97345"/>
    <w:rsid w:val="00AA0FC4"/>
    <w:rsid w:val="00AA2449"/>
    <w:rsid w:val="00AA29AF"/>
    <w:rsid w:val="00AA3307"/>
    <w:rsid w:val="00AA3C9F"/>
    <w:rsid w:val="00AA4649"/>
    <w:rsid w:val="00AA7FCA"/>
    <w:rsid w:val="00AB0FF2"/>
    <w:rsid w:val="00AB2335"/>
    <w:rsid w:val="00AB329D"/>
    <w:rsid w:val="00AB3CD8"/>
    <w:rsid w:val="00AB6154"/>
    <w:rsid w:val="00AB6FD8"/>
    <w:rsid w:val="00AC0B3D"/>
    <w:rsid w:val="00AC18EE"/>
    <w:rsid w:val="00AC41FD"/>
    <w:rsid w:val="00AC45B9"/>
    <w:rsid w:val="00AC523C"/>
    <w:rsid w:val="00AC539E"/>
    <w:rsid w:val="00AC5F9F"/>
    <w:rsid w:val="00AC7D55"/>
    <w:rsid w:val="00AC7F10"/>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7570"/>
    <w:rsid w:val="00AF08B8"/>
    <w:rsid w:val="00AF0D34"/>
    <w:rsid w:val="00AF15AA"/>
    <w:rsid w:val="00AF2ABD"/>
    <w:rsid w:val="00AF3F4B"/>
    <w:rsid w:val="00AF4AA0"/>
    <w:rsid w:val="00AF4B9F"/>
    <w:rsid w:val="00AF6749"/>
    <w:rsid w:val="00AF68BD"/>
    <w:rsid w:val="00AF6D81"/>
    <w:rsid w:val="00B0037B"/>
    <w:rsid w:val="00B00899"/>
    <w:rsid w:val="00B0178D"/>
    <w:rsid w:val="00B0216D"/>
    <w:rsid w:val="00B034AC"/>
    <w:rsid w:val="00B052C3"/>
    <w:rsid w:val="00B05D97"/>
    <w:rsid w:val="00B07CA0"/>
    <w:rsid w:val="00B11565"/>
    <w:rsid w:val="00B1179D"/>
    <w:rsid w:val="00B11988"/>
    <w:rsid w:val="00B1379A"/>
    <w:rsid w:val="00B13DB1"/>
    <w:rsid w:val="00B17D03"/>
    <w:rsid w:val="00B209E3"/>
    <w:rsid w:val="00B2115D"/>
    <w:rsid w:val="00B21E5B"/>
    <w:rsid w:val="00B238BD"/>
    <w:rsid w:val="00B23B30"/>
    <w:rsid w:val="00B24774"/>
    <w:rsid w:val="00B248DD"/>
    <w:rsid w:val="00B2494E"/>
    <w:rsid w:val="00B24B81"/>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7CD"/>
    <w:rsid w:val="00B4674F"/>
    <w:rsid w:val="00B46C41"/>
    <w:rsid w:val="00B51E45"/>
    <w:rsid w:val="00B51EA8"/>
    <w:rsid w:val="00B52858"/>
    <w:rsid w:val="00B5297E"/>
    <w:rsid w:val="00B5493F"/>
    <w:rsid w:val="00B552ED"/>
    <w:rsid w:val="00B57D63"/>
    <w:rsid w:val="00B64BCA"/>
    <w:rsid w:val="00B72F51"/>
    <w:rsid w:val="00B734D0"/>
    <w:rsid w:val="00B74A9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B0BCD"/>
    <w:rsid w:val="00BB2931"/>
    <w:rsid w:val="00BB5462"/>
    <w:rsid w:val="00BB7785"/>
    <w:rsid w:val="00BB7C2C"/>
    <w:rsid w:val="00BC05D4"/>
    <w:rsid w:val="00BC2449"/>
    <w:rsid w:val="00BC25A6"/>
    <w:rsid w:val="00BC2FBF"/>
    <w:rsid w:val="00BC4797"/>
    <w:rsid w:val="00BC6DDD"/>
    <w:rsid w:val="00BD1D25"/>
    <w:rsid w:val="00BD1EDE"/>
    <w:rsid w:val="00BD23CD"/>
    <w:rsid w:val="00BD28C1"/>
    <w:rsid w:val="00BD3126"/>
    <w:rsid w:val="00BD3E9D"/>
    <w:rsid w:val="00BD4880"/>
    <w:rsid w:val="00BD5798"/>
    <w:rsid w:val="00BD6195"/>
    <w:rsid w:val="00BD66C5"/>
    <w:rsid w:val="00BD6C67"/>
    <w:rsid w:val="00BE1F09"/>
    <w:rsid w:val="00BE2D05"/>
    <w:rsid w:val="00BE48CF"/>
    <w:rsid w:val="00BE4C93"/>
    <w:rsid w:val="00BE50B9"/>
    <w:rsid w:val="00BF0DEE"/>
    <w:rsid w:val="00BF0EC7"/>
    <w:rsid w:val="00BF0FEB"/>
    <w:rsid w:val="00BF1A5D"/>
    <w:rsid w:val="00BF23F6"/>
    <w:rsid w:val="00BF2B44"/>
    <w:rsid w:val="00BF3F28"/>
    <w:rsid w:val="00BF5EEB"/>
    <w:rsid w:val="00BF64DD"/>
    <w:rsid w:val="00BF7A93"/>
    <w:rsid w:val="00BF7B0B"/>
    <w:rsid w:val="00C00D5C"/>
    <w:rsid w:val="00C0237C"/>
    <w:rsid w:val="00C02486"/>
    <w:rsid w:val="00C04F90"/>
    <w:rsid w:val="00C05A4D"/>
    <w:rsid w:val="00C05C2F"/>
    <w:rsid w:val="00C07E7D"/>
    <w:rsid w:val="00C10318"/>
    <w:rsid w:val="00C10B98"/>
    <w:rsid w:val="00C10C67"/>
    <w:rsid w:val="00C119B7"/>
    <w:rsid w:val="00C120AF"/>
    <w:rsid w:val="00C126D9"/>
    <w:rsid w:val="00C127DF"/>
    <w:rsid w:val="00C138B3"/>
    <w:rsid w:val="00C15B04"/>
    <w:rsid w:val="00C170F7"/>
    <w:rsid w:val="00C2180A"/>
    <w:rsid w:val="00C224B8"/>
    <w:rsid w:val="00C24593"/>
    <w:rsid w:val="00C24D16"/>
    <w:rsid w:val="00C2569A"/>
    <w:rsid w:val="00C258FB"/>
    <w:rsid w:val="00C267C4"/>
    <w:rsid w:val="00C306E7"/>
    <w:rsid w:val="00C30778"/>
    <w:rsid w:val="00C31A9A"/>
    <w:rsid w:val="00C3203F"/>
    <w:rsid w:val="00C32803"/>
    <w:rsid w:val="00C32F38"/>
    <w:rsid w:val="00C36351"/>
    <w:rsid w:val="00C4049D"/>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EE1"/>
    <w:rsid w:val="00C7356D"/>
    <w:rsid w:val="00C73771"/>
    <w:rsid w:val="00C74557"/>
    <w:rsid w:val="00C76C4B"/>
    <w:rsid w:val="00C77766"/>
    <w:rsid w:val="00C77883"/>
    <w:rsid w:val="00C806A3"/>
    <w:rsid w:val="00C80AE8"/>
    <w:rsid w:val="00C81E19"/>
    <w:rsid w:val="00C8322C"/>
    <w:rsid w:val="00C845A6"/>
    <w:rsid w:val="00C85D23"/>
    <w:rsid w:val="00C863D5"/>
    <w:rsid w:val="00C910A6"/>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1AE"/>
    <w:rsid w:val="00CA63AC"/>
    <w:rsid w:val="00CA6F4A"/>
    <w:rsid w:val="00CB11D3"/>
    <w:rsid w:val="00CB1CE8"/>
    <w:rsid w:val="00CB2237"/>
    <w:rsid w:val="00CB239A"/>
    <w:rsid w:val="00CB49C4"/>
    <w:rsid w:val="00CB4AE3"/>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5F5B"/>
    <w:rsid w:val="00CD602D"/>
    <w:rsid w:val="00CD77EE"/>
    <w:rsid w:val="00CD7B2C"/>
    <w:rsid w:val="00CE07F7"/>
    <w:rsid w:val="00CE258D"/>
    <w:rsid w:val="00CE4033"/>
    <w:rsid w:val="00CE6167"/>
    <w:rsid w:val="00CE64F8"/>
    <w:rsid w:val="00CE79A3"/>
    <w:rsid w:val="00CE79EB"/>
    <w:rsid w:val="00CF0B46"/>
    <w:rsid w:val="00CF1204"/>
    <w:rsid w:val="00CF1B1A"/>
    <w:rsid w:val="00CF28E5"/>
    <w:rsid w:val="00CF2CFA"/>
    <w:rsid w:val="00CF6780"/>
    <w:rsid w:val="00D01F56"/>
    <w:rsid w:val="00D0341C"/>
    <w:rsid w:val="00D044EA"/>
    <w:rsid w:val="00D047ED"/>
    <w:rsid w:val="00D057BC"/>
    <w:rsid w:val="00D05D49"/>
    <w:rsid w:val="00D066B9"/>
    <w:rsid w:val="00D078EB"/>
    <w:rsid w:val="00D11A8A"/>
    <w:rsid w:val="00D11B49"/>
    <w:rsid w:val="00D205E9"/>
    <w:rsid w:val="00D20F9F"/>
    <w:rsid w:val="00D221CA"/>
    <w:rsid w:val="00D235F4"/>
    <w:rsid w:val="00D240D1"/>
    <w:rsid w:val="00D30AE9"/>
    <w:rsid w:val="00D30C76"/>
    <w:rsid w:val="00D31EB3"/>
    <w:rsid w:val="00D32643"/>
    <w:rsid w:val="00D32B95"/>
    <w:rsid w:val="00D337F1"/>
    <w:rsid w:val="00D35D1C"/>
    <w:rsid w:val="00D365AB"/>
    <w:rsid w:val="00D409E5"/>
    <w:rsid w:val="00D40FA3"/>
    <w:rsid w:val="00D415C6"/>
    <w:rsid w:val="00D42421"/>
    <w:rsid w:val="00D4342F"/>
    <w:rsid w:val="00D436D0"/>
    <w:rsid w:val="00D47E7C"/>
    <w:rsid w:val="00D526AD"/>
    <w:rsid w:val="00D52769"/>
    <w:rsid w:val="00D539FB"/>
    <w:rsid w:val="00D542A7"/>
    <w:rsid w:val="00D54E5A"/>
    <w:rsid w:val="00D55452"/>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26"/>
    <w:rsid w:val="00D96787"/>
    <w:rsid w:val="00DA488D"/>
    <w:rsid w:val="00DA4C68"/>
    <w:rsid w:val="00DA4FAA"/>
    <w:rsid w:val="00DA7577"/>
    <w:rsid w:val="00DA78C2"/>
    <w:rsid w:val="00DB17CE"/>
    <w:rsid w:val="00DB1C99"/>
    <w:rsid w:val="00DB1FC0"/>
    <w:rsid w:val="00DB2A4E"/>
    <w:rsid w:val="00DB44DD"/>
    <w:rsid w:val="00DB502A"/>
    <w:rsid w:val="00DB7BB6"/>
    <w:rsid w:val="00DB7FDF"/>
    <w:rsid w:val="00DC091F"/>
    <w:rsid w:val="00DC0C0A"/>
    <w:rsid w:val="00DC0EC5"/>
    <w:rsid w:val="00DC35F0"/>
    <w:rsid w:val="00DC5A8A"/>
    <w:rsid w:val="00DC5E6F"/>
    <w:rsid w:val="00DC5E85"/>
    <w:rsid w:val="00DC6D13"/>
    <w:rsid w:val="00DD0362"/>
    <w:rsid w:val="00DD06D4"/>
    <w:rsid w:val="00DD2F12"/>
    <w:rsid w:val="00DD2F67"/>
    <w:rsid w:val="00DD30A7"/>
    <w:rsid w:val="00DD3112"/>
    <w:rsid w:val="00DD5776"/>
    <w:rsid w:val="00DD5E77"/>
    <w:rsid w:val="00DD7E75"/>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587"/>
    <w:rsid w:val="00E03BA0"/>
    <w:rsid w:val="00E042D5"/>
    <w:rsid w:val="00E0430A"/>
    <w:rsid w:val="00E049DC"/>
    <w:rsid w:val="00E04CA3"/>
    <w:rsid w:val="00E07CD6"/>
    <w:rsid w:val="00E10D1A"/>
    <w:rsid w:val="00E11E37"/>
    <w:rsid w:val="00E130CE"/>
    <w:rsid w:val="00E1311E"/>
    <w:rsid w:val="00E1361A"/>
    <w:rsid w:val="00E14B19"/>
    <w:rsid w:val="00E1536A"/>
    <w:rsid w:val="00E20377"/>
    <w:rsid w:val="00E205DD"/>
    <w:rsid w:val="00E20ABB"/>
    <w:rsid w:val="00E20D8D"/>
    <w:rsid w:val="00E20E04"/>
    <w:rsid w:val="00E21538"/>
    <w:rsid w:val="00E22504"/>
    <w:rsid w:val="00E24A79"/>
    <w:rsid w:val="00E2511C"/>
    <w:rsid w:val="00E27092"/>
    <w:rsid w:val="00E334E4"/>
    <w:rsid w:val="00E344A1"/>
    <w:rsid w:val="00E34885"/>
    <w:rsid w:val="00E356C1"/>
    <w:rsid w:val="00E37A3A"/>
    <w:rsid w:val="00E40BBA"/>
    <w:rsid w:val="00E40E46"/>
    <w:rsid w:val="00E41D52"/>
    <w:rsid w:val="00E42E9B"/>
    <w:rsid w:val="00E432F8"/>
    <w:rsid w:val="00E4363F"/>
    <w:rsid w:val="00E43684"/>
    <w:rsid w:val="00E43773"/>
    <w:rsid w:val="00E45C03"/>
    <w:rsid w:val="00E47532"/>
    <w:rsid w:val="00E47DF5"/>
    <w:rsid w:val="00E50937"/>
    <w:rsid w:val="00E51B41"/>
    <w:rsid w:val="00E52BA6"/>
    <w:rsid w:val="00E54501"/>
    <w:rsid w:val="00E561AF"/>
    <w:rsid w:val="00E56B27"/>
    <w:rsid w:val="00E60146"/>
    <w:rsid w:val="00E613B9"/>
    <w:rsid w:val="00E628FC"/>
    <w:rsid w:val="00E62971"/>
    <w:rsid w:val="00E63C58"/>
    <w:rsid w:val="00E6589A"/>
    <w:rsid w:val="00E67D79"/>
    <w:rsid w:val="00E70D41"/>
    <w:rsid w:val="00E7242F"/>
    <w:rsid w:val="00E727C7"/>
    <w:rsid w:val="00E72A9D"/>
    <w:rsid w:val="00E7731C"/>
    <w:rsid w:val="00E77D66"/>
    <w:rsid w:val="00E80BF6"/>
    <w:rsid w:val="00E81003"/>
    <w:rsid w:val="00E83180"/>
    <w:rsid w:val="00E84C17"/>
    <w:rsid w:val="00E858EB"/>
    <w:rsid w:val="00E90FDC"/>
    <w:rsid w:val="00E93DC8"/>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A33"/>
    <w:rsid w:val="00EB21DD"/>
    <w:rsid w:val="00EB3FCC"/>
    <w:rsid w:val="00EB4B42"/>
    <w:rsid w:val="00EB52F1"/>
    <w:rsid w:val="00EB5368"/>
    <w:rsid w:val="00EB657B"/>
    <w:rsid w:val="00EB7969"/>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35BC"/>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66E"/>
    <w:rsid w:val="00F45911"/>
    <w:rsid w:val="00F51017"/>
    <w:rsid w:val="00F51901"/>
    <w:rsid w:val="00F52082"/>
    <w:rsid w:val="00F52784"/>
    <w:rsid w:val="00F540DF"/>
    <w:rsid w:val="00F54E86"/>
    <w:rsid w:val="00F54EBD"/>
    <w:rsid w:val="00F5508E"/>
    <w:rsid w:val="00F554FB"/>
    <w:rsid w:val="00F557B0"/>
    <w:rsid w:val="00F55E0C"/>
    <w:rsid w:val="00F568D5"/>
    <w:rsid w:val="00F5694E"/>
    <w:rsid w:val="00F56E96"/>
    <w:rsid w:val="00F572B2"/>
    <w:rsid w:val="00F574B9"/>
    <w:rsid w:val="00F605E4"/>
    <w:rsid w:val="00F612A4"/>
    <w:rsid w:val="00F62CDB"/>
    <w:rsid w:val="00F6352E"/>
    <w:rsid w:val="00F63880"/>
    <w:rsid w:val="00F64D8F"/>
    <w:rsid w:val="00F65ABD"/>
    <w:rsid w:val="00F65B88"/>
    <w:rsid w:val="00F65DFE"/>
    <w:rsid w:val="00F663A3"/>
    <w:rsid w:val="00F677C3"/>
    <w:rsid w:val="00F7059D"/>
    <w:rsid w:val="00F71123"/>
    <w:rsid w:val="00F7155B"/>
    <w:rsid w:val="00F717EF"/>
    <w:rsid w:val="00F7338F"/>
    <w:rsid w:val="00F73B7B"/>
    <w:rsid w:val="00F74AF2"/>
    <w:rsid w:val="00F75115"/>
    <w:rsid w:val="00F752CF"/>
    <w:rsid w:val="00F770EC"/>
    <w:rsid w:val="00F81615"/>
    <w:rsid w:val="00F81B58"/>
    <w:rsid w:val="00F82F75"/>
    <w:rsid w:val="00F835BC"/>
    <w:rsid w:val="00F847B7"/>
    <w:rsid w:val="00F8772A"/>
    <w:rsid w:val="00F90A1B"/>
    <w:rsid w:val="00F93020"/>
    <w:rsid w:val="00F948C0"/>
    <w:rsid w:val="00F94FCE"/>
    <w:rsid w:val="00F95520"/>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42F"/>
    <w:rsid w:val="00FC2484"/>
    <w:rsid w:val="00FC2BD9"/>
    <w:rsid w:val="00FC2D0F"/>
    <w:rsid w:val="00FC4AA8"/>
    <w:rsid w:val="00FC6A46"/>
    <w:rsid w:val="00FC79DA"/>
    <w:rsid w:val="00FD08D9"/>
    <w:rsid w:val="00FD0D96"/>
    <w:rsid w:val="00FD235F"/>
    <w:rsid w:val="00FD4D1D"/>
    <w:rsid w:val="00FD626E"/>
    <w:rsid w:val="00FD64F7"/>
    <w:rsid w:val="00FD7415"/>
    <w:rsid w:val="00FE0199"/>
    <w:rsid w:val="00FE0647"/>
    <w:rsid w:val="00FE0B6C"/>
    <w:rsid w:val="00FE1553"/>
    <w:rsid w:val="00FE3B9C"/>
    <w:rsid w:val="00FE42B0"/>
    <w:rsid w:val="00FE5A40"/>
    <w:rsid w:val="00FE5C0E"/>
    <w:rsid w:val="00FE60D6"/>
    <w:rsid w:val="00FE79B5"/>
    <w:rsid w:val="00FF0094"/>
    <w:rsid w:val="00FF200D"/>
    <w:rsid w:val="00FF3417"/>
    <w:rsid w:val="00FF412F"/>
    <w:rsid w:val="00FF4200"/>
    <w:rsid w:val="00FF589A"/>
    <w:rsid w:val="00FF7E9E"/>
    <w:rsid w:val="0100390C"/>
    <w:rsid w:val="0123581D"/>
    <w:rsid w:val="012B1C39"/>
    <w:rsid w:val="013A0E1B"/>
    <w:rsid w:val="01453498"/>
    <w:rsid w:val="01791910"/>
    <w:rsid w:val="018207C5"/>
    <w:rsid w:val="019D115B"/>
    <w:rsid w:val="01C43648"/>
    <w:rsid w:val="01E557E7"/>
    <w:rsid w:val="021F7210"/>
    <w:rsid w:val="022E1C2A"/>
    <w:rsid w:val="02C40969"/>
    <w:rsid w:val="02F72AEC"/>
    <w:rsid w:val="033435C8"/>
    <w:rsid w:val="03A95345"/>
    <w:rsid w:val="03D64DF8"/>
    <w:rsid w:val="03EE5B7C"/>
    <w:rsid w:val="040F70DB"/>
    <w:rsid w:val="043F0BEF"/>
    <w:rsid w:val="046917C8"/>
    <w:rsid w:val="04912ACD"/>
    <w:rsid w:val="04B05EB6"/>
    <w:rsid w:val="04B74C29"/>
    <w:rsid w:val="04D72BD5"/>
    <w:rsid w:val="04E90B5B"/>
    <w:rsid w:val="04E946B7"/>
    <w:rsid w:val="04F0495F"/>
    <w:rsid w:val="04FD384B"/>
    <w:rsid w:val="05767713"/>
    <w:rsid w:val="05A52CD4"/>
    <w:rsid w:val="05D7202B"/>
    <w:rsid w:val="05DE021A"/>
    <w:rsid w:val="05E97064"/>
    <w:rsid w:val="05F477B7"/>
    <w:rsid w:val="06637D5E"/>
    <w:rsid w:val="06650974"/>
    <w:rsid w:val="069F7723"/>
    <w:rsid w:val="06D0125C"/>
    <w:rsid w:val="06E4782C"/>
    <w:rsid w:val="06E928EF"/>
    <w:rsid w:val="07061550"/>
    <w:rsid w:val="07262586"/>
    <w:rsid w:val="07287718"/>
    <w:rsid w:val="07572125"/>
    <w:rsid w:val="076C0976"/>
    <w:rsid w:val="077539C2"/>
    <w:rsid w:val="078057A6"/>
    <w:rsid w:val="07893F2F"/>
    <w:rsid w:val="07B45450"/>
    <w:rsid w:val="07F43A9E"/>
    <w:rsid w:val="08144141"/>
    <w:rsid w:val="08186CD8"/>
    <w:rsid w:val="08470072"/>
    <w:rsid w:val="085E56AE"/>
    <w:rsid w:val="08687981"/>
    <w:rsid w:val="086F1B39"/>
    <w:rsid w:val="08766CE3"/>
    <w:rsid w:val="08AE3F90"/>
    <w:rsid w:val="08B63438"/>
    <w:rsid w:val="08BD68A7"/>
    <w:rsid w:val="097468F3"/>
    <w:rsid w:val="097A6225"/>
    <w:rsid w:val="09FA34EB"/>
    <w:rsid w:val="0A132C02"/>
    <w:rsid w:val="0A1C72DC"/>
    <w:rsid w:val="0A557BB7"/>
    <w:rsid w:val="0A5A32F8"/>
    <w:rsid w:val="0A652A31"/>
    <w:rsid w:val="0A692E7A"/>
    <w:rsid w:val="0A8910C6"/>
    <w:rsid w:val="0A8A5D79"/>
    <w:rsid w:val="0AA25A34"/>
    <w:rsid w:val="0ACD11E1"/>
    <w:rsid w:val="0AD61B81"/>
    <w:rsid w:val="0B0A1F19"/>
    <w:rsid w:val="0B36617C"/>
    <w:rsid w:val="0B57681E"/>
    <w:rsid w:val="0B61144B"/>
    <w:rsid w:val="0BBA6DAD"/>
    <w:rsid w:val="0BC96FF0"/>
    <w:rsid w:val="0BD172B9"/>
    <w:rsid w:val="0BE93BEF"/>
    <w:rsid w:val="0BEB340A"/>
    <w:rsid w:val="0C2506CA"/>
    <w:rsid w:val="0C2921CE"/>
    <w:rsid w:val="0C4A304C"/>
    <w:rsid w:val="0C566AD6"/>
    <w:rsid w:val="0C5F2EAB"/>
    <w:rsid w:val="0C9615C8"/>
    <w:rsid w:val="0CAD06C0"/>
    <w:rsid w:val="0CBC5489"/>
    <w:rsid w:val="0CE2480D"/>
    <w:rsid w:val="0CE916F8"/>
    <w:rsid w:val="0D543BFA"/>
    <w:rsid w:val="0D870F11"/>
    <w:rsid w:val="0D8853B5"/>
    <w:rsid w:val="0D9D62C2"/>
    <w:rsid w:val="0DA467D8"/>
    <w:rsid w:val="0DBD78FC"/>
    <w:rsid w:val="0DE843A2"/>
    <w:rsid w:val="0E2C4F72"/>
    <w:rsid w:val="0E364E11"/>
    <w:rsid w:val="0E372937"/>
    <w:rsid w:val="0E7476E7"/>
    <w:rsid w:val="0E8611C8"/>
    <w:rsid w:val="0E8C4A31"/>
    <w:rsid w:val="0E960DA4"/>
    <w:rsid w:val="0EB83A78"/>
    <w:rsid w:val="0ECC12D1"/>
    <w:rsid w:val="0ECC7523"/>
    <w:rsid w:val="0EE02FCE"/>
    <w:rsid w:val="0EE06B2A"/>
    <w:rsid w:val="0EF32D02"/>
    <w:rsid w:val="0EFE61C3"/>
    <w:rsid w:val="0F27226E"/>
    <w:rsid w:val="0F434C0A"/>
    <w:rsid w:val="0F5F1EEF"/>
    <w:rsid w:val="0F655282"/>
    <w:rsid w:val="0F977D7B"/>
    <w:rsid w:val="0FB352D7"/>
    <w:rsid w:val="102562D8"/>
    <w:rsid w:val="1026403A"/>
    <w:rsid w:val="104355C3"/>
    <w:rsid w:val="107C2883"/>
    <w:rsid w:val="10826892"/>
    <w:rsid w:val="109B6D62"/>
    <w:rsid w:val="10B34A9A"/>
    <w:rsid w:val="1102414D"/>
    <w:rsid w:val="112C24FB"/>
    <w:rsid w:val="11407D54"/>
    <w:rsid w:val="11603F18"/>
    <w:rsid w:val="1160532F"/>
    <w:rsid w:val="11C646FD"/>
    <w:rsid w:val="11D5049D"/>
    <w:rsid w:val="120E7E53"/>
    <w:rsid w:val="1222745A"/>
    <w:rsid w:val="122B27B2"/>
    <w:rsid w:val="12301ADC"/>
    <w:rsid w:val="123A700C"/>
    <w:rsid w:val="12850115"/>
    <w:rsid w:val="12CF4E33"/>
    <w:rsid w:val="12DA1AE3"/>
    <w:rsid w:val="131F3AA2"/>
    <w:rsid w:val="13496D39"/>
    <w:rsid w:val="138650E8"/>
    <w:rsid w:val="13B50586"/>
    <w:rsid w:val="13C921C6"/>
    <w:rsid w:val="13F54E26"/>
    <w:rsid w:val="143D67CD"/>
    <w:rsid w:val="146B333A"/>
    <w:rsid w:val="14A512BD"/>
    <w:rsid w:val="15264D8E"/>
    <w:rsid w:val="15545B7C"/>
    <w:rsid w:val="15A01BE5"/>
    <w:rsid w:val="15B91CD3"/>
    <w:rsid w:val="15F5735F"/>
    <w:rsid w:val="16066474"/>
    <w:rsid w:val="164125A5"/>
    <w:rsid w:val="16A94950"/>
    <w:rsid w:val="16AA0906"/>
    <w:rsid w:val="16AF5FEF"/>
    <w:rsid w:val="16B8213B"/>
    <w:rsid w:val="16D70F4D"/>
    <w:rsid w:val="16F6136F"/>
    <w:rsid w:val="16F92E7F"/>
    <w:rsid w:val="16FD0098"/>
    <w:rsid w:val="172D0D7B"/>
    <w:rsid w:val="17342109"/>
    <w:rsid w:val="173E758D"/>
    <w:rsid w:val="174E4322"/>
    <w:rsid w:val="17521617"/>
    <w:rsid w:val="17C012EF"/>
    <w:rsid w:val="17DB38DF"/>
    <w:rsid w:val="17E70F2A"/>
    <w:rsid w:val="17F35B20"/>
    <w:rsid w:val="18133ACD"/>
    <w:rsid w:val="192B08D4"/>
    <w:rsid w:val="193C2941"/>
    <w:rsid w:val="19605C43"/>
    <w:rsid w:val="197762DD"/>
    <w:rsid w:val="19AE7E56"/>
    <w:rsid w:val="19B4308D"/>
    <w:rsid w:val="19CF2F48"/>
    <w:rsid w:val="1A240213"/>
    <w:rsid w:val="1A400DC5"/>
    <w:rsid w:val="1A580DF8"/>
    <w:rsid w:val="1A756CC1"/>
    <w:rsid w:val="1A782D25"/>
    <w:rsid w:val="1A914743"/>
    <w:rsid w:val="1ABB7E7A"/>
    <w:rsid w:val="1AD334BF"/>
    <w:rsid w:val="1AE950FA"/>
    <w:rsid w:val="1AF521B3"/>
    <w:rsid w:val="1B7032B1"/>
    <w:rsid w:val="1B711290"/>
    <w:rsid w:val="1BBE1FA1"/>
    <w:rsid w:val="1BDE0896"/>
    <w:rsid w:val="1BE97440"/>
    <w:rsid w:val="1C1F5136"/>
    <w:rsid w:val="1C2C1601"/>
    <w:rsid w:val="1C2F2E9F"/>
    <w:rsid w:val="1C4C7CC3"/>
    <w:rsid w:val="1C4F6AE7"/>
    <w:rsid w:val="1C8A69E1"/>
    <w:rsid w:val="1CBA28AA"/>
    <w:rsid w:val="1CF15B94"/>
    <w:rsid w:val="1D047E88"/>
    <w:rsid w:val="1D623D91"/>
    <w:rsid w:val="1D6F55A4"/>
    <w:rsid w:val="1DED20B4"/>
    <w:rsid w:val="1E1423D7"/>
    <w:rsid w:val="1E307789"/>
    <w:rsid w:val="1E3231A6"/>
    <w:rsid w:val="1E5352A7"/>
    <w:rsid w:val="1E5906A7"/>
    <w:rsid w:val="1EA638ED"/>
    <w:rsid w:val="1EB3600A"/>
    <w:rsid w:val="1F0028D1"/>
    <w:rsid w:val="1F02211F"/>
    <w:rsid w:val="1F1A472F"/>
    <w:rsid w:val="1F1C0F96"/>
    <w:rsid w:val="1F4E5D32"/>
    <w:rsid w:val="1F5275D0"/>
    <w:rsid w:val="1F9A0F77"/>
    <w:rsid w:val="1FBB33C8"/>
    <w:rsid w:val="1FCD30FB"/>
    <w:rsid w:val="1FCF7AFB"/>
    <w:rsid w:val="20436F19"/>
    <w:rsid w:val="20474C5B"/>
    <w:rsid w:val="20A7423C"/>
    <w:rsid w:val="20B00359"/>
    <w:rsid w:val="20EE50D7"/>
    <w:rsid w:val="20F87D04"/>
    <w:rsid w:val="21352D06"/>
    <w:rsid w:val="21486EDD"/>
    <w:rsid w:val="216C7565"/>
    <w:rsid w:val="21B7296D"/>
    <w:rsid w:val="21F4671D"/>
    <w:rsid w:val="22145011"/>
    <w:rsid w:val="221B1EC0"/>
    <w:rsid w:val="222334A6"/>
    <w:rsid w:val="22511DC1"/>
    <w:rsid w:val="225B120C"/>
    <w:rsid w:val="22AA51F5"/>
    <w:rsid w:val="22BD28C6"/>
    <w:rsid w:val="236560AB"/>
    <w:rsid w:val="23713D9D"/>
    <w:rsid w:val="2381161B"/>
    <w:rsid w:val="2381693A"/>
    <w:rsid w:val="239006C7"/>
    <w:rsid w:val="2393640A"/>
    <w:rsid w:val="239857CE"/>
    <w:rsid w:val="23B9512F"/>
    <w:rsid w:val="2433173D"/>
    <w:rsid w:val="244F0582"/>
    <w:rsid w:val="24612064"/>
    <w:rsid w:val="247578BD"/>
    <w:rsid w:val="248D111F"/>
    <w:rsid w:val="249B37C8"/>
    <w:rsid w:val="24BE74B6"/>
    <w:rsid w:val="24DF5ADD"/>
    <w:rsid w:val="256B319A"/>
    <w:rsid w:val="256F74FA"/>
    <w:rsid w:val="25866F31"/>
    <w:rsid w:val="264E03C6"/>
    <w:rsid w:val="266F0A68"/>
    <w:rsid w:val="26795443"/>
    <w:rsid w:val="267E1B60"/>
    <w:rsid w:val="26B24DF9"/>
    <w:rsid w:val="26C16DEA"/>
    <w:rsid w:val="26F31699"/>
    <w:rsid w:val="278C3449"/>
    <w:rsid w:val="27914A0E"/>
    <w:rsid w:val="27F31225"/>
    <w:rsid w:val="28090A48"/>
    <w:rsid w:val="281F201A"/>
    <w:rsid w:val="284B1574"/>
    <w:rsid w:val="285C326E"/>
    <w:rsid w:val="288426EA"/>
    <w:rsid w:val="28D23530"/>
    <w:rsid w:val="29313452"/>
    <w:rsid w:val="29546686"/>
    <w:rsid w:val="295E6B72"/>
    <w:rsid w:val="29695805"/>
    <w:rsid w:val="29BA6E37"/>
    <w:rsid w:val="2A1F4553"/>
    <w:rsid w:val="2A50312B"/>
    <w:rsid w:val="2AAF3B29"/>
    <w:rsid w:val="2AD96DF8"/>
    <w:rsid w:val="2B4F0E68"/>
    <w:rsid w:val="2B991FF2"/>
    <w:rsid w:val="2BBA71F5"/>
    <w:rsid w:val="2C472232"/>
    <w:rsid w:val="2C567FD4"/>
    <w:rsid w:val="2C8114F5"/>
    <w:rsid w:val="2CBE62A5"/>
    <w:rsid w:val="2CC82C80"/>
    <w:rsid w:val="2CF6099E"/>
    <w:rsid w:val="2D2154E0"/>
    <w:rsid w:val="2D241E80"/>
    <w:rsid w:val="2DD91921"/>
    <w:rsid w:val="2DD935D3"/>
    <w:rsid w:val="2DE66F76"/>
    <w:rsid w:val="2E0E45E7"/>
    <w:rsid w:val="2E3010A6"/>
    <w:rsid w:val="2E36329E"/>
    <w:rsid w:val="2E3C1B78"/>
    <w:rsid w:val="2E3C1BBC"/>
    <w:rsid w:val="2E564673"/>
    <w:rsid w:val="2E627104"/>
    <w:rsid w:val="2E7310E3"/>
    <w:rsid w:val="2EAA5CB6"/>
    <w:rsid w:val="2EBF6305"/>
    <w:rsid w:val="2FC02334"/>
    <w:rsid w:val="2FCC0D76"/>
    <w:rsid w:val="2FD7142C"/>
    <w:rsid w:val="30087265"/>
    <w:rsid w:val="30161F54"/>
    <w:rsid w:val="30430644"/>
    <w:rsid w:val="304C7B53"/>
    <w:rsid w:val="3078546E"/>
    <w:rsid w:val="3200767E"/>
    <w:rsid w:val="324E40D5"/>
    <w:rsid w:val="325B4596"/>
    <w:rsid w:val="325F5E35"/>
    <w:rsid w:val="329B78D9"/>
    <w:rsid w:val="32FE389F"/>
    <w:rsid w:val="3301294A"/>
    <w:rsid w:val="33114C55"/>
    <w:rsid w:val="33353039"/>
    <w:rsid w:val="33545CD9"/>
    <w:rsid w:val="33615BDC"/>
    <w:rsid w:val="33686F6B"/>
    <w:rsid w:val="336A3155"/>
    <w:rsid w:val="33754FA3"/>
    <w:rsid w:val="33E16D1D"/>
    <w:rsid w:val="343706EB"/>
    <w:rsid w:val="346C2A8B"/>
    <w:rsid w:val="348C6C89"/>
    <w:rsid w:val="3495510D"/>
    <w:rsid w:val="34AE4E51"/>
    <w:rsid w:val="34B53812"/>
    <w:rsid w:val="34C74165"/>
    <w:rsid w:val="34C957E7"/>
    <w:rsid w:val="350B22A4"/>
    <w:rsid w:val="353222F9"/>
    <w:rsid w:val="354B6B44"/>
    <w:rsid w:val="3598434D"/>
    <w:rsid w:val="366559E4"/>
    <w:rsid w:val="369B1405"/>
    <w:rsid w:val="36A76752"/>
    <w:rsid w:val="36C40D2A"/>
    <w:rsid w:val="37624C68"/>
    <w:rsid w:val="376E2676"/>
    <w:rsid w:val="37B409D1"/>
    <w:rsid w:val="37CA01F4"/>
    <w:rsid w:val="37CE0538"/>
    <w:rsid w:val="37EF7C5B"/>
    <w:rsid w:val="3848736B"/>
    <w:rsid w:val="38A5581F"/>
    <w:rsid w:val="38D317F4"/>
    <w:rsid w:val="38D806EF"/>
    <w:rsid w:val="38E21BEA"/>
    <w:rsid w:val="38E3051F"/>
    <w:rsid w:val="38FA7508"/>
    <w:rsid w:val="392032FC"/>
    <w:rsid w:val="39567866"/>
    <w:rsid w:val="395E0FF7"/>
    <w:rsid w:val="396708A0"/>
    <w:rsid w:val="398322DC"/>
    <w:rsid w:val="39D03040"/>
    <w:rsid w:val="39D30EAD"/>
    <w:rsid w:val="3A103EB8"/>
    <w:rsid w:val="3A322081"/>
    <w:rsid w:val="3AD34A1B"/>
    <w:rsid w:val="3B261CFB"/>
    <w:rsid w:val="3B3C4395"/>
    <w:rsid w:val="3B800BCA"/>
    <w:rsid w:val="3B882877"/>
    <w:rsid w:val="3BB54DB0"/>
    <w:rsid w:val="3BB56AC5"/>
    <w:rsid w:val="3BCE7B87"/>
    <w:rsid w:val="3BD333EF"/>
    <w:rsid w:val="3C125DCE"/>
    <w:rsid w:val="3C1852A6"/>
    <w:rsid w:val="3C422F3E"/>
    <w:rsid w:val="3C6504EB"/>
    <w:rsid w:val="3C713683"/>
    <w:rsid w:val="3C746980"/>
    <w:rsid w:val="3C797AF3"/>
    <w:rsid w:val="3C8A61A4"/>
    <w:rsid w:val="3C8B6ACE"/>
    <w:rsid w:val="3CD25997"/>
    <w:rsid w:val="3CE07B72"/>
    <w:rsid w:val="3D0870C9"/>
    <w:rsid w:val="3D3A1978"/>
    <w:rsid w:val="3D3B56F0"/>
    <w:rsid w:val="3D436353"/>
    <w:rsid w:val="3D6320AE"/>
    <w:rsid w:val="3D632551"/>
    <w:rsid w:val="3D70539A"/>
    <w:rsid w:val="3D887631"/>
    <w:rsid w:val="3DD516A1"/>
    <w:rsid w:val="3DE418E4"/>
    <w:rsid w:val="3DFA61FB"/>
    <w:rsid w:val="3E0856D8"/>
    <w:rsid w:val="3E186EBA"/>
    <w:rsid w:val="3E3D1DE7"/>
    <w:rsid w:val="3E546A69"/>
    <w:rsid w:val="3E8E1705"/>
    <w:rsid w:val="3EE31B9B"/>
    <w:rsid w:val="3EE6168C"/>
    <w:rsid w:val="3F161F71"/>
    <w:rsid w:val="3F3C12AC"/>
    <w:rsid w:val="3F593C0C"/>
    <w:rsid w:val="3F8E439A"/>
    <w:rsid w:val="3F984F0D"/>
    <w:rsid w:val="3FC813FA"/>
    <w:rsid w:val="3FCA4B09"/>
    <w:rsid w:val="3FEE07F8"/>
    <w:rsid w:val="400224F5"/>
    <w:rsid w:val="401D732F"/>
    <w:rsid w:val="405C7E57"/>
    <w:rsid w:val="406867FC"/>
    <w:rsid w:val="40931A53"/>
    <w:rsid w:val="40B53071"/>
    <w:rsid w:val="40E045E4"/>
    <w:rsid w:val="41032BB0"/>
    <w:rsid w:val="41744230"/>
    <w:rsid w:val="41875415"/>
    <w:rsid w:val="419D4283"/>
    <w:rsid w:val="41A265EF"/>
    <w:rsid w:val="41E40104"/>
    <w:rsid w:val="42497F67"/>
    <w:rsid w:val="4258464E"/>
    <w:rsid w:val="42621029"/>
    <w:rsid w:val="427431DA"/>
    <w:rsid w:val="427521D5"/>
    <w:rsid w:val="427841F9"/>
    <w:rsid w:val="428B3394"/>
    <w:rsid w:val="429513FF"/>
    <w:rsid w:val="42A244CC"/>
    <w:rsid w:val="42A54AC6"/>
    <w:rsid w:val="42AF1AB8"/>
    <w:rsid w:val="42F223AD"/>
    <w:rsid w:val="43010842"/>
    <w:rsid w:val="430D6FF5"/>
    <w:rsid w:val="434749AF"/>
    <w:rsid w:val="43482915"/>
    <w:rsid w:val="434846C3"/>
    <w:rsid w:val="43525542"/>
    <w:rsid w:val="441822E7"/>
    <w:rsid w:val="44426629"/>
    <w:rsid w:val="44652ACA"/>
    <w:rsid w:val="44936155"/>
    <w:rsid w:val="44A21BB1"/>
    <w:rsid w:val="44A771C7"/>
    <w:rsid w:val="451F76A5"/>
    <w:rsid w:val="45314CB7"/>
    <w:rsid w:val="45917D94"/>
    <w:rsid w:val="46184820"/>
    <w:rsid w:val="46291A0F"/>
    <w:rsid w:val="464241D5"/>
    <w:rsid w:val="46494FE1"/>
    <w:rsid w:val="464D0C32"/>
    <w:rsid w:val="466A4950"/>
    <w:rsid w:val="467557CF"/>
    <w:rsid w:val="468E4AE3"/>
    <w:rsid w:val="46C86055"/>
    <w:rsid w:val="471E4D50"/>
    <w:rsid w:val="472114B3"/>
    <w:rsid w:val="474004D4"/>
    <w:rsid w:val="476843AC"/>
    <w:rsid w:val="47971775"/>
    <w:rsid w:val="47AA2318"/>
    <w:rsid w:val="47BB2E28"/>
    <w:rsid w:val="47C167F2"/>
    <w:rsid w:val="47EE3067"/>
    <w:rsid w:val="48323EE8"/>
    <w:rsid w:val="48453261"/>
    <w:rsid w:val="48515DC8"/>
    <w:rsid w:val="486378A9"/>
    <w:rsid w:val="489B1B33"/>
    <w:rsid w:val="48AE03C2"/>
    <w:rsid w:val="48AE5485"/>
    <w:rsid w:val="48B60321"/>
    <w:rsid w:val="48CF7305"/>
    <w:rsid w:val="495A0ADA"/>
    <w:rsid w:val="49706721"/>
    <w:rsid w:val="49AD1724"/>
    <w:rsid w:val="49C02B87"/>
    <w:rsid w:val="4A3B0ADD"/>
    <w:rsid w:val="4A477951"/>
    <w:rsid w:val="4A4C2CEB"/>
    <w:rsid w:val="4A5E73C4"/>
    <w:rsid w:val="4A8330FE"/>
    <w:rsid w:val="4A8C758B"/>
    <w:rsid w:val="4AB14E2D"/>
    <w:rsid w:val="4AB368C6"/>
    <w:rsid w:val="4AD50ED4"/>
    <w:rsid w:val="4AE16374"/>
    <w:rsid w:val="4AE747C1"/>
    <w:rsid w:val="4AF13892"/>
    <w:rsid w:val="4AF22945"/>
    <w:rsid w:val="4B197B96"/>
    <w:rsid w:val="4BAF3531"/>
    <w:rsid w:val="4BC468B1"/>
    <w:rsid w:val="4BD73BBC"/>
    <w:rsid w:val="4BFC604B"/>
    <w:rsid w:val="4C2542C6"/>
    <w:rsid w:val="4C596816"/>
    <w:rsid w:val="4C842195"/>
    <w:rsid w:val="4C8844D8"/>
    <w:rsid w:val="4CC21042"/>
    <w:rsid w:val="4D657A67"/>
    <w:rsid w:val="4DB12B3D"/>
    <w:rsid w:val="4DB36BDD"/>
    <w:rsid w:val="4DD83BCC"/>
    <w:rsid w:val="4DEB6377"/>
    <w:rsid w:val="4DF1636E"/>
    <w:rsid w:val="4E016821"/>
    <w:rsid w:val="4E0765A5"/>
    <w:rsid w:val="4E1E22F0"/>
    <w:rsid w:val="4E2E5373"/>
    <w:rsid w:val="4E54216E"/>
    <w:rsid w:val="4E745CB6"/>
    <w:rsid w:val="4EE27577"/>
    <w:rsid w:val="4F22226C"/>
    <w:rsid w:val="4F4665CF"/>
    <w:rsid w:val="4F49480A"/>
    <w:rsid w:val="4F623715"/>
    <w:rsid w:val="4F6D0752"/>
    <w:rsid w:val="4F786D37"/>
    <w:rsid w:val="4FDE142C"/>
    <w:rsid w:val="5011774A"/>
    <w:rsid w:val="50146059"/>
    <w:rsid w:val="50630D8E"/>
    <w:rsid w:val="506F736F"/>
    <w:rsid w:val="5080549C"/>
    <w:rsid w:val="509E5922"/>
    <w:rsid w:val="50DE6667"/>
    <w:rsid w:val="51044B29"/>
    <w:rsid w:val="515A3F3F"/>
    <w:rsid w:val="515E7330"/>
    <w:rsid w:val="51AC0513"/>
    <w:rsid w:val="51AE2CDC"/>
    <w:rsid w:val="51B24883"/>
    <w:rsid w:val="521F2A93"/>
    <w:rsid w:val="522E717A"/>
    <w:rsid w:val="523C1897"/>
    <w:rsid w:val="52C87D18"/>
    <w:rsid w:val="531223D7"/>
    <w:rsid w:val="53427D34"/>
    <w:rsid w:val="539B439B"/>
    <w:rsid w:val="539F20DD"/>
    <w:rsid w:val="53A30849"/>
    <w:rsid w:val="53B43B75"/>
    <w:rsid w:val="53D462EA"/>
    <w:rsid w:val="53DE5743"/>
    <w:rsid w:val="53FA7313"/>
    <w:rsid w:val="54040192"/>
    <w:rsid w:val="545033D7"/>
    <w:rsid w:val="545D78A2"/>
    <w:rsid w:val="549239F0"/>
    <w:rsid w:val="55006BAB"/>
    <w:rsid w:val="55545149"/>
    <w:rsid w:val="559957C1"/>
    <w:rsid w:val="55CE055B"/>
    <w:rsid w:val="55D32512"/>
    <w:rsid w:val="56091A90"/>
    <w:rsid w:val="561B17C3"/>
    <w:rsid w:val="561F5757"/>
    <w:rsid w:val="562D159C"/>
    <w:rsid w:val="56546D4A"/>
    <w:rsid w:val="56D022B5"/>
    <w:rsid w:val="56F52014"/>
    <w:rsid w:val="57511940"/>
    <w:rsid w:val="57742E61"/>
    <w:rsid w:val="57792C45"/>
    <w:rsid w:val="578F06BB"/>
    <w:rsid w:val="57A44166"/>
    <w:rsid w:val="57D85BBE"/>
    <w:rsid w:val="57DC6353"/>
    <w:rsid w:val="57F80965"/>
    <w:rsid w:val="58276E3E"/>
    <w:rsid w:val="58507E4A"/>
    <w:rsid w:val="589C0C1E"/>
    <w:rsid w:val="58AC2BA6"/>
    <w:rsid w:val="58B303D9"/>
    <w:rsid w:val="59101387"/>
    <w:rsid w:val="59484FC5"/>
    <w:rsid w:val="599876AE"/>
    <w:rsid w:val="599C08D7"/>
    <w:rsid w:val="5A1B6236"/>
    <w:rsid w:val="5A204D11"/>
    <w:rsid w:val="5A271555"/>
    <w:rsid w:val="5A8319A8"/>
    <w:rsid w:val="5A8453A2"/>
    <w:rsid w:val="5A9A35FE"/>
    <w:rsid w:val="5AA4622B"/>
    <w:rsid w:val="5AA83D7C"/>
    <w:rsid w:val="5AB04BD0"/>
    <w:rsid w:val="5AD563E4"/>
    <w:rsid w:val="5B9E711E"/>
    <w:rsid w:val="5BBA55DA"/>
    <w:rsid w:val="5BBB7CD0"/>
    <w:rsid w:val="5BBF7D40"/>
    <w:rsid w:val="5C062BE6"/>
    <w:rsid w:val="5C1271C4"/>
    <w:rsid w:val="5C272C70"/>
    <w:rsid w:val="5C88408C"/>
    <w:rsid w:val="5C95407D"/>
    <w:rsid w:val="5CBF10FA"/>
    <w:rsid w:val="5D0E5BDE"/>
    <w:rsid w:val="5D1551BE"/>
    <w:rsid w:val="5D504448"/>
    <w:rsid w:val="5D7E0FB5"/>
    <w:rsid w:val="5DD010E5"/>
    <w:rsid w:val="5DE31155"/>
    <w:rsid w:val="5E2145D5"/>
    <w:rsid w:val="5E2532E6"/>
    <w:rsid w:val="5E624433"/>
    <w:rsid w:val="5E647C88"/>
    <w:rsid w:val="5E662E3D"/>
    <w:rsid w:val="5EB033F0"/>
    <w:rsid w:val="5EFA0B0F"/>
    <w:rsid w:val="5F3670FF"/>
    <w:rsid w:val="5F3C14E7"/>
    <w:rsid w:val="5F43646F"/>
    <w:rsid w:val="5F531FCE"/>
    <w:rsid w:val="5F796DF2"/>
    <w:rsid w:val="5F830B05"/>
    <w:rsid w:val="5F926F9A"/>
    <w:rsid w:val="5FA0070D"/>
    <w:rsid w:val="5FA7456C"/>
    <w:rsid w:val="5FA75A77"/>
    <w:rsid w:val="5FCB425A"/>
    <w:rsid w:val="5FDC0215"/>
    <w:rsid w:val="5FE64BF0"/>
    <w:rsid w:val="60235E44"/>
    <w:rsid w:val="606A75CF"/>
    <w:rsid w:val="60A75A90"/>
    <w:rsid w:val="60C969EB"/>
    <w:rsid w:val="60F26B13"/>
    <w:rsid w:val="61137C66"/>
    <w:rsid w:val="61281925"/>
    <w:rsid w:val="615763BF"/>
    <w:rsid w:val="61A60ADB"/>
    <w:rsid w:val="61CB0541"/>
    <w:rsid w:val="61DB4C28"/>
    <w:rsid w:val="61EE62B8"/>
    <w:rsid w:val="61F1160C"/>
    <w:rsid w:val="622A5268"/>
    <w:rsid w:val="62443927"/>
    <w:rsid w:val="6263240A"/>
    <w:rsid w:val="6296758D"/>
    <w:rsid w:val="62BF00A6"/>
    <w:rsid w:val="62C76F5B"/>
    <w:rsid w:val="62CD2097"/>
    <w:rsid w:val="62D046AC"/>
    <w:rsid w:val="62DA64E4"/>
    <w:rsid w:val="63141A74"/>
    <w:rsid w:val="63646678"/>
    <w:rsid w:val="636C365E"/>
    <w:rsid w:val="638C3D00"/>
    <w:rsid w:val="63952BB5"/>
    <w:rsid w:val="63D538F9"/>
    <w:rsid w:val="63E21F44"/>
    <w:rsid w:val="64121A53"/>
    <w:rsid w:val="64430252"/>
    <w:rsid w:val="644833A9"/>
    <w:rsid w:val="64836EB1"/>
    <w:rsid w:val="64850E7B"/>
    <w:rsid w:val="64F4744C"/>
    <w:rsid w:val="65075D34"/>
    <w:rsid w:val="652C579B"/>
    <w:rsid w:val="653C50AB"/>
    <w:rsid w:val="65534AD5"/>
    <w:rsid w:val="65644F35"/>
    <w:rsid w:val="65744A4C"/>
    <w:rsid w:val="658253BB"/>
    <w:rsid w:val="65A74E21"/>
    <w:rsid w:val="65D379C4"/>
    <w:rsid w:val="65DC0F6F"/>
    <w:rsid w:val="65E46529"/>
    <w:rsid w:val="65F52031"/>
    <w:rsid w:val="660364FC"/>
    <w:rsid w:val="66112985"/>
    <w:rsid w:val="66195D1F"/>
    <w:rsid w:val="66352F1F"/>
    <w:rsid w:val="664663E8"/>
    <w:rsid w:val="66846F11"/>
    <w:rsid w:val="66871EA3"/>
    <w:rsid w:val="66D165D2"/>
    <w:rsid w:val="671539F5"/>
    <w:rsid w:val="67193AFD"/>
    <w:rsid w:val="67395F4D"/>
    <w:rsid w:val="67D85766"/>
    <w:rsid w:val="67DB403A"/>
    <w:rsid w:val="68055F4C"/>
    <w:rsid w:val="688A022F"/>
    <w:rsid w:val="689725C5"/>
    <w:rsid w:val="690B02EE"/>
    <w:rsid w:val="69272501"/>
    <w:rsid w:val="69855479"/>
    <w:rsid w:val="69E14DA6"/>
    <w:rsid w:val="69F525FF"/>
    <w:rsid w:val="69F864CC"/>
    <w:rsid w:val="6A1360A0"/>
    <w:rsid w:val="6A137E6C"/>
    <w:rsid w:val="6A1A0092"/>
    <w:rsid w:val="6A260884"/>
    <w:rsid w:val="6A507835"/>
    <w:rsid w:val="6A6631B8"/>
    <w:rsid w:val="6A70612A"/>
    <w:rsid w:val="6A877238"/>
    <w:rsid w:val="6AA778F8"/>
    <w:rsid w:val="6ABA1153"/>
    <w:rsid w:val="6ACD4FC1"/>
    <w:rsid w:val="6AD04302"/>
    <w:rsid w:val="6B146AB5"/>
    <w:rsid w:val="6B8C2AEF"/>
    <w:rsid w:val="6BAA0E8B"/>
    <w:rsid w:val="6BBB1626"/>
    <w:rsid w:val="6BC26511"/>
    <w:rsid w:val="6BFD01D8"/>
    <w:rsid w:val="6C303DC2"/>
    <w:rsid w:val="6C5F4D83"/>
    <w:rsid w:val="6C6E48EB"/>
    <w:rsid w:val="6CFA1CDB"/>
    <w:rsid w:val="6D3451EC"/>
    <w:rsid w:val="6D3F05F3"/>
    <w:rsid w:val="6D5C4743"/>
    <w:rsid w:val="6DAC1227"/>
    <w:rsid w:val="6E0F54AD"/>
    <w:rsid w:val="6E11406C"/>
    <w:rsid w:val="6E151448"/>
    <w:rsid w:val="6E781A51"/>
    <w:rsid w:val="6E815015"/>
    <w:rsid w:val="6E9B1CD3"/>
    <w:rsid w:val="6EB80735"/>
    <w:rsid w:val="6EC4144C"/>
    <w:rsid w:val="6EC95E08"/>
    <w:rsid w:val="6EF410D7"/>
    <w:rsid w:val="6F072A92"/>
    <w:rsid w:val="6F2179F2"/>
    <w:rsid w:val="6F4D3531"/>
    <w:rsid w:val="6F571EE4"/>
    <w:rsid w:val="6F7C10CD"/>
    <w:rsid w:val="702C6118"/>
    <w:rsid w:val="706A53C9"/>
    <w:rsid w:val="707F70C6"/>
    <w:rsid w:val="70866D14"/>
    <w:rsid w:val="70C1148D"/>
    <w:rsid w:val="70C7054C"/>
    <w:rsid w:val="7105445C"/>
    <w:rsid w:val="71080E6A"/>
    <w:rsid w:val="711C24DA"/>
    <w:rsid w:val="713F0604"/>
    <w:rsid w:val="71520337"/>
    <w:rsid w:val="717E112C"/>
    <w:rsid w:val="71940C37"/>
    <w:rsid w:val="71A14E1B"/>
    <w:rsid w:val="71BA7C8A"/>
    <w:rsid w:val="7224305C"/>
    <w:rsid w:val="723B0DCB"/>
    <w:rsid w:val="72404633"/>
    <w:rsid w:val="72554F0C"/>
    <w:rsid w:val="72AD0E60"/>
    <w:rsid w:val="72AF1B77"/>
    <w:rsid w:val="72DD1906"/>
    <w:rsid w:val="72E923EA"/>
    <w:rsid w:val="73027B3B"/>
    <w:rsid w:val="73124222"/>
    <w:rsid w:val="73165394"/>
    <w:rsid w:val="731A4C66"/>
    <w:rsid w:val="733A5527"/>
    <w:rsid w:val="73506AF8"/>
    <w:rsid w:val="73AD7AA7"/>
    <w:rsid w:val="73DC65DE"/>
    <w:rsid w:val="73FD152F"/>
    <w:rsid w:val="73FE47A6"/>
    <w:rsid w:val="74212363"/>
    <w:rsid w:val="743B5D19"/>
    <w:rsid w:val="74980757"/>
    <w:rsid w:val="74CB28DA"/>
    <w:rsid w:val="74D97418"/>
    <w:rsid w:val="74E474F8"/>
    <w:rsid w:val="74E55980"/>
    <w:rsid w:val="750A2CD7"/>
    <w:rsid w:val="751C3136"/>
    <w:rsid w:val="751F2C26"/>
    <w:rsid w:val="75297059"/>
    <w:rsid w:val="754506F8"/>
    <w:rsid w:val="75842A89"/>
    <w:rsid w:val="75952EE8"/>
    <w:rsid w:val="75A650F5"/>
    <w:rsid w:val="75DB4288"/>
    <w:rsid w:val="762865F3"/>
    <w:rsid w:val="76297DEC"/>
    <w:rsid w:val="764E21C9"/>
    <w:rsid w:val="76531987"/>
    <w:rsid w:val="76763C9B"/>
    <w:rsid w:val="76B92C06"/>
    <w:rsid w:val="76D57A40"/>
    <w:rsid w:val="771B10EA"/>
    <w:rsid w:val="77242C93"/>
    <w:rsid w:val="77512E3F"/>
    <w:rsid w:val="775E11DE"/>
    <w:rsid w:val="778803B6"/>
    <w:rsid w:val="77924BEB"/>
    <w:rsid w:val="77E45A61"/>
    <w:rsid w:val="77E912C9"/>
    <w:rsid w:val="783B7D77"/>
    <w:rsid w:val="784F2557"/>
    <w:rsid w:val="78665094"/>
    <w:rsid w:val="78874D6A"/>
    <w:rsid w:val="78B35B5F"/>
    <w:rsid w:val="78E24DCB"/>
    <w:rsid w:val="79294073"/>
    <w:rsid w:val="792A0134"/>
    <w:rsid w:val="79701CA2"/>
    <w:rsid w:val="79773031"/>
    <w:rsid w:val="79AE1324"/>
    <w:rsid w:val="79C478F8"/>
    <w:rsid w:val="79C73545"/>
    <w:rsid w:val="79CD432C"/>
    <w:rsid w:val="7A057A5D"/>
    <w:rsid w:val="7A0B3779"/>
    <w:rsid w:val="7A3E76AA"/>
    <w:rsid w:val="7A5E5F9F"/>
    <w:rsid w:val="7A7B13B1"/>
    <w:rsid w:val="7A831561"/>
    <w:rsid w:val="7A8F6158"/>
    <w:rsid w:val="7ABB0CFB"/>
    <w:rsid w:val="7AEF6BF7"/>
    <w:rsid w:val="7B56326B"/>
    <w:rsid w:val="7B5C2E58"/>
    <w:rsid w:val="7B7D06A6"/>
    <w:rsid w:val="7B931C78"/>
    <w:rsid w:val="7B9854E0"/>
    <w:rsid w:val="7BB10350"/>
    <w:rsid w:val="7BB33D4C"/>
    <w:rsid w:val="7BBA2624"/>
    <w:rsid w:val="7BF00D90"/>
    <w:rsid w:val="7BF116E2"/>
    <w:rsid w:val="7C142DB9"/>
    <w:rsid w:val="7C1639FF"/>
    <w:rsid w:val="7C3A6A8B"/>
    <w:rsid w:val="7C661068"/>
    <w:rsid w:val="7CF404F4"/>
    <w:rsid w:val="7D07647A"/>
    <w:rsid w:val="7D20217D"/>
    <w:rsid w:val="7D2D4BBF"/>
    <w:rsid w:val="7D311748"/>
    <w:rsid w:val="7D7D498E"/>
    <w:rsid w:val="7D927EC6"/>
    <w:rsid w:val="7D93181C"/>
    <w:rsid w:val="7DF03702"/>
    <w:rsid w:val="7DF447B4"/>
    <w:rsid w:val="7E0B3D48"/>
    <w:rsid w:val="7E1075B0"/>
    <w:rsid w:val="7E2C4AFF"/>
    <w:rsid w:val="7E3A462D"/>
    <w:rsid w:val="7EDC0199"/>
    <w:rsid w:val="7EF02F3D"/>
    <w:rsid w:val="7F1B6380"/>
    <w:rsid w:val="7F21759B"/>
    <w:rsid w:val="7F26481D"/>
    <w:rsid w:val="7F631C00"/>
    <w:rsid w:val="7FF151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name="annotation text"/>
    <w:lsdException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qFormat="1" w:unhideWhenUsed="0" w:uiPriority="99"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7"/>
    <w:qFormat/>
    <w:uiPriority w:val="9"/>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58"/>
    <w:qFormat/>
    <w:uiPriority w:val="9"/>
    <w:pPr>
      <w:keepNext/>
      <w:keepLines/>
      <w:spacing w:before="260" w:beforeLines="0" w:after="260" w:afterLines="0" w:line="416" w:lineRule="auto"/>
      <w:outlineLvl w:val="1"/>
    </w:pPr>
    <w:rPr>
      <w:rFonts w:ascii="Cambria" w:hAnsi="Cambria"/>
      <w:b/>
      <w:bCs/>
      <w:sz w:val="32"/>
      <w:szCs w:val="32"/>
    </w:rPr>
  </w:style>
  <w:style w:type="paragraph" w:styleId="4">
    <w:name w:val="heading 3"/>
    <w:basedOn w:val="1"/>
    <w:next w:val="1"/>
    <w:link w:val="59"/>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0"/>
    <w:qFormat/>
    <w:uiPriority w:val="0"/>
    <w:pPr>
      <w:keepNext/>
      <w:keepLines/>
      <w:widowControl/>
      <w:spacing w:before="200" w:beforeLines="0" w:line="276" w:lineRule="auto"/>
      <w:jc w:val="left"/>
      <w:outlineLvl w:val="3"/>
    </w:pPr>
    <w:rPr>
      <w:rFonts w:ascii="Cambria" w:hAnsi="Cambria"/>
      <w:b/>
      <w:bCs/>
      <w:i/>
      <w:iCs/>
      <w:color w:val="4F81BD"/>
      <w:kern w:val="0"/>
      <w:sz w:val="22"/>
      <w:lang w:eastAsia="en-US" w:bidi="en-US"/>
    </w:rPr>
  </w:style>
  <w:style w:type="paragraph" w:styleId="6">
    <w:name w:val="heading 5"/>
    <w:basedOn w:val="1"/>
    <w:next w:val="1"/>
    <w:link w:val="61"/>
    <w:qFormat/>
    <w:uiPriority w:val="0"/>
    <w:pPr>
      <w:keepNext/>
      <w:keepLines/>
      <w:widowControl/>
      <w:spacing w:before="200" w:beforeLines="0" w:line="276" w:lineRule="auto"/>
      <w:jc w:val="left"/>
      <w:outlineLvl w:val="4"/>
    </w:pPr>
    <w:rPr>
      <w:rFonts w:ascii="Cambria" w:hAnsi="Cambria"/>
      <w:color w:val="243F60"/>
      <w:kern w:val="0"/>
      <w:sz w:val="22"/>
      <w:lang w:eastAsia="en-US" w:bidi="en-US"/>
    </w:rPr>
  </w:style>
  <w:style w:type="paragraph" w:styleId="7">
    <w:name w:val="heading 6"/>
    <w:basedOn w:val="1"/>
    <w:next w:val="1"/>
    <w:link w:val="62"/>
    <w:qFormat/>
    <w:uiPriority w:val="0"/>
    <w:pPr>
      <w:keepNext/>
      <w:keepLines/>
      <w:adjustRightInd w:val="0"/>
      <w:spacing w:before="240" w:beforeLines="0" w:after="64" w:afterLines="0" w:line="320" w:lineRule="atLeast"/>
      <w:textAlignment w:val="baseline"/>
      <w:outlineLvl w:val="5"/>
    </w:pPr>
    <w:rPr>
      <w:rFonts w:ascii="Arial" w:hAnsi="Arial" w:eastAsia="黑体"/>
      <w:b/>
      <w:kern w:val="0"/>
      <w:sz w:val="24"/>
      <w:szCs w:val="20"/>
    </w:rPr>
  </w:style>
  <w:style w:type="paragraph" w:styleId="8">
    <w:name w:val="heading 7"/>
    <w:basedOn w:val="1"/>
    <w:next w:val="1"/>
    <w:link w:val="63"/>
    <w:qFormat/>
    <w:uiPriority w:val="0"/>
    <w:pPr>
      <w:keepNext/>
      <w:keepLines/>
      <w:adjustRightInd w:val="0"/>
      <w:spacing w:before="240" w:beforeLines="0" w:after="64" w:afterLines="0" w:line="320" w:lineRule="atLeast"/>
      <w:textAlignment w:val="baseline"/>
      <w:outlineLvl w:val="6"/>
    </w:pPr>
    <w:rPr>
      <w:b/>
      <w:kern w:val="0"/>
      <w:sz w:val="24"/>
      <w:szCs w:val="20"/>
    </w:rPr>
  </w:style>
  <w:style w:type="paragraph" w:styleId="9">
    <w:name w:val="heading 8"/>
    <w:basedOn w:val="1"/>
    <w:next w:val="1"/>
    <w:link w:val="64"/>
    <w:qFormat/>
    <w:uiPriority w:val="0"/>
    <w:pPr>
      <w:keepNext/>
      <w:keepLines/>
      <w:adjustRightInd w:val="0"/>
      <w:spacing w:before="240" w:beforeLines="0" w:after="64" w:afterLines="0" w:line="320" w:lineRule="atLeast"/>
      <w:textAlignment w:val="baseline"/>
      <w:outlineLvl w:val="7"/>
    </w:pPr>
    <w:rPr>
      <w:rFonts w:ascii="Arial" w:hAnsi="Arial" w:eastAsia="黑体"/>
      <w:kern w:val="0"/>
      <w:sz w:val="24"/>
      <w:szCs w:val="20"/>
    </w:rPr>
  </w:style>
  <w:style w:type="paragraph" w:styleId="10">
    <w:name w:val="heading 9"/>
    <w:basedOn w:val="1"/>
    <w:next w:val="1"/>
    <w:link w:val="65"/>
    <w:qFormat/>
    <w:uiPriority w:val="0"/>
    <w:pPr>
      <w:keepNext/>
      <w:keepLines/>
      <w:adjustRightInd w:val="0"/>
      <w:spacing w:before="240" w:beforeLines="0" w:after="64" w:afterLines="0" w:line="320" w:lineRule="atLeast"/>
      <w:textAlignment w:val="baseline"/>
      <w:outlineLvl w:val="8"/>
    </w:pPr>
    <w:rPr>
      <w:rFonts w:ascii="Arial" w:hAnsi="Arial" w:eastAsia="黑体"/>
      <w:kern w:val="0"/>
      <w:szCs w:val="20"/>
    </w:rPr>
  </w:style>
  <w:style w:type="character" w:default="1" w:styleId="49">
    <w:name w:val="Default Paragraph Font"/>
    <w:semiHidden/>
    <w:qFormat/>
    <w:uiPriority w:val="0"/>
  </w:style>
  <w:style w:type="table" w:default="1" w:styleId="47">
    <w:name w:val="Normal Table"/>
    <w:unhideWhenUsed/>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table of authorities"/>
    <w:basedOn w:val="1"/>
    <w:next w:val="1"/>
    <w:semiHidden/>
    <w:qFormat/>
    <w:uiPriority w:val="99"/>
    <w:pPr>
      <w:spacing w:after="200" w:line="276" w:lineRule="auto"/>
      <w:ind w:left="420" w:leftChars="200"/>
      <w:jc w:val="left"/>
    </w:pPr>
    <w:rPr>
      <w:rFonts w:ascii="Calibri" w:hAnsi="Calibri"/>
      <w:kern w:val="0"/>
      <w:sz w:val="22"/>
      <w:szCs w:val="22"/>
      <w:lang w:eastAsia="en-US"/>
    </w:rPr>
  </w:style>
  <w:style w:type="paragraph" w:styleId="13">
    <w:name w:val="Normal Indent"/>
    <w:basedOn w:val="1"/>
    <w:qFormat/>
    <w:uiPriority w:val="0"/>
    <w:pPr>
      <w:ind w:firstLine="420" w:firstLineChars="200"/>
    </w:pPr>
  </w:style>
  <w:style w:type="paragraph" w:styleId="14">
    <w:name w:val="caption"/>
    <w:basedOn w:val="1"/>
    <w:next w:val="1"/>
    <w:qFormat/>
    <w:uiPriority w:val="0"/>
    <w:pPr>
      <w:adjustRightInd w:val="0"/>
      <w:spacing w:before="152" w:beforeLines="0" w:after="160" w:afterLines="0" w:line="360" w:lineRule="atLeast"/>
      <w:jc w:val="left"/>
      <w:textAlignment w:val="baseline"/>
    </w:pPr>
    <w:rPr>
      <w:rFonts w:ascii="Arial" w:hAnsi="Arial" w:eastAsia="黑体"/>
      <w:kern w:val="0"/>
      <w:sz w:val="24"/>
    </w:rPr>
  </w:style>
  <w:style w:type="paragraph" w:styleId="15">
    <w:name w:val="Document Map"/>
    <w:basedOn w:val="1"/>
    <w:link w:val="66"/>
    <w:semiHidden/>
    <w:qFormat/>
    <w:uiPriority w:val="0"/>
    <w:pPr>
      <w:shd w:val="clear" w:color="auto" w:fill="000080"/>
    </w:pPr>
  </w:style>
  <w:style w:type="paragraph" w:styleId="16">
    <w:name w:val="annotation text"/>
    <w:basedOn w:val="1"/>
    <w:link w:val="67"/>
    <w:semiHidden/>
    <w:qFormat/>
    <w:uiPriority w:val="0"/>
    <w:pPr>
      <w:jc w:val="left"/>
    </w:pPr>
  </w:style>
  <w:style w:type="paragraph" w:styleId="17">
    <w:name w:val="Body Text 3"/>
    <w:basedOn w:val="1"/>
    <w:link w:val="68"/>
    <w:qFormat/>
    <w:uiPriority w:val="0"/>
    <w:pPr>
      <w:spacing w:after="120" w:afterLines="0"/>
    </w:pPr>
    <w:rPr>
      <w:sz w:val="16"/>
      <w:szCs w:val="16"/>
    </w:rPr>
  </w:style>
  <w:style w:type="paragraph" w:styleId="18">
    <w:name w:val="Body Text"/>
    <w:basedOn w:val="1"/>
    <w:next w:val="1"/>
    <w:link w:val="69"/>
    <w:qFormat/>
    <w:uiPriority w:val="0"/>
    <w:rPr>
      <w:rFonts w:eastAsia="黑体"/>
      <w:sz w:val="36"/>
    </w:rPr>
  </w:style>
  <w:style w:type="paragraph" w:styleId="19">
    <w:name w:val="Body Text Indent"/>
    <w:basedOn w:val="1"/>
    <w:next w:val="20"/>
    <w:link w:val="70"/>
    <w:uiPriority w:val="0"/>
    <w:pPr>
      <w:spacing w:after="120" w:afterLines="0"/>
      <w:ind w:left="420" w:leftChars="200"/>
    </w:pPr>
  </w:style>
  <w:style w:type="paragraph" w:styleId="20">
    <w:name w:val="envelope return"/>
    <w:basedOn w:val="1"/>
    <w:qFormat/>
    <w:uiPriority w:val="0"/>
    <w:pPr>
      <w:snapToGrid w:val="0"/>
    </w:pPr>
    <w:rPr>
      <w:rFonts w:ascii="Arial" w:hAnsi="Arial"/>
    </w:rPr>
  </w:style>
  <w:style w:type="paragraph" w:styleId="21">
    <w:name w:val="Block Text"/>
    <w:basedOn w:val="1"/>
    <w:uiPriority w:val="0"/>
    <w:pPr>
      <w:spacing w:after="120" w:afterLines="0"/>
      <w:ind w:left="1440" w:leftChars="700" w:right="1440" w:rightChars="700"/>
    </w:pPr>
  </w:style>
  <w:style w:type="paragraph" w:styleId="22">
    <w:name w:val="toc 5"/>
    <w:basedOn w:val="1"/>
    <w:next w:val="1"/>
    <w:qFormat/>
    <w:uiPriority w:val="39"/>
    <w:pPr>
      <w:ind w:left="840"/>
      <w:jc w:val="left"/>
    </w:pPr>
    <w:rPr>
      <w:rFonts w:ascii="Calibri" w:hAnsi="Calibri"/>
      <w:sz w:val="18"/>
      <w:szCs w:val="18"/>
    </w:rPr>
  </w:style>
  <w:style w:type="paragraph" w:styleId="23">
    <w:name w:val="toc 3"/>
    <w:basedOn w:val="1"/>
    <w:next w:val="1"/>
    <w:qFormat/>
    <w:uiPriority w:val="39"/>
    <w:pPr>
      <w:ind w:left="420"/>
      <w:jc w:val="left"/>
    </w:pPr>
    <w:rPr>
      <w:rFonts w:ascii="Calibri" w:hAnsi="Calibri"/>
      <w:i/>
      <w:iCs/>
      <w:sz w:val="20"/>
      <w:szCs w:val="20"/>
    </w:rPr>
  </w:style>
  <w:style w:type="paragraph" w:styleId="24">
    <w:name w:val="Plain Text"/>
    <w:basedOn w:val="1"/>
    <w:link w:val="71"/>
    <w:qFormat/>
    <w:uiPriority w:val="0"/>
    <w:rPr>
      <w:rFonts w:ascii="宋体" w:hAnsi="Courier New"/>
      <w:szCs w:val="21"/>
    </w:rPr>
  </w:style>
  <w:style w:type="paragraph" w:styleId="25">
    <w:name w:val="toc 8"/>
    <w:basedOn w:val="1"/>
    <w:next w:val="1"/>
    <w:unhideWhenUsed/>
    <w:uiPriority w:val="39"/>
    <w:pPr>
      <w:ind w:left="1470"/>
      <w:jc w:val="left"/>
    </w:pPr>
    <w:rPr>
      <w:rFonts w:ascii="Calibri" w:hAnsi="Calibri"/>
      <w:sz w:val="18"/>
      <w:szCs w:val="18"/>
    </w:rPr>
  </w:style>
  <w:style w:type="paragraph" w:styleId="26">
    <w:name w:val="Date"/>
    <w:basedOn w:val="1"/>
    <w:next w:val="1"/>
    <w:link w:val="72"/>
    <w:qFormat/>
    <w:uiPriority w:val="0"/>
    <w:pPr>
      <w:adjustRightInd w:val="0"/>
      <w:spacing w:line="360" w:lineRule="atLeast"/>
    </w:pPr>
    <w:rPr>
      <w:rFonts w:ascii="宋体"/>
      <w:kern w:val="0"/>
      <w:sz w:val="24"/>
      <w:szCs w:val="20"/>
    </w:rPr>
  </w:style>
  <w:style w:type="paragraph" w:styleId="27">
    <w:name w:val="Body Text Indent 2"/>
    <w:basedOn w:val="1"/>
    <w:link w:val="73"/>
    <w:uiPriority w:val="0"/>
    <w:pPr>
      <w:spacing w:after="120" w:afterLines="0" w:line="480" w:lineRule="auto"/>
      <w:ind w:left="420" w:leftChars="200"/>
    </w:pPr>
  </w:style>
  <w:style w:type="paragraph" w:styleId="28">
    <w:name w:val="endnote text"/>
    <w:basedOn w:val="1"/>
    <w:link w:val="74"/>
    <w:uiPriority w:val="0"/>
    <w:pPr>
      <w:snapToGrid w:val="0"/>
      <w:jc w:val="left"/>
    </w:pPr>
  </w:style>
  <w:style w:type="paragraph" w:styleId="29">
    <w:name w:val="Balloon Text"/>
    <w:basedOn w:val="1"/>
    <w:link w:val="75"/>
    <w:semiHidden/>
    <w:qFormat/>
    <w:uiPriority w:val="0"/>
    <w:rPr>
      <w:sz w:val="18"/>
      <w:szCs w:val="18"/>
    </w:rPr>
  </w:style>
  <w:style w:type="paragraph" w:styleId="30">
    <w:name w:val="footer"/>
    <w:basedOn w:val="1"/>
    <w:link w:val="76"/>
    <w:unhideWhenUsed/>
    <w:qFormat/>
    <w:uiPriority w:val="99"/>
    <w:pPr>
      <w:tabs>
        <w:tab w:val="center" w:pos="4153"/>
        <w:tab w:val="right" w:pos="8306"/>
      </w:tabs>
      <w:snapToGrid w:val="0"/>
      <w:jc w:val="left"/>
    </w:pPr>
    <w:rPr>
      <w:kern w:val="0"/>
      <w:sz w:val="18"/>
      <w:szCs w:val="18"/>
    </w:rPr>
  </w:style>
  <w:style w:type="paragraph" w:styleId="31">
    <w:name w:val="header"/>
    <w:basedOn w:val="1"/>
    <w:link w:val="77"/>
    <w:unhideWhenUsed/>
    <w:uiPriority w:val="0"/>
    <w:pPr>
      <w:pBdr>
        <w:bottom w:val="single" w:color="auto" w:sz="6" w:space="1"/>
      </w:pBdr>
      <w:tabs>
        <w:tab w:val="center" w:pos="4153"/>
        <w:tab w:val="right" w:pos="8306"/>
      </w:tabs>
      <w:snapToGrid w:val="0"/>
      <w:jc w:val="center"/>
    </w:pPr>
    <w:rPr>
      <w:kern w:val="0"/>
      <w:sz w:val="18"/>
      <w:szCs w:val="18"/>
    </w:rPr>
  </w:style>
  <w:style w:type="paragraph" w:styleId="32">
    <w:name w:val="toc 1"/>
    <w:basedOn w:val="1"/>
    <w:next w:val="1"/>
    <w:qFormat/>
    <w:uiPriority w:val="39"/>
    <w:pPr>
      <w:spacing w:before="120" w:after="120"/>
      <w:jc w:val="left"/>
    </w:pPr>
    <w:rPr>
      <w:rFonts w:ascii="Calibri" w:hAnsi="Calibri"/>
      <w:b/>
      <w:bCs/>
      <w:caps/>
      <w:sz w:val="20"/>
      <w:szCs w:val="20"/>
    </w:rPr>
  </w:style>
  <w:style w:type="paragraph" w:styleId="33">
    <w:name w:val="toc 4"/>
    <w:basedOn w:val="1"/>
    <w:next w:val="1"/>
    <w:qFormat/>
    <w:uiPriority w:val="39"/>
    <w:pPr>
      <w:ind w:left="630"/>
      <w:jc w:val="left"/>
    </w:pPr>
    <w:rPr>
      <w:rFonts w:ascii="Calibri" w:hAnsi="Calibri"/>
      <w:sz w:val="18"/>
      <w:szCs w:val="18"/>
    </w:rPr>
  </w:style>
  <w:style w:type="paragraph" w:styleId="34">
    <w:name w:val="List"/>
    <w:basedOn w:val="1"/>
    <w:uiPriority w:val="0"/>
    <w:pPr>
      <w:adjustRightInd w:val="0"/>
      <w:spacing w:line="360" w:lineRule="atLeast"/>
      <w:ind w:left="420" w:hanging="420"/>
      <w:jc w:val="left"/>
    </w:pPr>
    <w:rPr>
      <w:rFonts w:hint="eastAsia" w:ascii="宋体"/>
      <w:kern w:val="0"/>
      <w:sz w:val="24"/>
      <w:szCs w:val="20"/>
    </w:rPr>
  </w:style>
  <w:style w:type="paragraph" w:styleId="35">
    <w:name w:val="footnote text"/>
    <w:basedOn w:val="1"/>
    <w:link w:val="78"/>
    <w:qFormat/>
    <w:uiPriority w:val="0"/>
    <w:pPr>
      <w:snapToGrid w:val="0"/>
      <w:jc w:val="left"/>
    </w:pPr>
    <w:rPr>
      <w:sz w:val="18"/>
      <w:szCs w:val="18"/>
    </w:rPr>
  </w:style>
  <w:style w:type="paragraph" w:styleId="36">
    <w:name w:val="toc 6"/>
    <w:basedOn w:val="1"/>
    <w:next w:val="1"/>
    <w:unhideWhenUsed/>
    <w:qFormat/>
    <w:uiPriority w:val="39"/>
    <w:pPr>
      <w:ind w:left="1050"/>
      <w:jc w:val="left"/>
    </w:pPr>
    <w:rPr>
      <w:rFonts w:ascii="Calibri" w:hAnsi="Calibri"/>
      <w:sz w:val="18"/>
      <w:szCs w:val="18"/>
    </w:rPr>
  </w:style>
  <w:style w:type="paragraph" w:styleId="37">
    <w:name w:val="Body Text Indent 3"/>
    <w:basedOn w:val="1"/>
    <w:link w:val="79"/>
    <w:qFormat/>
    <w:uiPriority w:val="0"/>
    <w:pPr>
      <w:spacing w:after="120" w:afterLines="0"/>
      <w:ind w:left="420" w:leftChars="200"/>
    </w:pPr>
    <w:rPr>
      <w:sz w:val="16"/>
      <w:szCs w:val="16"/>
    </w:rPr>
  </w:style>
  <w:style w:type="paragraph" w:styleId="38">
    <w:name w:val="toc 2"/>
    <w:basedOn w:val="1"/>
    <w:next w:val="1"/>
    <w:uiPriority w:val="39"/>
    <w:pPr>
      <w:ind w:left="210"/>
      <w:jc w:val="left"/>
    </w:pPr>
    <w:rPr>
      <w:rFonts w:ascii="Calibri" w:hAnsi="Calibri"/>
      <w:smallCaps/>
      <w:sz w:val="20"/>
      <w:szCs w:val="20"/>
    </w:rPr>
  </w:style>
  <w:style w:type="paragraph" w:styleId="39">
    <w:name w:val="toc 9"/>
    <w:basedOn w:val="1"/>
    <w:next w:val="1"/>
    <w:unhideWhenUsed/>
    <w:qFormat/>
    <w:uiPriority w:val="39"/>
    <w:pPr>
      <w:ind w:left="1680"/>
      <w:jc w:val="left"/>
    </w:pPr>
    <w:rPr>
      <w:rFonts w:ascii="Calibri" w:hAnsi="Calibri"/>
      <w:sz w:val="18"/>
      <w:szCs w:val="18"/>
    </w:rPr>
  </w:style>
  <w:style w:type="paragraph" w:styleId="40">
    <w:name w:val="Body Text 2"/>
    <w:basedOn w:val="1"/>
    <w:link w:val="80"/>
    <w:qFormat/>
    <w:uiPriority w:val="0"/>
    <w:pPr>
      <w:jc w:val="center"/>
    </w:pPr>
    <w:rPr>
      <w:rFonts w:eastAsia="黑体"/>
      <w:bCs/>
      <w:sz w:val="72"/>
    </w:rPr>
  </w:style>
  <w:style w:type="paragraph" w:styleId="41">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paragraph" w:styleId="42">
    <w:name w:val="index 1"/>
    <w:basedOn w:val="1"/>
    <w:next w:val="1"/>
    <w:semiHidden/>
    <w:qFormat/>
    <w:uiPriority w:val="0"/>
    <w:pPr>
      <w:spacing w:line="220" w:lineRule="exact"/>
      <w:jc w:val="center"/>
    </w:pPr>
    <w:rPr>
      <w:rFonts w:ascii="仿宋_GB2312" w:eastAsia="仿宋_GB2312"/>
      <w:szCs w:val="21"/>
    </w:rPr>
  </w:style>
  <w:style w:type="paragraph" w:styleId="43">
    <w:name w:val="Title"/>
    <w:basedOn w:val="1"/>
    <w:link w:val="81"/>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4">
    <w:name w:val="annotation subject"/>
    <w:basedOn w:val="16"/>
    <w:next w:val="16"/>
    <w:link w:val="82"/>
    <w:semiHidden/>
    <w:qFormat/>
    <w:uiPriority w:val="0"/>
    <w:rPr>
      <w:b/>
      <w:bCs/>
    </w:rPr>
  </w:style>
  <w:style w:type="paragraph" w:styleId="45">
    <w:name w:val="Body Text First Indent"/>
    <w:basedOn w:val="18"/>
    <w:link w:val="83"/>
    <w:qFormat/>
    <w:uiPriority w:val="0"/>
    <w:pPr>
      <w:tabs>
        <w:tab w:val="left" w:pos="1418"/>
      </w:tabs>
      <w:autoSpaceDE w:val="0"/>
      <w:autoSpaceDN w:val="0"/>
      <w:adjustRightInd w:val="0"/>
      <w:spacing w:before="120" w:beforeLines="0" w:after="120" w:afterLines="0"/>
      <w:ind w:left="1418" w:hanging="567"/>
      <w:jc w:val="left"/>
    </w:pPr>
    <w:rPr>
      <w:rFonts w:eastAsia="PMingLiU-ExtB"/>
      <w:lang w:eastAsia="zh-TW"/>
    </w:rPr>
  </w:style>
  <w:style w:type="paragraph" w:styleId="46">
    <w:name w:val="Body Text First Indent 2"/>
    <w:basedOn w:val="19"/>
    <w:next w:val="34"/>
    <w:qFormat/>
    <w:uiPriority w:val="0"/>
    <w:pPr>
      <w:tabs>
        <w:tab w:val="left" w:pos="1176"/>
      </w:tabs>
      <w:spacing w:after="120"/>
      <w:ind w:left="420" w:leftChars="200" w:firstLine="420" w:firstLineChars="200"/>
    </w:pPr>
    <w:rPr>
      <w:rFonts w:ascii="Times New Roman" w:hAnsi="Times New Roman" w:eastAsia="宋体" w:cs="Times New Roman"/>
      <w:sz w:val="21"/>
      <w:szCs w:val="24"/>
    </w:rPr>
  </w:style>
  <w:style w:type="table" w:styleId="48">
    <w:name w:val="Table Grid"/>
    <w:basedOn w:val="47"/>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qFormat/>
    <w:uiPriority w:val="22"/>
    <w:rPr>
      <w:b/>
      <w:bCs/>
    </w:rPr>
  </w:style>
  <w:style w:type="character" w:styleId="51">
    <w:name w:val="endnote reference"/>
    <w:qFormat/>
    <w:uiPriority w:val="0"/>
    <w:rPr>
      <w:vertAlign w:val="superscript"/>
    </w:rPr>
  </w:style>
  <w:style w:type="character" w:styleId="52">
    <w:name w:val="page number"/>
    <w:qFormat/>
    <w:uiPriority w:val="0"/>
  </w:style>
  <w:style w:type="character" w:styleId="53">
    <w:name w:val="FollowedHyperlink"/>
    <w:qFormat/>
    <w:uiPriority w:val="0"/>
    <w:rPr>
      <w:color w:val="800080"/>
      <w:u w:val="single"/>
    </w:rPr>
  </w:style>
  <w:style w:type="character" w:styleId="54">
    <w:name w:val="Hyperlink"/>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99"/>
    <w:rPr>
      <w:vertAlign w:val="superscript"/>
    </w:rPr>
  </w:style>
  <w:style w:type="character" w:customStyle="1" w:styleId="57">
    <w:name w:val="标题 1 Char"/>
    <w:link w:val="2"/>
    <w:qFormat/>
    <w:uiPriority w:val="9"/>
    <w:rPr>
      <w:rFonts w:eastAsia="宋体"/>
      <w:b/>
      <w:bCs/>
      <w:kern w:val="44"/>
      <w:sz w:val="44"/>
      <w:szCs w:val="44"/>
      <w:lang w:val="en-US" w:eastAsia="zh-CN" w:bidi="ar-SA"/>
    </w:rPr>
  </w:style>
  <w:style w:type="character" w:customStyle="1" w:styleId="58">
    <w:name w:val="标题 2 Char"/>
    <w:link w:val="3"/>
    <w:qFormat/>
    <w:uiPriority w:val="9"/>
    <w:rPr>
      <w:rFonts w:ascii="Cambria" w:hAnsi="Cambria" w:eastAsia="宋体"/>
      <w:b/>
      <w:bCs/>
      <w:kern w:val="2"/>
      <w:sz w:val="32"/>
      <w:szCs w:val="32"/>
      <w:lang w:val="en-US" w:eastAsia="zh-CN" w:bidi="ar-SA"/>
    </w:rPr>
  </w:style>
  <w:style w:type="character" w:customStyle="1" w:styleId="59">
    <w:name w:val="标题 3 Char"/>
    <w:link w:val="4"/>
    <w:qFormat/>
    <w:uiPriority w:val="0"/>
    <w:rPr>
      <w:rFonts w:ascii="宋体" w:hAnsi="宋体"/>
      <w:b/>
      <w:bCs/>
      <w:sz w:val="28"/>
      <w:szCs w:val="24"/>
      <w:lang w:eastAsia="en-US" w:bidi="en-US"/>
    </w:rPr>
  </w:style>
  <w:style w:type="character" w:customStyle="1" w:styleId="60">
    <w:name w:val="标题 4 Char"/>
    <w:link w:val="5"/>
    <w:qFormat/>
    <w:uiPriority w:val="0"/>
    <w:rPr>
      <w:rFonts w:ascii="Cambria" w:hAnsi="Cambria" w:eastAsia="宋体"/>
      <w:b/>
      <w:bCs/>
      <w:i/>
      <w:iCs/>
      <w:color w:val="4F81BD"/>
      <w:sz w:val="22"/>
      <w:szCs w:val="24"/>
      <w:lang w:val="en-US" w:eastAsia="en-US" w:bidi="en-US"/>
    </w:rPr>
  </w:style>
  <w:style w:type="character" w:customStyle="1" w:styleId="61">
    <w:name w:val="标题 5 Char"/>
    <w:link w:val="6"/>
    <w:qFormat/>
    <w:uiPriority w:val="0"/>
    <w:rPr>
      <w:rFonts w:ascii="Cambria" w:hAnsi="Cambria" w:eastAsia="宋体"/>
      <w:color w:val="243F60"/>
      <w:sz w:val="22"/>
      <w:szCs w:val="24"/>
      <w:lang w:val="en-US" w:eastAsia="en-US" w:bidi="en-US"/>
    </w:rPr>
  </w:style>
  <w:style w:type="character" w:customStyle="1" w:styleId="62">
    <w:name w:val="标题 6 Char"/>
    <w:link w:val="7"/>
    <w:qFormat/>
    <w:uiPriority w:val="0"/>
    <w:rPr>
      <w:rFonts w:ascii="Arial" w:hAnsi="Arial" w:eastAsia="黑体"/>
      <w:b/>
      <w:sz w:val="24"/>
      <w:lang w:val="en-US" w:eastAsia="zh-CN" w:bidi="ar-SA"/>
    </w:rPr>
  </w:style>
  <w:style w:type="character" w:customStyle="1" w:styleId="63">
    <w:name w:val="标题 7 Char"/>
    <w:link w:val="8"/>
    <w:qFormat/>
    <w:uiPriority w:val="0"/>
    <w:rPr>
      <w:rFonts w:eastAsia="宋体"/>
      <w:b/>
      <w:sz w:val="24"/>
      <w:lang w:val="en-US" w:eastAsia="zh-CN" w:bidi="ar-SA"/>
    </w:rPr>
  </w:style>
  <w:style w:type="character" w:customStyle="1" w:styleId="64">
    <w:name w:val="标题 8 Char"/>
    <w:link w:val="9"/>
    <w:qFormat/>
    <w:uiPriority w:val="0"/>
    <w:rPr>
      <w:rFonts w:ascii="Arial" w:hAnsi="Arial" w:eastAsia="黑体"/>
      <w:sz w:val="24"/>
      <w:lang w:val="en-US" w:eastAsia="zh-CN" w:bidi="ar-SA"/>
    </w:rPr>
  </w:style>
  <w:style w:type="character" w:customStyle="1" w:styleId="65">
    <w:name w:val="标题 9 Char"/>
    <w:link w:val="10"/>
    <w:qFormat/>
    <w:uiPriority w:val="0"/>
    <w:rPr>
      <w:rFonts w:ascii="Arial" w:hAnsi="Arial" w:eastAsia="黑体"/>
      <w:sz w:val="21"/>
      <w:lang w:val="en-US" w:eastAsia="zh-CN" w:bidi="ar-SA"/>
    </w:rPr>
  </w:style>
  <w:style w:type="character" w:customStyle="1" w:styleId="66">
    <w:name w:val="文档结构图 Char"/>
    <w:link w:val="15"/>
    <w:semiHidden/>
    <w:qFormat/>
    <w:uiPriority w:val="0"/>
    <w:rPr>
      <w:rFonts w:eastAsia="宋体"/>
      <w:kern w:val="2"/>
      <w:sz w:val="21"/>
      <w:szCs w:val="24"/>
      <w:lang w:val="en-US" w:eastAsia="zh-CN" w:bidi="ar-SA"/>
    </w:rPr>
  </w:style>
  <w:style w:type="character" w:customStyle="1" w:styleId="67">
    <w:name w:val="批注文字 Char"/>
    <w:link w:val="16"/>
    <w:semiHidden/>
    <w:qFormat/>
    <w:uiPriority w:val="0"/>
    <w:rPr>
      <w:rFonts w:eastAsia="宋体"/>
      <w:kern w:val="2"/>
      <w:sz w:val="21"/>
      <w:szCs w:val="24"/>
      <w:lang w:val="en-US" w:eastAsia="zh-CN" w:bidi="ar-SA"/>
    </w:rPr>
  </w:style>
  <w:style w:type="character" w:customStyle="1" w:styleId="68">
    <w:name w:val="正文文本 3 Char"/>
    <w:link w:val="17"/>
    <w:qFormat/>
    <w:uiPriority w:val="0"/>
    <w:rPr>
      <w:rFonts w:eastAsia="宋体"/>
      <w:kern w:val="2"/>
      <w:sz w:val="16"/>
      <w:szCs w:val="16"/>
      <w:lang w:val="en-US" w:eastAsia="zh-CN" w:bidi="ar-SA"/>
    </w:rPr>
  </w:style>
  <w:style w:type="character" w:customStyle="1" w:styleId="69">
    <w:name w:val="正文文本 Char"/>
    <w:link w:val="18"/>
    <w:qFormat/>
    <w:uiPriority w:val="0"/>
    <w:rPr>
      <w:rFonts w:eastAsia="黑体"/>
      <w:kern w:val="2"/>
      <w:sz w:val="36"/>
      <w:szCs w:val="24"/>
      <w:lang w:val="en-US" w:eastAsia="zh-CN" w:bidi="ar-SA"/>
    </w:rPr>
  </w:style>
  <w:style w:type="character" w:customStyle="1" w:styleId="70">
    <w:name w:val="正文文本缩进 Char"/>
    <w:link w:val="19"/>
    <w:qFormat/>
    <w:uiPriority w:val="0"/>
    <w:rPr>
      <w:rFonts w:eastAsia="宋体"/>
      <w:kern w:val="2"/>
      <w:sz w:val="21"/>
      <w:szCs w:val="24"/>
      <w:lang w:val="en-US" w:eastAsia="zh-CN" w:bidi="ar-SA"/>
    </w:rPr>
  </w:style>
  <w:style w:type="character" w:customStyle="1" w:styleId="71">
    <w:name w:val="纯文本 Char"/>
    <w:link w:val="24"/>
    <w:qFormat/>
    <w:uiPriority w:val="0"/>
    <w:rPr>
      <w:rFonts w:ascii="宋体" w:hAnsi="Courier New" w:eastAsia="宋体"/>
      <w:kern w:val="2"/>
      <w:sz w:val="21"/>
      <w:szCs w:val="21"/>
      <w:lang w:val="en-US" w:eastAsia="zh-CN" w:bidi="ar-SA"/>
    </w:rPr>
  </w:style>
  <w:style w:type="character" w:customStyle="1" w:styleId="72">
    <w:name w:val="日期 Char"/>
    <w:link w:val="26"/>
    <w:qFormat/>
    <w:uiPriority w:val="0"/>
    <w:rPr>
      <w:rFonts w:ascii="宋体" w:eastAsia="宋体"/>
      <w:sz w:val="24"/>
      <w:lang w:val="en-US" w:eastAsia="zh-CN" w:bidi="ar-SA"/>
    </w:rPr>
  </w:style>
  <w:style w:type="character" w:customStyle="1" w:styleId="73">
    <w:name w:val="正文文本缩进 2 Char"/>
    <w:link w:val="27"/>
    <w:qFormat/>
    <w:uiPriority w:val="0"/>
    <w:rPr>
      <w:rFonts w:eastAsia="宋体"/>
      <w:kern w:val="2"/>
      <w:sz w:val="21"/>
      <w:szCs w:val="24"/>
      <w:lang w:val="en-US" w:eastAsia="zh-CN" w:bidi="ar-SA"/>
    </w:rPr>
  </w:style>
  <w:style w:type="character" w:customStyle="1" w:styleId="74">
    <w:name w:val="尾注文本 Char"/>
    <w:link w:val="28"/>
    <w:uiPriority w:val="0"/>
    <w:rPr>
      <w:kern w:val="2"/>
      <w:sz w:val="21"/>
      <w:szCs w:val="24"/>
    </w:rPr>
  </w:style>
  <w:style w:type="character" w:customStyle="1" w:styleId="75">
    <w:name w:val="批注框文本 Char"/>
    <w:link w:val="29"/>
    <w:semiHidden/>
    <w:qFormat/>
    <w:uiPriority w:val="0"/>
    <w:rPr>
      <w:rFonts w:eastAsia="宋体"/>
      <w:kern w:val="2"/>
      <w:sz w:val="18"/>
      <w:szCs w:val="18"/>
      <w:lang w:val="en-US" w:eastAsia="zh-CN" w:bidi="ar-SA"/>
    </w:rPr>
  </w:style>
  <w:style w:type="character" w:customStyle="1" w:styleId="76">
    <w:name w:val="页脚 Char"/>
    <w:link w:val="30"/>
    <w:qFormat/>
    <w:uiPriority w:val="99"/>
    <w:rPr>
      <w:rFonts w:eastAsia="宋体"/>
      <w:sz w:val="18"/>
      <w:szCs w:val="18"/>
      <w:lang w:val="en-US" w:eastAsia="zh-CN" w:bidi="ar-SA"/>
    </w:rPr>
  </w:style>
  <w:style w:type="character" w:customStyle="1" w:styleId="77">
    <w:name w:val="页眉 Char"/>
    <w:link w:val="31"/>
    <w:uiPriority w:val="0"/>
    <w:rPr>
      <w:rFonts w:eastAsia="宋体"/>
      <w:sz w:val="18"/>
      <w:szCs w:val="18"/>
      <w:lang w:val="en-US" w:eastAsia="zh-CN" w:bidi="ar-SA"/>
    </w:rPr>
  </w:style>
  <w:style w:type="character" w:customStyle="1" w:styleId="78">
    <w:name w:val="脚注文本 Char"/>
    <w:link w:val="35"/>
    <w:qFormat/>
    <w:uiPriority w:val="0"/>
    <w:rPr>
      <w:kern w:val="2"/>
      <w:sz w:val="18"/>
      <w:szCs w:val="18"/>
    </w:rPr>
  </w:style>
  <w:style w:type="character" w:customStyle="1" w:styleId="79">
    <w:name w:val="正文文本缩进 3 Char"/>
    <w:link w:val="37"/>
    <w:qFormat/>
    <w:uiPriority w:val="0"/>
    <w:rPr>
      <w:rFonts w:eastAsia="宋体"/>
      <w:kern w:val="2"/>
      <w:sz w:val="16"/>
      <w:szCs w:val="16"/>
      <w:lang w:val="en-US" w:eastAsia="zh-CN" w:bidi="ar-SA"/>
    </w:rPr>
  </w:style>
  <w:style w:type="character" w:customStyle="1" w:styleId="80">
    <w:name w:val="正文文本 2 Char"/>
    <w:link w:val="40"/>
    <w:qFormat/>
    <w:uiPriority w:val="0"/>
    <w:rPr>
      <w:rFonts w:eastAsia="黑体"/>
      <w:bCs/>
      <w:kern w:val="2"/>
      <w:sz w:val="72"/>
      <w:szCs w:val="24"/>
      <w:lang w:val="en-US" w:eastAsia="zh-CN" w:bidi="ar-SA"/>
    </w:rPr>
  </w:style>
  <w:style w:type="character" w:customStyle="1" w:styleId="81">
    <w:name w:val="标题 Char"/>
    <w:link w:val="43"/>
    <w:qFormat/>
    <w:uiPriority w:val="0"/>
    <w:rPr>
      <w:rFonts w:ascii="Arial" w:hAnsi="Arial" w:eastAsia="宋体"/>
      <w:b/>
      <w:sz w:val="32"/>
      <w:lang w:val="en-US" w:eastAsia="zh-CN" w:bidi="ar-SA"/>
    </w:rPr>
  </w:style>
  <w:style w:type="character" w:customStyle="1" w:styleId="82">
    <w:name w:val="批注主题 Char"/>
    <w:link w:val="44"/>
    <w:semiHidden/>
    <w:qFormat/>
    <w:uiPriority w:val="0"/>
    <w:rPr>
      <w:rFonts w:eastAsia="宋体"/>
      <w:b/>
      <w:bCs/>
      <w:kern w:val="2"/>
      <w:sz w:val="21"/>
      <w:szCs w:val="24"/>
      <w:lang w:val="en-US" w:eastAsia="zh-CN" w:bidi="ar-SA"/>
    </w:rPr>
  </w:style>
  <w:style w:type="character" w:customStyle="1" w:styleId="83">
    <w:name w:val="正文首行缩进 Char"/>
    <w:link w:val="45"/>
    <w:uiPriority w:val="0"/>
    <w:rPr>
      <w:rFonts w:eastAsia="PMingLiU-ExtB"/>
      <w:kern w:val="2"/>
      <w:sz w:val="36"/>
      <w:szCs w:val="24"/>
      <w:lang w:val="en-US" w:eastAsia="zh-TW" w:bidi="ar-SA"/>
    </w:rPr>
  </w:style>
  <w:style w:type="paragraph" w:customStyle="1" w:styleId="84">
    <w:name w:val="模板普通正文"/>
    <w:basedOn w:val="19"/>
    <w:qFormat/>
    <w:uiPriority w:val="0"/>
    <w:pPr>
      <w:tabs>
        <w:tab w:val="left" w:pos="1176"/>
      </w:tabs>
      <w:spacing w:beforeLines="50" w:after="10"/>
      <w:ind w:firstLine="490" w:firstLineChars="175"/>
      <w:jc w:val="left"/>
    </w:pPr>
  </w:style>
  <w:style w:type="character" w:customStyle="1" w:styleId="85">
    <w:name w:val="脚注文本 字符"/>
    <w:qFormat/>
    <w:uiPriority w:val="99"/>
    <w:rPr>
      <w:kern w:val="2"/>
      <w:sz w:val="18"/>
      <w:szCs w:val="18"/>
    </w:rPr>
  </w:style>
  <w:style w:type="character" w:customStyle="1" w:styleId="86">
    <w:name w:val="font161"/>
    <w:uiPriority w:val="0"/>
    <w:rPr>
      <w:b/>
      <w:bCs/>
      <w:sz w:val="32"/>
      <w:szCs w:val="32"/>
    </w:rPr>
  </w:style>
  <w:style w:type="character" w:customStyle="1" w:styleId="87">
    <w:name w:val="Char Char11"/>
    <w:qFormat/>
    <w:uiPriority w:val="0"/>
    <w:rPr>
      <w:rFonts w:ascii="宋体" w:eastAsia="宋体" w:cs="Times New Roman"/>
      <w:sz w:val="24"/>
      <w:lang w:val="en-US" w:eastAsia="zh-CN" w:bidi="ar-SA"/>
    </w:rPr>
  </w:style>
  <w:style w:type="character" w:customStyle="1" w:styleId="88">
    <w:name w:val="Heading 1 Char"/>
    <w:locked/>
    <w:uiPriority w:val="0"/>
    <w:rPr>
      <w:rFonts w:ascii="Times New Roman" w:hAnsi="Times New Roman" w:eastAsia="宋体" w:cs="Times New Roman"/>
      <w:b/>
      <w:bCs/>
      <w:kern w:val="44"/>
      <w:sz w:val="44"/>
      <w:szCs w:val="44"/>
    </w:rPr>
  </w:style>
  <w:style w:type="character" w:customStyle="1" w:styleId="89">
    <w:name w:val="Footer Char"/>
    <w:qFormat/>
    <w:locked/>
    <w:uiPriority w:val="0"/>
    <w:rPr>
      <w:rFonts w:ascii="宋体" w:cs="Times New Roman"/>
      <w:sz w:val="24"/>
      <w:szCs w:val="24"/>
    </w:rPr>
  </w:style>
  <w:style w:type="character" w:customStyle="1" w:styleId="90">
    <w:name w:val="Char Char1"/>
    <w:qFormat/>
    <w:uiPriority w:val="0"/>
    <w:rPr>
      <w:rFonts w:eastAsia="宋体"/>
      <w:kern w:val="2"/>
      <w:sz w:val="24"/>
      <w:lang w:val="en-US" w:eastAsia="zh-CN" w:bidi="ar-SA"/>
    </w:rPr>
  </w:style>
  <w:style w:type="character" w:customStyle="1" w:styleId="91">
    <w:name w:val="f14b1"/>
    <w:qFormat/>
    <w:uiPriority w:val="0"/>
    <w:rPr>
      <w:rFonts w:cs="Times New Roman"/>
      <w:b/>
      <w:bCs/>
      <w:sz w:val="21"/>
      <w:szCs w:val="21"/>
    </w:rPr>
  </w:style>
  <w:style w:type="character" w:customStyle="1" w:styleId="92">
    <w:name w:val="Plain Text Char"/>
    <w:qFormat/>
    <w:locked/>
    <w:uiPriority w:val="0"/>
    <w:rPr>
      <w:rFonts w:ascii="宋体" w:hAnsi="宋体" w:eastAsia="宋体" w:cs="宋体"/>
      <w:kern w:val="0"/>
      <w:sz w:val="24"/>
      <w:szCs w:val="24"/>
    </w:rPr>
  </w:style>
  <w:style w:type="character" w:customStyle="1" w:styleId="93">
    <w:name w:val="apple-converted-space"/>
    <w:qFormat/>
    <w:uiPriority w:val="0"/>
  </w:style>
  <w:style w:type="character" w:customStyle="1" w:styleId="94">
    <w:name w:val="Heading 2 Char"/>
    <w:qFormat/>
    <w:locked/>
    <w:uiPriority w:val="0"/>
    <w:rPr>
      <w:rFonts w:ascii="宋体" w:hAnsi="宋体" w:eastAsia="宋体" w:cs="Times New Roman"/>
      <w:kern w:val="0"/>
      <w:sz w:val="20"/>
      <w:szCs w:val="20"/>
    </w:rPr>
  </w:style>
  <w:style w:type="character" w:customStyle="1" w:styleId="95">
    <w:name w:val="Char Char"/>
    <w:qFormat/>
    <w:uiPriority w:val="0"/>
    <w:rPr>
      <w:rFonts w:ascii="Arial" w:hAnsi="Arial" w:eastAsia="黑体"/>
      <w:b/>
      <w:bCs/>
      <w:kern w:val="2"/>
      <w:sz w:val="32"/>
      <w:szCs w:val="32"/>
      <w:lang w:val="en-US" w:eastAsia="zh-CN" w:bidi="ar-SA"/>
    </w:rPr>
  </w:style>
  <w:style w:type="character" w:customStyle="1" w:styleId="96">
    <w:name w:val="Date Char"/>
    <w:qFormat/>
    <w:locked/>
    <w:uiPriority w:val="0"/>
    <w:rPr>
      <w:rFonts w:eastAsia="宋体"/>
      <w:sz w:val="24"/>
    </w:rPr>
  </w:style>
  <w:style w:type="character" w:customStyle="1" w:styleId="97">
    <w:name w:val="样式 粉红"/>
    <w:qFormat/>
    <w:uiPriority w:val="0"/>
    <w:rPr>
      <w:color w:val="auto"/>
      <w:u w:val="none"/>
    </w:rPr>
  </w:style>
  <w:style w:type="character" w:customStyle="1" w:styleId="98">
    <w:name w:val="标题 2 Char Char"/>
    <w:uiPriority w:val="0"/>
    <w:rPr>
      <w:rFonts w:ascii="Arial" w:hAnsi="Arial" w:eastAsia="黑体" w:cs="Times New Roman"/>
      <w:b/>
      <w:bCs/>
      <w:kern w:val="2"/>
      <w:sz w:val="32"/>
      <w:szCs w:val="32"/>
      <w:lang w:val="en-US" w:eastAsia="zh-CN" w:bidi="ar-SA"/>
    </w:rPr>
  </w:style>
  <w:style w:type="character" w:customStyle="1" w:styleId="99">
    <w:name w:val="缩进正文 Char"/>
    <w:link w:val="100"/>
    <w:qFormat/>
    <w:locked/>
    <w:uiPriority w:val="0"/>
    <w:rPr>
      <w:rFonts w:ascii="宋体" w:hAnsi="宋体"/>
      <w:spacing w:val="30"/>
      <w:sz w:val="24"/>
      <w:szCs w:val="24"/>
      <w:lang w:val="en-GB" w:eastAsia="zh-CN" w:bidi="ar-SA"/>
    </w:rPr>
  </w:style>
  <w:style w:type="paragraph" w:customStyle="1" w:styleId="100">
    <w:name w:val="缩进正文"/>
    <w:link w:val="99"/>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01">
    <w:name w:val="样式3 Char Char"/>
    <w:link w:val="102"/>
    <w:qFormat/>
    <w:locked/>
    <w:uiPriority w:val="0"/>
    <w:rPr>
      <w:rFonts w:ascii="宋体" w:hAnsi="宋体" w:eastAsia="黑体"/>
      <w:sz w:val="36"/>
      <w:szCs w:val="36"/>
      <w:lang w:bidi="ar-SA"/>
    </w:rPr>
  </w:style>
  <w:style w:type="paragraph" w:customStyle="1" w:styleId="102">
    <w:name w:val="样式3"/>
    <w:basedOn w:val="1"/>
    <w:link w:val="101"/>
    <w:qFormat/>
    <w:uiPriority w:val="0"/>
    <w:pPr>
      <w:spacing w:line="940" w:lineRule="exact"/>
      <w:jc w:val="center"/>
    </w:pPr>
    <w:rPr>
      <w:rFonts w:ascii="宋体" w:hAnsi="宋体" w:eastAsia="黑体"/>
      <w:kern w:val="0"/>
      <w:sz w:val="36"/>
      <w:szCs w:val="36"/>
    </w:rPr>
  </w:style>
  <w:style w:type="character" w:customStyle="1" w:styleId="103">
    <w:name w:val="普通文字1 Char"/>
    <w:qFormat/>
    <w:uiPriority w:val="0"/>
    <w:rPr>
      <w:rFonts w:ascii="宋体" w:hAnsi="Courier New" w:eastAsia="宋体"/>
      <w:kern w:val="2"/>
      <w:sz w:val="21"/>
      <w:lang w:val="en-US" w:eastAsia="zh-CN" w:bidi="ar-SA"/>
    </w:rPr>
  </w:style>
  <w:style w:type="character" w:customStyle="1" w:styleId="104">
    <w:name w:val="Char Char6"/>
    <w:qFormat/>
    <w:uiPriority w:val="0"/>
    <w:rPr>
      <w:rFonts w:eastAsia="宋体"/>
      <w:b/>
      <w:bCs/>
      <w:kern w:val="2"/>
      <w:sz w:val="32"/>
      <w:szCs w:val="32"/>
      <w:lang w:val="en-US" w:eastAsia="zh-CN" w:bidi="ar-SA"/>
    </w:rPr>
  </w:style>
  <w:style w:type="character" w:customStyle="1" w:styleId="105">
    <w:name w:val="Heading 3 Char"/>
    <w:qFormat/>
    <w:locked/>
    <w:uiPriority w:val="0"/>
    <w:rPr>
      <w:rFonts w:ascii="Cambria" w:hAnsi="Cambria" w:eastAsia="宋体" w:cs="Times New Roman"/>
      <w:b/>
      <w:bCs/>
      <w:color w:val="4F81BD"/>
      <w:kern w:val="0"/>
      <w:sz w:val="22"/>
      <w:lang w:eastAsia="en-US"/>
    </w:rPr>
  </w:style>
  <w:style w:type="character" w:customStyle="1" w:styleId="106">
    <w:name w:val="Header Char"/>
    <w:qFormat/>
    <w:locked/>
    <w:uiPriority w:val="0"/>
    <w:rPr>
      <w:rFonts w:ascii="宋体" w:cs="Times New Roman"/>
      <w:sz w:val="24"/>
      <w:szCs w:val="24"/>
    </w:rPr>
  </w:style>
  <w:style w:type="paragraph" w:customStyle="1" w:styleId="107">
    <w:name w:val="2"/>
    <w:basedOn w:val="1"/>
    <w:next w:val="19"/>
    <w:qFormat/>
    <w:uiPriority w:val="0"/>
    <w:pPr>
      <w:ind w:left="432"/>
    </w:pPr>
    <w:rPr>
      <w:szCs w:val="20"/>
    </w:rPr>
  </w:style>
  <w:style w:type="paragraph" w:customStyle="1" w:styleId="108">
    <w:name w:val="样式 标题 2 + (西文) 方正书宋简体 (中文) 方正黑体简体 非加粗 黑色 段前: 0 磅 段后: 0 磅 行..."/>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09">
    <w:name w:val="Char Char Char Char"/>
    <w:basedOn w:val="1"/>
    <w:qFormat/>
    <w:uiPriority w:val="0"/>
    <w:rPr>
      <w:rFonts w:ascii="Tahoma" w:hAnsi="Tahoma"/>
      <w:sz w:val="24"/>
      <w:szCs w:val="20"/>
    </w:rPr>
  </w:style>
  <w:style w:type="paragraph" w:customStyle="1" w:styleId="110">
    <w:name w:val="1"/>
    <w:basedOn w:val="1"/>
    <w:qFormat/>
    <w:uiPriority w:val="0"/>
  </w:style>
  <w:style w:type="paragraph" w:customStyle="1" w:styleId="111">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bCs w:val="0"/>
      <w:sz w:val="28"/>
      <w:szCs w:val="20"/>
    </w:rPr>
  </w:style>
  <w:style w:type="paragraph" w:customStyle="1" w:styleId="112">
    <w:name w:val="3"/>
    <w:basedOn w:val="1"/>
    <w:next w:val="17"/>
    <w:qFormat/>
    <w:uiPriority w:val="0"/>
    <w:rPr>
      <w:rFonts w:ascii="宋体"/>
      <w:sz w:val="24"/>
      <w:szCs w:val="20"/>
    </w:rPr>
  </w:style>
  <w:style w:type="paragraph" w:customStyle="1" w:styleId="113">
    <w:name w:val="Char Char Char1"/>
    <w:basedOn w:val="1"/>
    <w:qFormat/>
    <w:uiPriority w:val="0"/>
    <w:rPr>
      <w:szCs w:val="20"/>
    </w:rPr>
  </w:style>
  <w:style w:type="paragraph" w:customStyle="1" w:styleId="114">
    <w:name w:val="。"/>
    <w:basedOn w:val="1"/>
    <w:qFormat/>
    <w:uiPriority w:val="0"/>
    <w:pPr>
      <w:adjustRightInd w:val="0"/>
      <w:spacing w:line="360" w:lineRule="atLeast"/>
      <w:ind w:right="679"/>
      <w:jc w:val="left"/>
      <w:textAlignment w:val="baseline"/>
    </w:pPr>
    <w:rPr>
      <w:rFonts w:ascii="宋体"/>
      <w:sz w:val="24"/>
    </w:rPr>
  </w:style>
  <w:style w:type="paragraph" w:customStyle="1" w:styleId="115">
    <w:name w:val="Char1"/>
    <w:basedOn w:val="1"/>
    <w:qFormat/>
    <w:uiPriority w:val="0"/>
    <w:rPr>
      <w:rFonts w:ascii="Tahoma" w:hAnsi="Tahoma"/>
      <w:sz w:val="24"/>
      <w:szCs w:val="20"/>
    </w:rPr>
  </w:style>
  <w:style w:type="paragraph" w:customStyle="1" w:styleId="116">
    <w:name w:val="p17"/>
    <w:basedOn w:val="1"/>
    <w:qFormat/>
    <w:uiPriority w:val="0"/>
    <w:pPr>
      <w:widowControl/>
    </w:pPr>
    <w:rPr>
      <w:kern w:val="0"/>
      <w:szCs w:val="21"/>
    </w:rPr>
  </w:style>
  <w:style w:type="paragraph" w:customStyle="1" w:styleId="117">
    <w:name w:val="5"/>
    <w:basedOn w:val="1"/>
    <w:qFormat/>
    <w:uiPriority w:val="0"/>
    <w:rPr>
      <w:rFonts w:ascii="Tahoma" w:hAnsi="Tahoma"/>
      <w:sz w:val="24"/>
      <w:szCs w:val="20"/>
    </w:rPr>
  </w:style>
  <w:style w:type="paragraph" w:customStyle="1" w:styleId="118">
    <w:name w:val="样式1"/>
    <w:basedOn w:val="1"/>
    <w:next w:val="13"/>
    <w:qFormat/>
    <w:uiPriority w:val="0"/>
    <w:rPr>
      <w:rFonts w:ascii="宋体" w:hAnsi="Wonder Arial"/>
      <w:color w:val="000000"/>
      <w:kern w:val="0"/>
      <w:sz w:val="24"/>
      <w:szCs w:val="36"/>
    </w:rPr>
  </w:style>
  <w:style w:type="paragraph" w:customStyle="1" w:styleId="119">
    <w:name w:val="列出段落2"/>
    <w:basedOn w:val="1"/>
    <w:qFormat/>
    <w:uiPriority w:val="0"/>
    <w:pPr>
      <w:ind w:firstLine="420" w:firstLineChars="200"/>
    </w:pPr>
  </w:style>
  <w:style w:type="paragraph" w:customStyle="1" w:styleId="120">
    <w:name w:val="Char Char Char"/>
    <w:basedOn w:val="1"/>
    <w:qFormat/>
    <w:uiPriority w:val="0"/>
    <w:rPr>
      <w:szCs w:val="20"/>
    </w:rPr>
  </w:style>
  <w:style w:type="paragraph" w:customStyle="1" w:styleId="121">
    <w:name w:val="表格"/>
    <w:basedOn w:val="1"/>
    <w:qFormat/>
    <w:uiPriority w:val="0"/>
    <w:pPr>
      <w:jc w:val="center"/>
      <w:textAlignment w:val="center"/>
    </w:pPr>
    <w:rPr>
      <w:rFonts w:ascii="华文细黑" w:hAnsi="华文细黑"/>
      <w:kern w:val="0"/>
      <w:szCs w:val="20"/>
    </w:rPr>
  </w:style>
  <w:style w:type="paragraph" w:customStyle="1" w:styleId="122">
    <w:name w:val="Char Char Char Char Char Char2 Char1"/>
    <w:basedOn w:val="1"/>
    <w:qFormat/>
    <w:uiPriority w:val="0"/>
    <w:pPr>
      <w:spacing w:line="360" w:lineRule="auto"/>
      <w:ind w:firstLine="200" w:firstLineChars="200"/>
    </w:pPr>
    <w:rPr>
      <w:rFonts w:ascii="宋体" w:hAnsi="宋体" w:cs="宋体"/>
      <w:sz w:val="24"/>
    </w:rPr>
  </w:style>
  <w:style w:type="paragraph" w:styleId="123">
    <w:name w:val="List Paragraph"/>
    <w:basedOn w:val="1"/>
    <w:qFormat/>
    <w:uiPriority w:val="34"/>
    <w:pPr>
      <w:ind w:firstLine="420" w:firstLineChars="200"/>
    </w:pPr>
  </w:style>
  <w:style w:type="paragraph" w:customStyle="1" w:styleId="124">
    <w:name w:val="列出段落1"/>
    <w:basedOn w:val="1"/>
    <w:qFormat/>
    <w:uiPriority w:val="0"/>
    <w:pPr>
      <w:ind w:firstLine="420" w:firstLineChars="200"/>
    </w:pPr>
  </w:style>
  <w:style w:type="paragraph" w:customStyle="1" w:styleId="125">
    <w:name w:val="样式 标题 2 + (西文) 方正书宋简体 (中文) 方正黑体简体 非加粗 黑色 行距: 固定值 15 磅1"/>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26">
    <w:name w:val="xl24"/>
    <w:basedOn w:val="1"/>
    <w:uiPriority w:val="0"/>
    <w:pPr>
      <w:widowControl/>
      <w:spacing w:before="100" w:beforeLines="0" w:after="100" w:afterLines="0"/>
      <w:jc w:val="center"/>
      <w:textAlignment w:val="center"/>
    </w:pPr>
    <w:rPr>
      <w:rFonts w:ascii="宋体" w:hAnsi="宋体"/>
      <w:kern w:val="0"/>
      <w:sz w:val="24"/>
      <w:szCs w:val="20"/>
    </w:rPr>
  </w:style>
  <w:style w:type="paragraph" w:customStyle="1" w:styleId="127">
    <w:name w:val="Char Char Char Char Char Char Char Char Char Char Char Char Char"/>
    <w:basedOn w:val="1"/>
    <w:uiPriority w:val="0"/>
    <w:rPr>
      <w:rFonts w:ascii="仿宋_GB2312" w:eastAsia="仿宋_GB2312"/>
      <w:b/>
      <w:sz w:val="32"/>
      <w:szCs w:val="32"/>
    </w:rPr>
  </w:style>
  <w:style w:type="paragraph" w:customStyle="1" w:styleId="128">
    <w:name w:val="表格文字"/>
    <w:basedOn w:val="1"/>
    <w:qFormat/>
    <w:uiPriority w:val="0"/>
    <w:pPr>
      <w:adjustRightInd w:val="0"/>
      <w:spacing w:line="420" w:lineRule="atLeast"/>
      <w:jc w:val="left"/>
      <w:textAlignment w:val="baseline"/>
    </w:pPr>
    <w:rPr>
      <w:kern w:val="0"/>
      <w:szCs w:val="20"/>
    </w:rPr>
  </w:style>
  <w:style w:type="paragraph" w:customStyle="1" w:styleId="129">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30">
    <w:name w:val="样式 标题 3 + (中文) 黑体 小四 非加粗 段前: 7.8 磅 段后: 0 磅 行距: 固定值 20 磅"/>
    <w:basedOn w:val="4"/>
    <w:qFormat/>
    <w:uiPriority w:val="0"/>
    <w:pPr>
      <w:widowControl w:val="0"/>
      <w:spacing w:before="0" w:beforeLines="0" w:line="400" w:lineRule="exact"/>
      <w:jc w:val="both"/>
    </w:pPr>
    <w:rPr>
      <w:rFonts w:ascii="Times New Roman" w:hAnsi="Times New Roman" w:eastAsia="黑体"/>
      <w:b w:val="0"/>
      <w:bCs w:val="0"/>
      <w:color w:val="auto"/>
      <w:kern w:val="2"/>
      <w:sz w:val="24"/>
      <w:szCs w:val="20"/>
      <w:lang w:bidi="ar-SA"/>
    </w:rPr>
  </w:style>
  <w:style w:type="paragraph" w:customStyle="1" w:styleId="131">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32">
    <w:name w:val="_Style 131"/>
    <w:basedOn w:val="2"/>
    <w:next w:val="1"/>
    <w:qFormat/>
    <w:uiPriority w:val="0"/>
    <w:pPr>
      <w:widowControl/>
      <w:spacing w:before="480" w:beforeLines="0" w:after="0" w:afterLines="0" w:line="276" w:lineRule="auto"/>
      <w:jc w:val="left"/>
      <w:outlineLvl w:val="9"/>
    </w:pPr>
    <w:rPr>
      <w:rFonts w:ascii="Cambria" w:hAnsi="Cambria"/>
      <w:color w:val="365F91"/>
      <w:kern w:val="0"/>
      <w:sz w:val="28"/>
      <w:szCs w:val="28"/>
    </w:rPr>
  </w:style>
  <w:style w:type="paragraph" w:customStyle="1" w:styleId="133">
    <w:name w:val="列出段落3"/>
    <w:basedOn w:val="1"/>
    <w:qFormat/>
    <w:uiPriority w:val="0"/>
    <w:pPr>
      <w:ind w:firstLine="420" w:firstLineChars="200"/>
    </w:pPr>
  </w:style>
  <w:style w:type="paragraph" w:customStyle="1" w:styleId="134">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3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6">
    <w:name w:val="XW正文"/>
    <w:basedOn w:val="19"/>
    <w:qFormat/>
    <w:uiPriority w:val="0"/>
    <w:pPr>
      <w:adjustRightInd w:val="0"/>
      <w:snapToGrid w:val="0"/>
      <w:spacing w:after="0" w:afterLines="0" w:line="300" w:lineRule="auto"/>
      <w:ind w:left="0" w:leftChars="0" w:firstLine="520" w:firstLineChars="200"/>
      <w:jc w:val="left"/>
    </w:pPr>
    <w:rPr>
      <w:kern w:val="0"/>
    </w:rPr>
  </w:style>
  <w:style w:type="paragraph" w:customStyle="1" w:styleId="137">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38">
    <w:name w:val="金安桥正文"/>
    <w:basedOn w:val="19"/>
    <w:qFormat/>
    <w:uiPriority w:val="0"/>
    <w:pPr>
      <w:adjustRightInd w:val="0"/>
      <w:spacing w:after="0" w:afterLines="0" w:line="300" w:lineRule="auto"/>
      <w:ind w:left="0" w:leftChars="0" w:firstLine="200" w:firstLineChars="200"/>
      <w:jc w:val="left"/>
    </w:pPr>
    <w:rPr>
      <w:kern w:val="0"/>
      <w:sz w:val="24"/>
      <w:szCs w:val="20"/>
    </w:rPr>
  </w:style>
  <w:style w:type="paragraph" w:customStyle="1" w:styleId="139">
    <w:name w:val="cntrt"/>
    <w:basedOn w:val="1"/>
    <w:qFormat/>
    <w:uiPriority w:val="0"/>
    <w:pPr>
      <w:widowControl/>
      <w:jc w:val="left"/>
    </w:pPr>
    <w:rPr>
      <w:rFonts w:ascii="Arial" w:hAnsi="Arial" w:cs="Arial"/>
      <w:kern w:val="0"/>
      <w:sz w:val="20"/>
      <w:szCs w:val="20"/>
      <w:lang w:val="en-AU"/>
    </w:rPr>
  </w:style>
  <w:style w:type="paragraph" w:customStyle="1" w:styleId="140">
    <w:name w:val="Char"/>
    <w:basedOn w:val="1"/>
    <w:qFormat/>
    <w:uiPriority w:val="0"/>
  </w:style>
  <w:style w:type="paragraph" w:customStyle="1" w:styleId="141">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42">
    <w:name w:val="默认段落字体 Para Char"/>
    <w:basedOn w:val="1"/>
    <w:qFormat/>
    <w:uiPriority w:val="0"/>
    <w:rPr>
      <w:szCs w:val="20"/>
    </w:rPr>
  </w:style>
  <w:style w:type="paragraph" w:customStyle="1" w:styleId="143">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44">
    <w:name w:val="4"/>
    <w:basedOn w:val="1"/>
    <w:uiPriority w:val="0"/>
    <w:rPr>
      <w:rFonts w:ascii="Tahoma" w:hAnsi="Tahoma"/>
      <w:sz w:val="24"/>
      <w:szCs w:val="20"/>
    </w:rPr>
  </w:style>
  <w:style w:type="paragraph" w:customStyle="1" w:styleId="145">
    <w:name w:val="Char2"/>
    <w:basedOn w:val="1"/>
    <w:qFormat/>
    <w:uiPriority w:val="0"/>
    <w:rPr>
      <w:rFonts w:ascii="Tahoma" w:hAnsi="Tahoma"/>
      <w:sz w:val="24"/>
      <w:szCs w:val="20"/>
    </w:rPr>
  </w:style>
  <w:style w:type="paragraph" w:customStyle="1" w:styleId="146">
    <w:name w:val="List Paragraph1"/>
    <w:basedOn w:val="1"/>
    <w:qFormat/>
    <w:uiPriority w:val="0"/>
    <w:pPr>
      <w:ind w:firstLine="420" w:firstLineChars="200"/>
    </w:pPr>
  </w:style>
  <w:style w:type="paragraph" w:customStyle="1" w:styleId="147">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p0"/>
    <w:basedOn w:val="1"/>
    <w:qFormat/>
    <w:uiPriority w:val="0"/>
    <w:pPr>
      <w:widowControl/>
    </w:pPr>
    <w:rPr>
      <w:kern w:val="0"/>
      <w:szCs w:val="21"/>
    </w:rPr>
  </w:style>
  <w:style w:type="paragraph" w:customStyle="1" w:styleId="149">
    <w:name w:val="p15"/>
    <w:basedOn w:val="1"/>
    <w:qFormat/>
    <w:uiPriority w:val="0"/>
    <w:pPr>
      <w:widowControl/>
      <w:spacing w:before="100" w:line="400" w:lineRule="atLeast"/>
    </w:pPr>
    <w:rPr>
      <w:kern w:val="0"/>
      <w:sz w:val="28"/>
      <w:szCs w:val="28"/>
    </w:rPr>
  </w:style>
  <w:style w:type="paragraph" w:customStyle="1" w:styleId="150">
    <w:name w:val="p18"/>
    <w:basedOn w:val="1"/>
    <w:uiPriority w:val="0"/>
    <w:pPr>
      <w:widowControl/>
    </w:pPr>
    <w:rPr>
      <w:rFonts w:ascii="宋体" w:hAnsi="宋体" w:cs="宋体"/>
      <w:kern w:val="0"/>
      <w:szCs w:val="21"/>
    </w:rPr>
  </w:style>
  <w:style w:type="paragraph" w:customStyle="1" w:styleId="151">
    <w:name w:val="Default Paragraph Char Char Char Char"/>
    <w:basedOn w:val="1"/>
    <w:next w:val="1"/>
    <w:qFormat/>
    <w:uiPriority w:val="0"/>
    <w:pPr>
      <w:widowControl/>
      <w:spacing w:line="360" w:lineRule="auto"/>
      <w:jc w:val="left"/>
    </w:pPr>
    <w:rPr>
      <w:kern w:val="0"/>
      <w:szCs w:val="20"/>
      <w:lang w:eastAsia="en-US"/>
    </w:rPr>
  </w:style>
  <w:style w:type="character" w:customStyle="1" w:styleId="152">
    <w:name w:val="正文文本缩进 2 Char1"/>
    <w:semiHidden/>
    <w:qFormat/>
    <w:uiPriority w:val="99"/>
    <w:rPr>
      <w:kern w:val="2"/>
      <w:sz w:val="21"/>
      <w:szCs w:val="22"/>
    </w:rPr>
  </w:style>
  <w:style w:type="character" w:customStyle="1" w:styleId="153">
    <w:name w:val="页脚 Char1"/>
    <w:semiHidden/>
    <w:qFormat/>
    <w:uiPriority w:val="99"/>
    <w:rPr>
      <w:kern w:val="2"/>
      <w:sz w:val="18"/>
      <w:szCs w:val="18"/>
    </w:rPr>
  </w:style>
  <w:style w:type="character" w:customStyle="1" w:styleId="154">
    <w:name w:val="正文文本缩进 Char1"/>
    <w:semiHidden/>
    <w:qFormat/>
    <w:uiPriority w:val="99"/>
    <w:rPr>
      <w:kern w:val="2"/>
      <w:sz w:val="21"/>
      <w:szCs w:val="22"/>
    </w:rPr>
  </w:style>
  <w:style w:type="character" w:customStyle="1" w:styleId="155">
    <w:name w:val="正文文本 3 Char1"/>
    <w:semiHidden/>
    <w:qFormat/>
    <w:uiPriority w:val="99"/>
    <w:rPr>
      <w:kern w:val="2"/>
      <w:sz w:val="16"/>
      <w:szCs w:val="16"/>
    </w:rPr>
  </w:style>
  <w:style w:type="character" w:customStyle="1" w:styleId="156">
    <w:name w:val="批注文字 Char1"/>
    <w:semiHidden/>
    <w:qFormat/>
    <w:uiPriority w:val="0"/>
    <w:rPr>
      <w:rFonts w:ascii="Times New Roman" w:hAnsi="Times New Roman"/>
      <w:kern w:val="2"/>
      <w:sz w:val="21"/>
      <w:szCs w:val="24"/>
    </w:rPr>
  </w:style>
  <w:style w:type="character" w:customStyle="1" w:styleId="157">
    <w:name w:val="批注主题 Char1"/>
    <w:semiHidden/>
    <w:qFormat/>
    <w:uiPriority w:val="99"/>
    <w:rPr>
      <w:rFonts w:ascii="Times New Roman" w:hAnsi="Times New Roman"/>
      <w:b/>
      <w:bCs/>
      <w:kern w:val="2"/>
      <w:sz w:val="21"/>
      <w:szCs w:val="24"/>
    </w:rPr>
  </w:style>
  <w:style w:type="character" w:customStyle="1" w:styleId="158">
    <w:name w:val="正文文本缩进 3 Char1"/>
    <w:semiHidden/>
    <w:qFormat/>
    <w:uiPriority w:val="99"/>
    <w:rPr>
      <w:kern w:val="2"/>
      <w:sz w:val="16"/>
      <w:szCs w:val="16"/>
    </w:rPr>
  </w:style>
  <w:style w:type="character" w:customStyle="1" w:styleId="159">
    <w:name w:val="批注框文本 Char1"/>
    <w:semiHidden/>
    <w:qFormat/>
    <w:uiPriority w:val="99"/>
    <w:rPr>
      <w:kern w:val="2"/>
      <w:sz w:val="18"/>
      <w:szCs w:val="18"/>
    </w:rPr>
  </w:style>
  <w:style w:type="character" w:customStyle="1" w:styleId="160">
    <w:name w:val="正文文本 Char1"/>
    <w:semiHidden/>
    <w:qFormat/>
    <w:uiPriority w:val="99"/>
    <w:rPr>
      <w:kern w:val="2"/>
      <w:sz w:val="21"/>
      <w:szCs w:val="22"/>
    </w:rPr>
  </w:style>
  <w:style w:type="character" w:customStyle="1" w:styleId="161">
    <w:name w:val="文档结构图 Char1"/>
    <w:semiHidden/>
    <w:uiPriority w:val="99"/>
    <w:rPr>
      <w:rFonts w:ascii="宋体"/>
      <w:kern w:val="2"/>
      <w:sz w:val="18"/>
      <w:szCs w:val="18"/>
    </w:rPr>
  </w:style>
  <w:style w:type="character" w:customStyle="1" w:styleId="162">
    <w:name w:val="页眉 Char1"/>
    <w:semiHidden/>
    <w:qFormat/>
    <w:uiPriority w:val="99"/>
    <w:rPr>
      <w:kern w:val="2"/>
      <w:sz w:val="18"/>
      <w:szCs w:val="18"/>
    </w:rPr>
  </w:style>
  <w:style w:type="character" w:customStyle="1" w:styleId="163">
    <w:name w:val="日期 Char1"/>
    <w:semiHidden/>
    <w:qFormat/>
    <w:uiPriority w:val="99"/>
    <w:rPr>
      <w:kern w:val="2"/>
      <w:sz w:val="21"/>
      <w:szCs w:val="22"/>
    </w:rPr>
  </w:style>
  <w:style w:type="character" w:customStyle="1" w:styleId="164">
    <w:name w:val="标题 Char1"/>
    <w:uiPriority w:val="10"/>
    <w:rPr>
      <w:rFonts w:ascii="Cambria" w:hAnsi="Cambria" w:cs="Times New Roman"/>
      <w:b/>
      <w:bCs/>
      <w:kern w:val="2"/>
      <w:sz w:val="32"/>
      <w:szCs w:val="32"/>
    </w:rPr>
  </w:style>
  <w:style w:type="character" w:customStyle="1" w:styleId="165">
    <w:name w:val="纯文本 Char1"/>
    <w:semiHidden/>
    <w:uiPriority w:val="99"/>
    <w:rPr>
      <w:rFonts w:ascii="宋体" w:hAnsi="Courier New" w:cs="Courier New"/>
      <w:kern w:val="2"/>
      <w:sz w:val="21"/>
      <w:szCs w:val="21"/>
    </w:rPr>
  </w:style>
  <w:style w:type="character" w:customStyle="1" w:styleId="166">
    <w:name w:val="正文首行缩进 Char1"/>
    <w:semiHidden/>
    <w:qFormat/>
    <w:uiPriority w:val="99"/>
  </w:style>
  <w:style w:type="character" w:customStyle="1" w:styleId="167">
    <w:name w:val="正文文本 2 Char1"/>
    <w:semiHidden/>
    <w:qFormat/>
    <w:uiPriority w:val="99"/>
    <w:rPr>
      <w:kern w:val="2"/>
      <w:sz w:val="21"/>
      <w:szCs w:val="22"/>
    </w:rPr>
  </w:style>
  <w:style w:type="paragraph" w:customStyle="1" w:styleId="168">
    <w:name w:val="paragraphindent"/>
    <w:basedOn w:val="1"/>
    <w:qFormat/>
    <w:uiPriority w:val="0"/>
    <w:pPr>
      <w:widowControl/>
      <w:spacing w:before="75" w:after="75"/>
      <w:jc w:val="left"/>
    </w:pPr>
    <w:rPr>
      <w:rFonts w:ascii="宋体" w:hAnsi="宋体" w:cs="宋体"/>
      <w:kern w:val="0"/>
      <w:sz w:val="24"/>
    </w:rPr>
  </w:style>
  <w:style w:type="character" w:customStyle="1" w:styleId="169">
    <w:name w:val="正文2 Char"/>
    <w:link w:val="170"/>
    <w:qFormat/>
    <w:uiPriority w:val="0"/>
    <w:rPr>
      <w:rFonts w:ascii="宋体" w:eastAsia="楷体"/>
      <w:b/>
      <w:color w:val="0000FF"/>
      <w:kern w:val="2"/>
      <w:sz w:val="21"/>
      <w:szCs w:val="22"/>
      <w:lang w:val="en-US" w:eastAsia="zh-CN" w:bidi="ar-SA"/>
    </w:rPr>
  </w:style>
  <w:style w:type="paragraph" w:customStyle="1" w:styleId="170">
    <w:name w:val="正文2"/>
    <w:link w:val="169"/>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1">
    <w:name w:val="_Style 170"/>
    <w:unhideWhenUsed/>
    <w:qFormat/>
    <w:uiPriority w:val="99"/>
    <w:rPr>
      <w:rFonts w:ascii="Times New Roman" w:hAnsi="Times New Roman" w:eastAsia="宋体" w:cs="Times New Roman"/>
      <w:kern w:val="2"/>
      <w:sz w:val="21"/>
      <w:szCs w:val="24"/>
      <w:lang w:val="en-US" w:eastAsia="zh-CN" w:bidi="ar-SA"/>
    </w:rPr>
  </w:style>
  <w:style w:type="paragraph" w:customStyle="1" w:styleId="172">
    <w:name w:val="msolistparagraph"/>
    <w:basedOn w:val="1"/>
    <w:qFormat/>
    <w:uiPriority w:val="0"/>
    <w:pPr>
      <w:keepNext w:val="0"/>
      <w:keepLines w:val="0"/>
      <w:widowControl w:val="0"/>
      <w:suppressLineNumbers w:val="0"/>
      <w:autoSpaceDE w:val="0"/>
      <w:autoSpaceDN w:val="0"/>
      <w:spacing w:before="0" w:beforeAutospacing="0" w:after="0" w:afterAutospacing="0"/>
      <w:ind w:left="205" w:right="169" w:firstLine="655"/>
      <w:jc w:val="left"/>
    </w:pPr>
    <w:rPr>
      <w:rFonts w:hint="eastAsia" w:ascii="仿宋" w:hAnsi="仿宋" w:eastAsia="仿宋" w:cs="仿宋"/>
      <w:kern w:val="0"/>
      <w:sz w:val="22"/>
      <w:szCs w:val="22"/>
      <w:u w:val="single" w:color="000000"/>
      <w:lang w:val="en-US" w:eastAsia="zh-CN" w:bidi="ar"/>
    </w:rPr>
  </w:style>
  <w:style w:type="paragraph" w:customStyle="1" w:styleId="173">
    <w:name w:val="石墨文档标题 1"/>
    <w:next w:val="1"/>
    <w:unhideWhenUsed/>
    <w:qFormat/>
    <w:uiPriority w:val="9"/>
    <w:pPr>
      <w:spacing w:before="260" w:after="260"/>
      <w:outlineLvl w:val="1"/>
    </w:pPr>
    <w:rPr>
      <w:rFonts w:ascii="微软雅黑" w:hAnsi="微软雅黑" w:eastAsia="微软雅黑" w:cs="微软雅黑"/>
      <w:b/>
      <w:bCs/>
      <w:sz w:val="32"/>
      <w:szCs w:val="32"/>
      <w:lang w:val="en-US" w:eastAsia="zh-CN" w:bidi="ar-SA"/>
    </w:rPr>
  </w:style>
  <w:style w:type="paragraph" w:customStyle="1" w:styleId="174">
    <w:name w:val="Table Text"/>
    <w:basedOn w:val="1"/>
    <w:semiHidden/>
    <w:qFormat/>
    <w:uiPriority w:val="0"/>
    <w:rPr>
      <w:rFonts w:ascii="宋体" w:hAnsi="宋体" w:cs="宋体"/>
      <w:sz w:val="24"/>
      <w:lang w:eastAsia="en-US"/>
    </w:rPr>
  </w:style>
  <w:style w:type="paragraph" w:customStyle="1" w:styleId="175">
    <w:name w:val="Char Char Char Char Char Char Char1 Char"/>
    <w:basedOn w:val="1"/>
    <w:uiPriority w:val="0"/>
    <w:rPr>
      <w:rFonts w:ascii="Tahoma" w:hAnsi="Tahoma"/>
      <w:sz w:val="24"/>
      <w:szCs w:val="20"/>
    </w:rPr>
  </w:style>
  <w:style w:type="paragraph" w:customStyle="1" w:styleId="176">
    <w:name w:val="列表段落1"/>
    <w:basedOn w:val="1"/>
    <w:link w:val="177"/>
    <w:qFormat/>
    <w:uiPriority w:val="34"/>
    <w:pPr>
      <w:widowControl/>
      <w:ind w:firstLine="420" w:firstLineChars="200"/>
      <w:jc w:val="left"/>
    </w:pPr>
  </w:style>
  <w:style w:type="character" w:customStyle="1" w:styleId="177">
    <w:name w:val="列表段落 字符"/>
    <w:link w:val="176"/>
    <w:qFormat/>
    <w:uiPriority w:val="34"/>
    <w:rPr>
      <w:rFonts w:eastAsia="宋体"/>
      <w:kern w:val="2"/>
      <w:sz w:val="21"/>
      <w:szCs w:val="24"/>
    </w:rPr>
  </w:style>
  <w:style w:type="character" w:customStyle="1" w:styleId="178">
    <w:name w:val="17"/>
    <w:qFormat/>
    <w:uiPriority w:val="0"/>
    <w:rPr>
      <w:rFonts w:hint="eastAsia" w:ascii="宋体" w:hAnsi="宋体" w:eastAsia="宋体" w:cs="宋体"/>
      <w:color w:val="000000"/>
      <w:sz w:val="24"/>
      <w:szCs w:val="24"/>
    </w:rPr>
  </w:style>
  <w:style w:type="character" w:customStyle="1" w:styleId="179">
    <w:name w:val="18"/>
    <w:qFormat/>
    <w:uiPriority w:val="0"/>
    <w:rPr>
      <w:rFonts w:hint="default" w:ascii="Times New Roman" w:hAnsi="Times New Roman" w:cs="Times New Roman"/>
      <w:color w:val="000000"/>
      <w:sz w:val="24"/>
      <w:szCs w:val="24"/>
    </w:rPr>
  </w:style>
  <w:style w:type="character" w:customStyle="1" w:styleId="180">
    <w:name w:val="15"/>
    <w:qFormat/>
    <w:uiPriority w:val="0"/>
    <w:rPr>
      <w:rFonts w:hint="default" w:ascii="Calibri" w:hAnsi="Calibri" w:cs="Calibri"/>
      <w:color w:val="000000"/>
      <w:sz w:val="24"/>
      <w:szCs w:val="24"/>
    </w:rPr>
  </w:style>
  <w:style w:type="character" w:customStyle="1" w:styleId="181">
    <w:name w:val="19"/>
    <w:uiPriority w:val="0"/>
    <w:rPr>
      <w:rFonts w:hint="eastAsia" w:ascii="宋体" w:hAnsi="宋体" w:eastAsia="宋体" w:cs="宋体"/>
      <w:color w:val="000000"/>
      <w:sz w:val="24"/>
      <w:szCs w:val="24"/>
    </w:rPr>
  </w:style>
  <w:style w:type="character" w:customStyle="1" w:styleId="182">
    <w:name w:val="16"/>
    <w:qFormat/>
    <w:uiPriority w:val="0"/>
    <w:rPr>
      <w:rFonts w:hint="default" w:ascii="Segoe UI Symbol" w:hAnsi="Segoe UI Symbol" w:eastAsia="Segoe UI Symbol" w:cs="Segoe UI Symbol"/>
      <w:color w:val="000000"/>
      <w:sz w:val="24"/>
      <w:szCs w:val="24"/>
    </w:rPr>
  </w:style>
  <w:style w:type="paragraph" w:customStyle="1" w:styleId="183">
    <w:name w:val="Table Paragraph"/>
    <w:basedOn w:val="1"/>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character" w:customStyle="1" w:styleId="184">
    <w:name w:val="20"/>
    <w:qFormat/>
    <w:uiPriority w:val="0"/>
    <w:rPr>
      <w:rFonts w:hint="default" w:ascii="Segoe UI Symbol" w:hAnsi="Segoe UI Symbol" w:eastAsia="Segoe UI Symbol" w:cs="Segoe UI Symbol"/>
      <w:color w:val="FF0000"/>
      <w:sz w:val="24"/>
      <w:szCs w:val="24"/>
    </w:rPr>
  </w:style>
  <w:style w:type="character" w:customStyle="1" w:styleId="185">
    <w:name w:val="21"/>
    <w:qFormat/>
    <w:uiPriority w:val="0"/>
    <w:rPr>
      <w:rFonts w:hint="eastAsia" w:ascii="宋体" w:hAnsi="宋体" w:eastAsia="宋体" w:cs="宋体"/>
      <w:color w:val="FF0000"/>
      <w:sz w:val="24"/>
      <w:szCs w:val="24"/>
    </w:rPr>
  </w:style>
  <w:style w:type="paragraph" w:customStyle="1" w:styleId="186">
    <w:name w:val="列表段落2"/>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cs="Calibri"/>
      <w:kern w:val="2"/>
      <w:sz w:val="21"/>
      <w:szCs w:val="21"/>
      <w:lang w:val="en-US" w:eastAsia="zh-CN" w:bidi="ar"/>
    </w:rPr>
  </w:style>
  <w:style w:type="paragraph" w:customStyle="1" w:styleId="187">
    <w:name w:val="无间隔1"/>
    <w:basedOn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kern w:val="2"/>
      <w:sz w:val="21"/>
      <w:szCs w:val="21"/>
      <w:lang w:val="en-US" w:eastAsia="zh-CN" w:bidi="ar"/>
    </w:rPr>
  </w:style>
  <w:style w:type="paragraph" w:customStyle="1" w:styleId="188">
    <w:name w:val="普通(网站) Char"/>
    <w:basedOn w:val="1"/>
    <w:qFormat/>
    <w:uiPriority w:val="0"/>
    <w:pPr>
      <w:keepNext w:val="0"/>
      <w:keepLines w:val="0"/>
      <w:widowControl/>
      <w:suppressLineNumbers w:val="0"/>
      <w:spacing w:before="100" w:beforeAutospacing="1" w:after="100" w:afterAutospacing="1"/>
      <w:jc w:val="left"/>
    </w:pPr>
    <w:rPr>
      <w:rFonts w:hint="eastAsia" w:ascii="宋体" w:hAnsi="宋体" w:eastAsia="宋体" w:cs="Times New Roman"/>
      <w:kern w:val="0"/>
      <w:sz w:val="24"/>
      <w:szCs w:val="24"/>
      <w:lang w:val="en-US" w:eastAsia="zh-CN" w:bidi="ar"/>
    </w:rPr>
  </w:style>
  <w:style w:type="paragraph" w:customStyle="1" w:styleId="189">
    <w:name w:val="xl31"/>
    <w:basedOn w:val="1"/>
    <w:qFormat/>
    <w:uiPriority w:val="99"/>
    <w:pPr>
      <w:widowControl/>
      <w:spacing w:before="100" w:beforeAutospacing="1" w:after="100" w:afterAutospacing="1"/>
      <w:jc w:val="center"/>
    </w:pPr>
    <w:rPr>
      <w:rFonts w:ascii="宋体" w:hAnsi="宋体"/>
      <w:b/>
      <w:bCs/>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88</Pages>
  <Words>49849</Words>
  <Characters>53450</Characters>
  <Lines>426</Lines>
  <Paragraphs>119</Paragraphs>
  <TotalTime>4</TotalTime>
  <ScaleCrop>false</ScaleCrop>
  <LinksUpToDate>false</LinksUpToDate>
  <CharactersWithSpaces>56472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2023-07-13T09:24:00Z</dcterms:created>
  <dc:creator>孟凡金</dc:creator>
  <cp:lastModifiedBy>Archer</cp:lastModifiedBy>
  <cp:lastPrinted>2025-08-19T02:49:00Z</cp:lastPrinted>
  <dcterms:modified xsi:type="dcterms:W3CDTF">2025-10-23T09:14:41Z</dcterms:modified>
  <dc:title>项目名称</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05736BFBE7E04764BF6E4F6A1746E136_13</vt:lpwstr>
  </property>
  <property fmtid="{D5CDD505-2E9C-101B-9397-08002B2CF9AE}" pid="4" name="KSOTemplateDocerSaveRecord">
    <vt:lpwstr>eyJoZGlkIjoiZjQ1MGYyZjliOTdmMjkzNjdjYzBiZjAxMTUzYjZlOTIiLCJ1c2VySWQiOiI1MzU4NDk1ODUifQ==</vt:lpwstr>
  </property>
</Properties>
</file>