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29A95">
      <w:pPr>
        <w:spacing w:line="360" w:lineRule="auto"/>
        <w:jc w:val="center"/>
        <w:outlineLvl w:val="0"/>
        <w:rPr>
          <w:rFonts w:hint="eastAsia"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采购需求</w:t>
      </w:r>
    </w:p>
    <w:p w14:paraId="0D9E3639">
      <w:pPr>
        <w:pageBreakBefore w:val="0"/>
        <w:kinsoku/>
        <w:overflowPunct/>
        <w:topLinePunct w:val="0"/>
        <w:autoSpaceDE/>
        <w:autoSpaceDN/>
        <w:bidi w:val="0"/>
        <w:snapToGrid w:val="0"/>
        <w:spacing w:line="312" w:lineRule="auto"/>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前注：</w:t>
      </w:r>
    </w:p>
    <w:p w14:paraId="648A9894">
      <w:pPr>
        <w:pageBreakBefore w:val="0"/>
        <w:kinsoku/>
        <w:overflowPunct/>
        <w:topLinePunct w:val="0"/>
        <w:autoSpaceDE/>
        <w:autoSpaceDN/>
        <w:bidi w:val="0"/>
        <w:snapToGrid w:val="0"/>
        <w:spacing w:line="312" w:lineRule="auto"/>
        <w:ind w:firstLine="43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根据《政府采购进口产品管理办法》及政府采购管理部门的相关规定，下列采购需求中标注进口产品的货物均已履行相关论证手续，经核准采购进口产品，但不限制满足招标文件要求的国内产品参与竞争。未标注进口产品的货物均为拒绝采购进口产品。</w:t>
      </w:r>
    </w:p>
    <w:p w14:paraId="3D19009F">
      <w:pPr>
        <w:pageBreakBefore w:val="0"/>
        <w:kinsoku/>
        <w:overflowPunct/>
        <w:topLinePunct w:val="0"/>
        <w:autoSpaceDE/>
        <w:autoSpaceDN/>
        <w:bidi w:val="0"/>
        <w:snapToGrid w:val="0"/>
        <w:spacing w:line="312" w:lineRule="auto"/>
        <w:ind w:firstLine="43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2.政府采购政策（包括但不限于下列具体政策要求）：</w:t>
      </w:r>
    </w:p>
    <w:p w14:paraId="471EC60B">
      <w:pPr>
        <w:pageBreakBefore w:val="0"/>
        <w:kinsoku/>
        <w:overflowPunct/>
        <w:topLinePunct w:val="0"/>
        <w:autoSpaceDE/>
        <w:autoSpaceDN/>
        <w:bidi w:val="0"/>
        <w:snapToGrid w:val="0"/>
        <w:spacing w:line="312" w:lineRule="auto"/>
        <w:ind w:firstLine="43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799BB425">
      <w:pPr>
        <w:pageBreakBefore w:val="0"/>
        <w:kinsoku/>
        <w:overflowPunct/>
        <w:topLinePunct w:val="0"/>
        <w:autoSpaceDE/>
        <w:autoSpaceDN/>
        <w:bidi w:val="0"/>
        <w:snapToGrid w:val="0"/>
        <w:spacing w:line="312" w:lineRule="auto"/>
        <w:ind w:firstLine="43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1C7F3E8">
      <w:pPr>
        <w:pageBreakBefore w:val="0"/>
        <w:kinsoku/>
        <w:overflowPunct/>
        <w:topLinePunct w:val="0"/>
        <w:autoSpaceDE/>
        <w:autoSpaceDN/>
        <w:bidi w:val="0"/>
        <w:snapToGrid w:val="0"/>
        <w:spacing w:line="312" w:lineRule="auto"/>
        <w:ind w:firstLine="43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3.如采购人允许采用分包方式履行合同的，应当明确可以分包履行的相关内容。</w:t>
      </w:r>
    </w:p>
    <w:p w14:paraId="0A603A90">
      <w:pPr>
        <w:pageBreakBefore w:val="0"/>
        <w:kinsoku/>
        <w:overflowPunct/>
        <w:topLinePunct w:val="0"/>
        <w:autoSpaceDE/>
        <w:autoSpaceDN/>
        <w:bidi w:val="0"/>
        <w:snapToGrid w:val="0"/>
        <w:spacing w:line="312" w:lineRule="auto"/>
        <w:ind w:firstLine="43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4.下列采购需求中：标注▲的产品为核心产品（主要中标标的）。</w:t>
      </w:r>
    </w:p>
    <w:p w14:paraId="30B0ED33">
      <w:pPr>
        <w:pageBreakBefore w:val="0"/>
        <w:kinsoku/>
        <w:overflowPunct/>
        <w:topLinePunct w:val="0"/>
        <w:autoSpaceDE/>
        <w:autoSpaceDN/>
        <w:bidi w:val="0"/>
        <w:snapToGrid w:val="0"/>
        <w:spacing w:line="312" w:lineRule="auto"/>
        <w:ind w:firstLine="437"/>
        <w:textAlignment w:val="auto"/>
        <w:outlineLvl w:val="1"/>
        <w:rPr>
          <w:rFonts w:hint="eastAsia" w:ascii="宋体" w:hAnsi="宋体" w:eastAsia="宋体" w:cs="宋体"/>
          <w:b/>
          <w:color w:val="auto"/>
          <w:sz w:val="21"/>
          <w:szCs w:val="21"/>
          <w:highlight w:val="none"/>
        </w:rPr>
      </w:pPr>
      <w:bookmarkStart w:id="0" w:name="_Toc2554"/>
      <w:bookmarkStart w:id="1" w:name="_Toc32151"/>
      <w:bookmarkStart w:id="2" w:name="_Toc9011"/>
      <w:r>
        <w:rPr>
          <w:rFonts w:hint="eastAsia" w:ascii="宋体" w:hAnsi="宋体" w:eastAsia="宋体" w:cs="宋体"/>
          <w:b/>
          <w:color w:val="auto"/>
          <w:sz w:val="21"/>
          <w:szCs w:val="21"/>
          <w:highlight w:val="none"/>
        </w:rPr>
        <w:t>一、采购需求前附表</w:t>
      </w:r>
      <w:bookmarkEnd w:id="0"/>
      <w:bookmarkEnd w:id="1"/>
      <w:bookmarkEnd w:id="2"/>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43BA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F188398">
            <w:pPr>
              <w:pStyle w:val="9"/>
              <w:pageBreakBefore w:val="0"/>
              <w:pBdr>
                <w:bottom w:val="none" w:color="auto" w:sz="0" w:space="0"/>
              </w:pBdr>
              <w:tabs>
                <w:tab w:val="clear" w:pos="4153"/>
                <w:tab w:val="clear" w:pos="8306"/>
              </w:tabs>
              <w:kinsoku/>
              <w:overflowPunct/>
              <w:topLinePunct w:val="0"/>
              <w:autoSpaceDE/>
              <w:autoSpaceDN/>
              <w:bidi w:val="0"/>
              <w:snapToGrid w:val="0"/>
              <w:spacing w:line="312" w:lineRule="auto"/>
              <w:textAlignment w:val="auto"/>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序号</w:t>
            </w:r>
          </w:p>
        </w:tc>
        <w:tc>
          <w:tcPr>
            <w:tcW w:w="1192" w:type="pct"/>
            <w:vAlign w:val="center"/>
          </w:tcPr>
          <w:p w14:paraId="200C6B67">
            <w:pPr>
              <w:pStyle w:val="10"/>
              <w:pageBreakBefore w:val="0"/>
              <w:widowControl w:val="0"/>
              <w:kinsoku/>
              <w:overflowPunct/>
              <w:topLinePunct w:val="0"/>
              <w:autoSpaceDE/>
              <w:autoSpaceDN/>
              <w:bidi w:val="0"/>
              <w:adjustRightInd w:val="0"/>
              <w:snapToGrid w:val="0"/>
              <w:spacing w:before="0" w:beforeAutospacing="0" w:after="0" w:afterAutospacing="0" w:line="312" w:lineRule="auto"/>
              <w:textAlignment w:val="auto"/>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条款名称</w:t>
            </w:r>
          </w:p>
        </w:tc>
        <w:tc>
          <w:tcPr>
            <w:tcW w:w="3217" w:type="pct"/>
            <w:vAlign w:val="center"/>
          </w:tcPr>
          <w:p w14:paraId="1E08E055">
            <w:pPr>
              <w:pStyle w:val="10"/>
              <w:pageBreakBefore w:val="0"/>
              <w:widowControl w:val="0"/>
              <w:kinsoku/>
              <w:overflowPunct/>
              <w:topLinePunct w:val="0"/>
              <w:autoSpaceDE/>
              <w:autoSpaceDN/>
              <w:bidi w:val="0"/>
              <w:adjustRightInd w:val="0"/>
              <w:snapToGrid w:val="0"/>
              <w:spacing w:before="0" w:beforeAutospacing="0" w:after="0" w:afterAutospacing="0" w:line="312" w:lineRule="auto"/>
              <w:textAlignment w:val="auto"/>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内容、说明与要求</w:t>
            </w:r>
          </w:p>
        </w:tc>
      </w:tr>
      <w:tr w14:paraId="20CF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4D6A7A7">
            <w:pPr>
              <w:pStyle w:val="9"/>
              <w:pageBreakBefore w:val="0"/>
              <w:pBdr>
                <w:bottom w:val="none" w:color="auto" w:sz="0" w:space="0"/>
              </w:pBdr>
              <w:tabs>
                <w:tab w:val="clear" w:pos="4153"/>
                <w:tab w:val="clear" w:pos="8306"/>
              </w:tabs>
              <w:kinsoku/>
              <w:overflowPunct/>
              <w:topLinePunct w:val="0"/>
              <w:autoSpaceDE/>
              <w:autoSpaceDN/>
              <w:bidi w:val="0"/>
              <w:snapToGrid w:val="0"/>
              <w:spacing w:line="312" w:lineRule="auto"/>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1</w:t>
            </w:r>
          </w:p>
        </w:tc>
        <w:tc>
          <w:tcPr>
            <w:tcW w:w="1192" w:type="pct"/>
            <w:vAlign w:val="center"/>
          </w:tcPr>
          <w:p w14:paraId="7EA999D1">
            <w:pPr>
              <w:pStyle w:val="10"/>
              <w:pageBreakBefore w:val="0"/>
              <w:widowControl w:val="0"/>
              <w:kinsoku/>
              <w:overflowPunct/>
              <w:topLinePunct w:val="0"/>
              <w:autoSpaceDE/>
              <w:autoSpaceDN/>
              <w:bidi w:val="0"/>
              <w:adjustRightInd w:val="0"/>
              <w:snapToGrid w:val="0"/>
              <w:spacing w:before="0" w:beforeAutospacing="0" w:after="0" w:afterAutospacing="0" w:line="312" w:lineRule="auto"/>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付款方式</w:t>
            </w:r>
          </w:p>
        </w:tc>
        <w:tc>
          <w:tcPr>
            <w:tcW w:w="3217" w:type="pct"/>
            <w:vAlign w:val="center"/>
          </w:tcPr>
          <w:p w14:paraId="25D611D0">
            <w:pPr>
              <w:pStyle w:val="10"/>
              <w:pageBreakBefore w:val="0"/>
              <w:widowControl w:val="0"/>
              <w:kinsoku/>
              <w:overflowPunct/>
              <w:topLinePunct w:val="0"/>
              <w:autoSpaceDE/>
              <w:autoSpaceDN/>
              <w:bidi w:val="0"/>
              <w:adjustRightInd w:val="0"/>
              <w:snapToGrid w:val="0"/>
              <w:spacing w:before="0" w:beforeAutospacing="0" w:after="0" w:afterAutospacing="0" w:line="312" w:lineRule="auto"/>
              <w:jc w:val="both"/>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项目经验收合格且相关资料齐备己移交后，一次性付清合同价款。</w:t>
            </w:r>
          </w:p>
        </w:tc>
      </w:tr>
      <w:tr w14:paraId="54BA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BFF4145">
            <w:pPr>
              <w:pStyle w:val="9"/>
              <w:pageBreakBefore w:val="0"/>
              <w:pBdr>
                <w:bottom w:val="none" w:color="auto" w:sz="0" w:space="0"/>
              </w:pBdr>
              <w:tabs>
                <w:tab w:val="clear" w:pos="4153"/>
                <w:tab w:val="clear" w:pos="8306"/>
              </w:tabs>
              <w:kinsoku/>
              <w:overflowPunct/>
              <w:topLinePunct w:val="0"/>
              <w:autoSpaceDE/>
              <w:autoSpaceDN/>
              <w:bidi w:val="0"/>
              <w:snapToGrid w:val="0"/>
              <w:spacing w:line="312" w:lineRule="auto"/>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2</w:t>
            </w:r>
          </w:p>
        </w:tc>
        <w:tc>
          <w:tcPr>
            <w:tcW w:w="1192" w:type="pct"/>
            <w:vAlign w:val="center"/>
          </w:tcPr>
          <w:p w14:paraId="400801A7">
            <w:pPr>
              <w:pStyle w:val="10"/>
              <w:pageBreakBefore w:val="0"/>
              <w:widowControl w:val="0"/>
              <w:kinsoku/>
              <w:overflowPunct/>
              <w:topLinePunct w:val="0"/>
              <w:autoSpaceDE/>
              <w:autoSpaceDN/>
              <w:bidi w:val="0"/>
              <w:adjustRightInd w:val="0"/>
              <w:snapToGrid w:val="0"/>
              <w:spacing w:before="0" w:beforeAutospacing="0" w:after="0" w:afterAutospacing="0" w:line="312" w:lineRule="auto"/>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供货及安装地点</w:t>
            </w:r>
          </w:p>
        </w:tc>
        <w:tc>
          <w:tcPr>
            <w:tcW w:w="3217" w:type="pct"/>
            <w:vAlign w:val="center"/>
          </w:tcPr>
          <w:p w14:paraId="008E1630">
            <w:pPr>
              <w:pStyle w:val="10"/>
              <w:pageBreakBefore w:val="0"/>
              <w:widowControl w:val="0"/>
              <w:kinsoku/>
              <w:overflowPunct/>
              <w:topLinePunct w:val="0"/>
              <w:autoSpaceDE/>
              <w:autoSpaceDN/>
              <w:bidi w:val="0"/>
              <w:adjustRightInd w:val="0"/>
              <w:snapToGrid w:val="0"/>
              <w:spacing w:before="0" w:beforeAutospacing="0" w:after="0" w:afterAutospacing="0" w:line="312" w:lineRule="auto"/>
              <w:jc w:val="both"/>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安徽职业技术大学，具体按采购人指定地点。</w:t>
            </w:r>
          </w:p>
        </w:tc>
      </w:tr>
      <w:tr w14:paraId="453D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9C64E8A">
            <w:pPr>
              <w:pStyle w:val="9"/>
              <w:pageBreakBefore w:val="0"/>
              <w:pBdr>
                <w:bottom w:val="none" w:color="auto" w:sz="0" w:space="0"/>
              </w:pBdr>
              <w:tabs>
                <w:tab w:val="clear" w:pos="4153"/>
                <w:tab w:val="clear" w:pos="8306"/>
              </w:tabs>
              <w:kinsoku/>
              <w:overflowPunct/>
              <w:topLinePunct w:val="0"/>
              <w:autoSpaceDE/>
              <w:autoSpaceDN/>
              <w:bidi w:val="0"/>
              <w:snapToGrid w:val="0"/>
              <w:spacing w:line="312" w:lineRule="auto"/>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3</w:t>
            </w:r>
          </w:p>
        </w:tc>
        <w:tc>
          <w:tcPr>
            <w:tcW w:w="1192" w:type="pct"/>
            <w:vAlign w:val="center"/>
          </w:tcPr>
          <w:p w14:paraId="28D0729D">
            <w:pPr>
              <w:pStyle w:val="10"/>
              <w:pageBreakBefore w:val="0"/>
              <w:widowControl w:val="0"/>
              <w:kinsoku/>
              <w:overflowPunct/>
              <w:topLinePunct w:val="0"/>
              <w:autoSpaceDE/>
              <w:autoSpaceDN/>
              <w:bidi w:val="0"/>
              <w:adjustRightInd w:val="0"/>
              <w:snapToGrid w:val="0"/>
              <w:spacing w:before="0" w:beforeAutospacing="0" w:after="0" w:afterAutospacing="0" w:line="312" w:lineRule="auto"/>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供货及安装期限</w:t>
            </w:r>
          </w:p>
        </w:tc>
        <w:tc>
          <w:tcPr>
            <w:tcW w:w="3217" w:type="pct"/>
            <w:vAlign w:val="center"/>
          </w:tcPr>
          <w:p w14:paraId="64A45A16">
            <w:pPr>
              <w:pStyle w:val="10"/>
              <w:pageBreakBefore w:val="0"/>
              <w:widowControl w:val="0"/>
              <w:kinsoku/>
              <w:overflowPunct/>
              <w:topLinePunct w:val="0"/>
              <w:autoSpaceDE/>
              <w:autoSpaceDN/>
              <w:bidi w:val="0"/>
              <w:adjustRightInd w:val="0"/>
              <w:snapToGrid w:val="0"/>
              <w:spacing w:before="0" w:beforeAutospacing="0" w:after="0" w:afterAutospacing="0" w:line="312" w:lineRule="auto"/>
              <w:jc w:val="both"/>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合同生效之日起，45个日历日内完成供货、安装、调试、培训等所有工作内容。</w:t>
            </w:r>
          </w:p>
        </w:tc>
      </w:tr>
      <w:tr w14:paraId="1661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A86A6BE">
            <w:pPr>
              <w:pStyle w:val="9"/>
              <w:pageBreakBefore w:val="0"/>
              <w:pBdr>
                <w:bottom w:val="none" w:color="auto" w:sz="0" w:space="0"/>
              </w:pBdr>
              <w:tabs>
                <w:tab w:val="clear" w:pos="4153"/>
                <w:tab w:val="clear" w:pos="8306"/>
              </w:tabs>
              <w:kinsoku/>
              <w:overflowPunct/>
              <w:topLinePunct w:val="0"/>
              <w:autoSpaceDE/>
              <w:autoSpaceDN/>
              <w:bidi w:val="0"/>
              <w:snapToGrid w:val="0"/>
              <w:spacing w:line="312" w:lineRule="auto"/>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4</w:t>
            </w:r>
          </w:p>
        </w:tc>
        <w:tc>
          <w:tcPr>
            <w:tcW w:w="1192" w:type="pct"/>
            <w:vAlign w:val="center"/>
          </w:tcPr>
          <w:p w14:paraId="6BA5A37C">
            <w:pPr>
              <w:pStyle w:val="10"/>
              <w:pageBreakBefore w:val="0"/>
              <w:widowControl w:val="0"/>
              <w:kinsoku/>
              <w:overflowPunct/>
              <w:topLinePunct w:val="0"/>
              <w:autoSpaceDE/>
              <w:autoSpaceDN/>
              <w:bidi w:val="0"/>
              <w:adjustRightInd w:val="0"/>
              <w:snapToGrid w:val="0"/>
              <w:spacing w:before="0" w:beforeAutospacing="0" w:after="0" w:afterAutospacing="0" w:line="312" w:lineRule="auto"/>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免费质保期</w:t>
            </w:r>
          </w:p>
        </w:tc>
        <w:tc>
          <w:tcPr>
            <w:tcW w:w="3217" w:type="pct"/>
            <w:vAlign w:val="center"/>
          </w:tcPr>
          <w:p w14:paraId="0D94A51E">
            <w:pPr>
              <w:pStyle w:val="10"/>
              <w:pageBreakBefore w:val="0"/>
              <w:widowControl w:val="0"/>
              <w:kinsoku/>
              <w:overflowPunct/>
              <w:topLinePunct w:val="0"/>
              <w:autoSpaceDE/>
              <w:autoSpaceDN/>
              <w:bidi w:val="0"/>
              <w:adjustRightInd w:val="0"/>
              <w:snapToGrid w:val="0"/>
              <w:spacing w:before="0" w:beforeAutospacing="0" w:after="0" w:afterAutospacing="0" w:line="312" w:lineRule="auto"/>
              <w:jc w:val="both"/>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货物需求清单中未明确的，免费质保期为自验收合格之日起3年；货物需求清单中明确的，免费质保期按货物需求清单执行。</w:t>
            </w:r>
          </w:p>
        </w:tc>
      </w:tr>
    </w:tbl>
    <w:p w14:paraId="3E806DB2">
      <w:pPr>
        <w:pageBreakBefore w:val="0"/>
        <w:kinsoku/>
        <w:overflowPunct/>
        <w:topLinePunct w:val="0"/>
        <w:autoSpaceDE/>
        <w:autoSpaceDN/>
        <w:bidi w:val="0"/>
        <w:spacing w:line="312" w:lineRule="auto"/>
        <w:ind w:firstLine="437"/>
        <w:textAlignment w:val="auto"/>
        <w:outlineLvl w:val="1"/>
        <w:rPr>
          <w:rFonts w:hint="eastAsia" w:ascii="宋体" w:hAnsi="宋体" w:eastAsia="宋体" w:cs="宋体"/>
          <w:b/>
          <w:bCs/>
          <w:color w:val="auto"/>
          <w:sz w:val="21"/>
          <w:szCs w:val="21"/>
          <w:highlight w:val="none"/>
        </w:rPr>
      </w:pPr>
      <w:bookmarkStart w:id="3" w:name="_Toc5944"/>
      <w:bookmarkStart w:id="4" w:name="_Toc4578"/>
      <w:bookmarkStart w:id="5" w:name="_Toc7671"/>
      <w:r>
        <w:rPr>
          <w:rFonts w:hint="eastAsia" w:ascii="宋体" w:hAnsi="宋体" w:eastAsia="宋体" w:cs="宋体"/>
          <w:b/>
          <w:bCs/>
          <w:color w:val="auto"/>
          <w:sz w:val="21"/>
          <w:szCs w:val="21"/>
          <w:highlight w:val="none"/>
        </w:rPr>
        <w:t>二、</w:t>
      </w:r>
      <w:r>
        <w:rPr>
          <w:rFonts w:hint="eastAsia" w:ascii="宋体" w:hAnsi="宋体" w:eastAsia="宋体" w:cs="宋体"/>
          <w:b/>
          <w:color w:val="auto"/>
          <w:sz w:val="21"/>
          <w:szCs w:val="21"/>
          <w:highlight w:val="none"/>
        </w:rPr>
        <w:t>货物</w:t>
      </w:r>
      <w:r>
        <w:rPr>
          <w:rFonts w:hint="eastAsia" w:ascii="宋体" w:hAnsi="宋体" w:eastAsia="宋体" w:cs="宋体"/>
          <w:b/>
          <w:bCs/>
          <w:color w:val="auto"/>
          <w:sz w:val="21"/>
          <w:szCs w:val="21"/>
          <w:highlight w:val="none"/>
        </w:rPr>
        <w:t>需求</w:t>
      </w:r>
      <w:bookmarkEnd w:id="3"/>
      <w:bookmarkEnd w:id="4"/>
      <w:bookmarkEnd w:id="5"/>
    </w:p>
    <w:p w14:paraId="6C3D332C">
      <w:pPr>
        <w:pageBreakBefore w:val="0"/>
        <w:widowControl/>
        <w:kinsoku/>
        <w:overflowPunct/>
        <w:topLinePunct w:val="0"/>
        <w:autoSpaceDE/>
        <w:autoSpaceDN/>
        <w:bidi w:val="0"/>
        <w:spacing w:line="312" w:lineRule="auto"/>
        <w:ind w:firstLine="422" w:firstLineChars="200"/>
        <w:textAlignment w:val="auto"/>
        <w:outlineLvl w:val="2"/>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（一）标识符号</w:t>
      </w:r>
    </w:p>
    <w:tbl>
      <w:tblPr>
        <w:tblStyle w:val="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3F093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vAlign w:val="center"/>
          </w:tcPr>
          <w:p w14:paraId="69E44409">
            <w:pPr>
              <w:pageBreakBefore w:val="0"/>
              <w:kinsoku/>
              <w:overflowPunct/>
              <w:topLinePunct w:val="0"/>
              <w:autoSpaceDE/>
              <w:autoSpaceDN/>
              <w:bidi w:val="0"/>
              <w:spacing w:line="312" w:lineRule="auto"/>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标识类型</w:t>
            </w:r>
          </w:p>
        </w:tc>
        <w:tc>
          <w:tcPr>
            <w:tcW w:w="1365" w:type="dxa"/>
            <w:vAlign w:val="center"/>
          </w:tcPr>
          <w:p w14:paraId="5A1C0A9F">
            <w:pPr>
              <w:pageBreakBefore w:val="0"/>
              <w:kinsoku/>
              <w:overflowPunct/>
              <w:topLinePunct w:val="0"/>
              <w:autoSpaceDE/>
              <w:autoSpaceDN/>
              <w:bidi w:val="0"/>
              <w:spacing w:line="312" w:lineRule="auto"/>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标识符号</w:t>
            </w:r>
          </w:p>
        </w:tc>
        <w:tc>
          <w:tcPr>
            <w:tcW w:w="5363" w:type="dxa"/>
            <w:vAlign w:val="center"/>
          </w:tcPr>
          <w:p w14:paraId="144C8CF0">
            <w:pPr>
              <w:pageBreakBefore w:val="0"/>
              <w:kinsoku/>
              <w:overflowPunct/>
              <w:topLinePunct w:val="0"/>
              <w:autoSpaceDE/>
              <w:autoSpaceDN/>
              <w:bidi w:val="0"/>
              <w:spacing w:line="312" w:lineRule="auto"/>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标识符号含义</w:t>
            </w:r>
          </w:p>
        </w:tc>
      </w:tr>
      <w:tr w14:paraId="017A7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vAlign w:val="center"/>
          </w:tcPr>
          <w:p w14:paraId="309193C6">
            <w:pPr>
              <w:pageBreakBefore w:val="0"/>
              <w:kinsoku/>
              <w:wordWrap w:val="0"/>
              <w:overflowPunct/>
              <w:topLinePunct w:val="0"/>
              <w:autoSpaceDE/>
              <w:autoSpaceDN/>
              <w:bidi w:val="0"/>
              <w:adjustRightInd w:val="0"/>
              <w:snapToGrid w:val="0"/>
              <w:spacing w:line="312" w:lineRule="auto"/>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关键性指标项</w:t>
            </w:r>
          </w:p>
        </w:tc>
        <w:tc>
          <w:tcPr>
            <w:tcW w:w="1365" w:type="dxa"/>
            <w:vAlign w:val="center"/>
          </w:tcPr>
          <w:p w14:paraId="64C4671D">
            <w:pPr>
              <w:pageBreakBefore w:val="0"/>
              <w:kinsoku/>
              <w:wordWrap w:val="0"/>
              <w:overflowPunct/>
              <w:topLinePunct w:val="0"/>
              <w:autoSpaceDE/>
              <w:autoSpaceDN/>
              <w:bidi w:val="0"/>
              <w:adjustRightInd w:val="0"/>
              <w:snapToGrid w:val="0"/>
              <w:spacing w:line="312" w:lineRule="auto"/>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p>
        </w:tc>
        <w:tc>
          <w:tcPr>
            <w:tcW w:w="5363" w:type="dxa"/>
            <w:vAlign w:val="center"/>
          </w:tcPr>
          <w:p w14:paraId="33E24031">
            <w:pPr>
              <w:pageBreakBefore w:val="0"/>
              <w:kinsoku/>
              <w:wordWrap w:val="0"/>
              <w:overflowPunct/>
              <w:topLinePunct w:val="0"/>
              <w:autoSpaceDE/>
              <w:autoSpaceDN/>
              <w:bidi w:val="0"/>
              <w:adjustRightInd w:val="0"/>
              <w:snapToGrid w:val="0"/>
              <w:spacing w:line="312" w:lineRule="auto"/>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符合性审查项，负偏离或不满足的，投标无效</w:t>
            </w:r>
            <w:r>
              <w:rPr>
                <w:rFonts w:hint="eastAsia" w:ascii="宋体" w:hAnsi="宋体" w:eastAsia="宋体" w:cs="宋体"/>
                <w:color w:val="auto"/>
                <w:sz w:val="21"/>
                <w:szCs w:val="21"/>
                <w:highlight w:val="none"/>
                <w:lang w:bidi="ar"/>
              </w:rPr>
              <w:t>。</w:t>
            </w:r>
          </w:p>
        </w:tc>
      </w:tr>
      <w:tr w14:paraId="05A6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794" w:type="dxa"/>
            <w:vAlign w:val="center"/>
          </w:tcPr>
          <w:p w14:paraId="4929B256">
            <w:pPr>
              <w:pageBreakBefore w:val="0"/>
              <w:kinsoku/>
              <w:wordWrap w:val="0"/>
              <w:overflowPunct/>
              <w:topLinePunct w:val="0"/>
              <w:autoSpaceDE/>
              <w:autoSpaceDN/>
              <w:bidi w:val="0"/>
              <w:adjustRightInd w:val="0"/>
              <w:snapToGrid w:val="0"/>
              <w:spacing w:line="312" w:lineRule="auto"/>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重要指标项</w:t>
            </w:r>
          </w:p>
        </w:tc>
        <w:tc>
          <w:tcPr>
            <w:tcW w:w="1365" w:type="dxa"/>
            <w:vAlign w:val="center"/>
          </w:tcPr>
          <w:p w14:paraId="37BD2C26">
            <w:pPr>
              <w:pageBreakBefore w:val="0"/>
              <w:kinsoku/>
              <w:wordWrap w:val="0"/>
              <w:overflowPunct/>
              <w:topLinePunct w:val="0"/>
              <w:autoSpaceDE/>
              <w:autoSpaceDN/>
              <w:bidi w:val="0"/>
              <w:adjustRightInd w:val="0"/>
              <w:snapToGrid w:val="0"/>
              <w:spacing w:line="312" w:lineRule="auto"/>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p>
        </w:tc>
        <w:tc>
          <w:tcPr>
            <w:tcW w:w="5363" w:type="dxa"/>
            <w:vAlign w:val="center"/>
          </w:tcPr>
          <w:p w14:paraId="31CD4D0C">
            <w:pPr>
              <w:pageBreakBefore w:val="0"/>
              <w:kinsoku/>
              <w:overflowPunct/>
              <w:topLinePunct w:val="0"/>
              <w:autoSpaceDE/>
              <w:autoSpaceDN/>
              <w:bidi w:val="0"/>
              <w:adjustRightInd w:val="0"/>
              <w:snapToGrid w:val="0"/>
              <w:spacing w:line="312" w:lineRule="auto"/>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评分项，详见评标办法和标准。</w:t>
            </w:r>
          </w:p>
        </w:tc>
      </w:tr>
      <w:tr w14:paraId="7C1D9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794" w:type="dxa"/>
            <w:vAlign w:val="center"/>
          </w:tcPr>
          <w:p w14:paraId="65088F5D">
            <w:pPr>
              <w:pageBreakBefore w:val="0"/>
              <w:kinsoku/>
              <w:wordWrap w:val="0"/>
              <w:overflowPunct/>
              <w:topLinePunct w:val="0"/>
              <w:autoSpaceDE/>
              <w:autoSpaceDN/>
              <w:bidi w:val="0"/>
              <w:adjustRightInd w:val="0"/>
              <w:snapToGrid w:val="0"/>
              <w:spacing w:line="312" w:lineRule="auto"/>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一般指标项</w:t>
            </w:r>
          </w:p>
        </w:tc>
        <w:tc>
          <w:tcPr>
            <w:tcW w:w="1365" w:type="dxa"/>
            <w:vAlign w:val="center"/>
          </w:tcPr>
          <w:p w14:paraId="7D14D8B5">
            <w:pPr>
              <w:pageBreakBefore w:val="0"/>
              <w:kinsoku/>
              <w:wordWrap w:val="0"/>
              <w:overflowPunct/>
              <w:topLinePunct w:val="0"/>
              <w:autoSpaceDE/>
              <w:autoSpaceDN/>
              <w:bidi w:val="0"/>
              <w:adjustRightInd w:val="0"/>
              <w:snapToGrid w:val="0"/>
              <w:spacing w:line="312" w:lineRule="auto"/>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p>
        </w:tc>
        <w:tc>
          <w:tcPr>
            <w:tcW w:w="5363" w:type="dxa"/>
            <w:vAlign w:val="center"/>
          </w:tcPr>
          <w:p w14:paraId="6F033C1B">
            <w:pPr>
              <w:pageBreakBefore w:val="0"/>
              <w:kinsoku/>
              <w:overflowPunct/>
              <w:topLinePunct w:val="0"/>
              <w:autoSpaceDE/>
              <w:autoSpaceDN/>
              <w:bidi w:val="0"/>
              <w:adjustRightInd w:val="0"/>
              <w:snapToGrid w:val="0"/>
              <w:spacing w:line="312" w:lineRule="auto"/>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评分项，详见评标办法和标准。</w:t>
            </w:r>
          </w:p>
        </w:tc>
      </w:tr>
      <w:tr w14:paraId="05DF7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794" w:type="dxa"/>
            <w:vAlign w:val="center"/>
          </w:tcPr>
          <w:p w14:paraId="0794BC0B">
            <w:pPr>
              <w:pageBreakBefore w:val="0"/>
              <w:kinsoku/>
              <w:wordWrap w:val="0"/>
              <w:overflowPunct/>
              <w:topLinePunct w:val="0"/>
              <w:autoSpaceDE/>
              <w:autoSpaceDN/>
              <w:bidi w:val="0"/>
              <w:adjustRightInd w:val="0"/>
              <w:snapToGrid w:val="0"/>
              <w:spacing w:line="312" w:lineRule="auto"/>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无标识项</w:t>
            </w:r>
          </w:p>
        </w:tc>
        <w:tc>
          <w:tcPr>
            <w:tcW w:w="1365" w:type="dxa"/>
            <w:vAlign w:val="center"/>
          </w:tcPr>
          <w:p w14:paraId="3F215C5D">
            <w:pPr>
              <w:pageBreakBefore w:val="0"/>
              <w:kinsoku/>
              <w:wordWrap w:val="0"/>
              <w:overflowPunct/>
              <w:topLinePunct w:val="0"/>
              <w:autoSpaceDE/>
              <w:autoSpaceDN/>
              <w:bidi w:val="0"/>
              <w:adjustRightInd w:val="0"/>
              <w:snapToGrid w:val="0"/>
              <w:spacing w:line="312" w:lineRule="auto"/>
              <w:jc w:val="center"/>
              <w:textAlignment w:val="auto"/>
              <w:rPr>
                <w:rFonts w:hint="eastAsia" w:ascii="宋体" w:hAnsi="宋体" w:eastAsia="宋体" w:cs="宋体"/>
                <w:bCs/>
                <w:color w:val="auto"/>
                <w:sz w:val="21"/>
                <w:szCs w:val="21"/>
                <w:highlight w:val="none"/>
              </w:rPr>
            </w:pPr>
          </w:p>
        </w:tc>
        <w:tc>
          <w:tcPr>
            <w:tcW w:w="5363" w:type="dxa"/>
            <w:vAlign w:val="center"/>
          </w:tcPr>
          <w:p w14:paraId="69F662CC">
            <w:pPr>
              <w:pageBreakBefore w:val="0"/>
              <w:kinsoku/>
              <w:overflowPunct/>
              <w:topLinePunct w:val="0"/>
              <w:autoSpaceDE/>
              <w:autoSpaceDN/>
              <w:bidi w:val="0"/>
              <w:adjustRightInd w:val="0"/>
              <w:snapToGrid w:val="0"/>
              <w:spacing w:line="312" w:lineRule="auto"/>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符合性审查项，该指标项最大允许负偏离</w:t>
            </w:r>
            <w:r>
              <w:rPr>
                <w:rFonts w:hint="eastAsia" w:ascii="宋体" w:hAnsi="宋体" w:eastAsia="宋体" w:cs="宋体"/>
                <w:bCs/>
                <w:color w:val="auto"/>
                <w:sz w:val="21"/>
                <w:szCs w:val="21"/>
                <w:highlight w:val="none"/>
                <w:u w:val="single"/>
                <w:lang w:val="en-US" w:eastAsia="zh-CN"/>
              </w:rPr>
              <w:t xml:space="preserve"> 5</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项，超过最大允许负偏离项数的，</w:t>
            </w:r>
            <w:r>
              <w:rPr>
                <w:rFonts w:hint="eastAsia" w:ascii="宋体" w:hAnsi="宋体" w:eastAsia="宋体" w:cs="宋体"/>
                <w:b/>
                <w:color w:val="auto"/>
                <w:sz w:val="21"/>
                <w:szCs w:val="21"/>
                <w:highlight w:val="none"/>
              </w:rPr>
              <w:t>投标无效</w:t>
            </w:r>
            <w:r>
              <w:rPr>
                <w:rFonts w:hint="eastAsia" w:ascii="宋体" w:hAnsi="宋体" w:eastAsia="宋体" w:cs="宋体"/>
                <w:bCs/>
                <w:color w:val="auto"/>
                <w:sz w:val="21"/>
                <w:szCs w:val="21"/>
                <w:highlight w:val="none"/>
              </w:rPr>
              <w:t>。</w:t>
            </w:r>
          </w:p>
        </w:tc>
      </w:tr>
      <w:tr w14:paraId="6912D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vAlign w:val="center"/>
          </w:tcPr>
          <w:p w14:paraId="4968FBE0">
            <w:pPr>
              <w:pageBreakBefore w:val="0"/>
              <w:kinsoku/>
              <w:overflowPunct/>
              <w:topLinePunct w:val="0"/>
              <w:autoSpaceDE/>
              <w:autoSpaceDN/>
              <w:bidi w:val="0"/>
              <w:spacing w:line="312"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31AC5189">
            <w:pPr>
              <w:pageBreakBefore w:val="0"/>
              <w:numPr>
                <w:ilvl w:val="0"/>
                <w:numId w:val="1"/>
              </w:numPr>
              <w:kinsoku/>
              <w:overflowPunct/>
              <w:topLinePunct w:val="0"/>
              <w:autoSpaceDE/>
              <w:autoSpaceDN/>
              <w:bidi w:val="0"/>
              <w:spacing w:line="312" w:lineRule="auto"/>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货物指标要求清单中如某项标识中包含多条技术参数或要求，则该项标识所含内容均需满足或优于招标文件要求，否则不予认可。</w:t>
            </w:r>
          </w:p>
          <w:p w14:paraId="067D4EAD">
            <w:pPr>
              <w:pageBreakBefore w:val="0"/>
              <w:numPr>
                <w:ilvl w:val="0"/>
                <w:numId w:val="0"/>
              </w:numPr>
              <w:kinsoku/>
              <w:overflowPunct/>
              <w:topLinePunct w:val="0"/>
              <w:autoSpaceDE/>
              <w:autoSpaceDN/>
              <w:bidi w:val="0"/>
              <w:spacing w:line="312" w:lineRule="auto"/>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货物需求清单中未要求提供证明材料的参数以6.2技术响应表作为评审依据。货物需求清单中要求提供证明材料的参数：技术参数中未明确证明材料类型的，证明材料为产品技术说明书或产品彩页或产品功能截图或产品官网截图</w:t>
            </w:r>
            <w:r>
              <w:rPr>
                <w:rFonts w:hint="eastAsia" w:ascii="宋体" w:hAnsi="宋体" w:eastAsia="宋体" w:cs="宋体"/>
                <w:b w:val="0"/>
                <w:bCs w:val="0"/>
                <w:color w:val="auto"/>
                <w:sz w:val="21"/>
                <w:szCs w:val="21"/>
                <w:highlight w:val="none"/>
                <w:lang w:val="en-US" w:eastAsia="zh-CN"/>
              </w:rPr>
              <w:t>或第三方机构出具的检测报告</w:t>
            </w:r>
            <w:r>
              <w:rPr>
                <w:rFonts w:hint="eastAsia" w:ascii="宋体" w:hAnsi="宋体" w:eastAsia="宋体" w:cs="宋体"/>
                <w:b w:val="0"/>
                <w:bCs w:val="0"/>
                <w:color w:val="auto"/>
                <w:sz w:val="21"/>
                <w:szCs w:val="21"/>
                <w:highlight w:val="none"/>
              </w:rPr>
              <w:t>（需能体现关键评审因素，建议标注关键评审因素便于评审）；技术参数中明确要求证明材料类型的，按技术参数中的要求执行。</w:t>
            </w:r>
          </w:p>
          <w:p w14:paraId="3B2D4AA5">
            <w:pPr>
              <w:pageBreakBefore w:val="0"/>
              <w:kinsoku/>
              <w:overflowPunct/>
              <w:topLinePunct w:val="0"/>
              <w:autoSpaceDE/>
              <w:autoSpaceDN/>
              <w:bidi w:val="0"/>
              <w:spacing w:line="312" w:lineRule="auto"/>
              <w:jc w:val="left"/>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color w:val="auto"/>
                <w:sz w:val="21"/>
                <w:szCs w:val="21"/>
                <w:highlight w:val="none"/>
              </w:rPr>
              <w:t>“所属行业”栏标注为“/”的项为所投产品配套的服务，无需在《中小企业声明函》中列明。</w:t>
            </w:r>
          </w:p>
        </w:tc>
      </w:tr>
    </w:tbl>
    <w:p w14:paraId="7E9B8411">
      <w:pPr>
        <w:pageBreakBefore w:val="0"/>
        <w:widowControl/>
        <w:kinsoku/>
        <w:overflowPunct/>
        <w:topLinePunct w:val="0"/>
        <w:autoSpaceDE/>
        <w:autoSpaceDN/>
        <w:bidi w:val="0"/>
        <w:snapToGrid w:val="0"/>
        <w:spacing w:line="312" w:lineRule="auto"/>
        <w:ind w:firstLine="422" w:firstLineChars="200"/>
        <w:textAlignment w:val="auto"/>
        <w:outlineLvl w:val="2"/>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二</w:t>
      </w:r>
      <w:r>
        <w:rPr>
          <w:rFonts w:hint="eastAsia" w:ascii="宋体" w:hAnsi="宋体" w:eastAsia="宋体" w:cs="宋体"/>
          <w:b/>
          <w:bCs/>
          <w:color w:val="auto"/>
          <w:sz w:val="21"/>
          <w:szCs w:val="21"/>
          <w:highlight w:val="none"/>
        </w:rPr>
        <w:t>）货物</w:t>
      </w:r>
      <w:r>
        <w:rPr>
          <w:rFonts w:hint="eastAsia" w:ascii="宋体" w:hAnsi="宋体" w:eastAsia="宋体" w:cs="宋体"/>
          <w:b/>
          <w:bCs/>
          <w:color w:val="auto"/>
          <w:sz w:val="21"/>
          <w:szCs w:val="21"/>
          <w:highlight w:val="none"/>
          <w:lang w:val="en-US"/>
        </w:rPr>
        <w:t>需求</w:t>
      </w:r>
      <w:r>
        <w:rPr>
          <w:rFonts w:hint="eastAsia" w:ascii="宋体" w:hAnsi="宋体" w:eastAsia="宋体" w:cs="宋体"/>
          <w:b/>
          <w:bCs/>
          <w:color w:val="auto"/>
          <w:sz w:val="21"/>
          <w:szCs w:val="21"/>
          <w:highlight w:val="none"/>
        </w:rPr>
        <w:t>清单</w:t>
      </w:r>
    </w:p>
    <w:tbl>
      <w:tblPr>
        <w:tblStyle w:val="7"/>
        <w:tblW w:w="483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1"/>
        <w:gridCol w:w="728"/>
        <w:gridCol w:w="5234"/>
        <w:gridCol w:w="954"/>
        <w:gridCol w:w="711"/>
      </w:tblGrid>
      <w:tr w14:paraId="3545E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21" w:type="dxa"/>
            <w:vAlign w:val="center"/>
          </w:tcPr>
          <w:p w14:paraId="467B4F73">
            <w:pPr>
              <w:pageBreakBefore w:val="0"/>
              <w:kinsoku/>
              <w:overflowPunct/>
              <w:topLinePunct w:val="0"/>
              <w:autoSpaceDE/>
              <w:autoSpaceDN/>
              <w:bidi w:val="0"/>
              <w:snapToGrid w:val="0"/>
              <w:spacing w:line="312"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728" w:type="dxa"/>
            <w:vAlign w:val="center"/>
          </w:tcPr>
          <w:p w14:paraId="5F31DA5C">
            <w:pPr>
              <w:pageBreakBefore w:val="0"/>
              <w:kinsoku/>
              <w:overflowPunct/>
              <w:topLinePunct w:val="0"/>
              <w:autoSpaceDE/>
              <w:autoSpaceDN/>
              <w:bidi w:val="0"/>
              <w:snapToGrid w:val="0"/>
              <w:spacing w:line="312"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货物名称</w:t>
            </w:r>
          </w:p>
        </w:tc>
        <w:tc>
          <w:tcPr>
            <w:tcW w:w="5234" w:type="dxa"/>
            <w:vAlign w:val="center"/>
          </w:tcPr>
          <w:p w14:paraId="6102B780">
            <w:pPr>
              <w:pageBreakBefore w:val="0"/>
              <w:kinsoku/>
              <w:overflowPunct/>
              <w:topLinePunct w:val="0"/>
              <w:autoSpaceDE/>
              <w:autoSpaceDN/>
              <w:bidi w:val="0"/>
              <w:snapToGrid w:val="0"/>
              <w:spacing w:line="312"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技术参数及要求</w:t>
            </w:r>
          </w:p>
        </w:tc>
        <w:tc>
          <w:tcPr>
            <w:tcW w:w="954" w:type="dxa"/>
            <w:vAlign w:val="center"/>
          </w:tcPr>
          <w:p w14:paraId="2108E283">
            <w:pPr>
              <w:pageBreakBefore w:val="0"/>
              <w:kinsoku/>
              <w:overflowPunct/>
              <w:topLinePunct w:val="0"/>
              <w:autoSpaceDE/>
              <w:autoSpaceDN/>
              <w:bidi w:val="0"/>
              <w:snapToGrid w:val="0"/>
              <w:spacing w:line="312"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数量（台/套）</w:t>
            </w:r>
          </w:p>
        </w:tc>
        <w:tc>
          <w:tcPr>
            <w:tcW w:w="711" w:type="dxa"/>
            <w:vAlign w:val="center"/>
          </w:tcPr>
          <w:p w14:paraId="5F96938D">
            <w:pPr>
              <w:pageBreakBefore w:val="0"/>
              <w:kinsoku/>
              <w:overflowPunct/>
              <w:topLinePunct w:val="0"/>
              <w:autoSpaceDE/>
              <w:autoSpaceDN/>
              <w:bidi w:val="0"/>
              <w:snapToGrid w:val="0"/>
              <w:spacing w:line="312"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所属</w:t>
            </w:r>
          </w:p>
          <w:p w14:paraId="619A98FB">
            <w:pPr>
              <w:pageBreakBefore w:val="0"/>
              <w:kinsoku/>
              <w:overflowPunct/>
              <w:topLinePunct w:val="0"/>
              <w:autoSpaceDE/>
              <w:autoSpaceDN/>
              <w:bidi w:val="0"/>
              <w:snapToGrid w:val="0"/>
              <w:spacing w:line="312"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行业</w:t>
            </w:r>
          </w:p>
        </w:tc>
      </w:tr>
      <w:tr w14:paraId="47307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21" w:type="dxa"/>
            <w:vAlign w:val="center"/>
          </w:tcPr>
          <w:p w14:paraId="3946058B">
            <w:pPr>
              <w:pageBreakBefore w:val="0"/>
              <w:kinsoku/>
              <w:overflowPunct/>
              <w:topLinePunct w:val="0"/>
              <w:autoSpaceDE/>
              <w:autoSpaceDN/>
              <w:bidi w:val="0"/>
              <w:spacing w:line="312"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728" w:type="dxa"/>
            <w:vAlign w:val="center"/>
          </w:tcPr>
          <w:p w14:paraId="62E3082A">
            <w:pPr>
              <w:pageBreakBefore w:val="0"/>
              <w:kinsoku/>
              <w:overflowPunct/>
              <w:topLinePunct w:val="0"/>
              <w:autoSpaceDE/>
              <w:autoSpaceDN/>
              <w:bidi w:val="0"/>
              <w:spacing w:line="312" w:lineRule="auto"/>
              <w:jc w:val="center"/>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▲机器人视觉智能应用实训平台</w:t>
            </w:r>
          </w:p>
        </w:tc>
        <w:tc>
          <w:tcPr>
            <w:tcW w:w="5234" w:type="dxa"/>
            <w:vAlign w:val="center"/>
          </w:tcPr>
          <w:p w14:paraId="7160DE07">
            <w:pPr>
              <w:pStyle w:val="11"/>
              <w:pageBreakBefore w:val="0"/>
              <w:tabs>
                <w:tab w:val="center" w:pos="2435"/>
              </w:tabs>
              <w:kinsoku/>
              <w:overflowPunct/>
              <w:topLinePunct w:val="0"/>
              <w:autoSpaceDE/>
              <w:autoSpaceDN/>
              <w:bidi w:val="0"/>
              <w:spacing w:line="312" w:lineRule="auto"/>
              <w:ind w:firstLine="0" w:firstLineChars="0"/>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1、协作机器人：1套；</w:t>
            </w:r>
          </w:p>
          <w:p w14:paraId="3308E3DD">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最大运动范围：≥</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mm；</w:t>
            </w:r>
          </w:p>
          <w:p w14:paraId="1E17DEAA">
            <w:pPr>
              <w:pStyle w:val="11"/>
              <w:pageBreakBefore w:val="0"/>
              <w:numPr>
                <w:ilvl w:val="0"/>
                <w:numId w:val="0"/>
              </w:numPr>
              <w:kinsoku/>
              <w:overflowPunct/>
              <w:topLinePunct w:val="0"/>
              <w:autoSpaceDE/>
              <w:autoSpaceDN/>
              <w:bidi w:val="0"/>
              <w:spacing w:line="312"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1.2技术指标</w:t>
            </w:r>
            <w:r>
              <w:rPr>
                <w:rFonts w:hint="eastAsia" w:ascii="宋体" w:hAnsi="宋体" w:eastAsia="宋体" w:cs="宋体"/>
                <w:b/>
                <w:bCs/>
                <w:color w:val="auto"/>
                <w:sz w:val="21"/>
                <w:szCs w:val="21"/>
                <w:highlight w:val="none"/>
              </w:rPr>
              <w:t>（投标文件中需提供以下</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点的证明材料）</w:t>
            </w:r>
            <w:r>
              <w:rPr>
                <w:rFonts w:hint="eastAsia" w:ascii="宋体" w:hAnsi="宋体" w:eastAsia="宋体" w:cs="宋体"/>
                <w:color w:val="auto"/>
                <w:sz w:val="21"/>
                <w:szCs w:val="21"/>
                <w:highlight w:val="none"/>
                <w:lang w:val="en-US" w:eastAsia="zh-CN"/>
              </w:rPr>
              <w:t>：</w:t>
            </w:r>
          </w:p>
          <w:p w14:paraId="421E0D2F">
            <w:pPr>
              <w:pStyle w:val="11"/>
              <w:pageBreakBefore w:val="0"/>
              <w:numPr>
                <w:ilvl w:val="0"/>
                <w:numId w:val="0"/>
              </w:numPr>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①</w:t>
            </w:r>
            <w:r>
              <w:rPr>
                <w:rFonts w:hint="eastAsia" w:ascii="宋体" w:hAnsi="宋体" w:eastAsia="宋体" w:cs="宋体"/>
                <w:color w:val="auto"/>
                <w:sz w:val="21"/>
                <w:szCs w:val="21"/>
                <w:highlight w:val="none"/>
              </w:rPr>
              <w:t>轴数：6轴；</w:t>
            </w:r>
          </w:p>
          <w:p w14:paraId="32D42362">
            <w:pPr>
              <w:pStyle w:val="11"/>
              <w:pageBreakBefore w:val="0"/>
              <w:numPr>
                <w:ilvl w:val="0"/>
                <w:numId w:val="0"/>
              </w:numPr>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②</w:t>
            </w:r>
            <w:r>
              <w:rPr>
                <w:rFonts w:hint="eastAsia" w:ascii="宋体" w:hAnsi="宋体" w:eastAsia="宋体" w:cs="宋体"/>
                <w:color w:val="auto"/>
                <w:sz w:val="21"/>
                <w:szCs w:val="21"/>
                <w:highlight w:val="none"/>
              </w:rPr>
              <w:t>额定负载能力：≥7kg；</w:t>
            </w:r>
          </w:p>
          <w:p w14:paraId="0141A6DB">
            <w:pPr>
              <w:pStyle w:val="11"/>
              <w:pageBreakBefore w:val="0"/>
              <w:numPr>
                <w:ilvl w:val="0"/>
                <w:numId w:val="0"/>
              </w:numPr>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③</w:t>
            </w:r>
            <w:r>
              <w:rPr>
                <w:rFonts w:hint="eastAsia" w:ascii="宋体" w:hAnsi="宋体" w:eastAsia="宋体" w:cs="宋体"/>
                <w:color w:val="auto"/>
                <w:sz w:val="21"/>
                <w:szCs w:val="21"/>
                <w:highlight w:val="none"/>
              </w:rPr>
              <w:t>位姿重复精度：≤±0.02mm；</w:t>
            </w:r>
          </w:p>
          <w:p w14:paraId="200524DA">
            <w:pPr>
              <w:pStyle w:val="11"/>
              <w:pageBreakBefore w:val="0"/>
              <w:numPr>
                <w:ilvl w:val="0"/>
                <w:numId w:val="0"/>
              </w:numPr>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④</w:t>
            </w:r>
            <w:r>
              <w:rPr>
                <w:rFonts w:hint="eastAsia" w:ascii="宋体" w:hAnsi="宋体" w:eastAsia="宋体" w:cs="宋体"/>
                <w:color w:val="auto"/>
                <w:sz w:val="21"/>
                <w:szCs w:val="21"/>
                <w:highlight w:val="none"/>
              </w:rPr>
              <w:t>运动范围不小于：A1，±360°；A2，±360°；A3，±360°；A4，±360°；A5，±360°；A6，±360°；</w:t>
            </w:r>
            <w:r>
              <w:rPr>
                <w:rFonts w:hint="eastAsia" w:ascii="宋体" w:hAnsi="宋体" w:eastAsia="宋体" w:cs="宋体"/>
                <w:color w:val="auto"/>
                <w:sz w:val="21"/>
                <w:szCs w:val="21"/>
                <w:highlight w:val="none"/>
                <w:lang w:val="en-US" w:eastAsia="zh-CN"/>
              </w:rPr>
              <w:t>⑤</w:t>
            </w:r>
            <w:r>
              <w:rPr>
                <w:rFonts w:hint="eastAsia" w:ascii="宋体" w:hAnsi="宋体" w:eastAsia="宋体" w:cs="宋体"/>
                <w:color w:val="auto"/>
                <w:sz w:val="21"/>
                <w:szCs w:val="21"/>
                <w:highlight w:val="none"/>
              </w:rPr>
              <w:t>力控相对精度：0.5N；0.1Nm；</w:t>
            </w:r>
          </w:p>
          <w:p w14:paraId="4EF8A2F0">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⑥</w:t>
            </w:r>
            <w:r>
              <w:rPr>
                <w:rFonts w:hint="eastAsia" w:ascii="宋体" w:hAnsi="宋体" w:eastAsia="宋体" w:cs="宋体"/>
                <w:color w:val="auto"/>
                <w:sz w:val="21"/>
                <w:szCs w:val="21"/>
                <w:highlight w:val="none"/>
              </w:rPr>
              <w:t>配手持示教器。</w:t>
            </w:r>
          </w:p>
          <w:p w14:paraId="2BF5BB68">
            <w:pPr>
              <w:pStyle w:val="5"/>
              <w:pageBreakBefore w:val="0"/>
              <w:kinsoku/>
              <w:overflowPunct/>
              <w:topLinePunct w:val="0"/>
              <w:autoSpaceDE/>
              <w:autoSpaceDN/>
              <w:bidi w:val="0"/>
              <w:spacing w:after="0" w:line="312" w:lineRule="auto"/>
              <w:textAlignment w:val="auto"/>
              <w:rPr>
                <w:rFonts w:hint="eastAsia" w:ascii="宋体" w:hAnsi="宋体" w:eastAsia="宋体" w:cs="宋体"/>
                <w:color w:val="auto"/>
                <w:sz w:val="21"/>
                <w:szCs w:val="21"/>
                <w:highlight w:val="none"/>
              </w:rPr>
            </w:pPr>
          </w:p>
          <w:p w14:paraId="76774A1F">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●2、机器人抓手库：</w:t>
            </w:r>
            <w:r>
              <w:rPr>
                <w:rFonts w:hint="eastAsia" w:ascii="宋体" w:hAnsi="宋体" w:eastAsia="宋体" w:cs="宋体"/>
                <w:b w:val="0"/>
                <w:bCs w:val="0"/>
                <w:color w:val="auto"/>
                <w:sz w:val="21"/>
                <w:szCs w:val="21"/>
                <w:highlight w:val="none"/>
              </w:rPr>
              <w:t>1套，配置2个抓手工具，分别为：</w:t>
            </w:r>
          </w:p>
          <w:p w14:paraId="53CE6BB6">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1)抓手工具1：满足所提供物料的抓取，采用气缸夹持，配机器人快换工具；</w:t>
            </w:r>
          </w:p>
          <w:p w14:paraId="2F60FD54">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2)抓手工具2：满足所提供物料的抓取，采用气缸夹持，配机器人快换工具；</w:t>
            </w:r>
          </w:p>
          <w:p w14:paraId="79D2363B">
            <w:pPr>
              <w:pStyle w:val="5"/>
              <w:pageBreakBefore w:val="0"/>
              <w:kinsoku/>
              <w:overflowPunct/>
              <w:topLinePunct w:val="0"/>
              <w:autoSpaceDE/>
              <w:autoSpaceDN/>
              <w:bidi w:val="0"/>
              <w:spacing w:after="0" w:line="312" w:lineRule="auto"/>
              <w:ind w:left="-2" w:hanging="40"/>
              <w:textAlignment w:val="auto"/>
              <w:rPr>
                <w:rFonts w:hint="eastAsia" w:ascii="宋体" w:hAnsi="宋体" w:eastAsia="宋体" w:cs="宋体"/>
                <w:color w:val="auto"/>
                <w:sz w:val="21"/>
                <w:szCs w:val="21"/>
                <w:highlight w:val="none"/>
              </w:rPr>
            </w:pPr>
          </w:p>
          <w:p w14:paraId="7C7B6C5A">
            <w:pPr>
              <w:pStyle w:val="11"/>
              <w:pageBreakBefore w:val="0"/>
              <w:numPr>
                <w:ilvl w:val="0"/>
                <w:numId w:val="0"/>
              </w:numPr>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3、3D视觉单元：1套；</w:t>
            </w:r>
          </w:p>
          <w:p w14:paraId="272D1832">
            <w:pPr>
              <w:pStyle w:val="11"/>
              <w:pageBreakBefore w:val="0"/>
              <w:numPr>
                <w:ilvl w:val="0"/>
                <w:numId w:val="0"/>
              </w:numPr>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3.1技术指标1</w:t>
            </w:r>
            <w:r>
              <w:rPr>
                <w:rFonts w:hint="eastAsia" w:ascii="宋体" w:hAnsi="宋体" w:eastAsia="宋体" w:cs="宋体"/>
                <w:b/>
                <w:bCs/>
                <w:color w:val="auto"/>
                <w:sz w:val="21"/>
                <w:szCs w:val="21"/>
                <w:highlight w:val="none"/>
              </w:rPr>
              <w:t>（投标文件中需提供以下</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点的证明材料）</w:t>
            </w:r>
            <w:r>
              <w:rPr>
                <w:rFonts w:hint="eastAsia" w:ascii="宋体" w:hAnsi="宋体" w:eastAsia="宋体" w:cs="宋体"/>
                <w:color w:val="auto"/>
                <w:sz w:val="21"/>
                <w:szCs w:val="21"/>
                <w:highlight w:val="none"/>
                <w:lang w:val="en-US" w:eastAsia="zh-CN"/>
              </w:rPr>
              <w:t>：</w:t>
            </w:r>
          </w:p>
          <w:p w14:paraId="21ACE54E">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1)工作距离（mm）：≥400~800；</w:t>
            </w:r>
          </w:p>
          <w:p w14:paraId="6A93CB0D">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2)近端视场(mm）：≥400×2</w:t>
            </w:r>
            <w:r>
              <w:rPr>
                <w:rFonts w:hint="eastAsia" w:ascii="宋体" w:hAnsi="宋体" w:eastAsia="宋体" w:cs="宋体"/>
                <w:color w:val="auto"/>
                <w:sz w:val="21"/>
                <w:szCs w:val="21"/>
                <w:highlight w:val="none"/>
                <w:lang w:val="en-US" w:eastAsia="zh-CN"/>
              </w:rPr>
              <w:t>85</w:t>
            </w:r>
            <w:r>
              <w:rPr>
                <w:rFonts w:hint="eastAsia" w:ascii="宋体" w:hAnsi="宋体" w:eastAsia="宋体" w:cs="宋体"/>
                <w:color w:val="auto"/>
                <w:sz w:val="21"/>
                <w:szCs w:val="21"/>
                <w:highlight w:val="none"/>
              </w:rPr>
              <w:t>@0.4m；</w:t>
            </w:r>
          </w:p>
          <w:p w14:paraId="2E759BD5">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3)远端视场(mm)：≥770×550@0.8m；</w:t>
            </w:r>
          </w:p>
          <w:p w14:paraId="59308C7D">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4)分辨率：≥2400×1800；</w:t>
            </w:r>
          </w:p>
          <w:p w14:paraId="12004286">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5)Z向单点重复精度：0.1mm @ 0.6m；</w:t>
            </w:r>
          </w:p>
          <w:p w14:paraId="1077E63D">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6)设备依据JJF1981-2021测量精度：0.1 mm @ 0.6m</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0.6m的距离下测量精度为±0.1mm</w:t>
            </w:r>
            <w:r>
              <w:rPr>
                <w:rFonts w:hint="eastAsia" w:ascii="宋体" w:hAnsi="宋体" w:eastAsia="宋体" w:cs="宋体"/>
                <w:color w:val="auto"/>
                <w:sz w:val="21"/>
                <w:szCs w:val="21"/>
                <w:highlight w:val="none"/>
                <w:lang w:eastAsia="zh-CN"/>
              </w:rPr>
              <w:t>）；</w:t>
            </w:r>
          </w:p>
          <w:p w14:paraId="7657A337">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3.2技术指标2：</w:t>
            </w:r>
          </w:p>
          <w:p w14:paraId="113C5996">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)典型采集时间（s）：0.5~0.9；</w:t>
            </w:r>
          </w:p>
          <w:p w14:paraId="4D40DB0D">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)工作电压：DC24V；</w:t>
            </w:r>
          </w:p>
          <w:p w14:paraId="0CB7F18B">
            <w:pPr>
              <w:pStyle w:val="11"/>
              <w:pageBreakBefore w:val="0"/>
              <w:tabs>
                <w:tab w:val="center" w:pos="2435"/>
              </w:tabs>
              <w:kinsoku/>
              <w:overflowPunct/>
              <w:topLinePunct w:val="0"/>
              <w:autoSpaceDE/>
              <w:autoSpaceDN/>
              <w:bidi w:val="0"/>
              <w:spacing w:line="312" w:lineRule="auto"/>
              <w:ind w:firstLine="0" w:firstLineChars="0"/>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)图形化机器视觉软件：</w:t>
            </w:r>
            <w:r>
              <w:rPr>
                <w:rFonts w:hint="eastAsia" w:ascii="宋体" w:hAnsi="宋体" w:eastAsia="宋体" w:cs="宋体"/>
                <w:color w:val="auto"/>
                <w:sz w:val="21"/>
                <w:szCs w:val="21"/>
                <w:highlight w:val="none"/>
              </w:rPr>
              <w:tab/>
            </w:r>
          </w:p>
          <w:p w14:paraId="139FD7C0">
            <w:pPr>
              <w:pStyle w:val="11"/>
              <w:pageBreakBefore w:val="0"/>
              <w:tabs>
                <w:tab w:val="center" w:pos="2435"/>
              </w:tabs>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■①图形化机器视觉软件编程界面完全图形化，无代码编写即可满足物品形状检测、大小参数检测。软件内置形状检测、3D匹配、深度学习等算法模块。</w:t>
            </w:r>
            <w:r>
              <w:rPr>
                <w:rFonts w:hint="eastAsia" w:ascii="宋体" w:hAnsi="宋体" w:eastAsia="宋体" w:cs="宋体"/>
                <w:b/>
                <w:bCs/>
                <w:color w:val="auto"/>
                <w:sz w:val="21"/>
                <w:szCs w:val="21"/>
                <w:highlight w:val="none"/>
              </w:rPr>
              <w:t>（投标文件中需提供软件截图证明软件界面完全图片化，可以实现</w:t>
            </w:r>
            <w:r>
              <w:rPr>
                <w:rFonts w:hint="eastAsia" w:ascii="宋体" w:hAnsi="宋体" w:eastAsia="宋体" w:cs="宋体"/>
                <w:b/>
                <w:bCs/>
                <w:color w:val="auto"/>
                <w:sz w:val="21"/>
                <w:szCs w:val="21"/>
                <w:highlight w:val="none"/>
                <w:lang w:val="en-US" w:eastAsia="zh-CN"/>
              </w:rPr>
              <w:t>上述</w:t>
            </w:r>
            <w:r>
              <w:rPr>
                <w:rFonts w:hint="eastAsia" w:ascii="宋体" w:hAnsi="宋体" w:eastAsia="宋体" w:cs="宋体"/>
                <w:b/>
                <w:bCs/>
                <w:color w:val="auto"/>
                <w:sz w:val="21"/>
                <w:szCs w:val="21"/>
                <w:highlight w:val="none"/>
              </w:rPr>
              <w:t>功能的截图）</w:t>
            </w:r>
          </w:p>
          <w:p w14:paraId="243AF736">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②软件拥有内置完整视觉算法库，包含图像预处理、几何测量、轮廓分析、匹配定位、缺陷检测、逻辑运算、数据统计、通讯输出（</w:t>
            </w:r>
            <w:r>
              <w:rPr>
                <w:rFonts w:hint="eastAsia" w:ascii="宋体" w:hAnsi="宋体" w:eastAsia="宋体" w:cs="宋体"/>
                <w:b w:val="0"/>
                <w:bCs w:val="0"/>
                <w:color w:val="auto"/>
                <w:sz w:val="21"/>
                <w:szCs w:val="21"/>
                <w:highlight w:val="none"/>
              </w:rPr>
              <w:t>验收方式：</w:t>
            </w:r>
            <w:r>
              <w:rPr>
                <w:rFonts w:hint="eastAsia" w:ascii="宋体" w:hAnsi="宋体" w:eastAsia="宋体" w:cs="宋体"/>
                <w:b w:val="0"/>
                <w:bCs w:val="0"/>
                <w:color w:val="auto"/>
                <w:sz w:val="21"/>
                <w:szCs w:val="21"/>
                <w:highlight w:val="none"/>
                <w:lang w:val="en-US" w:eastAsia="zh-CN"/>
              </w:rPr>
              <w:t>验收时</w:t>
            </w:r>
            <w:r>
              <w:rPr>
                <w:rFonts w:hint="eastAsia" w:ascii="宋体" w:hAnsi="宋体" w:eastAsia="宋体" w:cs="宋体"/>
                <w:b w:val="0"/>
                <w:bCs w:val="0"/>
                <w:color w:val="auto"/>
                <w:sz w:val="21"/>
                <w:szCs w:val="21"/>
                <w:highlight w:val="none"/>
              </w:rPr>
              <w:t>随机抽取几个强光、弱光、反光工件测试，上述功能全部实现，全部达标判定</w:t>
            </w:r>
            <w:r>
              <w:rPr>
                <w:rFonts w:hint="eastAsia" w:ascii="宋体" w:hAnsi="宋体" w:eastAsia="宋体" w:cs="宋体"/>
                <w:b w:val="0"/>
                <w:bCs w:val="0"/>
                <w:color w:val="auto"/>
                <w:sz w:val="21"/>
                <w:szCs w:val="21"/>
                <w:highlight w:val="none"/>
                <w:lang w:val="en-US" w:eastAsia="zh-CN"/>
              </w:rPr>
              <w:t>验收</w:t>
            </w:r>
            <w:r>
              <w:rPr>
                <w:rFonts w:hint="eastAsia" w:ascii="宋体" w:hAnsi="宋体" w:eastAsia="宋体" w:cs="宋体"/>
                <w:b w:val="0"/>
                <w:bCs w:val="0"/>
                <w:color w:val="auto"/>
                <w:sz w:val="21"/>
                <w:szCs w:val="21"/>
                <w:highlight w:val="none"/>
              </w:rPr>
              <w:t>合格。</w:t>
            </w:r>
            <w:r>
              <w:rPr>
                <w:rFonts w:hint="eastAsia" w:ascii="宋体" w:hAnsi="宋体" w:eastAsia="宋体" w:cs="宋体"/>
                <w:color w:val="auto"/>
                <w:sz w:val="21"/>
                <w:szCs w:val="21"/>
                <w:highlight w:val="none"/>
              </w:rPr>
              <w:t>）</w:t>
            </w:r>
          </w:p>
          <w:p w14:paraId="2F73A2B8">
            <w:pPr>
              <w:pStyle w:val="11"/>
              <w:pageBreakBefore w:val="0"/>
              <w:tabs>
                <w:tab w:val="center" w:pos="2435"/>
              </w:tabs>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●③软件内置深度学习框架，包含至少3款深度学习框架。软件支持实例分割、物体分类等常用算法，可以实现对纸箱、麻袋以及任意堆叠的各种金属件、日用品的准确、识别</w:t>
            </w:r>
            <w:r>
              <w:rPr>
                <w:rFonts w:hint="eastAsia" w:ascii="宋体" w:hAnsi="宋体" w:eastAsia="宋体" w:cs="宋体"/>
                <w:color w:val="auto"/>
                <w:sz w:val="21"/>
                <w:szCs w:val="21"/>
                <w:highlight w:val="none"/>
                <w:lang w:eastAsia="zh-CN"/>
              </w:rPr>
              <w:t>；</w:t>
            </w:r>
            <w:r>
              <w:rPr>
                <w:rFonts w:hint="eastAsia" w:ascii="宋体" w:hAnsi="宋体" w:eastAsia="宋体" w:cs="宋体"/>
                <w:b/>
                <w:bCs/>
                <w:color w:val="auto"/>
                <w:sz w:val="21"/>
                <w:szCs w:val="21"/>
                <w:highlight w:val="none"/>
              </w:rPr>
              <w:t>（投标文件中需提供软件截图证明，截图可体现识别堆叠件）</w:t>
            </w:r>
          </w:p>
          <w:p w14:paraId="546FE952">
            <w:pPr>
              <w:pStyle w:val="11"/>
              <w:pageBreakBefore w:val="0"/>
              <w:tabs>
                <w:tab w:val="center" w:pos="2435"/>
              </w:tabs>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■④软件集成自动标定、点云编辑、轨迹编辑、模板采集、示校抓取点等多种实用工具。</w:t>
            </w:r>
            <w:r>
              <w:rPr>
                <w:rFonts w:hint="eastAsia" w:ascii="宋体" w:hAnsi="宋体" w:eastAsia="宋体" w:cs="宋体"/>
                <w:b/>
                <w:bCs/>
                <w:color w:val="auto"/>
                <w:sz w:val="21"/>
                <w:szCs w:val="21"/>
                <w:highlight w:val="none"/>
              </w:rPr>
              <w:t>（投标文件中需提供软件截图证明）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实现全部操作在软件内完成。</w:t>
            </w:r>
          </w:p>
          <w:p w14:paraId="71D06257">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10)配物料放置平台。</w:t>
            </w:r>
          </w:p>
          <w:p w14:paraId="606C5E32">
            <w:pPr>
              <w:pStyle w:val="5"/>
              <w:pageBreakBefore w:val="0"/>
              <w:kinsoku/>
              <w:overflowPunct/>
              <w:topLinePunct w:val="0"/>
              <w:autoSpaceDE/>
              <w:autoSpaceDN/>
              <w:bidi w:val="0"/>
              <w:spacing w:after="0" w:line="312" w:lineRule="auto"/>
              <w:ind w:left="-2" w:hanging="40"/>
              <w:textAlignment w:val="auto"/>
              <w:rPr>
                <w:rFonts w:hint="eastAsia" w:ascii="宋体" w:hAnsi="宋体" w:eastAsia="宋体" w:cs="宋体"/>
                <w:color w:val="auto"/>
                <w:sz w:val="21"/>
                <w:szCs w:val="21"/>
                <w:highlight w:val="none"/>
              </w:rPr>
            </w:pPr>
          </w:p>
          <w:p w14:paraId="1B19325F">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■4、2D视觉单元：1套；</w:t>
            </w:r>
          </w:p>
          <w:p w14:paraId="39BA599E">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1)相机：≥300万全局曝光，最低工作温度</w:t>
            </w:r>
            <w:r>
              <w:rPr>
                <w:rFonts w:hint="eastAsia" w:ascii="宋体" w:hAnsi="宋体" w:eastAsia="宋体" w:cs="宋体"/>
                <w:color w:val="auto"/>
                <w:sz w:val="21"/>
                <w:szCs w:val="21"/>
                <w:highlight w:val="none"/>
                <w:lang w:val="en-US" w:eastAsia="zh-CN"/>
              </w:rPr>
              <w:t>可支持</w:t>
            </w:r>
            <w:r>
              <w:rPr>
                <w:rFonts w:hint="eastAsia" w:ascii="宋体" w:hAnsi="宋体" w:eastAsia="宋体" w:cs="宋体"/>
                <w:color w:val="auto"/>
                <w:sz w:val="21"/>
                <w:szCs w:val="21"/>
                <w:highlight w:val="none"/>
              </w:rPr>
              <w:t>≤-20℃，最高工作温度</w:t>
            </w:r>
            <w:r>
              <w:rPr>
                <w:rFonts w:hint="eastAsia" w:ascii="宋体" w:hAnsi="宋体" w:eastAsia="宋体" w:cs="宋体"/>
                <w:color w:val="auto"/>
                <w:sz w:val="21"/>
                <w:szCs w:val="21"/>
                <w:highlight w:val="none"/>
                <w:lang w:val="en-US" w:eastAsia="zh-CN"/>
              </w:rPr>
              <w:t>可支持</w:t>
            </w:r>
            <w:r>
              <w:rPr>
                <w:rFonts w:hint="eastAsia" w:ascii="宋体" w:hAnsi="宋体" w:eastAsia="宋体" w:cs="宋体"/>
                <w:color w:val="auto"/>
                <w:sz w:val="21"/>
                <w:szCs w:val="21"/>
                <w:highlight w:val="none"/>
              </w:rPr>
              <w:t>≥60℃，彩色,</w:t>
            </w:r>
            <w:r>
              <w:rPr>
                <w:rFonts w:hint="eastAsia" w:ascii="宋体" w:hAnsi="宋体" w:eastAsia="宋体" w:cs="宋体"/>
                <w:color w:val="auto"/>
                <w:sz w:val="21"/>
                <w:szCs w:val="21"/>
                <w:highlight w:val="none"/>
                <w:lang w:val="en-US" w:eastAsia="zh-CN"/>
              </w:rPr>
              <w:t>感光靶面尺寸</w:t>
            </w:r>
            <w:r>
              <w:rPr>
                <w:rFonts w:hint="eastAsia" w:ascii="宋体" w:hAnsi="宋体" w:eastAsia="宋体" w:cs="宋体"/>
                <w:i w:val="0"/>
                <w:iCs w:val="0"/>
                <w:caps w:val="0"/>
                <w:color w:val="auto"/>
                <w:spacing w:val="0"/>
                <w:sz w:val="21"/>
                <w:szCs w:val="21"/>
                <w:highlight w:val="none"/>
              </w:rPr>
              <w:t>≥</w:t>
            </w:r>
            <w:r>
              <w:rPr>
                <w:rFonts w:hint="eastAsia" w:ascii="宋体" w:hAnsi="宋体" w:eastAsia="宋体" w:cs="宋体"/>
                <w:color w:val="auto"/>
                <w:sz w:val="21"/>
                <w:szCs w:val="21"/>
                <w:highlight w:val="none"/>
              </w:rPr>
              <w:t>1/1.8”，</w:t>
            </w:r>
            <w:r>
              <w:rPr>
                <w:rFonts w:hint="eastAsia" w:ascii="宋体" w:hAnsi="宋体" w:eastAsia="宋体" w:cs="宋体"/>
                <w:i w:val="0"/>
                <w:iCs w:val="0"/>
                <w:caps w:val="0"/>
                <w:color w:val="auto"/>
                <w:spacing w:val="0"/>
                <w:sz w:val="21"/>
                <w:szCs w:val="21"/>
                <w:highlight w:val="none"/>
              </w:rPr>
              <w:t>≥</w:t>
            </w:r>
            <w:r>
              <w:rPr>
                <w:rFonts w:hint="eastAsia" w:ascii="宋体" w:hAnsi="宋体" w:eastAsia="宋体" w:cs="宋体"/>
                <w:color w:val="auto"/>
                <w:sz w:val="21"/>
                <w:szCs w:val="21"/>
                <w:highlight w:val="none"/>
              </w:rPr>
              <w:t>36fps,CMOS千兆以太网工业相机；配镜头；</w:t>
            </w:r>
          </w:p>
          <w:p w14:paraId="2B763787">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2)配套视觉系统软件：能满足视觉定位、尺寸测量、缺陷检测以及信息识别等机器视觉应用；</w:t>
            </w:r>
            <w:r>
              <w:rPr>
                <w:rFonts w:hint="eastAsia" w:ascii="宋体" w:hAnsi="宋体" w:eastAsia="宋体" w:cs="宋体"/>
                <w:b/>
                <w:bCs/>
                <w:color w:val="auto"/>
                <w:sz w:val="21"/>
                <w:szCs w:val="21"/>
                <w:highlight w:val="none"/>
              </w:rPr>
              <w:t>（投标文件中需提供软件截图证明）</w:t>
            </w:r>
          </w:p>
          <w:p w14:paraId="0F6E24E3">
            <w:pPr>
              <w:pStyle w:val="5"/>
              <w:pageBreakBefore w:val="0"/>
              <w:kinsoku/>
              <w:overflowPunct/>
              <w:topLinePunct w:val="0"/>
              <w:autoSpaceDE/>
              <w:autoSpaceDN/>
              <w:bidi w:val="0"/>
              <w:spacing w:after="0" w:line="312" w:lineRule="auto"/>
              <w:ind w:left="-2" w:hanging="40"/>
              <w:textAlignment w:val="auto"/>
              <w:rPr>
                <w:rFonts w:hint="eastAsia" w:ascii="宋体" w:hAnsi="宋体" w:eastAsia="宋体" w:cs="宋体"/>
                <w:color w:val="auto"/>
                <w:sz w:val="21"/>
                <w:szCs w:val="21"/>
                <w:highlight w:val="none"/>
              </w:rPr>
            </w:pPr>
          </w:p>
          <w:p w14:paraId="1378BA32">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5、输送单元：1套；</w:t>
            </w:r>
          </w:p>
          <w:p w14:paraId="0C4B871B">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1)输送面为皮带传输；</w:t>
            </w:r>
          </w:p>
          <w:p w14:paraId="3FEB03C5">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2)输送长度：≥600mm；</w:t>
            </w:r>
          </w:p>
          <w:p w14:paraId="6C229D79">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配置</w:t>
            </w:r>
            <w:r>
              <w:rPr>
                <w:rFonts w:hint="eastAsia" w:ascii="宋体" w:hAnsi="宋体" w:eastAsia="宋体" w:cs="宋体"/>
                <w:color w:val="auto"/>
                <w:sz w:val="21"/>
                <w:szCs w:val="21"/>
                <w:highlight w:val="none"/>
              </w:rPr>
              <w:t>变频器与电机驱动；</w:t>
            </w:r>
          </w:p>
          <w:p w14:paraId="5BC78675">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4)装有光电传感器；</w:t>
            </w:r>
          </w:p>
          <w:p w14:paraId="49A39057">
            <w:pPr>
              <w:pStyle w:val="5"/>
              <w:pageBreakBefore w:val="0"/>
              <w:kinsoku/>
              <w:overflowPunct/>
              <w:topLinePunct w:val="0"/>
              <w:autoSpaceDE/>
              <w:autoSpaceDN/>
              <w:bidi w:val="0"/>
              <w:spacing w:after="0" w:line="312" w:lineRule="auto"/>
              <w:ind w:left="-2" w:hanging="40"/>
              <w:textAlignment w:val="auto"/>
              <w:rPr>
                <w:rFonts w:hint="eastAsia" w:ascii="宋体" w:hAnsi="宋体" w:eastAsia="宋体" w:cs="宋体"/>
                <w:color w:val="auto"/>
                <w:sz w:val="21"/>
                <w:szCs w:val="21"/>
                <w:highlight w:val="none"/>
              </w:rPr>
            </w:pPr>
          </w:p>
          <w:p w14:paraId="50B04B42">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6、装配单元：1套；</w:t>
            </w:r>
          </w:p>
          <w:p w14:paraId="31772A5D">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1)由龙门三坐标、装配模组、模组壳料库组成；</w:t>
            </w:r>
          </w:p>
          <w:p w14:paraId="03203942">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●2)龙门三坐标：由伺服电机驱动；X/Y/Z行程：≥600/300/150mm；</w:t>
            </w:r>
            <w:r>
              <w:rPr>
                <w:rFonts w:hint="eastAsia" w:ascii="宋体" w:hAnsi="宋体" w:eastAsia="宋体" w:cs="宋体"/>
                <w:b/>
                <w:bCs/>
                <w:color w:val="auto"/>
                <w:sz w:val="21"/>
                <w:szCs w:val="21"/>
                <w:highlight w:val="none"/>
              </w:rPr>
              <w:t>（投标文件中需提供证明材料）</w:t>
            </w:r>
          </w:p>
          <w:p w14:paraId="184246DB">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●3)装配模组：气缸电机驱动；行程：≥300mm；</w:t>
            </w:r>
            <w:r>
              <w:rPr>
                <w:rFonts w:hint="eastAsia" w:ascii="宋体" w:hAnsi="宋体" w:eastAsia="宋体" w:cs="宋体"/>
                <w:b/>
                <w:bCs/>
                <w:color w:val="auto"/>
                <w:sz w:val="21"/>
                <w:szCs w:val="21"/>
                <w:highlight w:val="none"/>
              </w:rPr>
              <w:t>（投标文件中需提供证明材料）</w:t>
            </w:r>
          </w:p>
          <w:p w14:paraId="355563B9">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4)模组壳料库：物料数量≥4件；</w:t>
            </w:r>
          </w:p>
          <w:p w14:paraId="1D0042B1">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5)模组固定位有传感器检测；</w:t>
            </w:r>
          </w:p>
          <w:p w14:paraId="6E1B0F46">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6)装配物料：4套；</w:t>
            </w:r>
          </w:p>
          <w:p w14:paraId="168407A8">
            <w:pPr>
              <w:pStyle w:val="5"/>
              <w:pageBreakBefore w:val="0"/>
              <w:kinsoku/>
              <w:overflowPunct/>
              <w:topLinePunct w:val="0"/>
              <w:autoSpaceDE/>
              <w:autoSpaceDN/>
              <w:bidi w:val="0"/>
              <w:spacing w:after="0" w:line="312" w:lineRule="auto"/>
              <w:ind w:left="-2" w:hanging="40"/>
              <w:textAlignment w:val="auto"/>
              <w:rPr>
                <w:rFonts w:hint="eastAsia" w:ascii="宋体" w:hAnsi="宋体" w:eastAsia="宋体" w:cs="宋体"/>
                <w:color w:val="auto"/>
                <w:sz w:val="21"/>
                <w:szCs w:val="21"/>
                <w:highlight w:val="none"/>
              </w:rPr>
            </w:pPr>
          </w:p>
          <w:p w14:paraId="1DF72B32">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7、成品库单元：1套；</w:t>
            </w:r>
          </w:p>
          <w:p w14:paraId="0BCEBBE9">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1)主体为铝合金材质；</w:t>
            </w:r>
          </w:p>
          <w:p w14:paraId="05482354">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2)库位数量：≥4个；</w:t>
            </w:r>
          </w:p>
          <w:p w14:paraId="236131BE">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■3)每个库位配有检测传感器；</w:t>
            </w:r>
          </w:p>
          <w:p w14:paraId="17C9058F">
            <w:pPr>
              <w:pStyle w:val="5"/>
              <w:pageBreakBefore w:val="0"/>
              <w:kinsoku/>
              <w:overflowPunct/>
              <w:topLinePunct w:val="0"/>
              <w:autoSpaceDE/>
              <w:autoSpaceDN/>
              <w:bidi w:val="0"/>
              <w:spacing w:after="0" w:line="312" w:lineRule="auto"/>
              <w:ind w:left="-2" w:hanging="40"/>
              <w:textAlignment w:val="auto"/>
              <w:rPr>
                <w:rFonts w:hint="eastAsia" w:ascii="宋体" w:hAnsi="宋体" w:eastAsia="宋体" w:cs="宋体"/>
                <w:color w:val="auto"/>
                <w:sz w:val="21"/>
                <w:szCs w:val="21"/>
                <w:highlight w:val="none"/>
              </w:rPr>
            </w:pPr>
          </w:p>
          <w:p w14:paraId="0824F7FA">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●8、电子看板：1套；</w:t>
            </w:r>
          </w:p>
          <w:p w14:paraId="13FA7B54">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1)屏幕≥26英寸；</w:t>
            </w:r>
          </w:p>
          <w:p w14:paraId="6A4F5AB1">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2)分辨率≥1920*1080；</w:t>
            </w:r>
          </w:p>
          <w:p w14:paraId="50DBC313">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p>
          <w:p w14:paraId="333CC50F">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9、配套设备台架：1套；；</w:t>
            </w:r>
          </w:p>
          <w:p w14:paraId="7C6B4474">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1)整体框架由铝型材拼接组成，外围碳钢板喷漆防锈处理；底部带可固定的万向脚轮；</w:t>
            </w:r>
          </w:p>
          <w:p w14:paraId="4FC5B623">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2)承载重量≥200kg；</w:t>
            </w:r>
          </w:p>
          <w:p w14:paraId="387AC249">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bookmarkStart w:id="6" w:name="OLE_LINK2"/>
            <w:bookmarkStart w:id="7" w:name="OLE_LINK3"/>
            <w:r>
              <w:rPr>
                <w:rFonts w:hint="eastAsia" w:ascii="宋体" w:hAnsi="宋体" w:eastAsia="宋体" w:cs="宋体"/>
                <w:color w:val="auto"/>
                <w:sz w:val="21"/>
                <w:szCs w:val="21"/>
                <w:highlight w:val="none"/>
              </w:rPr>
              <w:t>●</w:t>
            </w:r>
            <w:bookmarkEnd w:id="6"/>
            <w:bookmarkEnd w:id="7"/>
            <w:r>
              <w:rPr>
                <w:rFonts w:hint="eastAsia" w:ascii="宋体" w:hAnsi="宋体" w:eastAsia="宋体" w:cs="宋体"/>
                <w:color w:val="auto"/>
                <w:sz w:val="21"/>
                <w:szCs w:val="21"/>
                <w:highlight w:val="none"/>
              </w:rPr>
              <w:t>3)配安全光栅；</w:t>
            </w:r>
          </w:p>
          <w:p w14:paraId="571C88D7">
            <w:pPr>
              <w:pStyle w:val="5"/>
              <w:pageBreakBefore w:val="0"/>
              <w:kinsoku/>
              <w:overflowPunct/>
              <w:topLinePunct w:val="0"/>
              <w:autoSpaceDE/>
              <w:autoSpaceDN/>
              <w:bidi w:val="0"/>
              <w:spacing w:after="0" w:line="312" w:lineRule="auto"/>
              <w:ind w:left="-2" w:hanging="40"/>
              <w:textAlignment w:val="auto"/>
              <w:rPr>
                <w:rFonts w:hint="eastAsia" w:ascii="宋体" w:hAnsi="宋体" w:eastAsia="宋体" w:cs="宋体"/>
                <w:color w:val="auto"/>
                <w:sz w:val="21"/>
                <w:szCs w:val="21"/>
                <w:highlight w:val="none"/>
                <w:lang w:val="en-US"/>
              </w:rPr>
            </w:pPr>
          </w:p>
          <w:p w14:paraId="5E1CED09">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10、电气控制系统：1套；</w:t>
            </w:r>
          </w:p>
          <w:p w14:paraId="5918F3E9">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●1)配有控制面板，包含有启动、停止、紧急停止按钮、三色灯等器件。</w:t>
            </w:r>
          </w:p>
          <w:p w14:paraId="4B996F3D">
            <w:pPr>
              <w:pageBreakBefore w:val="0"/>
              <w:kinsoku/>
              <w:overflowPunct/>
              <w:topLinePunct w:val="0"/>
              <w:autoSpaceDE/>
              <w:autoSpaceDN/>
              <w:bidi w:val="0"/>
              <w:spacing w:line="312" w:lineRule="auto"/>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2)PLC参数：≥125KB工作存储器；24VDC电源，板载≥DI14x24VDC漏型/源型，板载≥DQ10x24VDC、≥AI2和AQ2；板载≥6个高速计数器和4路脉冲输出；信号板扩展板载式I/O；≥3个可进行串行通信的通信模块；≥8个可用于I/O扩展的信号模块；支持PROFINET通信。</w:t>
            </w:r>
            <w:r>
              <w:rPr>
                <w:rFonts w:hint="eastAsia" w:ascii="宋体" w:hAnsi="宋体" w:eastAsia="宋体" w:cs="宋体"/>
                <w:b/>
                <w:bCs/>
                <w:color w:val="auto"/>
                <w:sz w:val="21"/>
                <w:szCs w:val="21"/>
                <w:highlight w:val="none"/>
              </w:rPr>
              <w:t>（投标文件中需提供证明材料）</w:t>
            </w:r>
          </w:p>
          <w:p w14:paraId="640C4105">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●3)HMI参数：操作方式：触摸+按键；≥7英寸TFT 显示屏；分辨率≥800*480像素；用户数据可用存储≥10MB；</w:t>
            </w:r>
            <w:r>
              <w:rPr>
                <w:rFonts w:hint="eastAsia" w:ascii="宋体" w:hAnsi="宋体" w:eastAsia="宋体" w:cs="宋体"/>
                <w:b/>
                <w:bCs/>
                <w:color w:val="auto"/>
                <w:sz w:val="21"/>
                <w:szCs w:val="21"/>
                <w:highlight w:val="none"/>
              </w:rPr>
              <w:t>（投标文件中需提供证明材料）</w:t>
            </w:r>
          </w:p>
          <w:p w14:paraId="05FD9F47">
            <w:pPr>
              <w:pStyle w:val="5"/>
              <w:pageBreakBefore w:val="0"/>
              <w:kinsoku/>
              <w:overflowPunct/>
              <w:topLinePunct w:val="0"/>
              <w:autoSpaceDE/>
              <w:autoSpaceDN/>
              <w:bidi w:val="0"/>
              <w:spacing w:after="0" w:line="312" w:lineRule="auto"/>
              <w:ind w:left="-2" w:hanging="40"/>
              <w:textAlignment w:val="auto"/>
              <w:rPr>
                <w:rFonts w:hint="eastAsia" w:ascii="宋体" w:hAnsi="宋体" w:eastAsia="宋体" w:cs="宋体"/>
                <w:color w:val="auto"/>
                <w:sz w:val="21"/>
                <w:szCs w:val="21"/>
                <w:highlight w:val="none"/>
              </w:rPr>
            </w:pPr>
          </w:p>
          <w:p w14:paraId="377EF532">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11、配套工具：1套；</w:t>
            </w:r>
          </w:p>
          <w:p w14:paraId="3146451B">
            <w:pPr>
              <w:pStyle w:val="5"/>
              <w:pageBreakBefore w:val="0"/>
              <w:kinsoku/>
              <w:overflowPunct/>
              <w:topLinePunct w:val="0"/>
              <w:autoSpaceDE/>
              <w:autoSpaceDN/>
              <w:bidi w:val="0"/>
              <w:spacing w:after="0" w:line="312" w:lineRule="auto"/>
              <w:ind w:left="-2" w:hanging="4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提供安装、调试工作站所需工具一套，包括：工具箱1个、内六角扳手1套、250mm活动扳手1把、17mm</w:t>
            </w:r>
            <w:r>
              <w:rPr>
                <w:rFonts w:hint="eastAsia" w:ascii="宋体" w:hAnsi="宋体" w:eastAsia="宋体" w:cs="宋体"/>
                <w:color w:val="auto"/>
                <w:sz w:val="21"/>
                <w:szCs w:val="21"/>
                <w:highlight w:val="none"/>
                <w:lang w:val="en-US"/>
              </w:rPr>
              <w:t>和</w:t>
            </w:r>
            <w:r>
              <w:rPr>
                <w:rFonts w:hint="eastAsia" w:ascii="宋体" w:hAnsi="宋体" w:eastAsia="宋体" w:cs="宋体"/>
                <w:color w:val="auto"/>
                <w:sz w:val="21"/>
                <w:szCs w:val="21"/>
                <w:highlight w:val="none"/>
              </w:rPr>
              <w:t>19mm开口扳手1把、13mm开口扳手1把、5.5mm开口扳手1把、螺丝刀1套、5米卷尺1个、斜口钳1把、Y型端子钳1把、裸端型端子钳1把、剥线钳1把、美工刀1把、万用表1个、PLC编程线1根、触摸屏编程线1根、程序拷贝U盘1个。</w:t>
            </w:r>
          </w:p>
          <w:p w14:paraId="5DEC09BD">
            <w:pPr>
              <w:pStyle w:val="11"/>
              <w:pageBreakBefore w:val="0"/>
              <w:tabs>
                <w:tab w:val="center" w:pos="2435"/>
              </w:tabs>
              <w:kinsoku/>
              <w:overflowPunct/>
              <w:topLinePunct w:val="0"/>
              <w:autoSpaceDE/>
              <w:autoSpaceDN/>
              <w:bidi w:val="0"/>
              <w:spacing w:line="312" w:lineRule="auto"/>
              <w:ind w:firstLine="0" w:firstLineChars="0"/>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●12、静音空压机：1套；功率：≥600W；排气量：≥118L/min；最大压力：≥8bar；储气罐：≥24L；噪音：≤60dB；</w:t>
            </w:r>
            <w:r>
              <w:rPr>
                <w:rFonts w:hint="eastAsia" w:ascii="宋体" w:hAnsi="宋体" w:eastAsia="宋体" w:cs="宋体"/>
                <w:b/>
                <w:bCs/>
                <w:color w:val="auto"/>
                <w:sz w:val="21"/>
                <w:szCs w:val="21"/>
                <w:highlight w:val="none"/>
              </w:rPr>
              <w:t>（投标文件中需提供证明材料）</w:t>
            </w:r>
          </w:p>
          <w:p w14:paraId="642A5A8E">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■13、管控平台：1套；</w:t>
            </w:r>
          </w:p>
          <w:p w14:paraId="0F60DD47">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工业控制器配置：≥8 核处理器、≥16GB 运行内存、≥256GB 固态硬盘 </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1TB 机械硬盘、≥4GB 独立显卡</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23.8WLED；。</w:t>
            </w:r>
          </w:p>
        </w:tc>
        <w:tc>
          <w:tcPr>
            <w:tcW w:w="954" w:type="dxa"/>
            <w:vAlign w:val="center"/>
          </w:tcPr>
          <w:p w14:paraId="007D5475">
            <w:pPr>
              <w:pageBreakBefore w:val="0"/>
              <w:kinsoku/>
              <w:overflowPunct/>
              <w:topLinePunct w:val="0"/>
              <w:autoSpaceDE/>
              <w:autoSpaceDN/>
              <w:bidi w:val="0"/>
              <w:spacing w:line="312" w:lineRule="auto"/>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w:t>
            </w:r>
          </w:p>
        </w:tc>
        <w:tc>
          <w:tcPr>
            <w:tcW w:w="711" w:type="dxa"/>
            <w:vAlign w:val="center"/>
          </w:tcPr>
          <w:p w14:paraId="2A280960">
            <w:pPr>
              <w:pageBreakBefore w:val="0"/>
              <w:kinsoku/>
              <w:overflowPunct/>
              <w:topLinePunct w:val="0"/>
              <w:autoSpaceDE/>
              <w:autoSpaceDN/>
              <w:bidi w:val="0"/>
              <w:spacing w:line="312" w:lineRule="auto"/>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工业</w:t>
            </w:r>
          </w:p>
        </w:tc>
      </w:tr>
      <w:tr w14:paraId="2DB38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21" w:type="dxa"/>
            <w:vAlign w:val="center"/>
          </w:tcPr>
          <w:p w14:paraId="34C1A6EA">
            <w:pPr>
              <w:pageBreakBefore w:val="0"/>
              <w:kinsoku/>
              <w:overflowPunct/>
              <w:topLinePunct w:val="0"/>
              <w:autoSpaceDE/>
              <w:autoSpaceDN/>
              <w:bidi w:val="0"/>
              <w:spacing w:line="312"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728" w:type="dxa"/>
            <w:vAlign w:val="center"/>
          </w:tcPr>
          <w:p w14:paraId="3463B1BE">
            <w:pPr>
              <w:pageBreakBefore w:val="0"/>
              <w:kinsoku/>
              <w:overflowPunct/>
              <w:topLinePunct w:val="0"/>
              <w:autoSpaceDE/>
              <w:autoSpaceDN/>
              <w:bidi w:val="0"/>
              <w:spacing w:line="312" w:lineRule="auto"/>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智能产线设计与虚拟调试软件</w:t>
            </w:r>
          </w:p>
        </w:tc>
        <w:tc>
          <w:tcPr>
            <w:tcW w:w="5234" w:type="dxa"/>
            <w:vAlign w:val="center"/>
          </w:tcPr>
          <w:p w14:paraId="6B685695">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rPr>
              <w:t>机器人视觉智能应用实训平台</w:t>
            </w:r>
            <w:r>
              <w:rPr>
                <w:rFonts w:hint="eastAsia" w:ascii="宋体" w:hAnsi="宋体" w:eastAsia="宋体" w:cs="宋体"/>
                <w:b w:val="0"/>
                <w:bCs w:val="0"/>
                <w:color w:val="auto"/>
                <w:sz w:val="21"/>
                <w:szCs w:val="21"/>
                <w:highlight w:val="none"/>
                <w:lang w:val="en-US" w:eastAsia="zh-CN"/>
              </w:rPr>
              <w:t>配套的使用的</w:t>
            </w:r>
            <w:r>
              <w:rPr>
                <w:rFonts w:hint="eastAsia" w:ascii="宋体" w:hAnsi="宋体" w:eastAsia="宋体" w:cs="宋体"/>
                <w:b w:val="0"/>
                <w:bCs w:val="0"/>
                <w:color w:val="auto"/>
                <w:sz w:val="21"/>
                <w:szCs w:val="21"/>
                <w:highlight w:val="none"/>
              </w:rPr>
              <w:t>智能产线设计与虚拟调试软件</w:t>
            </w:r>
            <w:r>
              <w:rPr>
                <w:rFonts w:hint="eastAsia" w:ascii="宋体" w:hAnsi="宋体" w:eastAsia="宋体" w:cs="宋体"/>
                <w:b w:val="0"/>
                <w:bCs w:val="0"/>
                <w:color w:val="auto"/>
                <w:sz w:val="21"/>
                <w:szCs w:val="21"/>
                <w:highlight w:val="none"/>
                <w:lang w:eastAsia="zh-CN"/>
              </w:rPr>
              <w:t>；</w:t>
            </w:r>
          </w:p>
          <w:p w14:paraId="03D14FD7">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正版软件，中文界面，可提供持续的中文技术支持服务，软件可使用所有功能模块，界面无“试用版”字样；</w:t>
            </w:r>
            <w:r>
              <w:rPr>
                <w:rFonts w:hint="eastAsia" w:ascii="宋体" w:hAnsi="宋体" w:eastAsia="宋体" w:cs="宋体"/>
                <w:b/>
                <w:bCs/>
                <w:color w:val="auto"/>
                <w:sz w:val="21"/>
                <w:szCs w:val="21"/>
                <w:highlight w:val="none"/>
              </w:rPr>
              <w:t>（</w:t>
            </w:r>
            <w:r>
              <w:rPr>
                <w:rFonts w:hint="eastAsia" w:ascii="宋体" w:hAnsi="宋体" w:eastAsia="宋体" w:cs="宋体"/>
                <w:b/>
                <w:bCs/>
                <w:color w:val="auto"/>
                <w:kern w:val="0"/>
                <w:sz w:val="21"/>
                <w:szCs w:val="21"/>
                <w:highlight w:val="none"/>
              </w:rPr>
              <w:t>投标文件中需提供软件</w:t>
            </w:r>
            <w:r>
              <w:rPr>
                <w:rFonts w:hint="eastAsia" w:ascii="宋体" w:hAnsi="宋体" w:eastAsia="宋体" w:cs="宋体"/>
                <w:b/>
                <w:bCs/>
                <w:color w:val="auto"/>
                <w:kern w:val="0"/>
                <w:sz w:val="21"/>
                <w:szCs w:val="21"/>
                <w:highlight w:val="none"/>
                <w:lang w:val="en-US" w:eastAsia="zh-CN"/>
              </w:rPr>
              <w:t>的</w:t>
            </w:r>
            <w:r>
              <w:rPr>
                <w:rFonts w:hint="eastAsia" w:ascii="宋体" w:hAnsi="宋体" w:eastAsia="宋体" w:cs="宋体"/>
                <w:b/>
                <w:bCs/>
                <w:color w:val="auto"/>
                <w:kern w:val="0"/>
                <w:sz w:val="21"/>
                <w:szCs w:val="21"/>
                <w:highlight w:val="none"/>
              </w:rPr>
              <w:t>软件著作权证书扫描件</w:t>
            </w:r>
            <w:r>
              <w:rPr>
                <w:rFonts w:hint="eastAsia" w:ascii="宋体" w:hAnsi="宋体" w:eastAsia="宋体" w:cs="宋体"/>
                <w:b/>
                <w:bCs/>
                <w:color w:val="auto"/>
                <w:sz w:val="21"/>
                <w:szCs w:val="21"/>
                <w:highlight w:val="none"/>
              </w:rPr>
              <w:t>）</w:t>
            </w:r>
          </w:p>
          <w:p w14:paraId="563599BF">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软件提供了100个以上品牌、1000个以上不同型号的工业机器人支持根据生产工艺要求，并与其他自动化设备进行仿真验证，生成机器人程序；</w:t>
            </w:r>
          </w:p>
          <w:p w14:paraId="026C8430">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提供≥200种的智能制造工作单元和设备资源，支持智能产线中设备的仿真与虚拟调试，包括PLC、机器人、传感器、变位机、导轨等，规划与设计车间布局；</w:t>
            </w:r>
          </w:p>
          <w:p w14:paraId="35FC3610">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提供模型数据接口，支持STP、STL、OBJ等多种三维模型格式的导入，搭建和实际环境1：1的虚拟环境；</w:t>
            </w:r>
          </w:p>
          <w:p w14:paraId="3B06309E">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支持模型文件轻量化处理，可以根据需求选择普通轻量化和深度轻量化两种不同的方式；</w:t>
            </w:r>
          </w:p>
          <w:p w14:paraId="53840337">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支持场景设备的自由定义，用户可通过设计的三维模型以及技术参数自由定义机器人、工具、零件、传感器以及零件生成器等设备。</w:t>
            </w:r>
          </w:p>
          <w:p w14:paraId="6925D7A8">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支持python自定义设备运动规则，通过运行python脚本实现对零件、机床等设备在虚拟调试场景中的运动模拟；</w:t>
            </w:r>
          </w:p>
          <w:p w14:paraId="7F284D7B">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轨迹生成基于CAD数据、可通过模型点、线、面等模型特征快速生成设备运动轨迹，简化轨迹生成过程；</w:t>
            </w:r>
          </w:p>
          <w:p w14:paraId="16044900">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具备干涉检测功能，支持设置需要检测是否发生碰撞的设备模支持指定碰撞检测的检测对象，仿真过程中开启碰撞检测后实时检测设备间的干涉情况，发生干涉时，仿真停止、高亮显示碰撞部分并输出碰撞警告信息提醒；</w:t>
            </w:r>
          </w:p>
          <w:p w14:paraId="44EA5008">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仿真与调试支持VR沉浸式体验。在VR环境中进行漫游，还可查看整条产线的仿真流程；</w:t>
            </w:r>
          </w:p>
          <w:p w14:paraId="6D3DE85A">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支持视向动画功能，允许用户自行设置仿真中的各阶段视角，展示出仿真中的运动细节；</w:t>
            </w:r>
          </w:p>
          <w:p w14:paraId="6CE5D557">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支持快照功能，将模型场景特定时刻系统中各个组件的状态信息记录下来，包括但不限于零件的位置，气缸的状态以及机器人姿态等信息；</w:t>
            </w:r>
          </w:p>
          <w:p w14:paraId="1F740810">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支持将仿真结果输出为MP4、avi等格式的本地视频文件，展示仿真作品；</w:t>
            </w:r>
          </w:p>
          <w:p w14:paraId="5D7AF4CD">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通过仿真机器人可执行代码，模拟机器人在软件环境中的运动状态，并支持循环指令控制机机器人重复运动；</w:t>
            </w:r>
          </w:p>
          <w:p w14:paraId="2B92F12E">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支持连接真实PLC设备，基于网关的数据交互技术，可以实现</w:t>
            </w:r>
            <w:r>
              <w:rPr>
                <w:rFonts w:hint="eastAsia" w:ascii="宋体" w:hAnsi="宋体" w:eastAsia="宋体" w:cs="宋体"/>
                <w:color w:val="auto"/>
                <w:sz w:val="21"/>
                <w:szCs w:val="21"/>
                <w:highlight w:val="none"/>
                <w:lang w:val="en-US" w:eastAsia="zh-CN"/>
              </w:rPr>
              <w:t>3种</w:t>
            </w:r>
            <w:r>
              <w:rPr>
                <w:rFonts w:hint="eastAsia" w:ascii="宋体" w:hAnsi="宋体" w:eastAsia="宋体" w:cs="宋体"/>
                <w:color w:val="auto"/>
                <w:sz w:val="21"/>
                <w:szCs w:val="21"/>
                <w:highlight w:val="none"/>
              </w:rPr>
              <w:t>PLC设备进行信号交互等；</w:t>
            </w:r>
          </w:p>
          <w:p w14:paraId="01D6BBB0">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支持PLC编程软件中变量表的批量导入以及数据网关变量表批量导出功能；</w:t>
            </w:r>
          </w:p>
          <w:p w14:paraId="3730D6CB">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支持在软件中可将虚拟机器人和实际机器人同步仿真，软件支持与实际机器人控制器连接实时读取实际机器人关节姿态，并在软件中模拟机器人运动姿态；</w:t>
            </w:r>
          </w:p>
          <w:p w14:paraId="2D92BC9C">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支持AGV小车联动功能，实时获取AGV小车的空间坐标，进而实现场景中的AGV运动同步；</w:t>
            </w:r>
          </w:p>
          <w:p w14:paraId="452F63DD">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支持Web监控功能，将仿真画面输出，在同一局域网下可在Web端进行查看，也可嵌入Mes等界面进行展示；</w:t>
            </w:r>
          </w:p>
          <w:p w14:paraId="6B7BE2D4">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提供数据监控功能，可以将机器人关节数据传输至MES系统，可查看机器人运动状态；</w:t>
            </w:r>
          </w:p>
          <w:p w14:paraId="12A940DD">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bidi="ar"/>
              </w:rPr>
              <w:t>●</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利用云服务平台，实时把控前端软件考试活动进度；考试结果通过云端智能算法自动进行打分评判；考试全程远程、自动化运行</w:t>
            </w:r>
            <w:r>
              <w:rPr>
                <w:rFonts w:hint="eastAsia" w:ascii="宋体" w:hAnsi="宋体" w:eastAsia="宋体" w:cs="宋体"/>
                <w:color w:val="auto"/>
                <w:sz w:val="21"/>
                <w:szCs w:val="21"/>
                <w:highlight w:val="none"/>
                <w:lang w:eastAsia="zh-CN"/>
              </w:rPr>
              <w:t>。</w:t>
            </w:r>
          </w:p>
        </w:tc>
        <w:tc>
          <w:tcPr>
            <w:tcW w:w="954" w:type="dxa"/>
            <w:vAlign w:val="center"/>
          </w:tcPr>
          <w:p w14:paraId="6CE77CB0">
            <w:pPr>
              <w:pageBreakBefore w:val="0"/>
              <w:kinsoku/>
              <w:overflowPunct/>
              <w:topLinePunct w:val="0"/>
              <w:autoSpaceDE/>
              <w:autoSpaceDN/>
              <w:bidi w:val="0"/>
              <w:spacing w:line="312" w:lineRule="auto"/>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w:t>
            </w:r>
          </w:p>
        </w:tc>
        <w:tc>
          <w:tcPr>
            <w:tcW w:w="711" w:type="dxa"/>
            <w:vAlign w:val="center"/>
          </w:tcPr>
          <w:p w14:paraId="3C0B08C9">
            <w:pPr>
              <w:pageBreakBefore w:val="0"/>
              <w:kinsoku/>
              <w:overflowPunct/>
              <w:topLinePunct w:val="0"/>
              <w:autoSpaceDE/>
              <w:autoSpaceDN/>
              <w:bidi w:val="0"/>
              <w:spacing w:line="312" w:lineRule="auto"/>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val="0"/>
                <w:color w:val="auto"/>
                <w:sz w:val="21"/>
                <w:szCs w:val="21"/>
                <w:highlight w:val="none"/>
              </w:rPr>
              <w:t>软件和信息技术服务业</w:t>
            </w:r>
          </w:p>
        </w:tc>
      </w:tr>
      <w:tr w14:paraId="5A5B1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21" w:type="dxa"/>
            <w:vAlign w:val="center"/>
          </w:tcPr>
          <w:p w14:paraId="4613E68B">
            <w:pPr>
              <w:pageBreakBefore w:val="0"/>
              <w:kinsoku/>
              <w:overflowPunct/>
              <w:topLinePunct w:val="0"/>
              <w:autoSpaceDE/>
              <w:autoSpaceDN/>
              <w:bidi w:val="0"/>
              <w:spacing w:line="312"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728" w:type="dxa"/>
            <w:vAlign w:val="center"/>
          </w:tcPr>
          <w:p w14:paraId="16251108">
            <w:pPr>
              <w:pageBreakBefore w:val="0"/>
              <w:kinsoku/>
              <w:overflowPunct/>
              <w:topLinePunct w:val="0"/>
              <w:autoSpaceDE/>
              <w:autoSpaceDN/>
              <w:bidi w:val="0"/>
              <w:spacing w:line="312" w:lineRule="auto"/>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定制数字孪生资源</w:t>
            </w:r>
          </w:p>
        </w:tc>
        <w:tc>
          <w:tcPr>
            <w:tcW w:w="5234" w:type="dxa"/>
            <w:vAlign w:val="center"/>
          </w:tcPr>
          <w:p w14:paraId="77FE7CC9">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w:t>
            </w:r>
            <w:r>
              <w:rPr>
                <w:rFonts w:hint="eastAsia" w:ascii="宋体" w:hAnsi="宋体" w:eastAsia="宋体" w:cs="宋体"/>
                <w:color w:val="auto"/>
                <w:sz w:val="21"/>
                <w:szCs w:val="21"/>
                <w:highlight w:val="none"/>
                <w:lang w:val="en-US" w:eastAsia="zh-CN" w:bidi="ar"/>
              </w:rPr>
              <w:t>1.</w:t>
            </w:r>
            <w:r>
              <w:rPr>
                <w:rFonts w:hint="eastAsia" w:ascii="宋体" w:hAnsi="宋体" w:eastAsia="宋体" w:cs="宋体"/>
                <w:color w:val="auto"/>
                <w:sz w:val="21"/>
                <w:szCs w:val="21"/>
                <w:highlight w:val="none"/>
              </w:rPr>
              <w:t>定制开发匹配</w:t>
            </w:r>
            <w:r>
              <w:rPr>
                <w:rFonts w:hint="eastAsia" w:ascii="宋体" w:hAnsi="宋体" w:eastAsia="宋体" w:cs="宋体"/>
                <w:color w:val="auto"/>
                <w:sz w:val="21"/>
                <w:szCs w:val="21"/>
                <w:highlight w:val="none"/>
                <w:lang w:val="en-US" w:eastAsia="zh-CN"/>
              </w:rPr>
              <w:t>机器人视觉智能应用</w:t>
            </w:r>
            <w:r>
              <w:rPr>
                <w:rFonts w:hint="eastAsia" w:ascii="宋体" w:hAnsi="宋体" w:eastAsia="宋体" w:cs="宋体"/>
                <w:color w:val="auto"/>
                <w:sz w:val="21"/>
                <w:szCs w:val="21"/>
                <w:highlight w:val="none"/>
              </w:rPr>
              <w:t>实训平台的三维拟模型，通过软件制作虚实同步仿真流程，实现数据驱动仿真机制。</w:t>
            </w:r>
          </w:p>
          <w:p w14:paraId="612FBC6F">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lang w:bidi="ar"/>
              </w:rPr>
            </w:pPr>
          </w:p>
        </w:tc>
        <w:tc>
          <w:tcPr>
            <w:tcW w:w="954" w:type="dxa"/>
            <w:vAlign w:val="center"/>
          </w:tcPr>
          <w:p w14:paraId="14D1A22D">
            <w:pPr>
              <w:pageBreakBefore w:val="0"/>
              <w:kinsoku/>
              <w:overflowPunct/>
              <w:topLinePunct w:val="0"/>
              <w:autoSpaceDE/>
              <w:autoSpaceDN/>
              <w:bidi w:val="0"/>
              <w:spacing w:line="312" w:lineRule="auto"/>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w:t>
            </w:r>
          </w:p>
        </w:tc>
        <w:tc>
          <w:tcPr>
            <w:tcW w:w="711" w:type="dxa"/>
            <w:vAlign w:val="center"/>
          </w:tcPr>
          <w:p w14:paraId="4EADA7D3">
            <w:pPr>
              <w:pageBreakBefore w:val="0"/>
              <w:kinsoku/>
              <w:overflowPunct/>
              <w:topLinePunct w:val="0"/>
              <w:autoSpaceDE/>
              <w:autoSpaceDN/>
              <w:bidi w:val="0"/>
              <w:spacing w:line="312" w:lineRule="auto"/>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val="0"/>
                <w:color w:val="auto"/>
                <w:sz w:val="21"/>
                <w:szCs w:val="21"/>
                <w:highlight w:val="none"/>
              </w:rPr>
              <w:t>软件和信息技术服务业</w:t>
            </w:r>
          </w:p>
        </w:tc>
      </w:tr>
      <w:tr w14:paraId="7305A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21" w:type="dxa"/>
            <w:vAlign w:val="center"/>
          </w:tcPr>
          <w:p w14:paraId="4E45738D">
            <w:pPr>
              <w:pageBreakBefore w:val="0"/>
              <w:kinsoku/>
              <w:overflowPunct/>
              <w:topLinePunct w:val="0"/>
              <w:autoSpaceDE/>
              <w:autoSpaceDN/>
              <w:bidi w:val="0"/>
              <w:spacing w:line="312"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728" w:type="dxa"/>
            <w:vAlign w:val="center"/>
          </w:tcPr>
          <w:p w14:paraId="2B3EB7B7">
            <w:pPr>
              <w:pageBreakBefore w:val="0"/>
              <w:kinsoku/>
              <w:overflowPunct/>
              <w:topLinePunct w:val="0"/>
              <w:autoSpaceDE/>
              <w:autoSpaceDN/>
              <w:bidi w:val="0"/>
              <w:spacing w:line="312" w:lineRule="auto"/>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工业物联网平台</w:t>
            </w:r>
          </w:p>
        </w:tc>
        <w:tc>
          <w:tcPr>
            <w:tcW w:w="5234" w:type="dxa"/>
            <w:shd w:val="clear" w:color="auto" w:fill="auto"/>
            <w:vAlign w:val="top"/>
          </w:tcPr>
          <w:p w14:paraId="5B049061">
            <w:pPr>
              <w:pageBreakBefore w:val="0"/>
              <w:kinsoku/>
              <w:overflowPunct/>
              <w:topLinePunct w:val="0"/>
              <w:autoSpaceDE/>
              <w:autoSpaceDN/>
              <w:bidi w:val="0"/>
              <w:spacing w:line="312" w:lineRule="auto"/>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■1.系统需具备自主知识产权，正版软件，全中文操作界面，可提供持续的中文技术支持服务。</w:t>
            </w:r>
            <w:r>
              <w:rPr>
                <w:rFonts w:hint="eastAsia" w:ascii="宋体" w:hAnsi="宋体" w:eastAsia="宋体" w:cs="宋体"/>
                <w:b/>
                <w:bCs/>
                <w:color w:val="auto"/>
                <w:sz w:val="21"/>
                <w:szCs w:val="21"/>
                <w:highlight w:val="none"/>
              </w:rPr>
              <w:t>（</w:t>
            </w:r>
            <w:r>
              <w:rPr>
                <w:rFonts w:hint="eastAsia" w:ascii="宋体" w:hAnsi="宋体" w:eastAsia="宋体" w:cs="宋体"/>
                <w:b/>
                <w:bCs/>
                <w:color w:val="auto"/>
                <w:kern w:val="0"/>
                <w:sz w:val="21"/>
                <w:szCs w:val="21"/>
                <w:highlight w:val="none"/>
              </w:rPr>
              <w:t>投标文件中需提供软件</w:t>
            </w:r>
            <w:r>
              <w:rPr>
                <w:rFonts w:hint="eastAsia" w:ascii="宋体" w:hAnsi="宋体" w:eastAsia="宋体" w:cs="宋体"/>
                <w:b/>
                <w:bCs/>
                <w:color w:val="auto"/>
                <w:kern w:val="0"/>
                <w:sz w:val="21"/>
                <w:szCs w:val="21"/>
                <w:highlight w:val="none"/>
                <w:lang w:val="en-US" w:eastAsia="zh-CN"/>
              </w:rPr>
              <w:t>的</w:t>
            </w:r>
            <w:r>
              <w:rPr>
                <w:rFonts w:hint="eastAsia" w:ascii="宋体" w:hAnsi="宋体" w:eastAsia="宋体" w:cs="宋体"/>
                <w:b/>
                <w:bCs/>
                <w:color w:val="auto"/>
                <w:kern w:val="0"/>
                <w:sz w:val="21"/>
                <w:szCs w:val="21"/>
                <w:highlight w:val="none"/>
              </w:rPr>
              <w:t>软件著作权证书扫描件</w:t>
            </w:r>
            <w:r>
              <w:rPr>
                <w:rFonts w:hint="eastAsia" w:ascii="宋体" w:hAnsi="宋体" w:eastAsia="宋体" w:cs="宋体"/>
                <w:b/>
                <w:bCs/>
                <w:color w:val="auto"/>
                <w:sz w:val="21"/>
                <w:szCs w:val="21"/>
                <w:highlight w:val="none"/>
              </w:rPr>
              <w:t>）</w:t>
            </w:r>
          </w:p>
          <w:p w14:paraId="44EC05AF">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2.支持并发用户在线使用，同时提供查询处理算法，系统及时响应。</w:t>
            </w:r>
          </w:p>
          <w:p w14:paraId="3553B4EC">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3.系统应提供完整的软件安装手册、系统操作手册，提供全面的用户指导与培训。</w:t>
            </w:r>
          </w:p>
          <w:p w14:paraId="641EE52D">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4.系统应提供标准API接口及接口文档，支持第三方系统集成和调用。</w:t>
            </w:r>
          </w:p>
          <w:p w14:paraId="1D55342A">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5.系统功能应包括以下功能：</w:t>
            </w:r>
          </w:p>
          <w:p w14:paraId="53E875E9">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1)多租户：系统支持多租户数据隔离，多租户独立运行数据互不干扰。</w:t>
            </w:r>
          </w:p>
          <w:p w14:paraId="7697F3CA">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2)用户管理：系统支持按租户独立管理用户，分配用户所属角色、管理用户数据权限、配置用户密码等功能。</w:t>
            </w:r>
          </w:p>
          <w:p w14:paraId="11D8E09E">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3)接入注册：系统后台支持管理网关和直连设备，支持管理员将网关或直连设备在系统内进行注册并分配使用权限给指定租户。</w:t>
            </w:r>
          </w:p>
          <w:p w14:paraId="706EBA83">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4)系统首页：系统支持在首页查看系统内项目、产品、设备、网关、直连设备等数字资产，网关和直连设备在地图中做分布标记，支持展示网关和直连设备接入在线率及近一周系统接入消息数据量走势。</w:t>
            </w:r>
          </w:p>
          <w:p w14:paraId="65452C62">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5)项目管理：系统支持按项目管理接入设备，项目支持不同的行业类型,项目下包含设备数量直观体现到项目数据卡。</w:t>
            </w:r>
          </w:p>
          <w:p w14:paraId="6CE30F31">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6)产品管理：系统支持按产品管理接入的设备，支持通过产品属性建立产品物模型，对于同一款产品，只需要在系统中维护一次，即可按产品进行设备的实例化创建和管理。</w:t>
            </w:r>
          </w:p>
          <w:p w14:paraId="50520016">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设备管理：系统支持按产品实例化设备，且设备动态继承其所属产品全部属性，支持用户自动义绑定设备下子设备与网关下子设备关联关系，系统自动将网关上报点位与设备属性进行数据匹配，支持实时查看设备数字画像，支持手动下发属性点位数据，支持查看属性点位历史数据。</w:t>
            </w:r>
          </w:p>
          <w:p w14:paraId="26791F22">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w:t>
            </w:r>
            <w:r>
              <w:rPr>
                <w:rFonts w:hint="eastAsia" w:ascii="宋体" w:hAnsi="宋体" w:eastAsia="宋体" w:cs="宋体"/>
                <w:color w:val="auto"/>
                <w:sz w:val="21"/>
                <w:szCs w:val="21"/>
                <w:highlight w:val="none"/>
              </w:rPr>
              <w:t>8)网关管理：系统支持用户按后台注册分配进行网关激活接入，网关下可创建多个网关子设备，支持用户自定义绑定网关下子设备与设备下子设备的关联关系，支持查看网关实时在离线状态，支持查看网关实时通讯报文，支持查看网关相关的订阅与下发主题。</w:t>
            </w:r>
          </w:p>
          <w:p w14:paraId="440A732C">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9)直连设备：系统支持用户按后台注册分配进行直连设备激活接入，直连设备下支持接入温湿度变送器或智能电表等直连子设备，支持查看直连设备实时通讯报文，支持查看直连设备属性最新实时数据。</w:t>
            </w:r>
          </w:p>
          <w:p w14:paraId="06B11234">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10)数据备份：支持通过数据库操作工具软件进行系统数据库的备份和恢复备份，以支持阶段性的数据留档。</w:t>
            </w:r>
          </w:p>
          <w:p w14:paraId="7E57E3B3">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可视化数据大屏：系统提供可视化大屏配置工具，支持用户通过拖拽和配置方式进行可视化数据大屏开发，内置柱状图、折线图、饼图、散点图等统计图表组件，支持文本类、图片类、视频类、表格类等多种数据组件，支持静态数据、API接口数据、SQL数据、实时数据等多种数据源，内置组件案例。</w:t>
            </w:r>
          </w:p>
          <w:p w14:paraId="2229D60D">
            <w:pPr>
              <w:pageBreakBefore w:val="0"/>
              <w:kinsoku/>
              <w:overflowPunct/>
              <w:topLinePunct w:val="0"/>
              <w:autoSpaceDE/>
              <w:autoSpaceDN/>
              <w:bidi w:val="0"/>
              <w:spacing w:line="312"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12)任务流程引擎：系统提供任务流程引擎工具，内置监听、控制、API等类型组件，通过拖拽和配置方式进行流程编排，支持预定义流程变量，支持调用流程变量和产品属性点位进行设备任务流程逻辑的组件化编排实现，支持发布流程模型，支持查看发布的流程模型，支持第三方系统通过API接口调用基于已发布定版的流程模型产生流程实例，流程引擎按照流程模型配置执行流程实例并自动记录详细的执行日志。</w:t>
            </w:r>
          </w:p>
        </w:tc>
        <w:tc>
          <w:tcPr>
            <w:tcW w:w="954" w:type="dxa"/>
            <w:vAlign w:val="center"/>
          </w:tcPr>
          <w:p w14:paraId="7DC1545E">
            <w:pPr>
              <w:pageBreakBefore w:val="0"/>
              <w:kinsoku/>
              <w:overflowPunct/>
              <w:topLinePunct w:val="0"/>
              <w:autoSpaceDE/>
              <w:autoSpaceDN/>
              <w:bidi w:val="0"/>
              <w:spacing w:line="312" w:lineRule="auto"/>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w:t>
            </w:r>
          </w:p>
        </w:tc>
        <w:tc>
          <w:tcPr>
            <w:tcW w:w="711" w:type="dxa"/>
            <w:vAlign w:val="center"/>
          </w:tcPr>
          <w:p w14:paraId="78DB421B">
            <w:pPr>
              <w:pageBreakBefore w:val="0"/>
              <w:kinsoku/>
              <w:overflowPunct/>
              <w:topLinePunct w:val="0"/>
              <w:autoSpaceDE/>
              <w:autoSpaceDN/>
              <w:bidi w:val="0"/>
              <w:spacing w:line="312" w:lineRule="auto"/>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val="0"/>
                <w:color w:val="auto"/>
                <w:sz w:val="21"/>
                <w:szCs w:val="21"/>
                <w:highlight w:val="none"/>
              </w:rPr>
              <w:t>软件和信息技术服务业</w:t>
            </w:r>
          </w:p>
        </w:tc>
      </w:tr>
      <w:tr w14:paraId="4B693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21" w:type="dxa"/>
            <w:vAlign w:val="center"/>
          </w:tcPr>
          <w:p w14:paraId="4BE84AF3">
            <w:pPr>
              <w:pageBreakBefore w:val="0"/>
              <w:kinsoku/>
              <w:overflowPunct/>
              <w:topLinePunct w:val="0"/>
              <w:autoSpaceDE/>
              <w:autoSpaceDN/>
              <w:bidi w:val="0"/>
              <w:spacing w:line="312"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728" w:type="dxa"/>
            <w:vAlign w:val="center"/>
          </w:tcPr>
          <w:p w14:paraId="7AED885E">
            <w:pPr>
              <w:pageBreakBefore w:val="0"/>
              <w:kinsoku/>
              <w:overflowPunct/>
              <w:topLinePunct w:val="0"/>
              <w:autoSpaceDE/>
              <w:autoSpaceDN/>
              <w:bidi w:val="0"/>
              <w:spacing w:line="312" w:lineRule="auto"/>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智能巡检单元</w:t>
            </w:r>
          </w:p>
        </w:tc>
        <w:tc>
          <w:tcPr>
            <w:tcW w:w="5234" w:type="dxa"/>
          </w:tcPr>
          <w:p w14:paraId="077FDCA6">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一、四足机器人：1套</w:t>
            </w:r>
          </w:p>
          <w:p w14:paraId="1AF9E6B2">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1.站立尺寸(长×宽×高)≤650mm×400mm×450mm；</w:t>
            </w:r>
          </w:p>
          <w:p w14:paraId="15EFA436">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2.整机重量（含电池）≤15kg；</w:t>
            </w:r>
          </w:p>
          <w:p w14:paraId="7D519F16">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3.有效负载≥4.5kg，极限负载≥7kg；</w:t>
            </w:r>
          </w:p>
          <w:p w14:paraId="0D8C427F">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4.最大运动速度≥2.5m/s；</w:t>
            </w:r>
          </w:p>
          <w:p w14:paraId="3FC16215">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5.最大攀爬斜坡角度≥40°，连续楼梯高度≥15cm；</w:t>
            </w:r>
          </w:p>
          <w:p w14:paraId="3A4D3DBB">
            <w:pPr>
              <w:pStyle w:val="3"/>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6.电池能量：≥120Wh，电池容量：≥4400mAh，电池充电时长：</w:t>
            </w:r>
            <w:r>
              <w:rPr>
                <w:rFonts w:hint="eastAsia" w:ascii="宋体" w:hAnsi="宋体" w:eastAsia="宋体" w:cs="宋体"/>
                <w:color w:val="auto"/>
                <w:sz w:val="21"/>
                <w:szCs w:val="21"/>
                <w:highlight w:val="none"/>
                <w:lang w:val="en-US" w:eastAsia="zh-CN"/>
              </w:rPr>
              <w:t>≤1h;</w:t>
            </w:r>
            <w:r>
              <w:rPr>
                <w:rFonts w:hint="eastAsia" w:ascii="宋体" w:hAnsi="宋体" w:eastAsia="宋体" w:cs="宋体"/>
                <w:color w:val="auto"/>
                <w:sz w:val="21"/>
                <w:szCs w:val="21"/>
                <w:highlight w:val="none"/>
              </w:rPr>
              <w:t>空载运动续航时间：</w:t>
            </w:r>
            <w:r>
              <w:rPr>
                <w:rFonts w:hint="eastAsia" w:ascii="宋体" w:hAnsi="宋体" w:eastAsia="宋体" w:cs="宋体"/>
                <w:color w:val="auto"/>
                <w:sz w:val="21"/>
                <w:szCs w:val="21"/>
                <w:highlight w:val="none"/>
                <w:lang w:val="en-US" w:eastAsia="zh-CN"/>
              </w:rPr>
              <w:t>≥1.5h</w:t>
            </w:r>
            <w:r>
              <w:rPr>
                <w:rFonts w:hint="eastAsia" w:ascii="宋体" w:hAnsi="宋体" w:eastAsia="宋体" w:cs="宋体"/>
                <w:color w:val="auto"/>
                <w:sz w:val="21"/>
                <w:szCs w:val="21"/>
                <w:highlight w:val="none"/>
              </w:rPr>
              <w:t>；</w:t>
            </w:r>
          </w:p>
          <w:p w14:paraId="360734AF">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7.整机自由度≥12;单腿自由度≥3；</w:t>
            </w:r>
          </w:p>
          <w:p w14:paraId="6FB02089">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8.支持平底、越障步态，支持切换机器狗身体高度为正常、匍匐档位；</w:t>
            </w:r>
          </w:p>
          <w:p w14:paraId="2D26B945">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9.机器人的平衡算法采用全力控算法，无需安装足底压力传感器，即可实现360°无盲区感测足底三维力；</w:t>
            </w:r>
          </w:p>
          <w:p w14:paraId="16769E23">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10.配超声波雷达×2：配备前后停障功能，支持距离检测和停障算法开发；</w:t>
            </w:r>
          </w:p>
          <w:p w14:paraId="6F440C1D">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11.配广角相机×1：≥水平视角130°；≥1920×1080@30fps；可逆光、无畸变，支持人体识别跟踪算法开发</w:t>
            </w:r>
          </w:p>
          <w:p w14:paraId="6E63C6A6">
            <w:pPr>
              <w:pageBreakBefore w:val="0"/>
              <w:kinsoku/>
              <w:overflowPunct/>
              <w:topLinePunct w:val="0"/>
              <w:autoSpaceDE/>
              <w:autoSpaceDN/>
              <w:bidi w:val="0"/>
              <w:spacing w:line="312" w:lineRule="auto"/>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■12.支持灯语交互，支持不同灯光状态展示机器狗状态如开机自检、连接状态、运动状态、低电量、关节过温、断连等设备状态；</w:t>
            </w:r>
            <w:r>
              <w:rPr>
                <w:rFonts w:hint="eastAsia" w:ascii="宋体" w:hAnsi="宋体" w:eastAsia="宋体" w:cs="宋体"/>
                <w:b/>
                <w:bCs/>
                <w:color w:val="auto"/>
                <w:sz w:val="21"/>
                <w:szCs w:val="21"/>
                <w:highlight w:val="none"/>
              </w:rPr>
              <w:t>（投标文件中需提供证明材料）</w:t>
            </w:r>
          </w:p>
          <w:p w14:paraId="6BA85847">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13.提供不少于5种展示动作，如打招呼、扭身体、太空步、向前跳、扭身跳等动作；</w:t>
            </w:r>
          </w:p>
          <w:p w14:paraId="201901CB">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■14.支持AI运动模式步态，AI步态情况下，支持攀爬≥18cm楼梯；</w:t>
            </w:r>
            <w:r>
              <w:rPr>
                <w:rFonts w:hint="eastAsia" w:ascii="宋体" w:hAnsi="宋体" w:eastAsia="宋体" w:cs="宋体"/>
                <w:b/>
                <w:bCs/>
                <w:color w:val="auto"/>
                <w:sz w:val="21"/>
                <w:szCs w:val="21"/>
                <w:highlight w:val="none"/>
              </w:rPr>
              <w:t>（投标文件中需提供证明材料）</w:t>
            </w:r>
          </w:p>
          <w:p w14:paraId="21F0F9A5">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w:t>
            </w:r>
            <w:r>
              <w:rPr>
                <w:rFonts w:hint="eastAsia" w:ascii="宋体" w:hAnsi="宋体" w:eastAsia="宋体" w:cs="宋体"/>
                <w:color w:val="auto"/>
                <w:sz w:val="21"/>
                <w:szCs w:val="21"/>
                <w:highlight w:val="none"/>
              </w:rPr>
              <w:t>15.AI步态情况下，未下发轴指令时支持牵引控制；</w:t>
            </w:r>
            <w:r>
              <w:rPr>
                <w:rFonts w:hint="eastAsia" w:ascii="宋体" w:hAnsi="宋体" w:eastAsia="宋体" w:cs="宋体"/>
                <w:b/>
                <w:bCs/>
                <w:color w:val="auto"/>
                <w:sz w:val="21"/>
                <w:szCs w:val="21"/>
                <w:highlight w:val="none"/>
              </w:rPr>
              <w:t>（投标文件中需提供证明材料）</w:t>
            </w:r>
          </w:p>
          <w:p w14:paraId="0B5ABC40">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16.支持开启视觉跟随功能，跟随对象选取成功后，机器狗在起立状态下会自主跟随框中的对象；</w:t>
            </w:r>
          </w:p>
          <w:p w14:paraId="4CDA6998">
            <w:pPr>
              <w:pageBreakBefore w:val="0"/>
              <w:kinsoku/>
              <w:overflowPunct/>
              <w:topLinePunct w:val="0"/>
              <w:autoSpaceDE/>
              <w:autoSpaceDN/>
              <w:bidi w:val="0"/>
              <w:spacing w:line="312" w:lineRule="auto"/>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lang w:bidi="ar"/>
              </w:rPr>
              <w:t>●</w:t>
            </w:r>
            <w:r>
              <w:rPr>
                <w:rFonts w:hint="eastAsia" w:ascii="宋体" w:hAnsi="宋体" w:eastAsia="宋体" w:cs="宋体"/>
                <w:color w:val="auto"/>
                <w:sz w:val="21"/>
                <w:szCs w:val="21"/>
                <w:highlight w:val="none"/>
              </w:rPr>
              <w:t>17.支持中英文语音指令，点击app页面语音按键说出内置口令后，机器狗将执行相应动作如起立、趴下、前后左右移动、停止、转向等语音指令执行；</w:t>
            </w:r>
            <w:r>
              <w:rPr>
                <w:rFonts w:hint="eastAsia" w:ascii="宋体" w:hAnsi="宋体" w:eastAsia="宋体" w:cs="宋体"/>
                <w:b/>
                <w:bCs/>
                <w:color w:val="auto"/>
                <w:sz w:val="21"/>
                <w:szCs w:val="21"/>
                <w:highlight w:val="none"/>
              </w:rPr>
              <w:t>（投标文件中需提供证明材料）</w:t>
            </w:r>
          </w:p>
          <w:p w14:paraId="68D5CDF4">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w:t>
            </w:r>
            <w:r>
              <w:rPr>
                <w:rFonts w:hint="eastAsia" w:ascii="宋体" w:hAnsi="宋体" w:eastAsia="宋体" w:cs="宋体"/>
                <w:color w:val="auto"/>
                <w:sz w:val="21"/>
                <w:szCs w:val="21"/>
                <w:highlight w:val="none"/>
              </w:rPr>
              <w:t>18.机器人意外摔倒时，支持手动选择爬起方向；</w:t>
            </w:r>
          </w:p>
          <w:p w14:paraId="73B01B98">
            <w:pPr>
              <w:pageBreakBefore w:val="0"/>
              <w:kinsoku/>
              <w:overflowPunct/>
              <w:topLinePunct w:val="0"/>
              <w:autoSpaceDE/>
              <w:autoSpaceDN/>
              <w:bidi w:val="0"/>
              <w:spacing w:line="312" w:lineRule="auto"/>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19.具备急停保护、低电量保护、关节过热保护等保护措施；</w:t>
            </w:r>
            <w:r>
              <w:rPr>
                <w:rFonts w:hint="eastAsia" w:ascii="宋体" w:hAnsi="宋体" w:eastAsia="宋体" w:cs="宋体"/>
                <w:b/>
                <w:bCs/>
                <w:color w:val="auto"/>
                <w:sz w:val="21"/>
                <w:szCs w:val="21"/>
                <w:highlight w:val="none"/>
              </w:rPr>
              <w:t>（投标文件中需提供证明材料）</w:t>
            </w:r>
          </w:p>
          <w:p w14:paraId="7A53624B">
            <w:pPr>
              <w:pStyle w:val="3"/>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w:t>
            </w:r>
            <w:r>
              <w:rPr>
                <w:rFonts w:hint="eastAsia" w:ascii="宋体" w:hAnsi="宋体" w:eastAsia="宋体" w:cs="宋体"/>
                <w:color w:val="auto"/>
                <w:sz w:val="21"/>
                <w:szCs w:val="21"/>
                <w:highlight w:val="none"/>
              </w:rPr>
              <w:t>20.机器人自带≥</w:t>
            </w:r>
            <w:r>
              <w:rPr>
                <w:rFonts w:hint="eastAsia" w:ascii="宋体" w:hAnsi="宋体" w:eastAsia="宋体" w:cs="宋体"/>
                <w:color w:val="auto"/>
                <w:sz w:val="21"/>
                <w:szCs w:val="21"/>
                <w:highlight w:val="none"/>
                <w:lang w:val="en-US" w:eastAsia="zh-CN"/>
              </w:rPr>
              <w:t>3路</w:t>
            </w:r>
            <w:r>
              <w:rPr>
                <w:rFonts w:hint="eastAsia" w:ascii="宋体" w:hAnsi="宋体" w:eastAsia="宋体" w:cs="宋体"/>
                <w:color w:val="auto"/>
                <w:sz w:val="21"/>
                <w:szCs w:val="21"/>
                <w:highlight w:val="none"/>
              </w:rPr>
              <w:t>可输出内置电源，电源接口5V/12V/24V，机器人自带≥</w:t>
            </w:r>
            <w:r>
              <w:rPr>
                <w:rFonts w:hint="eastAsia" w:ascii="宋体" w:hAnsi="宋体" w:eastAsia="宋体" w:cs="宋体"/>
                <w:color w:val="auto"/>
                <w:sz w:val="21"/>
                <w:szCs w:val="21"/>
                <w:highlight w:val="none"/>
                <w:lang w:val="en-US" w:eastAsia="zh-CN"/>
              </w:rPr>
              <w:t>8路</w:t>
            </w:r>
            <w:r>
              <w:rPr>
                <w:rFonts w:hint="eastAsia" w:ascii="宋体" w:hAnsi="宋体" w:eastAsia="宋体" w:cs="宋体"/>
                <w:color w:val="auto"/>
                <w:sz w:val="21"/>
                <w:szCs w:val="21"/>
                <w:highlight w:val="none"/>
              </w:rPr>
              <w:t>可扩展接口，包括Ethernet/WiFi，支持二次开发；</w:t>
            </w:r>
          </w:p>
          <w:p w14:paraId="2E819170">
            <w:pPr>
              <w:pageBreakBefore w:val="0"/>
              <w:kinsoku/>
              <w:overflowPunct/>
              <w:topLinePunct w:val="0"/>
              <w:autoSpaceDE/>
              <w:autoSpaceDN/>
              <w:bidi w:val="0"/>
              <w:spacing w:line="312"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二、深度相机套件</w:t>
            </w:r>
          </w:p>
          <w:p w14:paraId="2359546A">
            <w:pPr>
              <w:pageBreakBefore w:val="0"/>
              <w:numPr>
                <w:ilvl w:val="0"/>
                <w:numId w:val="2"/>
              </w:numPr>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深度模块</w:t>
            </w:r>
          </w:p>
          <w:p w14:paraId="222A7844">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分辨率：≥1280×720@30fps；</w:t>
            </w:r>
          </w:p>
          <w:p w14:paraId="4C2ECA64">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像素尺寸：≥3µm×3µm；</w:t>
            </w:r>
          </w:p>
          <w:p w14:paraId="019E1160">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视场角：≥85°×58°；</w:t>
            </w:r>
          </w:p>
          <w:p w14:paraId="2950E776">
            <w:pPr>
              <w:pageBreakBefore w:val="0"/>
              <w:numPr>
                <w:ilvl w:val="0"/>
                <w:numId w:val="2"/>
              </w:numPr>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RGB模块</w:t>
            </w:r>
          </w:p>
          <w:p w14:paraId="5CF97EF3">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分辨率：≥1920×1080@30fps；</w:t>
            </w:r>
          </w:p>
          <w:p w14:paraId="22F6F508">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像素尺寸：≥1.5µm×1.5µm；</w:t>
            </w:r>
          </w:p>
          <w:p w14:paraId="2E4A3F97">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视场角：≥68°×42°；</w:t>
            </w:r>
          </w:p>
          <w:p w14:paraId="617BB02E">
            <w:pPr>
              <w:pageBreakBefore w:val="0"/>
              <w:numPr>
                <w:ilvl w:val="0"/>
                <w:numId w:val="2"/>
              </w:numPr>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深度工作范围：0.1m-10m；</w:t>
            </w:r>
          </w:p>
          <w:p w14:paraId="6BDB86FF">
            <w:pPr>
              <w:pageBreakBefore w:val="0"/>
              <w:numPr>
                <w:ilvl w:val="0"/>
                <w:numId w:val="2"/>
              </w:numPr>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深度误差：&lt;2%；</w:t>
            </w:r>
          </w:p>
          <w:p w14:paraId="3712F270">
            <w:pPr>
              <w:pageBreakBefore w:val="0"/>
              <w:numPr>
                <w:ilvl w:val="0"/>
                <w:numId w:val="2"/>
              </w:numPr>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基线距离：≥50mm；</w:t>
            </w:r>
          </w:p>
          <w:p w14:paraId="55F5F90A">
            <w:pPr>
              <w:pageBreakBefore w:val="0"/>
              <w:numPr>
                <w:ilvl w:val="0"/>
                <w:numId w:val="2"/>
              </w:numPr>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含配套结构件及线束；</w:t>
            </w:r>
          </w:p>
          <w:p w14:paraId="204D83F2">
            <w:pPr>
              <w:pageBreakBefore w:val="0"/>
              <w:kinsoku/>
              <w:overflowPunct/>
              <w:topLinePunct w:val="0"/>
              <w:autoSpaceDE/>
              <w:autoSpaceDN/>
              <w:bidi w:val="0"/>
              <w:spacing w:line="312"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三、AI主机套件</w:t>
            </w:r>
          </w:p>
          <w:p w14:paraId="2408EC9F">
            <w:pPr>
              <w:pageBreakBefore w:val="0"/>
              <w:numPr>
                <w:ilvl w:val="0"/>
                <w:numId w:val="3"/>
              </w:numPr>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算力:≥21TOPS；</w:t>
            </w:r>
          </w:p>
          <w:p w14:paraId="40CF9F39">
            <w:pPr>
              <w:pageBreakBefore w:val="0"/>
              <w:numPr>
                <w:ilvl w:val="0"/>
                <w:numId w:val="3"/>
              </w:numPr>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GPU:</w:t>
            </w:r>
            <w:bookmarkStart w:id="8" w:name="OLE_LINK5"/>
            <w:bookmarkStart w:id="9" w:name="OLE_LINK4"/>
            <w:r>
              <w:rPr>
                <w:rFonts w:hint="eastAsia" w:ascii="宋体" w:hAnsi="宋体" w:eastAsia="宋体" w:cs="宋体"/>
                <w:color w:val="auto"/>
                <w:sz w:val="21"/>
                <w:szCs w:val="21"/>
                <w:highlight w:val="none"/>
              </w:rPr>
              <w:t>不低于</w:t>
            </w:r>
            <w:bookmarkEnd w:id="8"/>
            <w:bookmarkEnd w:id="9"/>
            <w:r>
              <w:rPr>
                <w:rFonts w:hint="eastAsia" w:ascii="宋体" w:hAnsi="宋体" w:eastAsia="宋体" w:cs="宋体"/>
                <w:color w:val="auto"/>
                <w:sz w:val="21"/>
                <w:szCs w:val="21"/>
                <w:highlight w:val="none"/>
              </w:rPr>
              <w:t>384核+48TensorCores；</w:t>
            </w:r>
          </w:p>
          <w:p w14:paraId="7CF79D70">
            <w:pPr>
              <w:pageBreakBefore w:val="0"/>
              <w:numPr>
                <w:ilvl w:val="0"/>
                <w:numId w:val="3"/>
              </w:numPr>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CPU: 不低于6核ARMv8.264-bit；</w:t>
            </w:r>
          </w:p>
          <w:p w14:paraId="6A81BBCE">
            <w:pPr>
              <w:pageBreakBefore w:val="0"/>
              <w:numPr>
                <w:ilvl w:val="0"/>
                <w:numId w:val="3"/>
              </w:numPr>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内存: 不低于8GB128-bitLPDDR4x(59.7GB/s)；</w:t>
            </w:r>
          </w:p>
          <w:p w14:paraId="721EB51D">
            <w:pPr>
              <w:pageBreakBefore w:val="0"/>
              <w:numPr>
                <w:ilvl w:val="0"/>
                <w:numId w:val="3"/>
              </w:numPr>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存储: 不低于16GBeMMC5.1；</w:t>
            </w:r>
          </w:p>
          <w:p w14:paraId="1FBA12C4">
            <w:pPr>
              <w:pageBreakBefore w:val="0"/>
              <w:kinsoku/>
              <w:overflowPunct/>
              <w:topLinePunct w:val="0"/>
              <w:autoSpaceDE/>
              <w:autoSpaceDN/>
              <w:bidi w:val="0"/>
              <w:spacing w:line="312"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四、激光雷达套件</w:t>
            </w:r>
          </w:p>
          <w:p w14:paraId="21865A62">
            <w:pPr>
              <w:pageBreakBefore w:val="0"/>
              <w:numPr>
                <w:ilvl w:val="0"/>
                <w:numId w:val="4"/>
              </w:numPr>
              <w:kinsoku/>
              <w:wordWrap w:val="0"/>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激光波长：≥900nm；</w:t>
            </w:r>
          </w:p>
          <w:p w14:paraId="711934F1">
            <w:pPr>
              <w:pageBreakBefore w:val="0"/>
              <w:numPr>
                <w:ilvl w:val="0"/>
                <w:numId w:val="4"/>
              </w:numPr>
              <w:kinsoku/>
              <w:wordWrap w:val="0"/>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人眼安全级别：Class1(0825-1:2014)人眼安全；</w:t>
            </w:r>
          </w:p>
          <w:p w14:paraId="0663F831">
            <w:pPr>
              <w:pageBreakBefore w:val="0"/>
              <w:numPr>
                <w:ilvl w:val="0"/>
                <w:numId w:val="4"/>
              </w:numPr>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近处盲区：≥0.1m；</w:t>
            </w:r>
          </w:p>
          <w:p w14:paraId="4DB74AA0">
            <w:pPr>
              <w:pageBreakBefore w:val="0"/>
              <w:numPr>
                <w:ilvl w:val="0"/>
                <w:numId w:val="4"/>
              </w:numPr>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测距随机误差(1σ)：≤2cm(@10m)/≤3cm(@0.2m)；</w:t>
            </w:r>
          </w:p>
          <w:p w14:paraId="60C477A2">
            <w:pPr>
              <w:pageBreakBefore w:val="0"/>
              <w:numPr>
                <w:ilvl w:val="0"/>
                <w:numId w:val="4"/>
              </w:numPr>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角度随机误差（1σ）：≤0.2º；</w:t>
            </w:r>
          </w:p>
          <w:p w14:paraId="6A0969E0">
            <w:pPr>
              <w:pageBreakBefore w:val="0"/>
              <w:numPr>
                <w:ilvl w:val="0"/>
                <w:numId w:val="4"/>
              </w:numPr>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点云输出：≥200,000点/秒(可配置第一回波)；</w:t>
            </w:r>
          </w:p>
          <w:p w14:paraId="1E6263B8">
            <w:pPr>
              <w:pageBreakBefore w:val="0"/>
              <w:numPr>
                <w:ilvl w:val="0"/>
                <w:numId w:val="4"/>
              </w:numPr>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点云帧率：≥10Hz(典型值)；</w:t>
            </w:r>
          </w:p>
          <w:p w14:paraId="1D08913D">
            <w:pPr>
              <w:pageBreakBefore w:val="0"/>
              <w:numPr>
                <w:ilvl w:val="0"/>
                <w:numId w:val="4"/>
              </w:numPr>
              <w:kinsoku/>
              <w:overflowPunct/>
              <w:topLinePunct w:val="0"/>
              <w:autoSpaceDE/>
              <w:autoSpaceDN/>
              <w:bidi w:val="0"/>
              <w:spacing w:line="312" w:lineRule="auto"/>
              <w:ind w:left="0" w:firstLine="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支持</w:t>
            </w:r>
            <w:r>
              <w:rPr>
                <w:rFonts w:hint="eastAsia" w:ascii="宋体" w:hAnsi="宋体" w:eastAsia="宋体" w:cs="宋体"/>
                <w:color w:val="auto"/>
                <w:sz w:val="21"/>
                <w:szCs w:val="21"/>
                <w:highlight w:val="none"/>
              </w:rPr>
              <w:t>数据同步</w:t>
            </w:r>
            <w:r>
              <w:rPr>
                <w:rFonts w:hint="eastAsia" w:ascii="宋体" w:hAnsi="宋体" w:eastAsia="宋体" w:cs="宋体"/>
                <w:color w:val="auto"/>
                <w:sz w:val="21"/>
                <w:szCs w:val="21"/>
                <w:highlight w:val="none"/>
                <w:lang w:eastAsia="zh-CN"/>
              </w:rPr>
              <w:t>；</w:t>
            </w:r>
          </w:p>
          <w:p w14:paraId="16DC8035">
            <w:pPr>
              <w:pageBreakBefore w:val="0"/>
              <w:numPr>
                <w:ilvl w:val="0"/>
                <w:numId w:val="4"/>
              </w:numPr>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工作环境温度：-20℃至55℃；</w:t>
            </w:r>
          </w:p>
          <w:p w14:paraId="4CE6AA40">
            <w:pPr>
              <w:pageBreakBefore w:val="0"/>
              <w:numPr>
                <w:ilvl w:val="0"/>
                <w:numId w:val="4"/>
              </w:numPr>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防护等级：≥IP67；</w:t>
            </w:r>
          </w:p>
          <w:p w14:paraId="75EB22AC">
            <w:pPr>
              <w:pageBreakBefore w:val="0"/>
              <w:numPr>
                <w:ilvl w:val="0"/>
                <w:numId w:val="4"/>
              </w:numPr>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功率：≥56W；</w:t>
            </w:r>
          </w:p>
          <w:p w14:paraId="45CAE2B0">
            <w:pPr>
              <w:pageBreakBefore w:val="0"/>
              <w:numPr>
                <w:ilvl w:val="0"/>
                <w:numId w:val="4"/>
              </w:numPr>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供电电压范围：9~27VDC；</w:t>
            </w:r>
          </w:p>
          <w:p w14:paraId="3F3520CC">
            <w:pPr>
              <w:pageBreakBefore w:val="0"/>
              <w:numPr>
                <w:ilvl w:val="0"/>
                <w:numId w:val="4"/>
              </w:numPr>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含配套结构件及线束；</w:t>
            </w:r>
          </w:p>
          <w:p w14:paraId="06D1D3C8">
            <w:pPr>
              <w:pStyle w:val="11"/>
              <w:pageBreakBefore w:val="0"/>
              <w:kinsoku/>
              <w:overflowPunct/>
              <w:topLinePunct w:val="0"/>
              <w:autoSpaceDE/>
              <w:autoSpaceDN/>
              <w:bidi w:val="0"/>
              <w:spacing w:line="312" w:lineRule="auto"/>
              <w:ind w:firstLine="0" w:firstLineChars="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五、多模态AI大模型交互控制系统：1套</w:t>
            </w:r>
          </w:p>
          <w:p w14:paraId="74478110">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1.系统需具备自主知识产权，正版软件；</w:t>
            </w:r>
          </w:p>
          <w:p w14:paraId="21F1A46C">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2.系统应提供完整的软件安装和操作手册；</w:t>
            </w:r>
          </w:p>
          <w:p w14:paraId="653169EC">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3.系统功能应包括以下功能：</w:t>
            </w:r>
          </w:p>
          <w:p w14:paraId="4CECA6CE">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①唤醒词检测模块</w:t>
            </w:r>
          </w:p>
          <w:p w14:paraId="2B69F913">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1）支持自定义唤醒词，更换后无需训练即可使用；</w:t>
            </w:r>
          </w:p>
          <w:p w14:paraId="607DD474">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2）支持唤醒阈值配置，根据不同使用场景调节唤醒灵敏度；</w:t>
            </w:r>
          </w:p>
          <w:p w14:paraId="486D8D61">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w:t>
            </w:r>
            <w:r>
              <w:rPr>
                <w:rFonts w:hint="eastAsia" w:ascii="宋体" w:hAnsi="宋体" w:eastAsia="宋体" w:cs="宋体"/>
                <w:color w:val="auto"/>
                <w:sz w:val="21"/>
                <w:szCs w:val="21"/>
                <w:highlight w:val="none"/>
              </w:rPr>
              <w:t>②语音识别模块</w:t>
            </w:r>
          </w:p>
          <w:p w14:paraId="0E10B942">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1）支持中英文混合识别；</w:t>
            </w:r>
          </w:p>
          <w:p w14:paraId="2F4775DD">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2）集成流式与非流式双模型识别技术；</w:t>
            </w:r>
          </w:p>
          <w:p w14:paraId="0C02B12B">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③语音合成模块</w:t>
            </w:r>
          </w:p>
          <w:p w14:paraId="1E5BA2F5">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1）支持零样本语音克隆功能，上传单个参考音频即可完成高质量音色克隆；</w:t>
            </w:r>
          </w:p>
          <w:p w14:paraId="15DD5665">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2）支持中英文混合输出，支持多语言合成需求；</w:t>
            </w:r>
          </w:p>
          <w:p w14:paraId="7545F5A2">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④大语言模型模块</w:t>
            </w:r>
          </w:p>
          <w:p w14:paraId="704C1E51">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1）支持7B+参数规模模型本地部署能力，兼容</w:t>
            </w:r>
            <w:r>
              <w:rPr>
                <w:rFonts w:hint="eastAsia" w:ascii="宋体" w:hAnsi="宋体" w:eastAsia="宋体" w:cs="宋体"/>
                <w:b w:val="0"/>
                <w:bCs w:val="0"/>
                <w:i w:val="0"/>
                <w:iCs w:val="0"/>
                <w:caps w:val="0"/>
                <w:color w:val="auto"/>
                <w:spacing w:val="0"/>
                <w:sz w:val="21"/>
                <w:szCs w:val="21"/>
                <w:highlight w:val="none"/>
              </w:rPr>
              <w:t>DeepSeek</w:t>
            </w:r>
            <w:r>
              <w:rPr>
                <w:rFonts w:hint="eastAsia" w:ascii="宋体" w:hAnsi="宋体" w:eastAsia="宋体" w:cs="宋体"/>
                <w:b w:val="0"/>
                <w:bCs w:val="0"/>
                <w:i w:val="0"/>
                <w:iCs w:val="0"/>
                <w:caps w:val="0"/>
                <w:color w:val="auto"/>
                <w:spacing w:val="0"/>
                <w:sz w:val="21"/>
                <w:szCs w:val="21"/>
                <w:highlight w:val="none"/>
                <w:lang w:eastAsia="zh-CN"/>
              </w:rPr>
              <w:t>、</w:t>
            </w:r>
            <w:r>
              <w:rPr>
                <w:rFonts w:hint="eastAsia" w:ascii="宋体" w:hAnsi="宋体" w:eastAsia="宋体" w:cs="宋体"/>
                <w:color w:val="auto"/>
                <w:sz w:val="21"/>
                <w:szCs w:val="21"/>
                <w:highlight w:val="none"/>
              </w:rPr>
              <w:t>字节跳动豆包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阿里Qwen通义千问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智谱AI</w:t>
            </w:r>
            <w:r>
              <w:rPr>
                <w:rFonts w:hint="eastAsia" w:ascii="宋体" w:hAnsi="宋体" w:eastAsia="宋体" w:cs="宋体"/>
                <w:color w:val="auto"/>
                <w:sz w:val="21"/>
                <w:szCs w:val="21"/>
                <w:highlight w:val="none"/>
                <w:lang w:val="en-US" w:eastAsia="zh-CN"/>
              </w:rPr>
              <w:t>四种开源</w:t>
            </w:r>
            <w:r>
              <w:rPr>
                <w:rFonts w:hint="eastAsia" w:ascii="宋体" w:hAnsi="宋体" w:eastAsia="宋体" w:cs="宋体"/>
                <w:color w:val="auto"/>
                <w:sz w:val="21"/>
                <w:szCs w:val="21"/>
                <w:highlight w:val="none"/>
              </w:rPr>
              <w:t>大语言模型</w:t>
            </w:r>
            <w:r>
              <w:rPr>
                <w:rFonts w:hint="eastAsia" w:ascii="宋体" w:hAnsi="宋体" w:eastAsia="宋体" w:cs="宋体"/>
                <w:color w:val="auto"/>
                <w:sz w:val="21"/>
                <w:szCs w:val="21"/>
                <w:highlight w:val="none"/>
                <w:lang w:val="en-US" w:eastAsia="zh-CN"/>
              </w:rPr>
              <w:t>中的一个</w:t>
            </w:r>
            <w:r>
              <w:rPr>
                <w:rFonts w:hint="eastAsia" w:ascii="宋体" w:hAnsi="宋体" w:eastAsia="宋体" w:cs="宋体"/>
                <w:color w:val="auto"/>
                <w:sz w:val="21"/>
                <w:szCs w:val="21"/>
                <w:highlight w:val="none"/>
              </w:rPr>
              <w:t>；</w:t>
            </w:r>
          </w:p>
          <w:p w14:paraId="73DA91AD">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2）支持MCP工具调用协议，工具调用兼容稳定；</w:t>
            </w:r>
          </w:p>
          <w:p w14:paraId="14015484">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⑤多模态模型模块</w:t>
            </w:r>
          </w:p>
          <w:p w14:paraId="66CE85AD">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1）集成视觉语言大模型，支持上传图片进行图文交互对话；</w:t>
            </w:r>
          </w:p>
          <w:p w14:paraId="059607A8">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⑥MCP 服务配置和管理模块</w:t>
            </w:r>
          </w:p>
          <w:p w14:paraId="7FEFF70D">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1）提供 MCP 服务可视化管理功能，支持对 MCP 服务器进行动态添加、修改、删除操作；</w:t>
            </w:r>
          </w:p>
          <w:p w14:paraId="265949A0">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⑦开放服务接口模块</w:t>
            </w:r>
          </w:p>
          <w:p w14:paraId="41BE3610">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1）对外提供智能语音服务接口，支持跨机器调用智能语音服务；</w:t>
            </w:r>
          </w:p>
          <w:p w14:paraId="0ECC293C">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2）支持语音识别结果与大模型工具调用结果的流式传输，保障数据传输的实时性</w:t>
            </w:r>
            <w:r>
              <w:rPr>
                <w:rFonts w:hint="eastAsia" w:ascii="宋体" w:hAnsi="宋体" w:eastAsia="宋体" w:cs="宋体"/>
                <w:color w:val="auto"/>
                <w:sz w:val="21"/>
                <w:szCs w:val="21"/>
                <w:highlight w:val="none"/>
                <w:lang w:eastAsia="zh-CN"/>
              </w:rPr>
              <w:t>。</w:t>
            </w:r>
          </w:p>
        </w:tc>
        <w:tc>
          <w:tcPr>
            <w:tcW w:w="954" w:type="dxa"/>
            <w:vAlign w:val="center"/>
          </w:tcPr>
          <w:p w14:paraId="6BE62890">
            <w:pPr>
              <w:pageBreakBefore w:val="0"/>
              <w:kinsoku/>
              <w:overflowPunct/>
              <w:topLinePunct w:val="0"/>
              <w:autoSpaceDE/>
              <w:autoSpaceDN/>
              <w:bidi w:val="0"/>
              <w:spacing w:line="312" w:lineRule="auto"/>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w:t>
            </w:r>
          </w:p>
        </w:tc>
        <w:tc>
          <w:tcPr>
            <w:tcW w:w="711" w:type="dxa"/>
            <w:vAlign w:val="center"/>
          </w:tcPr>
          <w:p w14:paraId="705D23B4">
            <w:pPr>
              <w:pageBreakBefore w:val="0"/>
              <w:kinsoku/>
              <w:overflowPunct/>
              <w:topLinePunct w:val="0"/>
              <w:autoSpaceDE/>
              <w:autoSpaceDN/>
              <w:bidi w:val="0"/>
              <w:spacing w:line="312" w:lineRule="auto"/>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工业</w:t>
            </w:r>
          </w:p>
        </w:tc>
      </w:tr>
    </w:tbl>
    <w:p w14:paraId="36E71B09">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bookmarkStart w:id="10" w:name="_Toc7421"/>
      <w:bookmarkStart w:id="11" w:name="_Toc4843"/>
    </w:p>
    <w:bookmarkEnd w:id="10"/>
    <w:bookmarkEnd w:id="11"/>
    <w:p w14:paraId="09711FF2">
      <w:pPr>
        <w:pStyle w:val="2"/>
        <w:pageBreakBefore w:val="0"/>
        <w:kinsoku/>
        <w:overflowPunct/>
        <w:topLinePunct w:val="0"/>
        <w:autoSpaceDE/>
        <w:autoSpaceDN/>
        <w:bidi w:val="0"/>
        <w:spacing w:before="0" w:after="0" w:line="312" w:lineRule="auto"/>
        <w:ind w:firstLine="56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三、其它要求（投标文件中需提供下列内容的书面承诺函，格式自拟、加盖公章，否则投标无效）</w:t>
      </w:r>
    </w:p>
    <w:p w14:paraId="23D1C127">
      <w:pPr>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1.中标人需提供1套设备配套的中英双语课程资源包。</w:t>
      </w:r>
    </w:p>
    <w:p w14:paraId="6437CBF8">
      <w:pPr>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（1）中标人需开发提供设备配套教学所需的实训指导书（中英文双语资料包），同时提供电子版及纸质版实训指导书，纸质版需至少提供20册。</w:t>
      </w:r>
    </w:p>
    <w:p w14:paraId="6803441D">
      <w:pPr>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实训指导书主要围绕人工智能与智能制造技术应用展开，包含5个模块，涵盖人工智能与智能制造基础认知、工业机器人技术应用、工业网络与数据采集、机器人视觉应用、智能传感器技术应用。通过实际案例实现，助力学生理解人工智能与智能制造技术应用涉及的关键技术的应用场景与操作要点。实训指导书以人工智能与智能制造技术应用为对象，实验主体至少人工智能基础认知、智能制造基础认知、智能系统运维与工业物联网技术认知、示教器操作环境的基本配置、工业机器人的手动运行、工业机器人的示教编程与调试、工业网络互联集成、温湿度传感器数据采集等；</w:t>
      </w:r>
    </w:p>
    <w:p w14:paraId="126E37EC">
      <w:pPr>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（2）中标人需提供设备配套教学所需课程资源1套，如课件、视频等。</w:t>
      </w:r>
    </w:p>
    <w:p w14:paraId="0AC84FAB">
      <w:pPr>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课程资源以知识点和技能点为依据进行打散重构，可以根据实际使用需求进行重构组织，方便使用。课程资源包含多种形式，至少包括PPT、软件录屏及动画视频和实拍操作视频。PPT提供源文件，可编辑，含中文和英文两个版本，风格统一，内容充实，可作为素材库满足教学课程使用，数量不少于23个。可通过统一资源平台软件进行播放，以所投标设备为基础进行拍摄录制，画面稳定清晰，关键信息配有中、英文字幕和中文解说，为展示关键操作过程通过对软件中的操作过程进行同步录屏标注，视频数量不少于20个。</w:t>
      </w:r>
    </w:p>
    <w:p w14:paraId="3C4BAA3F">
      <w:pPr>
        <w:pageBreakBefore w:val="0"/>
        <w:widowControl w:val="0"/>
        <w:kinsoku/>
        <w:wordWrap/>
        <w:overflowPunct/>
        <w:topLinePunct w:val="0"/>
        <w:autoSpaceDE/>
        <w:autoSpaceDN/>
        <w:bidi w:val="0"/>
        <w:adjustRightInd/>
        <w:snapToGrid/>
        <w:spacing w:line="312" w:lineRule="auto"/>
        <w:ind w:firstLine="422" w:firstLineChars="200"/>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kern w:val="2"/>
          <w:sz w:val="21"/>
          <w:szCs w:val="21"/>
          <w:highlight w:val="none"/>
          <w:lang w:val="en-US" w:eastAsia="zh-CN" w:bidi="ar-SA"/>
        </w:rPr>
        <w:t>合同生效后，中标人供货时需同步随货提供产品的出厂测试报告或第三方检测机构出具的检测报告。</w:t>
      </w:r>
    </w:p>
    <w:p w14:paraId="2A940202">
      <w:pPr>
        <w:pStyle w:val="2"/>
        <w:pageBreakBefore w:val="0"/>
        <w:kinsoku/>
        <w:overflowPunct/>
        <w:topLinePunct w:val="0"/>
        <w:autoSpaceDE/>
        <w:autoSpaceDN/>
        <w:bidi w:val="0"/>
        <w:spacing w:before="0" w:after="0" w:line="312" w:lineRule="auto"/>
        <w:ind w:firstLine="56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、报价要求</w:t>
      </w:r>
    </w:p>
    <w:p w14:paraId="5C401DA1">
      <w:pPr>
        <w:pageBreakBefore w:val="0"/>
        <w:kinsoku/>
        <w:overflowPunct/>
        <w:topLinePunct w:val="0"/>
        <w:autoSpaceDE/>
        <w:autoSpaceDN/>
        <w:bidi w:val="0"/>
        <w:spacing w:line="31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本项目报总价，投标报价包括本项目需求的全部货物及所需附件购置费、包装费、运输费、人工费、保险费、安装调试费、各种税费、资料费、售后服务费及完成项目应有的全部费用。</w:t>
      </w:r>
    </w:p>
    <w:p w14:paraId="6C6D3AB1">
      <w:pPr>
        <w:pStyle w:val="2"/>
        <w:pageBreakBefore w:val="0"/>
        <w:kinsoku/>
        <w:overflowPunct/>
        <w:topLinePunct w:val="0"/>
        <w:autoSpaceDE/>
        <w:autoSpaceDN/>
        <w:bidi w:val="0"/>
        <w:spacing w:before="0" w:after="0" w:line="312" w:lineRule="auto"/>
        <w:ind w:firstLine="56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五</w:t>
      </w:r>
      <w:r>
        <w:rPr>
          <w:rFonts w:hint="eastAsia" w:ascii="宋体" w:hAnsi="宋体" w:eastAsia="宋体" w:cs="宋体"/>
          <w:color w:val="auto"/>
          <w:sz w:val="21"/>
          <w:szCs w:val="21"/>
          <w:highlight w:val="none"/>
        </w:rPr>
        <w:t>、备品备件及专用工具</w:t>
      </w:r>
    </w:p>
    <w:p w14:paraId="7B6B18B1">
      <w:pPr>
        <w:pageBreakBefore w:val="0"/>
        <w:kinsoku/>
        <w:overflowPunct/>
        <w:topLinePunct w:val="0"/>
        <w:autoSpaceDE/>
        <w:autoSpaceDN/>
        <w:bidi w:val="0"/>
        <w:spacing w:line="312" w:lineRule="auto"/>
        <w:ind w:firstLine="420" w:firstLineChars="200"/>
        <w:jc w:val="left"/>
        <w:textAlignment w:val="auto"/>
        <w:rPr>
          <w:rFonts w:hint="eastAsia" w:ascii="宋体" w:hAnsi="宋体" w:eastAsia="宋体" w:cs="宋体"/>
          <w:color w:val="auto"/>
          <w:sz w:val="21"/>
          <w:szCs w:val="21"/>
          <w:highlight w:val="none"/>
        </w:rPr>
      </w:pPr>
      <w:bookmarkStart w:id="12" w:name="_Toc455587277"/>
      <w:bookmarkStart w:id="13" w:name="_Toc445554752"/>
      <w:bookmarkStart w:id="14" w:name="_Toc455587093"/>
      <w:r>
        <w:rPr>
          <w:rFonts w:hint="eastAsia" w:ascii="宋体" w:hAnsi="宋体" w:eastAsia="宋体" w:cs="宋体"/>
          <w:color w:val="auto"/>
          <w:sz w:val="21"/>
          <w:szCs w:val="21"/>
          <w:highlight w:val="none"/>
        </w:rPr>
        <w:t>1.备品备件：中标人提供能够满足质量保证期内的设备维修要求的备品备件，备品备件应是新品。</w:t>
      </w:r>
    </w:p>
    <w:p w14:paraId="0EB06894">
      <w:pPr>
        <w:pageBreakBefore w:val="0"/>
        <w:kinsoku/>
        <w:overflowPunct/>
        <w:topLinePunct w:val="0"/>
        <w:autoSpaceDE/>
        <w:autoSpaceDN/>
        <w:bidi w:val="0"/>
        <w:spacing w:line="31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2.专用工具：中标人提供设备安装、调试、验收、维修、保养所必要的专用工具、仪器、仪表等工具。</w:t>
      </w:r>
    </w:p>
    <w:bookmarkEnd w:id="12"/>
    <w:bookmarkEnd w:id="13"/>
    <w:bookmarkEnd w:id="14"/>
    <w:p w14:paraId="4FFC6446">
      <w:pPr>
        <w:pStyle w:val="2"/>
        <w:pageBreakBefore w:val="0"/>
        <w:kinsoku/>
        <w:overflowPunct/>
        <w:topLinePunct w:val="0"/>
        <w:autoSpaceDE/>
        <w:autoSpaceDN/>
        <w:bidi w:val="0"/>
        <w:spacing w:before="0" w:after="0" w:line="312" w:lineRule="auto"/>
        <w:ind w:firstLine="560"/>
        <w:textAlignment w:val="auto"/>
        <w:rPr>
          <w:rFonts w:hint="eastAsia" w:ascii="宋体" w:hAnsi="宋体" w:eastAsia="宋体" w:cs="宋体"/>
          <w:color w:val="auto"/>
          <w:sz w:val="21"/>
          <w:szCs w:val="21"/>
          <w:highlight w:val="none"/>
        </w:rPr>
      </w:pPr>
      <w:bookmarkStart w:id="15" w:name="_Toc532199625"/>
      <w:bookmarkStart w:id="16" w:name="_Toc455587278"/>
      <w:bookmarkStart w:id="17" w:name="_Toc445554753"/>
      <w:bookmarkStart w:id="18" w:name="_Toc455587094"/>
      <w:r>
        <w:rPr>
          <w:rFonts w:hint="eastAsia" w:ascii="宋体" w:hAnsi="宋体" w:eastAsia="宋体" w:cs="宋体"/>
          <w:color w:val="auto"/>
          <w:sz w:val="21"/>
          <w:szCs w:val="21"/>
          <w:highlight w:val="none"/>
          <w:lang w:val="en-US" w:eastAsia="zh-CN"/>
        </w:rPr>
        <w:t>六</w:t>
      </w:r>
      <w:r>
        <w:rPr>
          <w:rFonts w:hint="eastAsia" w:ascii="宋体" w:hAnsi="宋体" w:eastAsia="宋体" w:cs="宋体"/>
          <w:color w:val="auto"/>
          <w:sz w:val="21"/>
          <w:szCs w:val="21"/>
          <w:highlight w:val="none"/>
        </w:rPr>
        <w:t>、安装调试、验收试验及质量保证</w:t>
      </w:r>
      <w:bookmarkEnd w:id="15"/>
    </w:p>
    <w:p w14:paraId="39D6DE18">
      <w:pPr>
        <w:pageBreakBefore w:val="0"/>
        <w:kinsoku/>
        <w:overflowPunct/>
        <w:topLinePunct w:val="0"/>
        <w:autoSpaceDE/>
        <w:autoSpaceDN/>
        <w:bidi w:val="0"/>
        <w:spacing w:line="31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1.中标人在设备安装地点负责安装、调试。</w:t>
      </w:r>
    </w:p>
    <w:p w14:paraId="45E2B8EB">
      <w:pPr>
        <w:pageBreakBefore w:val="0"/>
        <w:kinsoku/>
        <w:overflowPunct/>
        <w:topLinePunct w:val="0"/>
        <w:autoSpaceDE/>
        <w:autoSpaceDN/>
        <w:bidi w:val="0"/>
        <w:spacing w:line="31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2.具体设备验收标准和程序按采购人要求执行，下列验收程序可参照执行：</w:t>
      </w:r>
    </w:p>
    <w:p w14:paraId="468F0AA7">
      <w:pPr>
        <w:pageBreakBefore w:val="0"/>
        <w:kinsoku/>
        <w:overflowPunct/>
        <w:topLinePunct w:val="0"/>
        <w:autoSpaceDE/>
        <w:autoSpaceDN/>
        <w:bidi w:val="0"/>
        <w:spacing w:line="31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 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涉及需要由质检或行业主管部门验收的项目，采购人须约请相关部门和专家参加项目验收。</w:t>
      </w:r>
    </w:p>
    <w:p w14:paraId="406A8AFD">
      <w:pPr>
        <w:pageBreakBefore w:val="0"/>
        <w:kinsoku/>
        <w:overflowPunct/>
        <w:topLinePunct w:val="0"/>
        <w:autoSpaceDE/>
        <w:autoSpaceDN/>
        <w:bidi w:val="0"/>
        <w:spacing w:line="31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p>
    <w:p w14:paraId="02C41837">
      <w:pPr>
        <w:pageBreakBefore w:val="0"/>
        <w:kinsoku/>
        <w:overflowPunct/>
        <w:topLinePunct w:val="0"/>
        <w:autoSpaceDE/>
        <w:autoSpaceDN/>
        <w:bidi w:val="0"/>
        <w:spacing w:line="31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 中标人应根据采购人使用单位的技术要求提供相应的产品。由中标人所提供的设备部件间的连线和插接件均应视为设备内部器件，包含在相应的设备之中。</w:t>
      </w:r>
    </w:p>
    <w:p w14:paraId="6F0A824F">
      <w:pPr>
        <w:pageBreakBefore w:val="0"/>
        <w:kinsoku/>
        <w:overflowPunct/>
        <w:topLinePunct w:val="0"/>
        <w:autoSpaceDE/>
        <w:autoSpaceDN/>
        <w:bidi w:val="0"/>
        <w:spacing w:line="31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 运行测试及最终验收。在系统安装、调试结束后，采购人对其进行全面的测试，对测试中暴露出来的问题，中标人应及时进行整改，系统最终测试完毕经验收合格后，采购人应向中标人签发最终验收证明。</w:t>
      </w:r>
    </w:p>
    <w:p w14:paraId="0685808A">
      <w:pPr>
        <w:pageBreakBefore w:val="0"/>
        <w:kinsoku/>
        <w:overflowPunct/>
        <w:topLinePunct w:val="0"/>
        <w:autoSpaceDE/>
        <w:autoSpaceDN/>
        <w:bidi w:val="0"/>
        <w:spacing w:line="31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 中标人应向采购人提供安装调试过程中的各种文档资料,以便采购人今后能掌握操作和维护方法。依据合同与合同有关条件、本招标文件的技术规范、系统配置要求、设备技术文件和系统说明书，以及国家和省部级等要求进行验收。</w:t>
      </w:r>
    </w:p>
    <w:p w14:paraId="49638BB9">
      <w:pPr>
        <w:pageBreakBefore w:val="0"/>
        <w:kinsoku/>
        <w:overflowPunct/>
        <w:topLinePunct w:val="0"/>
        <w:autoSpaceDE/>
        <w:autoSpaceDN/>
        <w:bidi w:val="0"/>
        <w:spacing w:line="31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3.如设备在验收时有一个或多个指标未能达到要求而属于中标人责任时，则中标人自费采取有效措施，在规定时间内使之达到保证指标。如在规定的时间内仍达不到合格标准时，则中标人应向采购人赔偿。</w:t>
      </w:r>
    </w:p>
    <w:p w14:paraId="064AFBBC">
      <w:pPr>
        <w:pStyle w:val="2"/>
        <w:pageBreakBefore w:val="0"/>
        <w:kinsoku/>
        <w:overflowPunct/>
        <w:topLinePunct w:val="0"/>
        <w:autoSpaceDE/>
        <w:autoSpaceDN/>
        <w:bidi w:val="0"/>
        <w:spacing w:before="0" w:after="0" w:line="312" w:lineRule="auto"/>
        <w:ind w:firstLine="560"/>
        <w:textAlignment w:val="auto"/>
        <w:rPr>
          <w:rFonts w:hint="eastAsia" w:ascii="宋体" w:hAnsi="宋体" w:eastAsia="宋体" w:cs="宋体"/>
          <w:color w:val="auto"/>
          <w:sz w:val="21"/>
          <w:szCs w:val="21"/>
          <w:highlight w:val="none"/>
        </w:rPr>
      </w:pPr>
      <w:bookmarkStart w:id="19" w:name="_Toc532199626"/>
      <w:r>
        <w:rPr>
          <w:rFonts w:hint="eastAsia" w:ascii="宋体" w:hAnsi="宋体" w:eastAsia="宋体" w:cs="宋体"/>
          <w:color w:val="auto"/>
          <w:sz w:val="21"/>
          <w:szCs w:val="21"/>
          <w:highlight w:val="none"/>
          <w:lang w:val="en-US" w:eastAsia="zh-CN"/>
        </w:rPr>
        <w:t>七</w:t>
      </w:r>
      <w:r>
        <w:rPr>
          <w:rFonts w:hint="eastAsia" w:ascii="宋体" w:hAnsi="宋体" w:eastAsia="宋体" w:cs="宋体"/>
          <w:color w:val="auto"/>
          <w:sz w:val="21"/>
          <w:szCs w:val="21"/>
          <w:highlight w:val="none"/>
        </w:rPr>
        <w:t>、包装运输</w:t>
      </w:r>
      <w:bookmarkEnd w:id="16"/>
      <w:bookmarkEnd w:id="17"/>
      <w:bookmarkEnd w:id="18"/>
      <w:bookmarkEnd w:id="19"/>
    </w:p>
    <w:p w14:paraId="4F3F7443">
      <w:pPr>
        <w:pageBreakBefore w:val="0"/>
        <w:kinsoku/>
        <w:overflowPunct/>
        <w:topLinePunct w:val="0"/>
        <w:autoSpaceDE/>
        <w:autoSpaceDN/>
        <w:bidi w:val="0"/>
        <w:spacing w:line="312" w:lineRule="auto"/>
        <w:ind w:firstLine="420" w:firstLineChars="200"/>
        <w:jc w:val="left"/>
        <w:textAlignment w:val="auto"/>
        <w:rPr>
          <w:rFonts w:hint="eastAsia" w:ascii="宋体" w:hAnsi="宋体" w:eastAsia="宋体" w:cs="宋体"/>
          <w:color w:val="auto"/>
          <w:sz w:val="21"/>
          <w:szCs w:val="21"/>
          <w:highlight w:val="none"/>
        </w:rPr>
      </w:pPr>
      <w:bookmarkStart w:id="20" w:name="_Toc445554754"/>
      <w:bookmarkStart w:id="21" w:name="_Toc455587279"/>
      <w:bookmarkStart w:id="22" w:name="_Toc455587095"/>
      <w:r>
        <w:rPr>
          <w:rFonts w:hint="eastAsia" w:ascii="宋体" w:hAnsi="宋体" w:eastAsia="宋体" w:cs="宋体"/>
          <w:color w:val="auto"/>
          <w:sz w:val="21"/>
          <w:szCs w:val="21"/>
          <w:highlight w:val="none"/>
        </w:rPr>
        <w:t>1.中标人负责设备包装、办理运输和保险，将设备安全运抵交货地点。</w:t>
      </w:r>
    </w:p>
    <w:p w14:paraId="1728C107">
      <w:pPr>
        <w:pageBreakBefore w:val="0"/>
        <w:kinsoku/>
        <w:overflowPunct/>
        <w:topLinePunct w:val="0"/>
        <w:autoSpaceDE/>
        <w:autoSpaceDN/>
        <w:bidi w:val="0"/>
        <w:spacing w:line="31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2.设备制造完成并通过试验后应及时包装，否则应得到切实的保护，确保其不受污损。</w:t>
      </w:r>
    </w:p>
    <w:p w14:paraId="33775374">
      <w:pPr>
        <w:pageBreakBefore w:val="0"/>
        <w:kinsoku/>
        <w:overflowPunct/>
        <w:topLinePunct w:val="0"/>
        <w:autoSpaceDE/>
        <w:autoSpaceDN/>
        <w:bidi w:val="0"/>
        <w:spacing w:line="31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3.在包装箱外应标明采购人的订货号、发货号。</w:t>
      </w:r>
    </w:p>
    <w:p w14:paraId="1001EED3">
      <w:pPr>
        <w:pageBreakBefore w:val="0"/>
        <w:kinsoku/>
        <w:overflowPunct/>
        <w:topLinePunct w:val="0"/>
        <w:autoSpaceDE/>
        <w:autoSpaceDN/>
        <w:bidi w:val="0"/>
        <w:spacing w:line="31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4.各种包装应能确保各零部件在运输过程中不致遭到损坏、丢失、变形、受潮和腐蚀。</w:t>
      </w:r>
    </w:p>
    <w:p w14:paraId="7EA1E9FE">
      <w:pPr>
        <w:pageBreakBefore w:val="0"/>
        <w:kinsoku/>
        <w:overflowPunct/>
        <w:topLinePunct w:val="0"/>
        <w:autoSpaceDE/>
        <w:autoSpaceDN/>
        <w:bidi w:val="0"/>
        <w:spacing w:line="31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5.包装箱上应有明显的包装储运图示标志。</w:t>
      </w:r>
    </w:p>
    <w:p w14:paraId="4EEEB71C">
      <w:pPr>
        <w:pageBreakBefore w:val="0"/>
        <w:kinsoku/>
        <w:overflowPunct/>
        <w:topLinePunct w:val="0"/>
        <w:autoSpaceDE/>
        <w:autoSpaceDN/>
        <w:bidi w:val="0"/>
        <w:spacing w:line="31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6.整体产品或分别运输的部件都要适应运输和装载的要求。</w:t>
      </w:r>
    </w:p>
    <w:p w14:paraId="5E9DB970">
      <w:pPr>
        <w:pageBreakBefore w:val="0"/>
        <w:kinsoku/>
        <w:overflowPunct/>
        <w:topLinePunct w:val="0"/>
        <w:autoSpaceDE/>
        <w:autoSpaceDN/>
        <w:bidi w:val="0"/>
        <w:spacing w:line="31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7.随产品提供的技术资料应完整无缺。</w:t>
      </w:r>
    </w:p>
    <w:p w14:paraId="07FFB83E">
      <w:pPr>
        <w:pStyle w:val="2"/>
        <w:pageBreakBefore w:val="0"/>
        <w:kinsoku/>
        <w:overflowPunct/>
        <w:topLinePunct w:val="0"/>
        <w:autoSpaceDE/>
        <w:autoSpaceDN/>
        <w:bidi w:val="0"/>
        <w:spacing w:before="0" w:after="0" w:line="312" w:lineRule="auto"/>
        <w:ind w:firstLine="560"/>
        <w:textAlignment w:val="auto"/>
        <w:rPr>
          <w:rFonts w:hint="eastAsia" w:ascii="宋体" w:hAnsi="宋体" w:eastAsia="宋体" w:cs="宋体"/>
          <w:color w:val="auto"/>
          <w:sz w:val="21"/>
          <w:szCs w:val="21"/>
          <w:highlight w:val="none"/>
        </w:rPr>
      </w:pPr>
      <w:bookmarkStart w:id="23" w:name="_Toc532199627"/>
      <w:r>
        <w:rPr>
          <w:rFonts w:hint="eastAsia" w:ascii="宋体" w:hAnsi="宋体" w:eastAsia="宋体" w:cs="宋体"/>
          <w:color w:val="auto"/>
          <w:sz w:val="21"/>
          <w:szCs w:val="21"/>
          <w:highlight w:val="none"/>
          <w:lang w:val="en-US" w:eastAsia="zh-CN"/>
        </w:rPr>
        <w:t>八</w:t>
      </w:r>
      <w:r>
        <w:rPr>
          <w:rFonts w:hint="eastAsia" w:ascii="宋体" w:hAnsi="宋体" w:eastAsia="宋体" w:cs="宋体"/>
          <w:color w:val="auto"/>
          <w:sz w:val="21"/>
          <w:szCs w:val="21"/>
          <w:highlight w:val="none"/>
        </w:rPr>
        <w:t>、技术培训</w:t>
      </w:r>
      <w:bookmarkEnd w:id="20"/>
      <w:bookmarkEnd w:id="21"/>
      <w:bookmarkEnd w:id="22"/>
      <w:bookmarkEnd w:id="23"/>
    </w:p>
    <w:p w14:paraId="150B4FAE">
      <w:pPr>
        <w:pageBreakBefore w:val="0"/>
        <w:kinsoku/>
        <w:overflowPunct/>
        <w:topLinePunct w:val="0"/>
        <w:autoSpaceDE/>
        <w:autoSpaceDN/>
        <w:bidi w:val="0"/>
        <w:spacing w:line="31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1.为使合同设备能正常安装和运行，由中标人提供相应的技术培训，培训费用包含在投标报价内。</w:t>
      </w:r>
    </w:p>
    <w:p w14:paraId="7DF54797">
      <w:pPr>
        <w:pageBreakBefore w:val="0"/>
        <w:kinsoku/>
        <w:overflowPunct/>
        <w:topLinePunct w:val="0"/>
        <w:autoSpaceDE/>
        <w:autoSpaceDN/>
        <w:bidi w:val="0"/>
        <w:spacing w:line="31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2.培训的时间、人数、地点等具体内容由采购人和中标人双方商定，内容至少包括：设备原理、使用、维护、运行操作、常见故障处理等。</w:t>
      </w:r>
    </w:p>
    <w:p w14:paraId="778D89B9">
      <w:pPr>
        <w:pStyle w:val="2"/>
        <w:pageBreakBefore w:val="0"/>
        <w:kinsoku/>
        <w:overflowPunct/>
        <w:topLinePunct w:val="0"/>
        <w:autoSpaceDE/>
        <w:autoSpaceDN/>
        <w:bidi w:val="0"/>
        <w:spacing w:before="0" w:after="0" w:line="312" w:lineRule="auto"/>
        <w:ind w:firstLine="560"/>
        <w:textAlignment w:val="auto"/>
        <w:rPr>
          <w:rFonts w:hint="eastAsia" w:ascii="宋体" w:hAnsi="宋体" w:eastAsia="宋体" w:cs="宋体"/>
          <w:color w:val="auto"/>
          <w:sz w:val="21"/>
          <w:szCs w:val="21"/>
          <w:highlight w:val="none"/>
        </w:rPr>
      </w:pPr>
      <w:bookmarkStart w:id="24" w:name="_Toc532199628"/>
      <w:r>
        <w:rPr>
          <w:rFonts w:hint="eastAsia" w:ascii="宋体" w:hAnsi="宋体" w:eastAsia="宋体" w:cs="宋体"/>
          <w:color w:val="auto"/>
          <w:sz w:val="21"/>
          <w:szCs w:val="21"/>
          <w:highlight w:val="none"/>
          <w:lang w:val="en-US" w:eastAsia="zh-CN"/>
        </w:rPr>
        <w:t>九</w:t>
      </w:r>
      <w:r>
        <w:rPr>
          <w:rFonts w:hint="eastAsia" w:ascii="宋体" w:hAnsi="宋体" w:eastAsia="宋体" w:cs="宋体"/>
          <w:color w:val="auto"/>
          <w:sz w:val="21"/>
          <w:szCs w:val="21"/>
          <w:highlight w:val="none"/>
        </w:rPr>
        <w:t>、质保及售后服务</w:t>
      </w:r>
    </w:p>
    <w:p w14:paraId="6DA5AB92">
      <w:pPr>
        <w:pageBreakBefore w:val="0"/>
        <w:kinsoku/>
        <w:overflowPunct/>
        <w:topLinePunct w:val="0"/>
        <w:autoSpaceDE/>
        <w:autoSpaceDN/>
        <w:bidi w:val="0"/>
        <w:spacing w:line="31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1.自验收合格之日起进入免费质保期。</w:t>
      </w:r>
    </w:p>
    <w:p w14:paraId="2F8EF7E7">
      <w:pPr>
        <w:pageBreakBefore w:val="0"/>
        <w:kinsoku/>
        <w:overflowPunct/>
        <w:topLinePunct w:val="0"/>
        <w:autoSpaceDE/>
        <w:autoSpaceDN/>
        <w:bidi w:val="0"/>
        <w:snapToGrid w:val="0"/>
        <w:spacing w:line="312" w:lineRule="auto"/>
        <w:ind w:firstLine="437"/>
        <w:textAlignment w:val="auto"/>
        <w:outlineLvl w:val="1"/>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2.在质保期间内，非采购人过失和故意并且在正常使用的情况下发现商品有缺陷，中标人将修理或替换该设备；在质保期间内，非采购人过失和故意并且在正常使用的情况下设备发生故障，中标人应及时提供服务。</w:t>
      </w:r>
      <w:bookmarkEnd w:id="24"/>
    </w:p>
    <w:p w14:paraId="56C993D7">
      <w:pPr>
        <w:pageBreakBefore w:val="0"/>
        <w:kinsoku/>
        <w:overflowPunct/>
        <w:topLinePunct w:val="0"/>
        <w:autoSpaceDE/>
        <w:autoSpaceDN/>
        <w:bidi w:val="0"/>
        <w:spacing w:line="312" w:lineRule="auto"/>
        <w:textAlignment w:val="auto"/>
        <w:rPr>
          <w:rFonts w:hint="eastAsia" w:ascii="宋体" w:hAnsi="宋体" w:eastAsia="宋体" w:cs="宋体"/>
          <w:color w:val="auto"/>
          <w:sz w:val="21"/>
          <w:szCs w:val="21"/>
          <w:highlight w:val="none"/>
        </w:rPr>
      </w:pPr>
    </w:p>
    <w:p w14:paraId="73A3A2CB">
      <w:bookmarkStart w:id="25" w:name="_GoBack"/>
      <w:bookmarkEnd w:id="2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宋体">
    <w:panose1 w:val="02010600030101010101"/>
    <w:charset w:val="86"/>
    <w:family w:val="auto"/>
    <w:pitch w:val="default"/>
    <w:sig w:usb0="000002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160D34"/>
    <w:multiLevelType w:val="singleLevel"/>
    <w:tmpl w:val="8A160D34"/>
    <w:lvl w:ilvl="0" w:tentative="0">
      <w:start w:val="1"/>
      <w:numFmt w:val="decimal"/>
      <w:suff w:val="nothing"/>
      <w:lvlText w:val="（%1）"/>
      <w:lvlJc w:val="left"/>
    </w:lvl>
  </w:abstractNum>
  <w:abstractNum w:abstractNumId="1">
    <w:nsid w:val="9B509FF2"/>
    <w:multiLevelType w:val="singleLevel"/>
    <w:tmpl w:val="9B509FF2"/>
    <w:lvl w:ilvl="0" w:tentative="0">
      <w:start w:val="1"/>
      <w:numFmt w:val="decimal"/>
      <w:suff w:val="nothing"/>
      <w:lvlText w:val="%1."/>
      <w:lvlJc w:val="left"/>
      <w:pPr>
        <w:ind w:left="454" w:hanging="454"/>
      </w:pPr>
      <w:rPr>
        <w:rFonts w:hint="default"/>
      </w:rPr>
    </w:lvl>
  </w:abstractNum>
  <w:abstractNum w:abstractNumId="2">
    <w:nsid w:val="BCA2666C"/>
    <w:multiLevelType w:val="singleLevel"/>
    <w:tmpl w:val="BCA2666C"/>
    <w:lvl w:ilvl="0" w:tentative="0">
      <w:start w:val="1"/>
      <w:numFmt w:val="decimal"/>
      <w:suff w:val="nothing"/>
      <w:lvlText w:val="%1."/>
      <w:lvlJc w:val="left"/>
      <w:pPr>
        <w:ind w:left="454" w:hanging="454"/>
      </w:pPr>
      <w:rPr>
        <w:rFonts w:hint="default"/>
      </w:rPr>
    </w:lvl>
  </w:abstractNum>
  <w:abstractNum w:abstractNumId="3">
    <w:nsid w:val="DEDC85E7"/>
    <w:multiLevelType w:val="singleLevel"/>
    <w:tmpl w:val="DEDC85E7"/>
    <w:lvl w:ilvl="0" w:tentative="0">
      <w:start w:val="1"/>
      <w:numFmt w:val="decimal"/>
      <w:suff w:val="nothing"/>
      <w:lvlText w:val="%1."/>
      <w:lvlJc w:val="left"/>
      <w:pPr>
        <w:ind w:left="454" w:hanging="454"/>
      </w:pPr>
      <w:rPr>
        <w:rFont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303121"/>
    <w:rsid w:val="2E303121"/>
    <w:rsid w:val="7CCC511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iPriority="99"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next w:val="4"/>
    <w:qFormat/>
    <w:uiPriority w:val="0"/>
    <w:pPr>
      <w:jc w:val="left"/>
    </w:pPr>
    <w:rPr>
      <w:rFonts w:ascii="Arial" w:hAnsi="Arial" w:eastAsia="黑体" w:cs="Arial"/>
    </w:rPr>
  </w:style>
  <w:style w:type="paragraph" w:styleId="4">
    <w:name w:val="annotation subject"/>
    <w:basedOn w:val="3"/>
    <w:next w:val="3"/>
    <w:semiHidden/>
    <w:unhideWhenUsed/>
    <w:qFormat/>
    <w:uiPriority w:val="99"/>
    <w:rPr>
      <w:rFonts w:ascii="@仿宋_GB2312" w:hAnsi="@仿宋_GB2312" w:eastAsia="@仿宋_GB2312" w:cs="@仿宋_GB2312"/>
      <w:b/>
      <w:bCs/>
    </w:rPr>
  </w:style>
  <w:style w:type="paragraph" w:styleId="5">
    <w:name w:val="Body Text"/>
    <w:basedOn w:val="1"/>
    <w:qFormat/>
    <w:uiPriority w:val="0"/>
    <w:pPr>
      <w:spacing w:after="120"/>
    </w:pPr>
    <w:rPr>
      <w:rFonts w:ascii="@微软简标宋" w:hAnsi="@微软简标宋" w:eastAsia="@微软简标宋" w:cs="@微软简标宋"/>
      <w:szCs w:val="24"/>
      <w:lang w:val="zh-CN"/>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9">
    <w:name w:val="D&amp;L"/>
    <w:basedOn w:val="6"/>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0">
    <w:name w:val="xl31"/>
    <w:basedOn w:val="1"/>
    <w:autoRedefine/>
    <w:qFormat/>
    <w:uiPriority w:val="0"/>
    <w:pPr>
      <w:widowControl/>
      <w:spacing w:before="100" w:beforeAutospacing="1" w:after="100" w:afterAutospacing="1"/>
      <w:jc w:val="center"/>
    </w:pPr>
    <w:rPr>
      <w:b/>
      <w:bCs/>
      <w:kern w:val="0"/>
      <w:sz w:val="28"/>
      <w:szCs w:val="28"/>
    </w:rPr>
  </w:style>
  <w:style w:type="paragraph" w:styleId="11">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2026-08-07T06:58:00Z</dcterms:created>
  <dc:creator>省招</dc:creator>
  <cp:lastModifiedBy>省招</cp:lastModifiedBy>
  <dcterms:modified xsi:type="dcterms:W3CDTF">2026-08-07T06:58:58Z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98E5846B8C73446684D37AD41695A50C_11</vt:lpwstr>
  </property>
  <property fmtid="{D5CDD505-2E9C-101B-9397-08002B2CF9AE}" pid="4" name="KSOTemplateDocerSaveRecord">
    <vt:lpwstr>eyJoZGlkIjoiOGIyMWUzODNkYmJhOWEzZTE5MzczZTk5N2JlYWFiZWUiLCJ1c2VySWQiOiIxNzUzODYzOTgwIn0=</vt:lpwstr>
  </property>
</Properties>
</file>