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CB5D97">
      <w:pPr>
        <w:pStyle w:val="2"/>
        <w:widowControl/>
        <w:snapToGrid w:val="0"/>
        <w:spacing w:before="0" w:after="0" w:line="360" w:lineRule="auto"/>
        <w:jc w:val="center"/>
        <w:rPr>
          <w:rFonts w:hint="eastAsia" w:ascii="宋体" w:hAnsi="宋体"/>
          <w:color w:val="000000"/>
          <w:highlight w:val="none"/>
        </w:rPr>
      </w:pPr>
      <w:bookmarkStart w:id="0" w:name="_Toc8946"/>
      <w:r>
        <w:rPr>
          <w:rFonts w:hint="eastAsia" w:ascii="宋体" w:hAnsi="宋体"/>
          <w:color w:val="000000"/>
          <w:highlight w:val="none"/>
        </w:rPr>
        <w:t>第三章  采购需求及技术规格要求</w:t>
      </w:r>
      <w:bookmarkEnd w:id="0"/>
    </w:p>
    <w:p w14:paraId="19D30B30">
      <w:pPr>
        <w:pStyle w:val="3"/>
        <w:spacing w:before="0" w:after="0" w:line="360" w:lineRule="auto"/>
        <w:rPr>
          <w:rFonts w:hint="eastAsia" w:ascii="仿宋" w:hAnsi="仿宋" w:eastAsia="仿宋" w:cs="仿宋"/>
          <w:b w:val="0"/>
          <w:bCs w:val="0"/>
          <w:color w:val="000000"/>
          <w:sz w:val="24"/>
          <w:szCs w:val="24"/>
          <w:highlight w:val="none"/>
        </w:rPr>
      </w:pPr>
      <w:r>
        <w:rPr>
          <w:rFonts w:hint="eastAsia" w:ascii="仿宋" w:hAnsi="仿宋" w:eastAsia="仿宋" w:cs="仿宋"/>
          <w:b w:val="0"/>
          <w:bCs w:val="0"/>
          <w:color w:val="000000"/>
          <w:sz w:val="24"/>
          <w:szCs w:val="24"/>
          <w:highlight w:val="none"/>
        </w:rPr>
        <w:t>总则：</w:t>
      </w:r>
    </w:p>
    <w:p w14:paraId="372936F4">
      <w:pPr>
        <w:widowControl/>
        <w:tabs>
          <w:tab w:val="left" w:pos="1406"/>
        </w:tabs>
        <w:snapToGrid w:val="0"/>
        <w:spacing w:line="360" w:lineRule="auto"/>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1.1 本技术规格所提出的要求是对本次招标货物的基本技术要求，并未涉及所有技术细节，也未充分引述有关标准、规范的全部条款。投标人应保证其提供的货物除了满足本技术规格的要求外，还应符合中国国家、行业、地方或设备制造商所在国的有关标准、规范（尤其是必须符合中国国家标准的有关强制性规定)。</w:t>
      </w:r>
    </w:p>
    <w:p w14:paraId="3167C0BF">
      <w:pPr>
        <w:pStyle w:val="10"/>
        <w:spacing w:line="360" w:lineRule="auto"/>
        <w:ind w:firstLine="480" w:firstLineChars="200"/>
        <w:rPr>
          <w:rFonts w:hint="eastAsia" w:ascii="仿宋" w:hAnsi="仿宋" w:eastAsia="仿宋" w:cs="仿宋"/>
          <w:b/>
          <w:bCs/>
          <w:color w:val="000000"/>
          <w:sz w:val="24"/>
          <w:szCs w:val="24"/>
          <w:highlight w:val="none"/>
        </w:rPr>
      </w:pPr>
      <w:r>
        <w:rPr>
          <w:rFonts w:hint="eastAsia" w:ascii="仿宋" w:hAnsi="仿宋" w:eastAsia="仿宋" w:cs="仿宋"/>
          <w:color w:val="000000"/>
          <w:sz w:val="24"/>
          <w:szCs w:val="24"/>
          <w:highlight w:val="none"/>
        </w:rPr>
        <w:t>1.2 中标产品的名称、品牌、规格型号、数量、单价等将予以公布。</w:t>
      </w:r>
    </w:p>
    <w:p w14:paraId="259B055E">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一、商务条款：</w:t>
      </w:r>
    </w:p>
    <w:tbl>
      <w:tblPr>
        <w:tblStyle w:val="8"/>
        <w:tblW w:w="0" w:type="auto"/>
        <w:tblInd w:w="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529"/>
        <w:gridCol w:w="7216"/>
      </w:tblGrid>
      <w:tr w14:paraId="1AD71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011" w:type="dxa"/>
            <w:noWrap w:val="0"/>
            <w:vAlign w:val="center"/>
          </w:tcPr>
          <w:p w14:paraId="1F51F34A">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序号</w:t>
            </w:r>
          </w:p>
        </w:tc>
        <w:tc>
          <w:tcPr>
            <w:tcW w:w="8745" w:type="dxa"/>
            <w:gridSpan w:val="2"/>
            <w:noWrap w:val="0"/>
            <w:vAlign w:val="center"/>
          </w:tcPr>
          <w:p w14:paraId="4DC23A86">
            <w:pPr>
              <w:wordWrap w:val="0"/>
              <w:spacing w:line="360" w:lineRule="auto"/>
              <w:ind w:firstLine="2891" w:firstLineChars="1200"/>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商务条款内容</w:t>
            </w:r>
          </w:p>
        </w:tc>
      </w:tr>
      <w:tr w14:paraId="3A163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11" w:type="dxa"/>
            <w:noWrap w:val="0"/>
            <w:vAlign w:val="center"/>
          </w:tcPr>
          <w:p w14:paraId="2A2F08D9">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1</w:t>
            </w:r>
          </w:p>
        </w:tc>
        <w:tc>
          <w:tcPr>
            <w:tcW w:w="1529" w:type="dxa"/>
            <w:vMerge w:val="restart"/>
            <w:noWrap w:val="0"/>
            <w:vAlign w:val="center"/>
          </w:tcPr>
          <w:p w14:paraId="4877FA3A">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如是依法纳入医疗器械管理的须具有：</w:t>
            </w:r>
          </w:p>
        </w:tc>
        <w:tc>
          <w:tcPr>
            <w:tcW w:w="7216" w:type="dxa"/>
            <w:noWrap w:val="0"/>
            <w:vAlign w:val="center"/>
          </w:tcPr>
          <w:p w14:paraId="15FFA758">
            <w:pPr>
              <w:wordWrap w:val="0"/>
              <w:spacing w:line="360" w:lineRule="auto"/>
              <w:jc w:val="left"/>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投标人为制造商的（进口产品除外），须具有相应的医疗器械生产备案获取的备案编号（属于一类时）。</w:t>
            </w:r>
          </w:p>
        </w:tc>
      </w:tr>
      <w:tr w14:paraId="5EB02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trPr>
        <w:tc>
          <w:tcPr>
            <w:tcW w:w="1011" w:type="dxa"/>
            <w:noWrap w:val="0"/>
            <w:vAlign w:val="center"/>
          </w:tcPr>
          <w:p w14:paraId="1E7298F6">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2</w:t>
            </w:r>
          </w:p>
        </w:tc>
        <w:tc>
          <w:tcPr>
            <w:tcW w:w="1529" w:type="dxa"/>
            <w:vMerge w:val="continue"/>
            <w:noWrap w:val="0"/>
            <w:vAlign w:val="top"/>
          </w:tcPr>
          <w:p w14:paraId="4CB895B9">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6E8DEDD0">
            <w:pPr>
              <w:pStyle w:val="11"/>
              <w:spacing w:line="360" w:lineRule="auto"/>
              <w:jc w:val="left"/>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投标人须具有与投标产品相应的有效经营备案编号（属于二类时）；（如本次投标产品的注册人、备案人在其住所或者生产地址销售的，无需再办理医疗器械经营许可或备案。）。</w:t>
            </w:r>
          </w:p>
        </w:tc>
      </w:tr>
      <w:tr w14:paraId="0AE7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7538163A">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3</w:t>
            </w:r>
          </w:p>
        </w:tc>
        <w:tc>
          <w:tcPr>
            <w:tcW w:w="1529" w:type="dxa"/>
            <w:vMerge w:val="continue"/>
            <w:noWrap w:val="0"/>
            <w:vAlign w:val="top"/>
          </w:tcPr>
          <w:p w14:paraId="0956B865">
            <w:pPr>
              <w:wordWrap w:val="0"/>
              <w:spacing w:line="360" w:lineRule="auto"/>
              <w:jc w:val="center"/>
              <w:rPr>
                <w:rFonts w:hint="eastAsia" w:ascii="仿宋" w:hAnsi="仿宋" w:eastAsia="仿宋" w:cs="仿宋"/>
                <w:b/>
                <w:bCs/>
                <w:kern w:val="0"/>
                <w:sz w:val="24"/>
                <w:highlight w:val="none"/>
              </w:rPr>
            </w:pPr>
          </w:p>
        </w:tc>
        <w:tc>
          <w:tcPr>
            <w:tcW w:w="7216" w:type="dxa"/>
            <w:noWrap w:val="0"/>
            <w:vAlign w:val="top"/>
          </w:tcPr>
          <w:p w14:paraId="6DDF619C">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投标产品须具有有效的医疗器械注册证（属于二类、三类时）；投标产品纳入备案管理时（属于一类时），须在投标文件中提供备案材料或承诺函（承诺在合同签订前提供所投产品的备案证明材料，若未按规定提供视为自动放弃中标资格）。</w:t>
            </w:r>
          </w:p>
        </w:tc>
      </w:tr>
      <w:tr w14:paraId="5E3C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0BEED288">
            <w:pPr>
              <w:wordWrap w:val="0"/>
              <w:spacing w:line="360" w:lineRule="auto"/>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4</w:t>
            </w:r>
          </w:p>
        </w:tc>
        <w:tc>
          <w:tcPr>
            <w:tcW w:w="8745" w:type="dxa"/>
            <w:gridSpan w:val="2"/>
            <w:noWrap w:val="0"/>
            <w:vAlign w:val="top"/>
          </w:tcPr>
          <w:p w14:paraId="4811DB98">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1、投标人所投设备须与医院信息系统连接，由此产生的费用包含在投标总报价中，采购人不另行支付。</w:t>
            </w:r>
          </w:p>
          <w:p w14:paraId="71A43C77">
            <w:pPr>
              <w:pStyle w:val="7"/>
              <w:spacing w:before="0" w:beforeAutospacing="0" w:after="0" w:afterAutospacing="0" w:line="360" w:lineRule="auto"/>
              <w:rPr>
                <w:rFonts w:hint="eastAsia" w:ascii="仿宋" w:hAnsi="仿宋" w:eastAsia="仿宋" w:cs="仿宋"/>
                <w:b/>
                <w:bCs/>
                <w:color w:val="auto"/>
                <w:highlight w:val="none"/>
              </w:rPr>
            </w:pPr>
            <w:r>
              <w:rPr>
                <w:rFonts w:hint="eastAsia" w:ascii="仿宋" w:hAnsi="仿宋" w:eastAsia="仿宋" w:cs="仿宋"/>
                <w:b/>
                <w:bCs/>
                <w:color w:val="auto"/>
                <w:highlight w:val="none"/>
              </w:rPr>
              <w:t>2、中标人需负责在项目安装地点进行所投设备的安装调试工作，并现场测试。在安装和调试期间，如发现设备或材料有缺陷或损坏，中标人应尽快更换，相关费用均包含在</w:t>
            </w:r>
            <w:bookmarkStart w:id="1" w:name="_GoBack"/>
            <w:bookmarkEnd w:id="1"/>
            <w:r>
              <w:rPr>
                <w:rFonts w:hint="eastAsia" w:ascii="仿宋" w:hAnsi="仿宋" w:eastAsia="仿宋" w:cs="仿宋"/>
                <w:b/>
                <w:bCs/>
                <w:color w:val="auto"/>
                <w:highlight w:val="none"/>
              </w:rPr>
              <w:t>本次投标报价中。中标人在维护期内应提供现场、电话、传真或电子邮件方式为采购人提供技术支持，要求中标人应在有稳定的技术支撑与服务能力，并且在设备发生故障时2小时内响应。中标人在项目验收合格后，负责对所投设备组织操作使用培训，培训地点、人员由采购人指定。</w:t>
            </w:r>
          </w:p>
        </w:tc>
      </w:tr>
      <w:tr w14:paraId="7D5BC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11" w:type="dxa"/>
            <w:noWrap w:val="0"/>
            <w:vAlign w:val="center"/>
          </w:tcPr>
          <w:p w14:paraId="3C0D4D8D">
            <w:pPr>
              <w:wordWrap w:val="0"/>
              <w:spacing w:line="360" w:lineRule="auto"/>
              <w:jc w:val="center"/>
              <w:rPr>
                <w:rFonts w:hint="eastAsia" w:ascii="仿宋" w:hAnsi="仿宋" w:eastAsia="仿宋" w:cs="仿宋"/>
                <w:b/>
                <w:color w:val="000000"/>
                <w:sz w:val="24"/>
                <w:highlight w:val="none"/>
                <w:lang w:val="en-US" w:eastAsia="zh-CN"/>
              </w:rPr>
            </w:pPr>
            <w:r>
              <w:rPr>
                <w:rFonts w:hint="eastAsia" w:ascii="仿宋" w:hAnsi="仿宋" w:eastAsia="仿宋" w:cs="仿宋"/>
                <w:b/>
                <w:color w:val="000000"/>
                <w:sz w:val="24"/>
                <w:highlight w:val="none"/>
                <w:lang w:val="en-US" w:eastAsia="zh-CN"/>
              </w:rPr>
              <w:t>5</w:t>
            </w:r>
          </w:p>
        </w:tc>
        <w:tc>
          <w:tcPr>
            <w:tcW w:w="8745" w:type="dxa"/>
            <w:gridSpan w:val="2"/>
            <w:noWrap w:val="0"/>
            <w:vAlign w:val="top"/>
          </w:tcPr>
          <w:tbl>
            <w:tblPr>
              <w:tblStyle w:val="8"/>
              <w:tblW w:w="6808" w:type="dxa"/>
              <w:tblInd w:w="1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97"/>
              <w:gridCol w:w="3507"/>
              <w:gridCol w:w="1093"/>
            </w:tblGrid>
            <w:tr w14:paraId="79307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811" w:type="dxa"/>
                  <w:tcBorders>
                    <w:top w:val="single" w:color="auto" w:sz="4" w:space="0"/>
                    <w:left w:val="single" w:color="auto" w:sz="4" w:space="0"/>
                    <w:bottom w:val="single" w:color="auto" w:sz="4" w:space="0"/>
                    <w:right w:val="single" w:color="auto" w:sz="4" w:space="0"/>
                  </w:tcBorders>
                  <w:noWrap w:val="0"/>
                  <w:vAlign w:val="center"/>
                </w:tcPr>
                <w:p w14:paraId="0983A86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序号</w:t>
                  </w:r>
                </w:p>
              </w:tc>
              <w:tc>
                <w:tcPr>
                  <w:tcW w:w="1397" w:type="dxa"/>
                  <w:tcBorders>
                    <w:top w:val="single" w:color="auto" w:sz="4" w:space="0"/>
                    <w:left w:val="single" w:color="auto" w:sz="4" w:space="0"/>
                    <w:bottom w:val="single" w:color="auto" w:sz="4" w:space="0"/>
                    <w:right w:val="single" w:color="auto" w:sz="4" w:space="0"/>
                  </w:tcBorders>
                  <w:noWrap w:val="0"/>
                  <w:vAlign w:val="center"/>
                </w:tcPr>
                <w:p w14:paraId="4182A4A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设备名称</w:t>
                  </w:r>
                </w:p>
              </w:tc>
              <w:tc>
                <w:tcPr>
                  <w:tcW w:w="3507" w:type="dxa"/>
                  <w:tcBorders>
                    <w:top w:val="single" w:color="auto" w:sz="4" w:space="0"/>
                    <w:left w:val="single" w:color="auto" w:sz="4" w:space="0"/>
                    <w:bottom w:val="single" w:color="auto" w:sz="4" w:space="0"/>
                    <w:right w:val="single" w:color="auto" w:sz="4" w:space="0"/>
                  </w:tcBorders>
                  <w:noWrap w:val="0"/>
                  <w:vAlign w:val="center"/>
                </w:tcPr>
                <w:p w14:paraId="7AB4D07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配置明细</w:t>
                  </w:r>
                </w:p>
              </w:tc>
              <w:tc>
                <w:tcPr>
                  <w:tcW w:w="1093" w:type="dxa"/>
                  <w:tcBorders>
                    <w:top w:val="single" w:color="auto" w:sz="4" w:space="0"/>
                    <w:left w:val="single" w:color="auto" w:sz="4" w:space="0"/>
                    <w:bottom w:val="single" w:color="auto" w:sz="4" w:space="0"/>
                    <w:right w:val="single" w:color="auto" w:sz="4" w:space="0"/>
                  </w:tcBorders>
                  <w:noWrap w:val="0"/>
                  <w:vAlign w:val="center"/>
                </w:tcPr>
                <w:p w14:paraId="335C4393">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数目</w:t>
                  </w:r>
                </w:p>
              </w:tc>
            </w:tr>
            <w:tr w14:paraId="54C00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811" w:type="dxa"/>
                  <w:vMerge w:val="restart"/>
                  <w:tcBorders>
                    <w:top w:val="nil"/>
                    <w:left w:val="single" w:color="auto" w:sz="4" w:space="0"/>
                    <w:bottom w:val="single" w:color="auto" w:sz="4" w:space="0"/>
                    <w:right w:val="single" w:color="auto" w:sz="4" w:space="0"/>
                  </w:tcBorders>
                  <w:noWrap w:val="0"/>
                  <w:vAlign w:val="center"/>
                </w:tcPr>
                <w:p w14:paraId="4073BD2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w:t>
                  </w:r>
                </w:p>
              </w:tc>
              <w:tc>
                <w:tcPr>
                  <w:tcW w:w="1397" w:type="dxa"/>
                  <w:vMerge w:val="restart"/>
                  <w:tcBorders>
                    <w:top w:val="nil"/>
                    <w:left w:val="single" w:color="auto" w:sz="4" w:space="0"/>
                    <w:bottom w:val="single" w:color="auto" w:sz="4" w:space="0"/>
                    <w:right w:val="single" w:color="auto" w:sz="4" w:space="0"/>
                  </w:tcBorders>
                  <w:noWrap w:val="0"/>
                  <w:vAlign w:val="center"/>
                </w:tcPr>
                <w:p w14:paraId="668472D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神经导航经颅磁刺激系统</w:t>
                  </w:r>
                </w:p>
              </w:tc>
              <w:tc>
                <w:tcPr>
                  <w:tcW w:w="3507" w:type="dxa"/>
                  <w:tcBorders>
                    <w:top w:val="single" w:color="auto" w:sz="4" w:space="0"/>
                    <w:left w:val="single" w:color="auto" w:sz="4" w:space="0"/>
                    <w:bottom w:val="single" w:color="auto" w:sz="4" w:space="0"/>
                    <w:right w:val="single" w:color="auto" w:sz="4" w:space="0"/>
                  </w:tcBorders>
                  <w:noWrap w:val="0"/>
                  <w:vAlign w:val="top"/>
                </w:tcPr>
                <w:p w14:paraId="6A09BB5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红外光学捕捉器</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4382DB4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0BFC9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1A7F8D45">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1A57C5BC">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top"/>
                </w:tcPr>
                <w:p w14:paraId="62DAF24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导航专用软件</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5A483E1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1套</w:t>
                  </w:r>
                </w:p>
              </w:tc>
            </w:tr>
            <w:tr w14:paraId="0E80D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14CF7ED3">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06309B43">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top"/>
                </w:tcPr>
                <w:p w14:paraId="78A08B99">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导航工具包</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193346B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1包</w:t>
                  </w:r>
                </w:p>
              </w:tc>
            </w:tr>
            <w:tr w14:paraId="2F7B5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3DA24312">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6358FEC9">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top"/>
                </w:tcPr>
                <w:p w14:paraId="5C9E9A0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导航线圈及被试定位追踪器</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54280F3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6287B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7B180618">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5C303E5C">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top"/>
                </w:tcPr>
                <w:p w14:paraId="7F100E1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导航系统专用一体机</w:t>
                  </w:r>
                </w:p>
              </w:tc>
              <w:tc>
                <w:tcPr>
                  <w:tcW w:w="1093" w:type="dxa"/>
                  <w:tcBorders>
                    <w:top w:val="single" w:color="auto" w:sz="4" w:space="0"/>
                    <w:left w:val="single" w:color="auto" w:sz="4" w:space="0"/>
                    <w:bottom w:val="single" w:color="auto" w:sz="4" w:space="0"/>
                    <w:right w:val="single" w:color="auto" w:sz="4" w:space="0"/>
                  </w:tcBorders>
                  <w:noWrap w:val="0"/>
                  <w:vAlign w:val="top"/>
                </w:tcPr>
                <w:p w14:paraId="7FF92A5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1台</w:t>
                  </w:r>
                </w:p>
              </w:tc>
            </w:tr>
            <w:tr w14:paraId="76B8E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649B7CA8">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13C65FD4">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57709FD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重复经颅磁刺激器主机</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7B761FFF">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1台</w:t>
                  </w:r>
                </w:p>
              </w:tc>
            </w:tr>
            <w:tr w14:paraId="3DDF6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6E61593E">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53F982CA">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68B97E2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电源单元</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73E6192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26B5B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100C95F2">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61365131">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0351BAF4">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增强高压电缆</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45844C11">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1根</w:t>
                  </w:r>
                </w:p>
              </w:tc>
            </w:tr>
            <w:tr w14:paraId="111C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5E2EA62B">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49AC2B60">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2784EA35">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电源主线适配器</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0B74CA0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2个</w:t>
                  </w:r>
                </w:p>
              </w:tc>
            </w:tr>
            <w:tr w14:paraId="21FB0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53860CC0">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443B68B5">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29F8B6D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专用控制器</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4B980EF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59C63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3436F489">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2D7D89B6">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3E6D51B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触摸式液晶显示屏</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30C6D020">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12D10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45D34670">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174C16D5">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50A661F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 xml:space="preserve">70mm磁刺激双线圈（动态风冷） </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7E03CCB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4B3BA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3130A6CF">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5C268FC9">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29C2344E">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线圈支架</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5F9A199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44699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37554993">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294DDD55">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4BDE8EE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 xml:space="preserve">无源气压式脚踏开关 </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5D33519A">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67A75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37D1C8D4">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1D4A1012">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11B2EE6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双通道运动诱发电位—MEP模块</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45CA2628">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r w14:paraId="1533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7034303F">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748A47C9">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57C69802">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操作手册</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3D8919AB">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1本</w:t>
                  </w:r>
                </w:p>
              </w:tc>
            </w:tr>
            <w:tr w14:paraId="496B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811" w:type="dxa"/>
                  <w:vMerge w:val="continue"/>
                  <w:tcBorders>
                    <w:top w:val="nil"/>
                    <w:left w:val="single" w:color="auto" w:sz="4" w:space="0"/>
                    <w:bottom w:val="single" w:color="auto" w:sz="4" w:space="0"/>
                    <w:right w:val="single" w:color="auto" w:sz="4" w:space="0"/>
                  </w:tcBorders>
                  <w:noWrap w:val="0"/>
                  <w:vAlign w:val="center"/>
                </w:tcPr>
                <w:p w14:paraId="7F61A025">
                  <w:pPr>
                    <w:widowControl/>
                    <w:spacing w:line="360" w:lineRule="auto"/>
                    <w:jc w:val="left"/>
                    <w:rPr>
                      <w:rFonts w:ascii="仿宋" w:hAnsi="仿宋" w:eastAsia="仿宋" w:cs="仿宋"/>
                      <w:b/>
                      <w:bCs/>
                      <w:color w:val="000000"/>
                      <w:kern w:val="0"/>
                      <w:sz w:val="24"/>
                      <w:highlight w:val="none"/>
                      <w:lang w:bidi="ar"/>
                    </w:rPr>
                  </w:pPr>
                </w:p>
              </w:tc>
              <w:tc>
                <w:tcPr>
                  <w:tcW w:w="1397" w:type="dxa"/>
                  <w:vMerge w:val="continue"/>
                  <w:tcBorders>
                    <w:top w:val="nil"/>
                    <w:left w:val="single" w:color="auto" w:sz="4" w:space="0"/>
                    <w:bottom w:val="single" w:color="auto" w:sz="4" w:space="0"/>
                    <w:right w:val="single" w:color="auto" w:sz="4" w:space="0"/>
                  </w:tcBorders>
                  <w:noWrap w:val="0"/>
                  <w:vAlign w:val="center"/>
                </w:tcPr>
                <w:p w14:paraId="437E4AA7">
                  <w:pPr>
                    <w:widowControl/>
                    <w:spacing w:line="360" w:lineRule="auto"/>
                    <w:jc w:val="left"/>
                    <w:rPr>
                      <w:rFonts w:ascii="仿宋" w:hAnsi="仿宋" w:eastAsia="仿宋" w:cs="仿宋"/>
                      <w:b/>
                      <w:bCs/>
                      <w:color w:val="000000"/>
                      <w:kern w:val="0"/>
                      <w:sz w:val="24"/>
                      <w:highlight w:val="none"/>
                      <w:lang w:bidi="ar"/>
                    </w:rPr>
                  </w:pPr>
                </w:p>
              </w:tc>
              <w:tc>
                <w:tcPr>
                  <w:tcW w:w="3507" w:type="dxa"/>
                  <w:tcBorders>
                    <w:top w:val="single" w:color="auto" w:sz="4" w:space="0"/>
                    <w:left w:val="single" w:color="auto" w:sz="4" w:space="0"/>
                    <w:bottom w:val="single" w:color="auto" w:sz="4" w:space="0"/>
                    <w:right w:val="single" w:color="auto" w:sz="4" w:space="0"/>
                  </w:tcBorders>
                  <w:noWrap w:val="0"/>
                  <w:vAlign w:val="bottom"/>
                </w:tcPr>
                <w:p w14:paraId="6D0AAF1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专用移动台车</w:t>
                  </w:r>
                </w:p>
              </w:tc>
              <w:tc>
                <w:tcPr>
                  <w:tcW w:w="1093" w:type="dxa"/>
                  <w:tcBorders>
                    <w:top w:val="single" w:color="auto" w:sz="4" w:space="0"/>
                    <w:left w:val="single" w:color="auto" w:sz="4" w:space="0"/>
                    <w:bottom w:val="single" w:color="auto" w:sz="4" w:space="0"/>
                    <w:right w:val="single" w:color="auto" w:sz="4" w:space="0"/>
                  </w:tcBorders>
                  <w:noWrap w:val="0"/>
                  <w:vAlign w:val="bottom"/>
                </w:tcPr>
                <w:p w14:paraId="5CF354A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1个</w:t>
                  </w:r>
                </w:p>
              </w:tc>
            </w:tr>
          </w:tbl>
          <w:p w14:paraId="5BC2A7AF">
            <w:pPr>
              <w:pStyle w:val="7"/>
              <w:spacing w:before="0" w:beforeAutospacing="0" w:after="0" w:afterAutospacing="0" w:line="360" w:lineRule="auto"/>
              <w:rPr>
                <w:rFonts w:hint="eastAsia" w:ascii="仿宋" w:hAnsi="仿宋" w:eastAsia="仿宋" w:cs="仿宋"/>
                <w:b/>
                <w:bCs/>
                <w:color w:val="auto"/>
                <w:highlight w:val="none"/>
              </w:rPr>
            </w:pPr>
          </w:p>
        </w:tc>
      </w:tr>
    </w:tbl>
    <w:p w14:paraId="001AB5DB">
      <w:pPr>
        <w:spacing w:line="360" w:lineRule="auto"/>
        <w:rPr>
          <w:rFonts w:hint="eastAsia" w:ascii="仿宋" w:hAnsi="仿宋" w:eastAsia="仿宋" w:cs="仿宋"/>
          <w:b/>
          <w:color w:val="000000"/>
          <w:sz w:val="24"/>
          <w:highlight w:val="none"/>
        </w:rPr>
      </w:pPr>
    </w:p>
    <w:p w14:paraId="43E5AF4F">
      <w:pPr>
        <w:spacing w:line="360" w:lineRule="auto"/>
        <w:rPr>
          <w:rFonts w:hint="eastAsia" w:ascii="仿宋" w:hAnsi="仿宋" w:eastAsia="仿宋" w:cs="仿宋"/>
          <w:bCs/>
          <w:color w:val="000000"/>
          <w:sz w:val="24"/>
          <w:highlight w:val="none"/>
        </w:rPr>
      </w:pPr>
      <w:r>
        <w:rPr>
          <w:rFonts w:hint="eastAsia" w:ascii="仿宋" w:hAnsi="仿宋" w:eastAsia="仿宋" w:cs="仿宋"/>
          <w:b/>
          <w:color w:val="000000"/>
          <w:sz w:val="24"/>
          <w:highlight w:val="none"/>
        </w:rPr>
        <w:t>注：上述</w:t>
      </w:r>
      <w:r>
        <w:rPr>
          <w:rFonts w:hint="eastAsia" w:ascii="仿宋" w:hAnsi="仿宋" w:eastAsia="仿宋" w:cs="仿宋"/>
          <w:b/>
          <w:sz w:val="24"/>
          <w:highlight w:val="none"/>
        </w:rPr>
        <w:t>商务条款必须全部满足，否则做无效标处理。</w:t>
      </w:r>
    </w:p>
    <w:p w14:paraId="2A58EC44">
      <w:pPr>
        <w:pStyle w:val="5"/>
        <w:ind w:firstLine="0"/>
        <w:rPr>
          <w:rFonts w:hint="eastAsia" w:ascii="仿宋" w:hAnsi="仿宋" w:eastAsia="仿宋" w:cs="仿宋"/>
          <w:b/>
          <w:sz w:val="24"/>
          <w:highlight w:val="none"/>
        </w:rPr>
      </w:pPr>
    </w:p>
    <w:p w14:paraId="60EB4793">
      <w:pPr>
        <w:pStyle w:val="5"/>
        <w:rPr>
          <w:rFonts w:hint="eastAsia" w:ascii="仿宋" w:hAnsi="仿宋" w:eastAsia="仿宋" w:cs="仿宋"/>
          <w:b/>
          <w:sz w:val="24"/>
          <w:highlight w:val="none"/>
        </w:rPr>
      </w:pPr>
    </w:p>
    <w:p w14:paraId="364B0C2D">
      <w:pPr>
        <w:pStyle w:val="4"/>
        <w:numPr>
          <w:ilvl w:val="0"/>
          <w:numId w:val="1"/>
        </w:numPr>
        <w:spacing w:line="360" w:lineRule="auto"/>
        <w:ind w:firstLine="0" w:firstLineChars="0"/>
        <w:rPr>
          <w:rFonts w:hint="eastAsia" w:ascii="仿宋" w:hAnsi="仿宋" w:eastAsia="仿宋" w:cs="仿宋"/>
          <w:b/>
          <w:bCs/>
          <w:kern w:val="44"/>
          <w:sz w:val="24"/>
          <w:highlight w:val="none"/>
          <w:lang w:val="zh-CN"/>
        </w:rPr>
      </w:pPr>
      <w:r>
        <w:rPr>
          <w:rFonts w:hint="eastAsia" w:ascii="仿宋" w:hAnsi="仿宋" w:eastAsia="仿宋" w:cs="仿宋"/>
          <w:b/>
          <w:bCs/>
          <w:kern w:val="44"/>
          <w:sz w:val="24"/>
          <w:highlight w:val="none"/>
        </w:rPr>
        <w:t>项目技术</w:t>
      </w:r>
      <w:r>
        <w:rPr>
          <w:rFonts w:hint="eastAsia" w:ascii="仿宋" w:hAnsi="仿宋" w:eastAsia="仿宋" w:cs="仿宋"/>
          <w:b/>
          <w:bCs/>
          <w:kern w:val="44"/>
          <w:sz w:val="24"/>
          <w:highlight w:val="none"/>
          <w:lang w:val="zh-CN"/>
        </w:rPr>
        <w:t>需求：</w:t>
      </w:r>
    </w:p>
    <w:p w14:paraId="1CC47E54">
      <w:pPr>
        <w:pStyle w:val="4"/>
        <w:ind w:firstLine="0" w:firstLineChars="0"/>
        <w:rPr>
          <w:b/>
          <w:bCs/>
          <w:highlight w:val="none"/>
          <w:lang w:val="zh-CN"/>
        </w:rPr>
      </w:pPr>
    </w:p>
    <w:p w14:paraId="798D89D1">
      <w:pPr>
        <w:wordWrap w:val="0"/>
        <w:spacing w:line="360" w:lineRule="auto"/>
        <w:rPr>
          <w:rFonts w:hint="eastAsia" w:ascii="仿宋_GB2312" w:hAnsi="仿宋_GB2312" w:eastAsia="仿宋_GB2312" w:cs="仿宋_GB2312"/>
          <w:b/>
          <w:color w:val="000000"/>
          <w:sz w:val="24"/>
          <w:highlight w:val="none"/>
        </w:rPr>
      </w:pPr>
      <w:r>
        <w:rPr>
          <w:rFonts w:hint="eastAsia" w:ascii="仿宋_GB2312" w:hAnsi="仿宋_GB2312" w:eastAsia="仿宋_GB2312" w:cs="仿宋_GB2312"/>
          <w:b/>
          <w:color w:val="000000"/>
          <w:sz w:val="24"/>
          <w:highlight w:val="none"/>
        </w:rPr>
        <w:t>（一）</w:t>
      </w:r>
      <w:r>
        <w:rPr>
          <w:rFonts w:hint="eastAsia" w:ascii="仿宋" w:hAnsi="仿宋" w:eastAsia="仿宋" w:cs="仿宋"/>
          <w:b/>
          <w:bCs/>
          <w:kern w:val="44"/>
          <w:sz w:val="24"/>
          <w:highlight w:val="none"/>
        </w:rPr>
        <w:t>技术</w:t>
      </w:r>
      <w:r>
        <w:rPr>
          <w:rFonts w:hint="eastAsia" w:ascii="仿宋" w:hAnsi="仿宋" w:eastAsia="仿宋" w:cs="仿宋"/>
          <w:b/>
          <w:bCs/>
          <w:kern w:val="44"/>
          <w:sz w:val="24"/>
          <w:highlight w:val="none"/>
          <w:lang w:val="zh-CN"/>
        </w:rPr>
        <w:t>需求</w:t>
      </w:r>
      <w:r>
        <w:rPr>
          <w:rFonts w:hint="eastAsia" w:ascii="仿宋_GB2312" w:hAnsi="仿宋_GB2312" w:eastAsia="仿宋_GB2312" w:cs="仿宋_GB2312"/>
          <w:b/>
          <w:color w:val="000000"/>
          <w:sz w:val="24"/>
          <w:highlight w:val="none"/>
        </w:rPr>
        <w:t>重要性表述</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902"/>
        <w:gridCol w:w="4693"/>
      </w:tblGrid>
      <w:tr w14:paraId="74470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11" w:type="dxa"/>
            <w:noWrap w:val="0"/>
            <w:vAlign w:val="center"/>
          </w:tcPr>
          <w:p w14:paraId="3397DFA4">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标识重要性</w:t>
            </w:r>
          </w:p>
        </w:tc>
        <w:tc>
          <w:tcPr>
            <w:tcW w:w="2180" w:type="dxa"/>
            <w:noWrap w:val="0"/>
            <w:vAlign w:val="center"/>
          </w:tcPr>
          <w:p w14:paraId="2EAEA7CA">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标识符号</w:t>
            </w:r>
          </w:p>
        </w:tc>
        <w:tc>
          <w:tcPr>
            <w:tcW w:w="5463" w:type="dxa"/>
            <w:noWrap w:val="0"/>
            <w:vAlign w:val="center"/>
          </w:tcPr>
          <w:p w14:paraId="50412566">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代表意思</w:t>
            </w:r>
          </w:p>
        </w:tc>
      </w:tr>
      <w:tr w14:paraId="7351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63BFE4EB">
            <w:pPr>
              <w:widowControl/>
              <w:spacing w:line="360" w:lineRule="auto"/>
              <w:jc w:val="center"/>
              <w:rPr>
                <w:rFonts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关键指标项</w:t>
            </w:r>
          </w:p>
        </w:tc>
        <w:tc>
          <w:tcPr>
            <w:tcW w:w="2180" w:type="dxa"/>
            <w:noWrap w:val="0"/>
            <w:vAlign w:val="center"/>
          </w:tcPr>
          <w:p w14:paraId="5AC67C70">
            <w:pPr>
              <w:widowControl/>
              <w:spacing w:line="360" w:lineRule="auto"/>
              <w:jc w:val="center"/>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rPr>
              <w:t>★</w:t>
            </w:r>
          </w:p>
        </w:tc>
        <w:tc>
          <w:tcPr>
            <w:tcW w:w="5463" w:type="dxa"/>
            <w:noWrap w:val="0"/>
            <w:vAlign w:val="center"/>
          </w:tcPr>
          <w:p w14:paraId="2975EA24">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1F311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11" w:type="dxa"/>
            <w:noWrap w:val="0"/>
            <w:vAlign w:val="center"/>
          </w:tcPr>
          <w:p w14:paraId="252DBCB1">
            <w:pPr>
              <w:widowControl/>
              <w:spacing w:line="360" w:lineRule="auto"/>
              <w:jc w:val="center"/>
              <w:rPr>
                <w:rFonts w:hint="eastAsia" w:ascii="仿宋" w:hAnsi="仿宋" w:eastAsia="仿宋" w:cs="仿宋"/>
                <w:sz w:val="24"/>
                <w:highlight w:val="none"/>
              </w:rPr>
            </w:pPr>
            <w:r>
              <w:rPr>
                <w:rFonts w:hint="eastAsia" w:ascii="仿宋" w:hAnsi="仿宋" w:eastAsia="仿宋" w:cs="仿宋"/>
                <w:color w:val="000000"/>
                <w:kern w:val="0"/>
                <w:sz w:val="24"/>
                <w:highlight w:val="none"/>
                <w:lang w:bidi="ar"/>
              </w:rPr>
              <w:t>一般指标项</w:t>
            </w:r>
          </w:p>
        </w:tc>
        <w:tc>
          <w:tcPr>
            <w:tcW w:w="2180" w:type="dxa"/>
            <w:noWrap w:val="0"/>
            <w:vAlign w:val="center"/>
          </w:tcPr>
          <w:p w14:paraId="7BF5052D">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无标识项</w:t>
            </w:r>
          </w:p>
        </w:tc>
        <w:tc>
          <w:tcPr>
            <w:tcW w:w="5463" w:type="dxa"/>
            <w:noWrap w:val="0"/>
            <w:vAlign w:val="center"/>
          </w:tcPr>
          <w:p w14:paraId="5B51163B">
            <w:pPr>
              <w:widowControl/>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评分项，详见第四章评分细则</w:t>
            </w:r>
          </w:p>
        </w:tc>
      </w:tr>
      <w:tr w14:paraId="4E49C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54" w:type="dxa"/>
            <w:gridSpan w:val="3"/>
            <w:noWrap w:val="0"/>
            <w:vAlign w:val="center"/>
          </w:tcPr>
          <w:p w14:paraId="36100824">
            <w:pPr>
              <w:spacing w:line="360" w:lineRule="auto"/>
              <w:jc w:val="center"/>
              <w:rPr>
                <w:rFonts w:hint="eastAsia" w:ascii="仿宋" w:hAnsi="仿宋" w:eastAsia="仿宋" w:cs="仿宋"/>
                <w:color w:val="000000"/>
                <w:kern w:val="0"/>
                <w:sz w:val="24"/>
                <w:highlight w:val="none"/>
                <w:lang w:bidi="ar"/>
              </w:rPr>
            </w:pPr>
            <w:r>
              <w:rPr>
                <w:rFonts w:hint="eastAsia" w:ascii="仿宋" w:hAnsi="仿宋" w:eastAsia="仿宋" w:cs="仿宋"/>
                <w:b/>
                <w:bCs/>
                <w:color w:val="000000"/>
                <w:kern w:val="0"/>
                <w:sz w:val="24"/>
                <w:highlight w:val="none"/>
                <w:lang w:bidi="ar"/>
              </w:rPr>
              <w:t>注：投标人须如实响应，如在后期合同履约过程中，发现有虚假响应情况，招标人有权解除合同、不予退还履约保证金、不予支付合同款项，且上报监管部门并追究中标人给采购人带来的一切损失。</w:t>
            </w:r>
          </w:p>
        </w:tc>
      </w:tr>
    </w:tbl>
    <w:p w14:paraId="687AA326">
      <w:pPr>
        <w:numPr>
          <w:ilvl w:val="0"/>
          <w:numId w:val="2"/>
        </w:numPr>
        <w:wordWrap w:val="0"/>
        <w:spacing w:line="360" w:lineRule="auto"/>
        <w:rPr>
          <w:rFonts w:hint="eastAsia" w:ascii="仿宋" w:hAnsi="仿宋" w:eastAsia="仿宋" w:cs="仿宋"/>
          <w:b/>
          <w:bCs/>
          <w:sz w:val="24"/>
          <w:highlight w:val="none"/>
        </w:rPr>
      </w:pPr>
      <w:r>
        <w:rPr>
          <w:rFonts w:hint="eastAsia" w:ascii="仿宋" w:hAnsi="仿宋" w:eastAsia="仿宋" w:cs="仿宋"/>
          <w:b/>
          <w:bCs/>
          <w:sz w:val="24"/>
          <w:highlight w:val="none"/>
        </w:rPr>
        <w:t>技术要求</w:t>
      </w:r>
    </w:p>
    <w:p w14:paraId="748D1CA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 xml:space="preserve">1.导航系统硬件： </w:t>
      </w:r>
    </w:p>
    <w:p w14:paraId="6E54C03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1.1 具有最新版本的红外光学动态捕捉器固件；</w:t>
      </w:r>
    </w:p>
    <w:p w14:paraId="091B254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1.2 定位精度（误差）≤2mm</w:t>
      </w:r>
    </w:p>
    <w:p w14:paraId="12ACBBE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1.3 追踪定位工具包：线圈示踪器、头颅示踪器；</w:t>
      </w:r>
    </w:p>
    <w:p w14:paraId="0727284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1.4 示踪器规格：多视面全角度示踪器（非平面）；</w:t>
      </w:r>
    </w:p>
    <w:p w14:paraId="182B80E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1.5 线圈示踪器的定位上定位光球≥4点；</w:t>
      </w:r>
    </w:p>
    <w:p w14:paraId="28D1A1F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1.6 被试头颅示踪器定位器上定位光球≥4点。</w:t>
      </w:r>
    </w:p>
    <w:p w14:paraId="1C0265C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2.导航软件</w:t>
      </w:r>
    </w:p>
    <w:p w14:paraId="5129523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2.1 支持病人注册、分割头部建模和及数字化。</w:t>
      </w:r>
    </w:p>
    <w:p w14:paraId="48B0F7F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2.2 支持导入MRI/fMRI的图像，自动处理的MRI/fMRI（DICOM）数据。</w:t>
      </w:r>
    </w:p>
    <w:p w14:paraId="2291ECA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 能够基于患者的脑影像数据，把标准坐标点转换到患者个体空间，实现个体化的靶点定位：</w:t>
      </w:r>
    </w:p>
    <w:p w14:paraId="067E47E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2.3.1 提供数据批量上传功能，并实现多名患者并行计算；</w:t>
      </w:r>
    </w:p>
    <w:p w14:paraId="31C54CE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2.3.2 实现数据自动转换，将DICOM文件自动转换为NIfTI文件；</w:t>
      </w:r>
    </w:p>
    <w:p w14:paraId="4A8198ED">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★2.3.3 能够基于患者的静息态功能磁共振数据，计算个体化的靶点位置；</w:t>
      </w:r>
    </w:p>
    <w:p w14:paraId="2552F85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提供医疗器械注册证书（其中注册内容至少应包括核磁共振影像处理）</w:t>
      </w:r>
    </w:p>
    <w:p w14:paraId="21F910F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2.3.4 提供结构和功能磁共振数据的预处理和功能连接指标计算功能；</w:t>
      </w:r>
    </w:p>
    <w:p w14:paraId="481184D1">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2.3.5支持所有中间计算过程完成下载；</w:t>
      </w:r>
    </w:p>
    <w:p w14:paraId="589234A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2.3.6 提供在线查看脑影像数据的分析结果功能。</w:t>
      </w:r>
    </w:p>
    <w:p w14:paraId="5A34D2D8">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2.4 根据选定的标记点与被试头模进行重新匹配。可自由旋转选择切割面，支持3D显示。</w:t>
      </w:r>
    </w:p>
    <w:p w14:paraId="4EC682C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2.5 支持定制跟踪工具，并与TMS线圈相兼容。</w:t>
      </w:r>
    </w:p>
    <w:p w14:paraId="23B3C9C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2.6 支持目标视图：利用线圈在预设刺激目标的精确定位，来指示目标的距离和相对于预设方向的线圈方向，能够实时显示线圈与头颅的移动。</w:t>
      </w:r>
    </w:p>
    <w:p w14:paraId="7E629B8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2.7离线分析能力：可回顾所有治疗记录。</w:t>
      </w:r>
    </w:p>
    <w:p w14:paraId="5E647F0B">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3.磁刺激主机：</w:t>
      </w:r>
    </w:p>
    <w:p w14:paraId="35558AE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3.1 最大输出刺激脉冲频率（无论是在内触发模式还是在外触发模式下）均须：≥50Hz；</w:t>
      </w:r>
    </w:p>
    <w:p w14:paraId="32E779CC">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★3.2 输出脉冲宽度：≤300us，且脉冲频率误差范围：≤±2%（投标文件中提供第三方检测机构出具的带有CMA或CNAS标识的检测报告扫描件）；</w:t>
      </w:r>
    </w:p>
    <w:p w14:paraId="49358A3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3.3 支持最大输出强度：≥4.0T，且强度误差范围：≤±5%；</w:t>
      </w:r>
    </w:p>
    <w:p w14:paraId="2260C4E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3.4 采用触摸屏式工业控制器和专用操作软件平台；</w:t>
      </w:r>
    </w:p>
    <w:p w14:paraId="2550145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3.5 控制器触屏尺寸：≥10英寸；</w:t>
      </w:r>
    </w:p>
    <w:p w14:paraId="3B0547EE">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3.6 控制器内置磁刺激运动诱发电位和运动阈值检测软件，屏幕上可以显示两个独立的窗口，实时同步显示两个通道的MEP信号；</w:t>
      </w:r>
    </w:p>
    <w:p w14:paraId="1CC86B7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3.7  控制器屏幕上实时显示线圈规格、 线圈温度；</w:t>
      </w:r>
    </w:p>
    <w:p w14:paraId="43E21F05">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3.8 在控制器屏幕上以20级梯度趋势图方式实时呈现显示线圈温度；</w:t>
      </w:r>
    </w:p>
    <w:p w14:paraId="546C95C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3.9 线圈温度允许值：≤41℃；</w:t>
      </w:r>
    </w:p>
    <w:p w14:paraId="61BF99B2">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4.磁刺激控制操作软件：</w:t>
      </w:r>
    </w:p>
    <w:p w14:paraId="0528E0B0">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4.1 在控制器屏幕上显示磁刺激器实时状态；</w:t>
      </w:r>
    </w:p>
    <w:p w14:paraId="26CC75B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4.2 持续超过10分钟未触发系统将自动卸载保护；</w:t>
      </w:r>
    </w:p>
    <w:p w14:paraId="1740A2C6">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4.3 刺激模式可调: 单脉冲 重复脉冲 自由组合刺激 以及丛刺激（iTBS和cTBS）模式；</w:t>
      </w:r>
    </w:p>
    <w:p w14:paraId="1EAE8D86">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★5.磁刺激线圈：采用8字形双线圈，线圈的直径为70mm且线圈采用无液体的动态冷却方式，非被动冷却非液体冷却；</w:t>
      </w:r>
    </w:p>
    <w:p w14:paraId="1817EE2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6.运动阈值（MEP）测量：</w:t>
      </w:r>
    </w:p>
    <w:p w14:paraId="408556F7">
      <w:pPr>
        <w:widowControl/>
        <w:spacing w:line="360" w:lineRule="auto"/>
        <w:jc w:val="left"/>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bidi="ar"/>
        </w:rPr>
        <w:t>★6.1 配置运动诱发电位放大器,信道数≥2，可同时采集两个部位的运动诱发电位信号并在磁刺激控制器屏幕上以两个窗口的方式同步显示，用于直观对比选取最佳阈值强度；</w:t>
      </w:r>
    </w:p>
    <w:p w14:paraId="19ACED87">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6.2 运动阈值自动计算：基于设定比例和采集信号结果可自动计算所需刺激强度；</w:t>
      </w:r>
    </w:p>
    <w:p w14:paraId="09BC5F3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7.分体式模块化架构：</w:t>
      </w:r>
    </w:p>
    <w:p w14:paraId="77FC539D">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7.1 磁刺激主机、控制器、储能单元为模块化架构；</w:t>
      </w:r>
    </w:p>
    <w:p w14:paraId="1A46E484">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7.2 独立线圈支架带脚轮可移动；</w:t>
      </w:r>
    </w:p>
    <w:p w14:paraId="0B9A8DF9">
      <w:pPr>
        <w:widowControl/>
        <w:spacing w:line="360" w:lineRule="auto"/>
        <w:jc w:val="left"/>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8.支持以其他技术模态同步联合应用，形式包括但不限于：与EEG（脑电图）同步联合应用，与fMRI（磁共振成像）同步联合应用，与NIRS(近红外脑成像)同步联合应用。</w:t>
      </w:r>
    </w:p>
    <w:p w14:paraId="08E92D7A">
      <w:pPr>
        <w:pStyle w:val="2"/>
        <w:pageBreakBefore w:val="0"/>
        <w:widowControl/>
        <w:numPr>
          <w:ilvl w:val="0"/>
          <w:numId w:val="1"/>
        </w:numPr>
        <w:kinsoku/>
        <w:overflowPunct/>
        <w:topLinePunct w:val="0"/>
        <w:autoSpaceDE/>
        <w:autoSpaceDN/>
        <w:bidi w:val="0"/>
        <w:adjustRightInd/>
        <w:snapToGrid/>
        <w:spacing w:before="0" w:beforeLines="0" w:after="0" w:afterLines="0" w:line="360" w:lineRule="auto"/>
        <w:ind w:left="0" w:leftChars="0" w:firstLine="0" w:firstLineChars="0"/>
        <w:jc w:val="both"/>
        <w:textAlignment w:val="auto"/>
        <w:rPr>
          <w:rFonts w:hint="eastAsia" w:ascii="仿宋" w:hAnsi="仿宋" w:eastAsia="仿宋" w:cs="仿宋"/>
          <w:b/>
          <w:bCs/>
          <w:kern w:val="44"/>
          <w:sz w:val="24"/>
          <w:szCs w:val="24"/>
          <w:highlight w:val="none"/>
          <w:lang w:val="en-US" w:eastAsia="zh-CN" w:bidi="ar-SA"/>
        </w:rPr>
      </w:pPr>
      <w:r>
        <w:rPr>
          <w:rFonts w:hint="eastAsia" w:ascii="宋体" w:hAnsi="宋体"/>
          <w:bCs w:val="0"/>
          <w:szCs w:val="21"/>
          <w:highlight w:val="none"/>
          <w:lang w:bidi="ar"/>
        </w:rPr>
        <w:t xml:space="preserve"> </w:t>
      </w:r>
      <w:r>
        <w:rPr>
          <w:rFonts w:hint="eastAsia" w:ascii="仿宋" w:hAnsi="仿宋" w:eastAsia="仿宋" w:cs="仿宋"/>
          <w:b/>
          <w:bCs/>
          <w:kern w:val="44"/>
          <w:sz w:val="24"/>
          <w:szCs w:val="24"/>
          <w:highlight w:val="none"/>
          <w:lang w:val="en-US" w:eastAsia="zh-CN" w:bidi="ar-SA"/>
        </w:rPr>
        <w:t>其他配套要求：</w:t>
      </w:r>
    </w:p>
    <w:p w14:paraId="0B020DA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一</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应急服务要求</w:t>
      </w:r>
    </w:p>
    <w:p w14:paraId="4420E2C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备品备件：中标人提供能够满足质量保证期内的设备维修要求的备品备件，备品备件应是新品。中标人应保证10年以上零部件供应期，并对设备故障等突发状况及时响应。</w:t>
      </w:r>
    </w:p>
    <w:p w14:paraId="5543CDA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专用工具：中标人提供设备安装、调试、验收、维修、保养所必要的专用工具、仪器、仪表等工具。</w:t>
      </w:r>
    </w:p>
    <w:p w14:paraId="0C6EDAB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 xml:space="preserve"> 接到报修后应及时响应，若未及时修复设备故障，应提供备用设备供院方使用。</w:t>
      </w:r>
    </w:p>
    <w:p w14:paraId="3967F68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二</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安装调试、验收试验及质量保证</w:t>
      </w:r>
    </w:p>
    <w:p w14:paraId="218E0F4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中标人在设备安装地点负责安装、调试。</w:t>
      </w:r>
    </w:p>
    <w:p w14:paraId="1998DEC1">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具体设备验收标准和程序按采购人要求执行，下列验收程序可参照执行：</w:t>
      </w:r>
    </w:p>
    <w:p w14:paraId="4BF03770">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2.1</w:t>
      </w:r>
      <w:r>
        <w:rPr>
          <w:rFonts w:hint="eastAsia" w:ascii="仿宋" w:hAnsi="仿宋" w:eastAsia="仿宋" w:cs="仿宋"/>
          <w:color w:val="000000"/>
          <w:kern w:val="0"/>
          <w:sz w:val="24"/>
          <w:highlight w:val="none"/>
          <w:lang w:bidi="ar"/>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r>
        <w:rPr>
          <w:rFonts w:hint="eastAsia" w:ascii="仿宋" w:hAnsi="仿宋" w:eastAsia="仿宋" w:cs="仿宋"/>
          <w:color w:val="000000"/>
          <w:kern w:val="0"/>
          <w:sz w:val="24"/>
          <w:highlight w:val="none"/>
          <w:lang w:eastAsia="zh-CN" w:bidi="ar"/>
        </w:rPr>
        <w:t>；</w:t>
      </w:r>
    </w:p>
    <w:p w14:paraId="6FE410CC">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2.2</w:t>
      </w:r>
      <w:r>
        <w:rPr>
          <w:rFonts w:hint="eastAsia" w:ascii="仿宋" w:hAnsi="仿宋" w:eastAsia="仿宋" w:cs="仿宋"/>
          <w:color w:val="000000"/>
          <w:kern w:val="0"/>
          <w:sz w:val="24"/>
          <w:highlight w:val="none"/>
          <w:lang w:bidi="ar"/>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r>
        <w:rPr>
          <w:rFonts w:hint="eastAsia" w:ascii="仿宋" w:hAnsi="仿宋" w:eastAsia="仿宋" w:cs="仿宋"/>
          <w:color w:val="000000"/>
          <w:kern w:val="0"/>
          <w:sz w:val="24"/>
          <w:highlight w:val="none"/>
          <w:lang w:eastAsia="zh-CN" w:bidi="ar"/>
        </w:rPr>
        <w:t>；</w:t>
      </w:r>
    </w:p>
    <w:p w14:paraId="3639F2AB">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2.3</w:t>
      </w:r>
      <w:r>
        <w:rPr>
          <w:rFonts w:hint="eastAsia" w:ascii="仿宋" w:hAnsi="仿宋" w:eastAsia="仿宋" w:cs="仿宋"/>
          <w:color w:val="000000"/>
          <w:kern w:val="0"/>
          <w:sz w:val="24"/>
          <w:highlight w:val="none"/>
          <w:lang w:bidi="ar"/>
        </w:rPr>
        <w:t>中标人应根据采购人使用单位的技术要求提供相应的产品。由中标人所提供的设备部件间的连线和插接件均应视为设备内部器件，包含在相应的设备之中</w:t>
      </w:r>
      <w:r>
        <w:rPr>
          <w:rFonts w:hint="eastAsia" w:ascii="仿宋" w:hAnsi="仿宋" w:eastAsia="仿宋" w:cs="仿宋"/>
          <w:color w:val="000000"/>
          <w:kern w:val="0"/>
          <w:sz w:val="24"/>
          <w:highlight w:val="none"/>
          <w:lang w:eastAsia="zh-CN" w:bidi="ar"/>
        </w:rPr>
        <w:t>；</w:t>
      </w:r>
    </w:p>
    <w:p w14:paraId="1096B556">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eastAsia="zh-CN" w:bidi="ar"/>
        </w:rPr>
      </w:pPr>
      <w:r>
        <w:rPr>
          <w:rFonts w:hint="eastAsia" w:ascii="仿宋" w:hAnsi="仿宋" w:eastAsia="仿宋" w:cs="仿宋"/>
          <w:color w:val="000000"/>
          <w:kern w:val="0"/>
          <w:sz w:val="24"/>
          <w:highlight w:val="none"/>
          <w:lang w:val="en-US" w:eastAsia="zh-CN" w:bidi="ar"/>
        </w:rPr>
        <w:t>2.4</w:t>
      </w:r>
      <w:r>
        <w:rPr>
          <w:rFonts w:hint="eastAsia" w:ascii="仿宋" w:hAnsi="仿宋" w:eastAsia="仿宋" w:cs="仿宋"/>
          <w:color w:val="000000"/>
          <w:kern w:val="0"/>
          <w:sz w:val="24"/>
          <w:highlight w:val="none"/>
          <w:lang w:bidi="ar"/>
        </w:rPr>
        <w:t>运行测试及最终验收。在系统安装、调试结束后，采购人对其进行全面的测试，对测试中暴露出来的问题，中标人应及时进行整改，系统最终测试完毕经验收合格后，采购人应向中标人签发最终验收证明</w:t>
      </w:r>
      <w:r>
        <w:rPr>
          <w:rFonts w:hint="eastAsia" w:ascii="仿宋" w:hAnsi="仿宋" w:eastAsia="仿宋" w:cs="仿宋"/>
          <w:color w:val="000000"/>
          <w:kern w:val="0"/>
          <w:sz w:val="24"/>
          <w:highlight w:val="none"/>
          <w:lang w:eastAsia="zh-CN" w:bidi="ar"/>
        </w:rPr>
        <w:t>；</w:t>
      </w:r>
    </w:p>
    <w:p w14:paraId="2E75A22F">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2.5</w:t>
      </w:r>
      <w:r>
        <w:rPr>
          <w:rFonts w:hint="eastAsia" w:ascii="仿宋" w:hAnsi="仿宋" w:eastAsia="仿宋" w:cs="仿宋"/>
          <w:color w:val="000000"/>
          <w:kern w:val="0"/>
          <w:sz w:val="24"/>
          <w:highlight w:val="none"/>
          <w:lang w:bidi="ar"/>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629F21E5">
      <w:pPr>
        <w:pageBreakBefore w:val="0"/>
        <w:widowControl/>
        <w:kinsoku/>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2.6</w:t>
      </w:r>
      <w:r>
        <w:rPr>
          <w:rFonts w:hint="eastAsia" w:ascii="仿宋" w:hAnsi="仿宋" w:eastAsia="仿宋" w:cs="仿宋"/>
          <w:color w:val="000000"/>
          <w:kern w:val="0"/>
          <w:sz w:val="24"/>
          <w:highlight w:val="none"/>
          <w:lang w:bidi="ar"/>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011BC50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三</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包装运输</w:t>
      </w:r>
    </w:p>
    <w:p w14:paraId="540C8D40">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中标人负责设备包装、办理运输和保险，将设备安全运抵交货地点。</w:t>
      </w:r>
    </w:p>
    <w:p w14:paraId="4256F8E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设备制造完成并通过试验后应及时包装，否则应得到切实的保护，确保其不受污损。</w:t>
      </w:r>
    </w:p>
    <w:p w14:paraId="140CCD0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3.</w:t>
      </w:r>
      <w:r>
        <w:rPr>
          <w:rFonts w:hint="eastAsia" w:ascii="仿宋" w:hAnsi="仿宋" w:eastAsia="仿宋" w:cs="仿宋"/>
          <w:color w:val="000000"/>
          <w:kern w:val="0"/>
          <w:sz w:val="24"/>
          <w:highlight w:val="none"/>
          <w:lang w:bidi="ar"/>
        </w:rPr>
        <w:t>在包装箱外应标明采购人的订货号、发货号。</w:t>
      </w:r>
    </w:p>
    <w:p w14:paraId="1CD27F9A">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4.</w:t>
      </w:r>
      <w:r>
        <w:rPr>
          <w:rFonts w:hint="eastAsia" w:ascii="仿宋" w:hAnsi="仿宋" w:eastAsia="仿宋" w:cs="仿宋"/>
          <w:color w:val="000000"/>
          <w:kern w:val="0"/>
          <w:sz w:val="24"/>
          <w:highlight w:val="none"/>
          <w:lang w:bidi="ar"/>
        </w:rPr>
        <w:t>各种包装应能确保各零部件在运输过程中不致遭到损坏、丢失、变形、受潮和腐蚀。</w:t>
      </w:r>
    </w:p>
    <w:p w14:paraId="75C3B3D7">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5.</w:t>
      </w:r>
      <w:r>
        <w:rPr>
          <w:rFonts w:hint="eastAsia" w:ascii="仿宋" w:hAnsi="仿宋" w:eastAsia="仿宋" w:cs="仿宋"/>
          <w:color w:val="000000"/>
          <w:kern w:val="0"/>
          <w:sz w:val="24"/>
          <w:highlight w:val="none"/>
          <w:lang w:bidi="ar"/>
        </w:rPr>
        <w:t>包装箱上应有明显的包装储运图示标志。</w:t>
      </w:r>
    </w:p>
    <w:p w14:paraId="4A70276D">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6.</w:t>
      </w:r>
      <w:r>
        <w:rPr>
          <w:rFonts w:hint="eastAsia" w:ascii="仿宋" w:hAnsi="仿宋" w:eastAsia="仿宋" w:cs="仿宋"/>
          <w:color w:val="000000"/>
          <w:kern w:val="0"/>
          <w:sz w:val="24"/>
          <w:highlight w:val="none"/>
          <w:lang w:bidi="ar"/>
        </w:rPr>
        <w:t>整体产品或分别运输的部件都要适应运输和装载的要求。</w:t>
      </w:r>
    </w:p>
    <w:p w14:paraId="0BFCB11E">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7.</w:t>
      </w:r>
      <w:r>
        <w:rPr>
          <w:rFonts w:hint="eastAsia" w:ascii="仿宋" w:hAnsi="仿宋" w:eastAsia="仿宋" w:cs="仿宋"/>
          <w:color w:val="000000"/>
          <w:kern w:val="0"/>
          <w:sz w:val="24"/>
          <w:highlight w:val="none"/>
          <w:lang w:bidi="ar"/>
        </w:rPr>
        <w:t>随产品提供的技术资料应完整无缺。</w:t>
      </w:r>
    </w:p>
    <w:p w14:paraId="13B9087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四</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培训要求</w:t>
      </w:r>
    </w:p>
    <w:p w14:paraId="1C2DFCC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技术人员厂方培训：维修维护不少于1人，设备培训时间不低于3天，有详细的技术培训方案和完整规范的培训资料，培训结束获得厂方授权或资质许可，免一切费用(包含交通、食宿、资料、工具材料等所有与培训相关的费用)。设备使用培训：不少于2人，直至完全掌握设备应用技术，并获厂方资质许可；免一切费用(包含交通、食宿、资料、工具材料等所有与培训相关的费用)。</w:t>
      </w:r>
    </w:p>
    <w:p w14:paraId="134BF1D3">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设备使用培训：不少于2人，直至完全掌握设备应用技术，并获厂方资质许可；免一切费用(包含交通、食宿、资料、工具材料等所有与培训相关的费用)。</w:t>
      </w:r>
    </w:p>
    <w:p w14:paraId="4649BC7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五</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质保及售后服务</w:t>
      </w:r>
    </w:p>
    <w:p w14:paraId="1F6CD439">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自双方签订《验收报告》起进入免费质保期。</w:t>
      </w:r>
    </w:p>
    <w:p w14:paraId="4E72586B">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2.</w:t>
      </w:r>
      <w:r>
        <w:rPr>
          <w:rFonts w:hint="eastAsia" w:ascii="仿宋" w:hAnsi="仿宋" w:eastAsia="仿宋" w:cs="仿宋"/>
          <w:color w:val="000000"/>
          <w:kern w:val="0"/>
          <w:sz w:val="24"/>
          <w:highlight w:val="none"/>
          <w:lang w:bidi="ar"/>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2E2E15CF">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b/>
          <w:bCs/>
          <w:color w:val="000000"/>
          <w:kern w:val="0"/>
          <w:sz w:val="24"/>
          <w:highlight w:val="none"/>
          <w:lang w:bidi="ar"/>
        </w:rPr>
      </w:pP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val="en-US" w:eastAsia="zh-CN" w:bidi="ar"/>
        </w:rPr>
        <w:t>六</w:t>
      </w:r>
      <w:r>
        <w:rPr>
          <w:rFonts w:hint="eastAsia" w:ascii="仿宋" w:hAnsi="仿宋" w:eastAsia="仿宋" w:cs="仿宋"/>
          <w:b/>
          <w:bCs/>
          <w:color w:val="000000"/>
          <w:kern w:val="0"/>
          <w:sz w:val="24"/>
          <w:highlight w:val="none"/>
          <w:lang w:eastAsia="zh-CN" w:bidi="ar"/>
        </w:rPr>
        <w:t>）</w:t>
      </w:r>
      <w:r>
        <w:rPr>
          <w:rFonts w:hint="eastAsia" w:ascii="仿宋" w:hAnsi="仿宋" w:eastAsia="仿宋" w:cs="仿宋"/>
          <w:b/>
          <w:bCs/>
          <w:color w:val="000000"/>
          <w:kern w:val="0"/>
          <w:sz w:val="24"/>
          <w:highlight w:val="none"/>
          <w:lang w:bidi="ar"/>
        </w:rPr>
        <w:t>其他</w:t>
      </w:r>
    </w:p>
    <w:p w14:paraId="2D3FF4C8">
      <w:pPr>
        <w:pageBreakBefore w:val="0"/>
        <w:widowControl/>
        <w:kinsoku/>
        <w:overflowPunct/>
        <w:topLinePunct w:val="0"/>
        <w:autoSpaceDE/>
        <w:autoSpaceDN/>
        <w:bidi w:val="0"/>
        <w:adjustRightInd/>
        <w:snapToGrid/>
        <w:spacing w:line="360" w:lineRule="auto"/>
        <w:jc w:val="left"/>
        <w:textAlignment w:val="auto"/>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val="en-US" w:eastAsia="zh-CN" w:bidi="ar"/>
        </w:rPr>
        <w:t>1.</w:t>
      </w:r>
      <w:r>
        <w:rPr>
          <w:rFonts w:hint="eastAsia" w:ascii="仿宋" w:hAnsi="仿宋" w:eastAsia="仿宋" w:cs="仿宋"/>
          <w:color w:val="000000"/>
          <w:kern w:val="0"/>
          <w:sz w:val="24"/>
          <w:highlight w:val="none"/>
          <w:lang w:bidi="ar"/>
        </w:rPr>
        <w:t>投标人所投产品应为性能稳定、安全的成熟设备，故障率低、维修便利，并在投标文件中针对所投产品技术先进性、设备性能、配置情况、设计等方面进行阐述说明，提供相应证明材料。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217D95"/>
    <w:multiLevelType w:val="singleLevel"/>
    <w:tmpl w:val="8D217D95"/>
    <w:lvl w:ilvl="0" w:tentative="0">
      <w:start w:val="2"/>
      <w:numFmt w:val="chineseCounting"/>
      <w:suff w:val="nothing"/>
      <w:lvlText w:val="（%1）"/>
      <w:lvlJc w:val="left"/>
      <w:rPr>
        <w:rFonts w:hint="eastAsia"/>
      </w:rPr>
    </w:lvl>
  </w:abstractNum>
  <w:abstractNum w:abstractNumId="1">
    <w:nsid w:val="B9BEE5BA"/>
    <w:multiLevelType w:val="singleLevel"/>
    <w:tmpl w:val="B9BEE5BA"/>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123EC"/>
    <w:rsid w:val="0B0C0891"/>
    <w:rsid w:val="129D77F1"/>
    <w:rsid w:val="1F2D5D92"/>
    <w:rsid w:val="30A969DB"/>
    <w:rsid w:val="461C03CC"/>
    <w:rsid w:val="4D743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firstLineChars="200"/>
    </w:pPr>
  </w:style>
  <w:style w:type="paragraph" w:styleId="5">
    <w:name w:val="Body Text First Indent 2"/>
    <w:basedOn w:val="6"/>
    <w:qFormat/>
    <w:uiPriority w:val="99"/>
    <w:pPr>
      <w:spacing w:after="0"/>
      <w:ind w:left="0" w:leftChars="0" w:firstLine="420"/>
    </w:pPr>
    <w:rPr>
      <w:rFonts w:ascii="楷体_GB2312" w:eastAsia="楷体_GB2312"/>
      <w:sz w:val="32"/>
    </w:rPr>
  </w:style>
  <w:style w:type="paragraph" w:styleId="6">
    <w:name w:val="Body Text Indent"/>
    <w:basedOn w:val="1"/>
    <w:qFormat/>
    <w:uiPriority w:val="99"/>
    <w:pPr>
      <w:spacing w:after="120" w:afterLines="0"/>
      <w:ind w:left="420" w:leftChars="200"/>
    </w:pPr>
  </w:style>
  <w:style w:type="paragraph" w:styleId="7">
    <w:name w:val="Normal (Web)"/>
    <w:basedOn w:val="1"/>
    <w:qFormat/>
    <w:uiPriority w:val="0"/>
    <w:pPr>
      <w:widowControl/>
      <w:spacing w:before="100" w:beforeLines="0" w:beforeAutospacing="1" w:after="100" w:afterLines="0" w:afterAutospacing="1"/>
      <w:jc w:val="left"/>
    </w:pPr>
    <w:rPr>
      <w:rFonts w:ascii="宋体" w:hAnsi="宋体"/>
      <w:color w:val="000000"/>
      <w:kern w:val="0"/>
      <w:sz w:val="24"/>
    </w:rPr>
  </w:style>
  <w:style w:type="paragraph" w:customStyle="1" w:styleId="10">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3191</Words>
  <Characters>3274</Characters>
  <Lines>0</Lines>
  <Paragraphs>0</Paragraphs>
  <TotalTime>0</TotalTime>
  <ScaleCrop>false</ScaleCrop>
  <LinksUpToDate>false</LinksUpToDate>
  <CharactersWithSpaces>3280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2025-11-30T11:47:00Z</dcterms:created>
  <dc:creator>1</dc:creator>
  <cp:lastModifiedBy>豆奶是个小胖子</cp:lastModifiedBy>
  <dcterms:modified xsi:type="dcterms:W3CDTF">2025-11-30T12:54:08Z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eyJoZGlkIjoiNzUyOTA3MTdkN2ZkZGNjNWU1MDc2NTE0MWNiZTE2MDkiLCJ1c2VySWQiOiIzMDI3OTc1ODcifQ==</vt:lpwstr>
  </property>
  <property fmtid="{D5CDD505-2E9C-101B-9397-08002B2CF9AE}" pid="4" name="ICV">
    <vt:lpwstr>BA952FDCD16147F987985432D78BE9C0_12</vt:lpwstr>
  </property>
</Properties>
</file>