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8FFEF">
      <w:pPr>
        <w:spacing w:line="360" w:lineRule="auto"/>
        <w:jc w:val="center"/>
        <w:outlineLvl w:val="0"/>
        <w:rPr>
          <w:rFonts w:hint="eastAsia" w:ascii="宋体" w:hAnsi="宋体" w:eastAsia="宋体"/>
          <w:b/>
          <w:color w:val="auto"/>
          <w:sz w:val="28"/>
          <w:highlight w:val="none"/>
          <w:lang w:eastAsia="zh-CN"/>
        </w:rPr>
      </w:pPr>
      <w:r>
        <w:rPr>
          <w:rFonts w:hint="eastAsia" w:ascii="宋体" w:hAnsi="宋体" w:eastAsia="宋体"/>
          <w:b/>
          <w:color w:val="auto"/>
          <w:sz w:val="28"/>
          <w:highlight w:val="none"/>
        </w:rPr>
        <w:t>采购需求</w:t>
      </w:r>
    </w:p>
    <w:p w14:paraId="50343942">
      <w:pPr>
        <w:spacing w:line="360" w:lineRule="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前注：</w:t>
      </w:r>
    </w:p>
    <w:p w14:paraId="6AAF762E">
      <w:pPr>
        <w:spacing w:line="360" w:lineRule="auto"/>
        <w:ind w:firstLine="435"/>
        <w:rPr>
          <w:rFonts w:hint="default" w:ascii="Times New Roman" w:hAnsi="Times New Roman" w:eastAsia="宋体" w:cs="Times New Roman"/>
          <w:color w:val="auto"/>
          <w:sz w:val="24"/>
          <w:szCs w:val="18"/>
          <w:highlight w:val="none"/>
        </w:rPr>
      </w:pPr>
      <w:r>
        <w:rPr>
          <w:rFonts w:hint="default" w:ascii="Times New Roman" w:hAnsi="Times New Roman" w:eastAsia="宋体" w:cs="Times New Roman"/>
          <w:color w:val="auto"/>
          <w:sz w:val="24"/>
          <w:highlight w:val="none"/>
        </w:rPr>
        <w:t>1.</w:t>
      </w:r>
      <w:r>
        <w:rPr>
          <w:rFonts w:hint="default" w:ascii="Times New Roman" w:hAnsi="Times New Roman" w:eastAsia="宋体" w:cs="Times New Roman"/>
          <w:color w:val="auto"/>
          <w:sz w:val="24"/>
          <w:szCs w:val="18"/>
          <w:highlight w:val="none"/>
        </w:rPr>
        <w:t>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057E7727">
      <w:pPr>
        <w:spacing w:line="360" w:lineRule="auto"/>
        <w:ind w:firstLine="435"/>
        <w:rPr>
          <w:rFonts w:hint="default" w:ascii="Times New Roman" w:hAnsi="Times New Roman" w:eastAsia="宋体" w:cs="Times New Roman"/>
          <w:color w:val="auto"/>
          <w:sz w:val="24"/>
          <w:szCs w:val="18"/>
          <w:highlight w:val="none"/>
        </w:rPr>
      </w:pPr>
      <w:r>
        <w:rPr>
          <w:rFonts w:hint="default" w:ascii="Times New Roman" w:hAnsi="Times New Roman" w:eastAsia="宋体" w:cs="Times New Roman"/>
          <w:color w:val="auto"/>
          <w:sz w:val="24"/>
          <w:szCs w:val="18"/>
          <w:highlight w:val="none"/>
        </w:rPr>
        <w:t>2</w:t>
      </w:r>
      <w:r>
        <w:rPr>
          <w:rFonts w:hint="default" w:ascii="Times New Roman" w:hAnsi="Times New Roman" w:eastAsia="宋体" w:cs="Times New Roman"/>
          <w:color w:val="auto"/>
          <w:sz w:val="24"/>
          <w:szCs w:val="18"/>
          <w:highlight w:val="none"/>
          <w:lang w:eastAsia="zh-CN"/>
        </w:rPr>
        <w:t>.</w:t>
      </w:r>
      <w:r>
        <w:rPr>
          <w:rFonts w:hint="default" w:ascii="Times New Roman" w:hAnsi="Times New Roman" w:eastAsia="宋体" w:cs="Times New Roman"/>
          <w:color w:val="auto"/>
          <w:sz w:val="24"/>
          <w:szCs w:val="24"/>
          <w:highlight w:val="none"/>
        </w:rPr>
        <w:t>政府采购政策（包括但不限于下列具体政策要求</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18"/>
          <w:highlight w:val="none"/>
        </w:rPr>
        <w:t>：</w:t>
      </w:r>
    </w:p>
    <w:p w14:paraId="0BCA6035">
      <w:pPr>
        <w:spacing w:line="360" w:lineRule="auto"/>
        <w:ind w:firstLine="435"/>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88A9156">
      <w:pPr>
        <w:spacing w:line="360" w:lineRule="auto"/>
        <w:ind w:firstLine="435"/>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C17622F">
      <w:pPr>
        <w:spacing w:line="360" w:lineRule="auto"/>
        <w:ind w:firstLine="435"/>
        <w:rPr>
          <w:rFonts w:hint="default" w:ascii="Times New Roman" w:hAnsi="Times New Roman" w:eastAsia="宋体" w:cs="Times New Roman"/>
          <w:color w:val="auto"/>
          <w:sz w:val="24"/>
          <w:szCs w:val="18"/>
          <w:highlight w:val="none"/>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18"/>
          <w:highlight w:val="none"/>
        </w:rPr>
        <w:t>如采购人允许采用分包方式履行合同的，应当明确可以分包履行的相关内容。</w:t>
      </w:r>
    </w:p>
    <w:p w14:paraId="1D299A5E">
      <w:pPr>
        <w:spacing w:line="360" w:lineRule="auto"/>
        <w:ind w:firstLine="435"/>
        <w:rPr>
          <w:rFonts w:hint="default" w:ascii="宋体" w:hAnsi="宋体" w:eastAsia="宋体"/>
          <w:color w:val="auto"/>
          <w:sz w:val="24"/>
          <w:szCs w:val="18"/>
          <w:highlight w:val="none"/>
          <w:lang w:val="en-US" w:eastAsia="zh-CN"/>
        </w:rPr>
      </w:pPr>
      <w:r>
        <w:rPr>
          <w:rFonts w:hint="default" w:ascii="Times New Roman" w:hAnsi="Times New Roman" w:eastAsia="宋体" w:cs="Times New Roman"/>
          <w:color w:val="auto"/>
          <w:sz w:val="24"/>
          <w:szCs w:val="18"/>
          <w:highlight w:val="none"/>
          <w:lang w:val="en-US" w:eastAsia="zh-CN"/>
        </w:rPr>
        <w:t>4.下列采购需求中：标注▲的产品为核心产品（主要中标标的）。</w:t>
      </w:r>
    </w:p>
    <w:p w14:paraId="69348662">
      <w:pPr>
        <w:spacing w:line="360" w:lineRule="auto"/>
        <w:ind w:firstLine="437"/>
        <w:outlineLvl w:val="1"/>
        <w:rPr>
          <w:rFonts w:ascii="宋体" w:hAnsi="宋体" w:eastAsia="宋体"/>
          <w:b/>
          <w:color w:val="auto"/>
          <w:sz w:val="24"/>
          <w:szCs w:val="18"/>
          <w:highlight w:val="none"/>
        </w:rPr>
      </w:pPr>
      <w:bookmarkStart w:id="0" w:name="_Toc32151"/>
      <w:bookmarkStart w:id="1" w:name="_Toc2554"/>
      <w:r>
        <w:rPr>
          <w:rFonts w:hint="eastAsia" w:ascii="宋体" w:hAnsi="宋体" w:eastAsia="宋体"/>
          <w:b/>
          <w:color w:val="auto"/>
          <w:sz w:val="24"/>
          <w:szCs w:val="18"/>
          <w:highlight w:val="none"/>
        </w:rPr>
        <w:t>一、采购需求前附表</w:t>
      </w:r>
      <w:bookmarkEnd w:id="0"/>
      <w:bookmarkEnd w:id="1"/>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567"/>
        <w:gridCol w:w="6155"/>
      </w:tblGrid>
      <w:tr w14:paraId="6AD6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9" w:type="pct"/>
            <w:vAlign w:val="center"/>
          </w:tcPr>
          <w:p w14:paraId="202DF380">
            <w:pPr>
              <w:widowControl w:val="0"/>
              <w:pBdr>
                <w:bottom w:val="none" w:color="auto" w:sz="0" w:space="0"/>
              </w:pBdr>
              <w:adjustRightInd/>
              <w:snapToGrid/>
              <w:spacing w:line="240" w:lineRule="auto"/>
              <w:jc w:val="center"/>
              <w:textAlignment w:val="auto"/>
              <w:rPr>
                <w:rFonts w:hint="default" w:ascii="Times New Roman" w:hAnsi="Times New Roman" w:eastAsia="宋体" w:cs="Times New Roman"/>
                <w:b/>
                <w:color w:val="auto"/>
                <w:kern w:val="2"/>
                <w:sz w:val="24"/>
                <w:szCs w:val="20"/>
                <w:highlight w:val="none"/>
                <w:lang w:val="en-US" w:eastAsia="zh-CN" w:bidi="ar-SA"/>
              </w:rPr>
            </w:pPr>
            <w:r>
              <w:rPr>
                <w:rFonts w:hint="default" w:ascii="Times New Roman" w:hAnsi="Times New Roman" w:eastAsia="宋体" w:cs="Times New Roman"/>
                <w:b/>
                <w:color w:val="auto"/>
                <w:kern w:val="2"/>
                <w:sz w:val="24"/>
                <w:szCs w:val="20"/>
                <w:highlight w:val="none"/>
                <w:lang w:val="en-US" w:eastAsia="zh-CN" w:bidi="ar-SA"/>
              </w:rPr>
              <w:t>序号</w:t>
            </w:r>
          </w:p>
        </w:tc>
        <w:tc>
          <w:tcPr>
            <w:tcW w:w="919" w:type="pct"/>
            <w:vAlign w:val="center"/>
          </w:tcPr>
          <w:p w14:paraId="59767234">
            <w:pPr>
              <w:widowControl w:val="0"/>
              <w:spacing w:before="0" w:beforeAutospacing="0" w:after="0" w:afterAutospacing="0" w:line="360" w:lineRule="auto"/>
              <w:jc w:val="center"/>
              <w:rPr>
                <w:rFonts w:hint="default" w:ascii="Times New Roman" w:hAnsi="Times New Roman" w:eastAsia="宋体" w:cs="Times New Roman"/>
                <w:b/>
                <w:bCs w:val="0"/>
                <w:color w:val="auto"/>
                <w:kern w:val="0"/>
                <w:sz w:val="24"/>
                <w:szCs w:val="28"/>
                <w:highlight w:val="none"/>
                <w:lang w:val="en-US" w:eastAsia="zh-CN" w:bidi="ar-SA"/>
              </w:rPr>
            </w:pPr>
            <w:r>
              <w:rPr>
                <w:rFonts w:hint="default" w:ascii="Times New Roman" w:hAnsi="Times New Roman" w:eastAsia="宋体" w:cs="Times New Roman"/>
                <w:b/>
                <w:bCs w:val="0"/>
                <w:color w:val="auto"/>
                <w:kern w:val="0"/>
                <w:sz w:val="24"/>
                <w:szCs w:val="28"/>
                <w:highlight w:val="none"/>
                <w:lang w:val="en-US" w:eastAsia="zh-CN" w:bidi="ar-SA"/>
              </w:rPr>
              <w:t>条款名称</w:t>
            </w:r>
          </w:p>
        </w:tc>
        <w:tc>
          <w:tcPr>
            <w:tcW w:w="3610" w:type="pct"/>
            <w:vAlign w:val="center"/>
          </w:tcPr>
          <w:p w14:paraId="002E07BB">
            <w:pPr>
              <w:widowControl w:val="0"/>
              <w:spacing w:before="0" w:beforeAutospacing="0" w:after="0" w:afterAutospacing="0" w:line="360" w:lineRule="auto"/>
              <w:jc w:val="center"/>
              <w:rPr>
                <w:rFonts w:hint="default" w:ascii="Times New Roman" w:hAnsi="Times New Roman" w:eastAsia="宋体" w:cs="Times New Roman"/>
                <w:b/>
                <w:bCs w:val="0"/>
                <w:color w:val="auto"/>
                <w:kern w:val="0"/>
                <w:sz w:val="24"/>
                <w:szCs w:val="28"/>
                <w:highlight w:val="none"/>
                <w:lang w:val="en-US" w:eastAsia="zh-CN" w:bidi="ar-SA"/>
              </w:rPr>
            </w:pPr>
            <w:r>
              <w:rPr>
                <w:rFonts w:hint="default" w:ascii="Times New Roman" w:hAnsi="Times New Roman" w:eastAsia="宋体" w:cs="Times New Roman"/>
                <w:b/>
                <w:bCs w:val="0"/>
                <w:color w:val="auto"/>
                <w:kern w:val="0"/>
                <w:sz w:val="24"/>
                <w:szCs w:val="28"/>
                <w:highlight w:val="none"/>
                <w:lang w:val="en-US" w:eastAsia="zh-CN" w:bidi="ar-SA"/>
              </w:rPr>
              <w:t>内容、说明与要求</w:t>
            </w:r>
          </w:p>
        </w:tc>
      </w:tr>
      <w:tr w14:paraId="40C1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9" w:type="pct"/>
            <w:vAlign w:val="center"/>
          </w:tcPr>
          <w:p w14:paraId="284DB557">
            <w:pPr>
              <w:widowControl w:val="0"/>
              <w:pBdr>
                <w:bottom w:val="none" w:color="auto" w:sz="0" w:space="0"/>
              </w:pBdr>
              <w:adjustRightInd/>
              <w:snapToGrid/>
              <w:spacing w:line="240" w:lineRule="auto"/>
              <w:jc w:val="center"/>
              <w:textAlignment w:val="auto"/>
              <w:rPr>
                <w:rFonts w:hint="default" w:ascii="Times New Roman" w:hAnsi="Times New Roman" w:eastAsia="宋体" w:cs="Times New Roman"/>
                <w:bCs/>
                <w:color w:val="auto"/>
                <w:kern w:val="2"/>
                <w:sz w:val="24"/>
                <w:szCs w:val="20"/>
                <w:highlight w:val="none"/>
                <w:lang w:val="en-US" w:eastAsia="zh-CN" w:bidi="ar-SA"/>
              </w:rPr>
            </w:pPr>
            <w:r>
              <w:rPr>
                <w:rFonts w:hint="default" w:ascii="Times New Roman" w:hAnsi="Times New Roman" w:eastAsia="宋体" w:cs="Times New Roman"/>
                <w:bCs/>
                <w:color w:val="auto"/>
                <w:kern w:val="2"/>
                <w:sz w:val="24"/>
                <w:szCs w:val="20"/>
                <w:highlight w:val="none"/>
                <w:lang w:val="en-US" w:eastAsia="zh-CN" w:bidi="ar-SA"/>
              </w:rPr>
              <w:t>1</w:t>
            </w:r>
          </w:p>
        </w:tc>
        <w:tc>
          <w:tcPr>
            <w:tcW w:w="919" w:type="pct"/>
            <w:vAlign w:val="center"/>
          </w:tcPr>
          <w:p w14:paraId="639EF558">
            <w:pPr>
              <w:widowControl w:val="0"/>
              <w:spacing w:before="0" w:beforeAutospacing="0" w:after="0" w:afterAutospacing="0" w:line="360" w:lineRule="auto"/>
              <w:jc w:val="center"/>
              <w:rPr>
                <w:rFonts w:hint="default" w:ascii="Times New Roman" w:hAnsi="Times New Roman" w:eastAsia="宋体" w:cs="Times New Roman"/>
                <w:b w:val="0"/>
                <w:bCs/>
                <w:color w:val="auto"/>
                <w:kern w:val="0"/>
                <w:sz w:val="24"/>
                <w:szCs w:val="28"/>
                <w:highlight w:val="none"/>
                <w:lang w:val="en-US" w:eastAsia="zh-CN" w:bidi="ar-SA"/>
              </w:rPr>
            </w:pPr>
            <w:r>
              <w:rPr>
                <w:rFonts w:hint="default" w:ascii="Times New Roman" w:hAnsi="Times New Roman" w:eastAsia="宋体" w:cs="Times New Roman"/>
                <w:b w:val="0"/>
                <w:bCs/>
                <w:color w:val="auto"/>
                <w:kern w:val="0"/>
                <w:sz w:val="24"/>
                <w:szCs w:val="28"/>
                <w:highlight w:val="none"/>
                <w:lang w:val="en-US" w:eastAsia="zh-CN" w:bidi="ar-SA"/>
              </w:rPr>
              <w:t>付款方式</w:t>
            </w:r>
          </w:p>
        </w:tc>
        <w:tc>
          <w:tcPr>
            <w:tcW w:w="3610" w:type="pct"/>
            <w:vAlign w:val="center"/>
          </w:tcPr>
          <w:p w14:paraId="2E6AE190">
            <w:pPr>
              <w:widowControl w:val="0"/>
              <w:spacing w:before="0" w:beforeAutospacing="0" w:after="0" w:afterAutospacing="0" w:line="360" w:lineRule="auto"/>
              <w:jc w:val="both"/>
              <w:rPr>
                <w:rFonts w:hint="default" w:ascii="Times New Roman" w:hAnsi="Times New Roman" w:eastAsia="宋体" w:cs="Times New Roman"/>
                <w:b w:val="0"/>
                <w:bCs/>
                <w:color w:val="auto"/>
                <w:kern w:val="0"/>
                <w:sz w:val="24"/>
                <w:szCs w:val="28"/>
                <w:highlight w:val="none"/>
                <w:u w:val="none"/>
                <w:lang w:val="en-US" w:eastAsia="zh-CN" w:bidi="ar-SA"/>
              </w:rPr>
            </w:pPr>
            <w:r>
              <w:rPr>
                <w:rFonts w:hint="default" w:ascii="Times New Roman" w:hAnsi="Times New Roman" w:eastAsia="宋体" w:cs="Times New Roman"/>
                <w:b w:val="0"/>
                <w:bCs/>
                <w:color w:val="auto"/>
                <w:kern w:val="0"/>
                <w:sz w:val="24"/>
                <w:szCs w:val="28"/>
                <w:highlight w:val="none"/>
                <w:u w:val="none"/>
                <w:lang w:val="en-US" w:eastAsia="zh-CN" w:bidi="ar-SA"/>
              </w:rPr>
              <w:t>1、采购人或用户方根据当年实际免疫需要确定年度疫苗实际发货量（上下浮动范围不得超出采购计划的10%），经验收合格后，由用户方于当年12月底前付清全年所有疫苗费用。</w:t>
            </w:r>
          </w:p>
          <w:p w14:paraId="6EB6F739">
            <w:pPr>
              <w:widowControl w:val="0"/>
              <w:spacing w:before="0" w:beforeAutospacing="0" w:after="0" w:afterAutospacing="0" w:line="360" w:lineRule="auto"/>
              <w:jc w:val="both"/>
              <w:rPr>
                <w:rFonts w:hint="default" w:ascii="Times New Roman" w:hAnsi="Times New Roman" w:eastAsia="宋体" w:cs="Times New Roman"/>
                <w:b w:val="0"/>
                <w:bCs/>
                <w:color w:val="auto"/>
                <w:kern w:val="0"/>
                <w:sz w:val="24"/>
                <w:szCs w:val="28"/>
                <w:highlight w:val="none"/>
                <w:u w:val="none"/>
                <w:lang w:val="en-US" w:eastAsia="zh-CN" w:bidi="ar-SA"/>
              </w:rPr>
            </w:pPr>
            <w:r>
              <w:rPr>
                <w:rFonts w:hint="default" w:ascii="Times New Roman" w:hAnsi="Times New Roman" w:eastAsia="宋体" w:cs="Times New Roman"/>
                <w:b w:val="0"/>
                <w:bCs/>
                <w:color w:val="auto"/>
                <w:kern w:val="0"/>
                <w:sz w:val="24"/>
                <w:szCs w:val="28"/>
                <w:highlight w:val="none"/>
                <w:u w:val="none"/>
                <w:lang w:val="en-US" w:eastAsia="zh-CN" w:bidi="ar-SA"/>
              </w:rPr>
              <w:t>2、中标人需按照采购计划的10%免费储备相同品种、规格的应急疫苗，当发生重大突发性疫病暴发、流行及其他特殊情况，由采购人通知中标人48小时内将疫苗送至指定地点，疫苗费用根据当年经费到位情况由用户方在年底结算。</w:t>
            </w:r>
          </w:p>
        </w:tc>
      </w:tr>
      <w:tr w14:paraId="1AF6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9" w:type="pct"/>
            <w:vAlign w:val="center"/>
          </w:tcPr>
          <w:p w14:paraId="73618081">
            <w:pPr>
              <w:widowControl w:val="0"/>
              <w:pBdr>
                <w:bottom w:val="none" w:color="auto" w:sz="0" w:space="0"/>
              </w:pBdr>
              <w:adjustRightInd/>
              <w:snapToGrid/>
              <w:spacing w:line="240" w:lineRule="auto"/>
              <w:jc w:val="center"/>
              <w:textAlignment w:val="auto"/>
              <w:rPr>
                <w:rFonts w:hint="default" w:ascii="Times New Roman" w:hAnsi="Times New Roman" w:eastAsia="宋体" w:cs="Times New Roman"/>
                <w:bCs/>
                <w:color w:val="auto"/>
                <w:kern w:val="2"/>
                <w:sz w:val="24"/>
                <w:szCs w:val="20"/>
                <w:highlight w:val="none"/>
                <w:lang w:val="en-US" w:eastAsia="zh-CN" w:bidi="ar-SA"/>
              </w:rPr>
            </w:pPr>
            <w:r>
              <w:rPr>
                <w:rFonts w:hint="default" w:ascii="Times New Roman" w:hAnsi="Times New Roman" w:eastAsia="宋体" w:cs="Times New Roman"/>
                <w:bCs/>
                <w:color w:val="auto"/>
                <w:kern w:val="2"/>
                <w:sz w:val="24"/>
                <w:szCs w:val="20"/>
                <w:highlight w:val="none"/>
                <w:lang w:val="en-US" w:eastAsia="zh-CN" w:bidi="ar-SA"/>
              </w:rPr>
              <w:t>2</w:t>
            </w:r>
          </w:p>
        </w:tc>
        <w:tc>
          <w:tcPr>
            <w:tcW w:w="919" w:type="pct"/>
            <w:vAlign w:val="center"/>
          </w:tcPr>
          <w:p w14:paraId="58478A60">
            <w:pPr>
              <w:widowControl w:val="0"/>
              <w:spacing w:before="0" w:beforeAutospacing="0" w:after="0" w:afterAutospacing="0" w:line="360" w:lineRule="auto"/>
              <w:jc w:val="center"/>
              <w:rPr>
                <w:rFonts w:hint="default" w:ascii="Times New Roman" w:hAnsi="Times New Roman" w:eastAsia="宋体" w:cs="Times New Roman"/>
                <w:b w:val="0"/>
                <w:bCs/>
                <w:color w:val="auto"/>
                <w:kern w:val="0"/>
                <w:sz w:val="24"/>
                <w:szCs w:val="28"/>
                <w:highlight w:val="none"/>
                <w:lang w:val="en-US" w:eastAsia="zh-CN" w:bidi="ar-SA"/>
              </w:rPr>
            </w:pPr>
            <w:r>
              <w:rPr>
                <w:rFonts w:hint="default" w:ascii="Times New Roman" w:hAnsi="Times New Roman" w:eastAsia="宋体" w:cs="Times New Roman"/>
                <w:b w:val="0"/>
                <w:bCs/>
                <w:color w:val="auto"/>
                <w:kern w:val="0"/>
                <w:sz w:val="24"/>
                <w:szCs w:val="28"/>
                <w:highlight w:val="none"/>
                <w:lang w:val="en-US" w:eastAsia="zh-CN" w:bidi="ar-SA"/>
              </w:rPr>
              <w:t>供货及安装地点</w:t>
            </w:r>
          </w:p>
        </w:tc>
        <w:tc>
          <w:tcPr>
            <w:tcW w:w="3610" w:type="pct"/>
            <w:vAlign w:val="center"/>
          </w:tcPr>
          <w:p w14:paraId="28C6A28E">
            <w:pPr>
              <w:widowControl w:val="0"/>
              <w:spacing w:before="0" w:beforeAutospacing="0" w:after="0" w:afterAutospacing="0" w:line="360" w:lineRule="auto"/>
              <w:jc w:val="both"/>
              <w:rPr>
                <w:rFonts w:hint="default" w:ascii="Times New Roman" w:hAnsi="Times New Roman" w:eastAsia="宋体" w:cs="Times New Roman"/>
                <w:b w:val="0"/>
                <w:bCs/>
                <w:color w:val="auto"/>
                <w:kern w:val="0"/>
                <w:sz w:val="24"/>
                <w:szCs w:val="28"/>
                <w:highlight w:val="none"/>
                <w:u w:val="none"/>
                <w:lang w:val="en-US" w:eastAsia="zh-CN" w:bidi="ar-SA"/>
              </w:rPr>
            </w:pPr>
            <w:r>
              <w:rPr>
                <w:rFonts w:hint="default" w:ascii="Times New Roman" w:hAnsi="Times New Roman" w:eastAsia="宋体" w:cs="Times New Roman"/>
                <w:b w:val="0"/>
                <w:bCs/>
                <w:color w:val="auto"/>
                <w:kern w:val="0"/>
                <w:sz w:val="24"/>
                <w:szCs w:val="28"/>
                <w:highlight w:val="none"/>
                <w:u w:val="none"/>
                <w:lang w:val="en-US" w:eastAsia="zh-CN" w:bidi="ar-SA"/>
              </w:rPr>
              <w:t xml:space="preserve">用户方（6个市农业农村部门或所在市要求的县级农业农村部门）单位所在地，具体按照采购人指定地点。        </w:t>
            </w:r>
          </w:p>
        </w:tc>
      </w:tr>
      <w:tr w14:paraId="1669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9" w:type="pct"/>
            <w:vAlign w:val="center"/>
          </w:tcPr>
          <w:p w14:paraId="51D27809">
            <w:pPr>
              <w:widowControl w:val="0"/>
              <w:pBdr>
                <w:bottom w:val="none" w:color="auto" w:sz="0" w:space="0"/>
              </w:pBdr>
              <w:adjustRightInd/>
              <w:snapToGrid/>
              <w:spacing w:line="240" w:lineRule="auto"/>
              <w:jc w:val="center"/>
              <w:textAlignment w:val="auto"/>
              <w:rPr>
                <w:rFonts w:hint="default" w:ascii="Times New Roman" w:hAnsi="Times New Roman" w:eastAsia="宋体" w:cs="Times New Roman"/>
                <w:bCs/>
                <w:color w:val="auto"/>
                <w:kern w:val="2"/>
                <w:sz w:val="24"/>
                <w:szCs w:val="20"/>
                <w:highlight w:val="none"/>
                <w:lang w:val="en-US" w:eastAsia="zh-CN" w:bidi="ar-SA"/>
              </w:rPr>
            </w:pPr>
            <w:r>
              <w:rPr>
                <w:rFonts w:hint="default" w:ascii="Times New Roman" w:hAnsi="Times New Roman" w:eastAsia="宋体" w:cs="Times New Roman"/>
                <w:bCs/>
                <w:color w:val="auto"/>
                <w:kern w:val="2"/>
                <w:sz w:val="24"/>
                <w:szCs w:val="20"/>
                <w:highlight w:val="none"/>
                <w:lang w:val="en-US" w:eastAsia="zh-CN" w:bidi="ar-SA"/>
              </w:rPr>
              <w:t>3</w:t>
            </w:r>
          </w:p>
        </w:tc>
        <w:tc>
          <w:tcPr>
            <w:tcW w:w="919" w:type="pct"/>
            <w:vAlign w:val="center"/>
          </w:tcPr>
          <w:p w14:paraId="29DDE53C">
            <w:pPr>
              <w:widowControl w:val="0"/>
              <w:spacing w:before="0" w:beforeAutospacing="0" w:after="0" w:afterAutospacing="0" w:line="360" w:lineRule="auto"/>
              <w:jc w:val="center"/>
              <w:rPr>
                <w:rFonts w:hint="default" w:ascii="Times New Roman" w:hAnsi="Times New Roman" w:eastAsia="宋体" w:cs="Times New Roman"/>
                <w:b w:val="0"/>
                <w:bCs/>
                <w:color w:val="auto"/>
                <w:kern w:val="0"/>
                <w:sz w:val="24"/>
                <w:szCs w:val="28"/>
                <w:highlight w:val="none"/>
                <w:lang w:val="en-US" w:eastAsia="zh-CN" w:bidi="ar-SA"/>
              </w:rPr>
            </w:pPr>
            <w:r>
              <w:rPr>
                <w:rFonts w:hint="default" w:ascii="Times New Roman" w:hAnsi="Times New Roman" w:eastAsia="宋体" w:cs="Times New Roman"/>
                <w:b w:val="0"/>
                <w:bCs/>
                <w:color w:val="auto"/>
                <w:kern w:val="0"/>
                <w:sz w:val="24"/>
                <w:szCs w:val="28"/>
                <w:highlight w:val="none"/>
                <w:lang w:val="en-US" w:eastAsia="zh-CN" w:bidi="ar-SA"/>
              </w:rPr>
              <w:t>供货及安装期限</w:t>
            </w:r>
          </w:p>
        </w:tc>
        <w:tc>
          <w:tcPr>
            <w:tcW w:w="3610" w:type="pct"/>
            <w:vAlign w:val="center"/>
          </w:tcPr>
          <w:p w14:paraId="7EBDA670">
            <w:pPr>
              <w:widowControl w:val="0"/>
              <w:spacing w:before="0" w:beforeAutospacing="0" w:after="0" w:afterAutospacing="0" w:line="360" w:lineRule="auto"/>
              <w:jc w:val="both"/>
              <w:rPr>
                <w:rFonts w:hint="default" w:ascii="Times New Roman" w:hAnsi="Times New Roman" w:eastAsia="宋体" w:cs="Times New Roman"/>
                <w:b w:val="0"/>
                <w:bCs/>
                <w:color w:val="auto"/>
                <w:kern w:val="0"/>
                <w:sz w:val="24"/>
                <w:szCs w:val="28"/>
                <w:highlight w:val="none"/>
                <w:u w:val="none"/>
                <w:lang w:val="en-US" w:eastAsia="zh-CN" w:bidi="ar-SA"/>
              </w:rPr>
            </w:pPr>
            <w:r>
              <w:rPr>
                <w:rFonts w:hint="default" w:ascii="Times New Roman" w:hAnsi="Times New Roman" w:eastAsia="宋体" w:cs="Times New Roman"/>
                <w:b w:val="0"/>
                <w:bCs/>
                <w:color w:val="auto"/>
                <w:kern w:val="0"/>
                <w:sz w:val="24"/>
                <w:szCs w:val="28"/>
                <w:highlight w:val="none"/>
                <w:u w:val="none"/>
                <w:lang w:val="en-US" w:eastAsia="zh-CN" w:bidi="ar-SA"/>
              </w:rPr>
              <w:t>合同签订后根据用户方通知的时间和数量5个工作日内将疫苗送到指定的地点，并按照市级要求，在规定的时间内统一组织完成免疫注射服务。</w:t>
            </w:r>
          </w:p>
        </w:tc>
      </w:tr>
      <w:tr w14:paraId="3A3F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9" w:type="pct"/>
            <w:vAlign w:val="center"/>
          </w:tcPr>
          <w:p w14:paraId="6D1E9137">
            <w:pPr>
              <w:widowControl w:val="0"/>
              <w:pBdr>
                <w:bottom w:val="none" w:color="auto" w:sz="0" w:space="0"/>
              </w:pBdr>
              <w:adjustRightInd/>
              <w:snapToGrid/>
              <w:spacing w:line="240" w:lineRule="auto"/>
              <w:jc w:val="center"/>
              <w:textAlignment w:val="auto"/>
              <w:rPr>
                <w:rFonts w:hint="default" w:ascii="Times New Roman" w:hAnsi="Times New Roman" w:eastAsia="宋体" w:cs="Times New Roman"/>
                <w:bCs/>
                <w:color w:val="auto"/>
                <w:kern w:val="2"/>
                <w:sz w:val="24"/>
                <w:szCs w:val="20"/>
                <w:highlight w:val="none"/>
                <w:lang w:val="en-US" w:eastAsia="zh-CN" w:bidi="ar-SA"/>
              </w:rPr>
            </w:pPr>
            <w:r>
              <w:rPr>
                <w:rFonts w:hint="default" w:ascii="Times New Roman" w:hAnsi="Times New Roman" w:eastAsia="宋体" w:cs="Times New Roman"/>
                <w:bCs/>
                <w:color w:val="auto"/>
                <w:kern w:val="2"/>
                <w:sz w:val="24"/>
                <w:szCs w:val="20"/>
                <w:highlight w:val="none"/>
                <w:lang w:val="en-US" w:eastAsia="zh-CN" w:bidi="ar-SA"/>
              </w:rPr>
              <w:t>4</w:t>
            </w:r>
          </w:p>
        </w:tc>
        <w:tc>
          <w:tcPr>
            <w:tcW w:w="919" w:type="pct"/>
            <w:vAlign w:val="center"/>
          </w:tcPr>
          <w:p w14:paraId="00F9EC8F">
            <w:pPr>
              <w:widowControl w:val="0"/>
              <w:spacing w:before="0" w:beforeAutospacing="0" w:after="0" w:afterAutospacing="0" w:line="360" w:lineRule="auto"/>
              <w:jc w:val="center"/>
              <w:rPr>
                <w:rFonts w:hint="default" w:ascii="Times New Roman" w:hAnsi="Times New Roman" w:eastAsia="宋体" w:cs="Times New Roman"/>
                <w:b w:val="0"/>
                <w:bCs/>
                <w:color w:val="auto"/>
                <w:kern w:val="0"/>
                <w:sz w:val="24"/>
                <w:szCs w:val="28"/>
                <w:highlight w:val="none"/>
                <w:lang w:val="en-US" w:eastAsia="zh-CN" w:bidi="ar-SA"/>
              </w:rPr>
            </w:pPr>
            <w:r>
              <w:rPr>
                <w:rFonts w:hint="default" w:ascii="Times New Roman" w:hAnsi="Times New Roman" w:eastAsia="宋体" w:cs="Times New Roman"/>
                <w:b w:val="0"/>
                <w:bCs/>
                <w:color w:val="auto"/>
                <w:kern w:val="0"/>
                <w:sz w:val="24"/>
                <w:szCs w:val="28"/>
                <w:highlight w:val="none"/>
                <w:lang w:val="en-US" w:eastAsia="zh-CN" w:bidi="ar-SA"/>
              </w:rPr>
              <w:t>免费质保期</w:t>
            </w:r>
          </w:p>
        </w:tc>
        <w:tc>
          <w:tcPr>
            <w:tcW w:w="3610" w:type="pct"/>
            <w:vAlign w:val="center"/>
          </w:tcPr>
          <w:p w14:paraId="52B9D62A">
            <w:pPr>
              <w:widowControl w:val="0"/>
              <w:spacing w:before="0" w:beforeAutospacing="0" w:after="0" w:afterAutospacing="0" w:line="360" w:lineRule="auto"/>
              <w:jc w:val="both"/>
              <w:rPr>
                <w:rFonts w:hint="default" w:ascii="Times New Roman" w:hAnsi="Times New Roman" w:eastAsia="宋体" w:cs="Times New Roman"/>
                <w:b w:val="0"/>
                <w:bCs/>
                <w:color w:val="auto"/>
                <w:kern w:val="0"/>
                <w:sz w:val="24"/>
                <w:szCs w:val="28"/>
                <w:highlight w:val="none"/>
                <w:u w:val="none"/>
                <w:lang w:val="en-US" w:eastAsia="zh-CN" w:bidi="ar-SA"/>
              </w:rPr>
            </w:pPr>
            <w:r>
              <w:rPr>
                <w:rFonts w:hint="default" w:ascii="Times New Roman" w:hAnsi="Times New Roman" w:eastAsia="宋体" w:cs="Times New Roman"/>
                <w:b w:val="0"/>
                <w:bCs/>
                <w:color w:val="auto"/>
                <w:kern w:val="0"/>
                <w:sz w:val="24"/>
                <w:szCs w:val="28"/>
                <w:highlight w:val="none"/>
                <w:u w:val="none"/>
                <w:lang w:val="en-US" w:eastAsia="zh-CN" w:bidi="ar-SA"/>
              </w:rPr>
              <w:t xml:space="preserve">疫苗有效期内。货物需求中另有规定的，免费质保期按货物需求执行。         </w:t>
            </w:r>
          </w:p>
        </w:tc>
      </w:tr>
    </w:tbl>
    <w:p w14:paraId="5CAA3E1C">
      <w:pPr>
        <w:spacing w:line="360" w:lineRule="auto"/>
        <w:ind w:firstLine="437"/>
        <w:outlineLvl w:val="1"/>
        <w:rPr>
          <w:rFonts w:hint="eastAsia" w:ascii="宋体" w:hAnsi="宋体" w:eastAsia="宋体"/>
          <w:b/>
          <w:bCs/>
          <w:color w:val="auto"/>
          <w:sz w:val="24"/>
          <w:szCs w:val="18"/>
          <w:highlight w:val="none"/>
        </w:rPr>
      </w:pPr>
      <w:bookmarkStart w:id="2" w:name="_Toc7671"/>
      <w:bookmarkStart w:id="3" w:name="_Toc5944"/>
    </w:p>
    <w:p w14:paraId="71D60BCC">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2"/>
      <w:bookmarkEnd w:id="3"/>
    </w:p>
    <w:p w14:paraId="0D2E865B">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（一）</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tbl>
      <w:tblPr>
        <w:tblStyle w:val="4"/>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3030"/>
        <w:gridCol w:w="1572"/>
        <w:gridCol w:w="1755"/>
        <w:gridCol w:w="1273"/>
        <w:gridCol w:w="718"/>
      </w:tblGrid>
      <w:tr w14:paraId="71C2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346" w:type="pct"/>
            <w:tcBorders>
              <w:top w:val="single" w:color="auto" w:sz="4" w:space="0"/>
              <w:left w:val="single" w:color="auto" w:sz="4" w:space="0"/>
              <w:bottom w:val="single" w:color="auto" w:sz="4" w:space="0"/>
              <w:right w:val="single" w:color="auto" w:sz="4" w:space="0"/>
            </w:tcBorders>
            <w:vAlign w:val="center"/>
          </w:tcPr>
          <w:p w14:paraId="6E641654">
            <w:pPr>
              <w:adjustRightInd w:val="0"/>
              <w:snapToGrid w:val="0"/>
              <w:spacing w:line="240" w:lineRule="exact"/>
              <w:jc w:val="center"/>
              <w:rPr>
                <w:rFonts w:hint="default" w:ascii="Times New Roman" w:hAnsi="Times New Roman" w:eastAsia="宋体" w:cs="Times New Roman"/>
                <w:b/>
                <w:snapToGrid/>
                <w:color w:val="auto"/>
                <w:sz w:val="22"/>
                <w:szCs w:val="22"/>
                <w:highlight w:val="none"/>
              </w:rPr>
            </w:pPr>
            <w:bookmarkStart w:id="4" w:name="_Toc4843"/>
            <w:bookmarkStart w:id="5" w:name="_Toc7421"/>
            <w:r>
              <w:rPr>
                <w:rFonts w:hint="default" w:ascii="Times New Roman" w:hAnsi="Times New Roman" w:eastAsia="宋体" w:cs="Times New Roman"/>
                <w:b/>
                <w:snapToGrid/>
                <w:color w:val="auto"/>
                <w:sz w:val="22"/>
                <w:szCs w:val="22"/>
                <w:highlight w:val="none"/>
              </w:rPr>
              <w:t>包别</w:t>
            </w:r>
          </w:p>
        </w:tc>
        <w:tc>
          <w:tcPr>
            <w:tcW w:w="1688" w:type="pct"/>
            <w:tcBorders>
              <w:top w:val="single" w:color="auto" w:sz="4" w:space="0"/>
              <w:left w:val="single" w:color="auto" w:sz="4" w:space="0"/>
              <w:bottom w:val="single" w:color="auto" w:sz="4" w:space="0"/>
              <w:right w:val="single" w:color="auto" w:sz="4" w:space="0"/>
            </w:tcBorders>
            <w:vAlign w:val="center"/>
          </w:tcPr>
          <w:p w14:paraId="7A8FFE6A">
            <w:pPr>
              <w:adjustRightInd w:val="0"/>
              <w:snapToGrid w:val="0"/>
              <w:spacing w:line="240" w:lineRule="exact"/>
              <w:jc w:val="center"/>
              <w:rPr>
                <w:rFonts w:hint="default" w:ascii="Times New Roman" w:hAnsi="Times New Roman" w:eastAsia="宋体" w:cs="Times New Roman"/>
                <w:b/>
                <w:snapToGrid/>
                <w:color w:val="auto"/>
                <w:sz w:val="22"/>
                <w:szCs w:val="22"/>
                <w:highlight w:val="none"/>
              </w:rPr>
            </w:pPr>
            <w:r>
              <w:rPr>
                <w:rFonts w:hint="eastAsia" w:ascii="Times New Roman" w:hAnsi="Times New Roman" w:eastAsia="宋体" w:cs="Times New Roman"/>
                <w:b/>
                <w:snapToGrid/>
                <w:color w:val="auto"/>
                <w:sz w:val="22"/>
                <w:szCs w:val="22"/>
                <w:highlight w:val="none"/>
                <w:lang w:val="en-US" w:eastAsia="zh-CN"/>
              </w:rPr>
              <w:t>货物</w:t>
            </w:r>
            <w:r>
              <w:rPr>
                <w:rFonts w:hint="default" w:ascii="Times New Roman" w:hAnsi="Times New Roman" w:eastAsia="宋体" w:cs="Times New Roman"/>
                <w:b/>
                <w:snapToGrid/>
                <w:color w:val="auto"/>
                <w:sz w:val="22"/>
                <w:szCs w:val="22"/>
                <w:highlight w:val="none"/>
              </w:rPr>
              <w:t>名称</w:t>
            </w:r>
          </w:p>
        </w:tc>
        <w:tc>
          <w:tcPr>
            <w:tcW w:w="876" w:type="pct"/>
            <w:tcBorders>
              <w:top w:val="single" w:color="auto" w:sz="4" w:space="0"/>
              <w:left w:val="single" w:color="auto" w:sz="4" w:space="0"/>
              <w:bottom w:val="single" w:color="auto" w:sz="4" w:space="0"/>
              <w:right w:val="single" w:color="auto" w:sz="4" w:space="0"/>
            </w:tcBorders>
            <w:vAlign w:val="center"/>
          </w:tcPr>
          <w:p w14:paraId="27ABC350">
            <w:pPr>
              <w:adjustRightInd w:val="0"/>
              <w:snapToGrid w:val="0"/>
              <w:spacing w:line="240" w:lineRule="exact"/>
              <w:jc w:val="center"/>
              <w:rPr>
                <w:rFonts w:hint="default" w:ascii="Times New Roman" w:hAnsi="Times New Roman" w:eastAsia="宋体" w:cs="Times New Roman"/>
                <w:b/>
                <w:snapToGrid/>
                <w:color w:val="auto"/>
                <w:sz w:val="22"/>
                <w:szCs w:val="22"/>
                <w:highlight w:val="none"/>
              </w:rPr>
            </w:pPr>
            <w:r>
              <w:rPr>
                <w:rFonts w:hint="default" w:ascii="Times New Roman" w:hAnsi="Times New Roman" w:eastAsia="宋体" w:cs="Times New Roman"/>
                <w:b/>
                <w:snapToGrid/>
                <w:color w:val="auto"/>
                <w:sz w:val="22"/>
                <w:szCs w:val="22"/>
                <w:highlight w:val="none"/>
              </w:rPr>
              <w:t>规格</w:t>
            </w:r>
          </w:p>
          <w:p w14:paraId="42E42AED">
            <w:pPr>
              <w:adjustRightInd w:val="0"/>
              <w:snapToGrid w:val="0"/>
              <w:spacing w:line="240" w:lineRule="exact"/>
              <w:jc w:val="center"/>
              <w:rPr>
                <w:rFonts w:hint="default" w:ascii="Times New Roman" w:hAnsi="Times New Roman" w:eastAsia="宋体" w:cs="Times New Roman"/>
                <w:b/>
                <w:snapToGrid/>
                <w:color w:val="auto"/>
                <w:sz w:val="22"/>
                <w:szCs w:val="22"/>
                <w:highlight w:val="none"/>
              </w:rPr>
            </w:pPr>
            <w:r>
              <w:rPr>
                <w:rFonts w:hint="default" w:ascii="Times New Roman" w:hAnsi="Times New Roman" w:eastAsia="宋体" w:cs="Times New Roman"/>
                <w:b/>
                <w:snapToGrid/>
                <w:color w:val="auto"/>
                <w:sz w:val="22"/>
                <w:szCs w:val="22"/>
                <w:highlight w:val="none"/>
              </w:rPr>
              <w:t>（不大于）</w:t>
            </w:r>
          </w:p>
        </w:tc>
        <w:tc>
          <w:tcPr>
            <w:tcW w:w="978" w:type="pct"/>
            <w:tcBorders>
              <w:top w:val="single" w:color="auto" w:sz="4" w:space="0"/>
              <w:left w:val="single" w:color="auto" w:sz="4" w:space="0"/>
              <w:bottom w:val="single" w:color="auto" w:sz="4" w:space="0"/>
              <w:right w:val="single" w:color="auto" w:sz="4" w:space="0"/>
            </w:tcBorders>
            <w:vAlign w:val="center"/>
          </w:tcPr>
          <w:p w14:paraId="0531E3D7">
            <w:pPr>
              <w:adjustRightInd w:val="0"/>
              <w:snapToGrid w:val="0"/>
              <w:spacing w:line="240" w:lineRule="exact"/>
              <w:jc w:val="center"/>
              <w:rPr>
                <w:rFonts w:hint="default" w:ascii="Times New Roman" w:hAnsi="Times New Roman" w:eastAsia="宋体" w:cs="Times New Roman"/>
                <w:b/>
                <w:snapToGrid/>
                <w:color w:val="auto"/>
                <w:sz w:val="22"/>
                <w:szCs w:val="22"/>
                <w:highlight w:val="none"/>
              </w:rPr>
            </w:pPr>
            <w:r>
              <w:rPr>
                <w:rFonts w:hint="default" w:ascii="Times New Roman" w:hAnsi="Times New Roman" w:eastAsia="宋体" w:cs="Times New Roman"/>
                <w:b/>
                <w:snapToGrid/>
                <w:color w:val="auto"/>
                <w:sz w:val="22"/>
                <w:szCs w:val="22"/>
                <w:highlight w:val="none"/>
              </w:rPr>
              <w:t>疫苗送达时距离失效期不少于以下时长</w:t>
            </w:r>
          </w:p>
        </w:tc>
        <w:tc>
          <w:tcPr>
            <w:tcW w:w="709" w:type="pct"/>
            <w:tcBorders>
              <w:top w:val="single" w:color="auto" w:sz="4" w:space="0"/>
              <w:left w:val="single" w:color="auto" w:sz="4" w:space="0"/>
              <w:bottom w:val="single" w:color="auto" w:sz="4" w:space="0"/>
              <w:right w:val="single" w:color="auto" w:sz="4" w:space="0"/>
            </w:tcBorders>
            <w:vAlign w:val="center"/>
          </w:tcPr>
          <w:p w14:paraId="1DD4B430">
            <w:pPr>
              <w:adjustRightInd w:val="0"/>
              <w:snapToGrid w:val="0"/>
              <w:spacing w:line="240" w:lineRule="exact"/>
              <w:jc w:val="center"/>
              <w:rPr>
                <w:rFonts w:hint="default" w:ascii="Times New Roman" w:hAnsi="Times New Roman" w:eastAsia="宋体" w:cs="Times New Roman"/>
                <w:b/>
                <w:snapToGrid/>
                <w:color w:val="auto"/>
                <w:sz w:val="22"/>
                <w:szCs w:val="22"/>
                <w:highlight w:val="none"/>
              </w:rPr>
            </w:pPr>
            <w:r>
              <w:rPr>
                <w:rFonts w:hint="default" w:ascii="Times New Roman" w:hAnsi="Times New Roman" w:eastAsia="宋体" w:cs="Times New Roman"/>
                <w:b/>
                <w:snapToGrid/>
                <w:color w:val="auto"/>
                <w:sz w:val="22"/>
                <w:szCs w:val="22"/>
                <w:highlight w:val="none"/>
              </w:rPr>
              <w:t>采购数量</w:t>
            </w:r>
          </w:p>
        </w:tc>
        <w:tc>
          <w:tcPr>
            <w:tcW w:w="400" w:type="pct"/>
            <w:tcBorders>
              <w:top w:val="single" w:color="auto" w:sz="4" w:space="0"/>
              <w:left w:val="single" w:color="auto" w:sz="4" w:space="0"/>
              <w:bottom w:val="single" w:color="auto" w:sz="4" w:space="0"/>
              <w:right w:val="single" w:color="auto" w:sz="4" w:space="0"/>
            </w:tcBorders>
            <w:vAlign w:val="center"/>
          </w:tcPr>
          <w:p w14:paraId="6F12EC1C">
            <w:pPr>
              <w:adjustRightInd w:val="0"/>
              <w:snapToGrid w:val="0"/>
              <w:spacing w:line="240" w:lineRule="exact"/>
              <w:jc w:val="center"/>
              <w:rPr>
                <w:rFonts w:hint="default" w:ascii="Times New Roman" w:hAnsi="Times New Roman" w:eastAsia="宋体" w:cs="Times New Roman"/>
                <w:b/>
                <w:snapToGrid/>
                <w:color w:val="auto"/>
                <w:sz w:val="22"/>
                <w:szCs w:val="22"/>
                <w:highlight w:val="none"/>
              </w:rPr>
            </w:pPr>
            <w:r>
              <w:rPr>
                <w:rFonts w:hint="default" w:ascii="Times New Roman" w:hAnsi="Times New Roman" w:eastAsia="宋体" w:cs="Times New Roman"/>
                <w:b/>
                <w:snapToGrid/>
                <w:color w:val="auto"/>
                <w:sz w:val="22"/>
                <w:szCs w:val="22"/>
                <w:highlight w:val="none"/>
              </w:rPr>
              <w:t>所属</w:t>
            </w:r>
          </w:p>
          <w:p w14:paraId="5E6AE2A9">
            <w:pPr>
              <w:adjustRightInd w:val="0"/>
              <w:snapToGrid w:val="0"/>
              <w:spacing w:line="240" w:lineRule="exact"/>
              <w:jc w:val="center"/>
              <w:rPr>
                <w:rFonts w:hint="default" w:ascii="Times New Roman" w:hAnsi="Times New Roman" w:eastAsia="宋体" w:cs="Times New Roman"/>
                <w:b/>
                <w:snapToGrid/>
                <w:color w:val="auto"/>
                <w:sz w:val="22"/>
                <w:szCs w:val="22"/>
                <w:highlight w:val="none"/>
              </w:rPr>
            </w:pPr>
            <w:r>
              <w:rPr>
                <w:rFonts w:hint="default" w:ascii="Times New Roman" w:hAnsi="Times New Roman" w:eastAsia="宋体" w:cs="Times New Roman"/>
                <w:b/>
                <w:snapToGrid/>
                <w:color w:val="auto"/>
                <w:sz w:val="22"/>
                <w:szCs w:val="22"/>
                <w:highlight w:val="none"/>
              </w:rPr>
              <w:t>行业</w:t>
            </w:r>
          </w:p>
        </w:tc>
      </w:tr>
      <w:tr w14:paraId="1468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346" w:type="pct"/>
            <w:tcBorders>
              <w:top w:val="single" w:color="auto" w:sz="4" w:space="0"/>
              <w:left w:val="single" w:color="auto" w:sz="4" w:space="0"/>
              <w:bottom w:val="single" w:color="auto" w:sz="4" w:space="0"/>
              <w:right w:val="single" w:color="auto" w:sz="4" w:space="0"/>
            </w:tcBorders>
            <w:vAlign w:val="center"/>
          </w:tcPr>
          <w:p w14:paraId="116B8511">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1</w:t>
            </w:r>
          </w:p>
        </w:tc>
        <w:tc>
          <w:tcPr>
            <w:tcW w:w="1688" w:type="pct"/>
            <w:tcBorders>
              <w:top w:val="single" w:color="auto" w:sz="4" w:space="0"/>
              <w:left w:val="single" w:color="auto" w:sz="4" w:space="0"/>
              <w:bottom w:val="single" w:color="auto" w:sz="4" w:space="0"/>
              <w:right w:val="single" w:color="auto" w:sz="4" w:space="0"/>
            </w:tcBorders>
            <w:vAlign w:val="center"/>
          </w:tcPr>
          <w:p w14:paraId="40135850">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w:t>
            </w:r>
            <w:r>
              <w:rPr>
                <w:rFonts w:hint="default" w:ascii="Times New Roman" w:hAnsi="Times New Roman" w:eastAsia="宋体" w:cs="Times New Roman"/>
                <w:snapToGrid/>
                <w:color w:val="auto"/>
                <w:sz w:val="24"/>
                <w:szCs w:val="24"/>
                <w:highlight w:val="none"/>
                <w:lang w:eastAsia="zh-CN"/>
              </w:rPr>
              <w:t>牛</w:t>
            </w:r>
            <w:r>
              <w:rPr>
                <w:rFonts w:hint="default" w:ascii="Times New Roman" w:hAnsi="Times New Roman" w:eastAsia="宋体" w:cs="Times New Roman"/>
                <w:snapToGrid/>
                <w:color w:val="auto"/>
                <w:sz w:val="24"/>
                <w:szCs w:val="24"/>
                <w:highlight w:val="none"/>
              </w:rPr>
              <w:t>布鲁氏菌病活疫苗（A19株或BA0711株）及免疫注射服务（含稀释液）</w:t>
            </w:r>
          </w:p>
        </w:tc>
        <w:tc>
          <w:tcPr>
            <w:tcW w:w="876" w:type="pct"/>
            <w:tcBorders>
              <w:top w:val="single" w:color="auto" w:sz="4" w:space="0"/>
              <w:left w:val="single" w:color="auto" w:sz="4" w:space="0"/>
              <w:bottom w:val="single" w:color="auto" w:sz="4" w:space="0"/>
              <w:right w:val="single" w:color="auto" w:sz="4" w:space="0"/>
            </w:tcBorders>
            <w:vAlign w:val="center"/>
          </w:tcPr>
          <w:p w14:paraId="39EA7687">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20头份/瓶</w:t>
            </w:r>
          </w:p>
        </w:tc>
        <w:tc>
          <w:tcPr>
            <w:tcW w:w="978" w:type="pct"/>
            <w:tcBorders>
              <w:top w:val="single" w:color="auto" w:sz="4" w:space="0"/>
              <w:left w:val="single" w:color="auto" w:sz="4" w:space="0"/>
              <w:bottom w:val="single" w:color="auto" w:sz="4" w:space="0"/>
              <w:right w:val="single" w:color="auto" w:sz="4" w:space="0"/>
            </w:tcBorders>
            <w:vAlign w:val="center"/>
          </w:tcPr>
          <w:p w14:paraId="688FA7FC">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9个月</w:t>
            </w:r>
          </w:p>
        </w:tc>
        <w:tc>
          <w:tcPr>
            <w:tcW w:w="709" w:type="pct"/>
            <w:tcBorders>
              <w:top w:val="single" w:color="auto" w:sz="4" w:space="0"/>
              <w:left w:val="single" w:color="auto" w:sz="4" w:space="0"/>
              <w:bottom w:val="single" w:color="auto" w:sz="4" w:space="0"/>
              <w:right w:val="single" w:color="auto" w:sz="4" w:space="0"/>
            </w:tcBorders>
            <w:vAlign w:val="center"/>
          </w:tcPr>
          <w:p w14:paraId="73CE6EDE">
            <w:pPr>
              <w:widowControl/>
              <w:spacing w:after="100" w:line="276" w:lineRule="auto"/>
              <w:ind w:left="0" w:leftChars="0" w:firstLine="0" w:firstLineChars="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b w:val="0"/>
                <w:bCs w:val="0"/>
                <w:snapToGrid/>
                <w:color w:val="auto"/>
                <w:kern w:val="2"/>
                <w:sz w:val="24"/>
                <w:szCs w:val="24"/>
                <w:highlight w:val="none"/>
                <w:lang w:val="en" w:eastAsia="zh-CN" w:bidi="ar-SA"/>
              </w:rPr>
              <w:t>23.2475万头份</w:t>
            </w:r>
          </w:p>
        </w:tc>
        <w:tc>
          <w:tcPr>
            <w:tcW w:w="400" w:type="pct"/>
            <w:vMerge w:val="restart"/>
            <w:tcBorders>
              <w:top w:val="single" w:color="auto" w:sz="4" w:space="0"/>
              <w:left w:val="single" w:color="auto" w:sz="4" w:space="0"/>
              <w:right w:val="single" w:color="auto" w:sz="4" w:space="0"/>
            </w:tcBorders>
            <w:vAlign w:val="center"/>
          </w:tcPr>
          <w:p w14:paraId="30783557">
            <w:pPr>
              <w:widowControl/>
              <w:spacing w:after="100" w:line="276" w:lineRule="auto"/>
              <w:ind w:left="0" w:leftChars="0" w:firstLine="0" w:firstLineChars="0"/>
              <w:jc w:val="center"/>
              <w:rPr>
                <w:rFonts w:hint="default" w:ascii="Times New Roman" w:hAnsi="Times New Roman" w:eastAsia="宋体" w:cs="Times New Roman"/>
                <w:b w:val="0"/>
                <w:bCs w:val="0"/>
                <w:snapToGrid/>
                <w:color w:val="auto"/>
                <w:kern w:val="2"/>
                <w:sz w:val="24"/>
                <w:szCs w:val="24"/>
                <w:highlight w:val="none"/>
                <w:lang w:val="en" w:eastAsia="zh-CN" w:bidi="ar-SA"/>
              </w:rPr>
            </w:pPr>
            <w:r>
              <w:rPr>
                <w:rFonts w:hint="default" w:ascii="Times New Roman" w:hAnsi="Times New Roman" w:eastAsia="宋体" w:cs="Times New Roman"/>
                <w:b w:val="0"/>
                <w:bCs w:val="0"/>
                <w:snapToGrid/>
                <w:color w:val="auto"/>
                <w:kern w:val="2"/>
                <w:sz w:val="24"/>
                <w:szCs w:val="24"/>
                <w:highlight w:val="none"/>
                <w:lang w:val="en" w:eastAsia="zh-CN" w:bidi="ar-SA"/>
              </w:rPr>
              <w:t>工业</w:t>
            </w:r>
          </w:p>
        </w:tc>
      </w:tr>
      <w:tr w14:paraId="5AB4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346" w:type="pct"/>
            <w:tcBorders>
              <w:top w:val="single" w:color="auto" w:sz="4" w:space="0"/>
              <w:left w:val="single" w:color="auto" w:sz="4" w:space="0"/>
              <w:bottom w:val="single" w:color="auto" w:sz="4" w:space="0"/>
              <w:right w:val="single" w:color="auto" w:sz="4" w:space="0"/>
            </w:tcBorders>
            <w:vAlign w:val="center"/>
          </w:tcPr>
          <w:p w14:paraId="73793097">
            <w:pPr>
              <w:adjustRightInd w:val="0"/>
              <w:snapToGrid w:val="0"/>
              <w:spacing w:line="360" w:lineRule="auto"/>
              <w:jc w:val="center"/>
              <w:rPr>
                <w:rFonts w:hint="default" w:ascii="Times New Roman" w:hAnsi="Times New Roman" w:eastAsia="宋体" w:cs="Times New Roman"/>
                <w:snapToGrid/>
                <w:color w:val="auto"/>
                <w:sz w:val="24"/>
                <w:szCs w:val="24"/>
                <w:highlight w:val="none"/>
                <w:lang w:val="en-US" w:eastAsia="zh-CN"/>
              </w:rPr>
            </w:pPr>
            <w:r>
              <w:rPr>
                <w:rFonts w:hint="default" w:ascii="Times New Roman" w:hAnsi="Times New Roman" w:eastAsia="宋体" w:cs="Times New Roman"/>
                <w:snapToGrid/>
                <w:color w:val="auto"/>
                <w:sz w:val="24"/>
                <w:szCs w:val="24"/>
                <w:highlight w:val="none"/>
                <w:lang w:val="en-US" w:eastAsia="zh-CN"/>
              </w:rPr>
              <w:t>2</w:t>
            </w:r>
          </w:p>
        </w:tc>
        <w:tc>
          <w:tcPr>
            <w:tcW w:w="1688" w:type="pct"/>
            <w:tcBorders>
              <w:top w:val="single" w:color="auto" w:sz="4" w:space="0"/>
              <w:left w:val="single" w:color="auto" w:sz="4" w:space="0"/>
              <w:bottom w:val="single" w:color="auto" w:sz="4" w:space="0"/>
              <w:right w:val="single" w:color="auto" w:sz="4" w:space="0"/>
            </w:tcBorders>
            <w:vAlign w:val="center"/>
          </w:tcPr>
          <w:p w14:paraId="206125F6">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w:t>
            </w:r>
            <w:r>
              <w:rPr>
                <w:rFonts w:hint="default" w:ascii="Times New Roman" w:hAnsi="Times New Roman" w:eastAsia="宋体" w:cs="Times New Roman"/>
                <w:snapToGrid/>
                <w:color w:val="auto"/>
                <w:sz w:val="24"/>
                <w:szCs w:val="24"/>
                <w:highlight w:val="none"/>
                <w:lang w:eastAsia="zh-CN"/>
              </w:rPr>
              <w:t>牛</w:t>
            </w:r>
            <w:r>
              <w:rPr>
                <w:rFonts w:hint="default" w:ascii="Times New Roman" w:hAnsi="Times New Roman" w:eastAsia="宋体" w:cs="Times New Roman"/>
                <w:snapToGrid/>
                <w:color w:val="auto"/>
                <w:sz w:val="24"/>
                <w:szCs w:val="24"/>
                <w:highlight w:val="none"/>
              </w:rPr>
              <w:t>布鲁氏菌病活疫苗（A19株或BA0711株）及免疫注射服务（含稀释液）</w:t>
            </w:r>
          </w:p>
        </w:tc>
        <w:tc>
          <w:tcPr>
            <w:tcW w:w="876" w:type="pct"/>
            <w:tcBorders>
              <w:top w:val="single" w:color="auto" w:sz="4" w:space="0"/>
              <w:left w:val="single" w:color="auto" w:sz="4" w:space="0"/>
              <w:bottom w:val="single" w:color="auto" w:sz="4" w:space="0"/>
              <w:right w:val="single" w:color="auto" w:sz="4" w:space="0"/>
            </w:tcBorders>
            <w:vAlign w:val="center"/>
          </w:tcPr>
          <w:p w14:paraId="2D235C4B">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20头份/瓶</w:t>
            </w:r>
          </w:p>
        </w:tc>
        <w:tc>
          <w:tcPr>
            <w:tcW w:w="978" w:type="pct"/>
            <w:tcBorders>
              <w:top w:val="single" w:color="auto" w:sz="4" w:space="0"/>
              <w:left w:val="single" w:color="auto" w:sz="4" w:space="0"/>
              <w:bottom w:val="single" w:color="auto" w:sz="4" w:space="0"/>
              <w:right w:val="single" w:color="auto" w:sz="4" w:space="0"/>
            </w:tcBorders>
            <w:vAlign w:val="center"/>
          </w:tcPr>
          <w:p w14:paraId="7620B2A0">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9个月</w:t>
            </w:r>
          </w:p>
        </w:tc>
        <w:tc>
          <w:tcPr>
            <w:tcW w:w="709" w:type="pct"/>
            <w:tcBorders>
              <w:top w:val="single" w:color="auto" w:sz="4" w:space="0"/>
              <w:left w:val="single" w:color="auto" w:sz="4" w:space="0"/>
              <w:bottom w:val="single" w:color="auto" w:sz="4" w:space="0"/>
              <w:right w:val="single" w:color="auto" w:sz="4" w:space="0"/>
            </w:tcBorders>
            <w:vAlign w:val="center"/>
          </w:tcPr>
          <w:p w14:paraId="21C7852D">
            <w:pPr>
              <w:widowControl/>
              <w:spacing w:after="100" w:line="276" w:lineRule="auto"/>
              <w:ind w:left="0" w:leftChars="0" w:firstLine="0" w:firstLineChars="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b w:val="0"/>
                <w:bCs w:val="0"/>
                <w:snapToGrid/>
                <w:color w:val="auto"/>
                <w:kern w:val="2"/>
                <w:sz w:val="24"/>
                <w:szCs w:val="24"/>
                <w:highlight w:val="none"/>
                <w:lang w:val="en" w:eastAsia="zh-CN" w:bidi="ar-SA"/>
              </w:rPr>
              <w:t>14.4202万头份</w:t>
            </w:r>
          </w:p>
        </w:tc>
        <w:tc>
          <w:tcPr>
            <w:tcW w:w="400" w:type="pct"/>
            <w:vMerge w:val="continue"/>
            <w:tcBorders>
              <w:left w:val="single" w:color="auto" w:sz="4" w:space="0"/>
              <w:right w:val="single" w:color="auto" w:sz="4" w:space="0"/>
            </w:tcBorders>
            <w:vAlign w:val="center"/>
          </w:tcPr>
          <w:p w14:paraId="49CC3D4C">
            <w:pPr>
              <w:widowControl/>
              <w:spacing w:after="100" w:line="276" w:lineRule="auto"/>
              <w:ind w:left="0" w:leftChars="0" w:firstLine="0" w:firstLineChars="0"/>
              <w:jc w:val="left"/>
              <w:rPr>
                <w:rFonts w:hint="default" w:ascii="Times New Roman" w:hAnsi="Times New Roman" w:eastAsia="宋体" w:cs="Times New Roman"/>
                <w:b w:val="0"/>
                <w:bCs w:val="0"/>
                <w:snapToGrid/>
                <w:color w:val="auto"/>
                <w:kern w:val="2"/>
                <w:sz w:val="24"/>
                <w:szCs w:val="24"/>
                <w:highlight w:val="none"/>
                <w:lang w:val="en" w:eastAsia="zh-CN" w:bidi="ar-SA"/>
              </w:rPr>
            </w:pPr>
          </w:p>
        </w:tc>
      </w:tr>
      <w:tr w14:paraId="3566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346" w:type="pct"/>
            <w:tcBorders>
              <w:top w:val="single" w:color="auto" w:sz="4" w:space="0"/>
              <w:left w:val="single" w:color="auto" w:sz="4" w:space="0"/>
              <w:bottom w:val="single" w:color="auto" w:sz="4" w:space="0"/>
              <w:right w:val="single" w:color="auto" w:sz="4" w:space="0"/>
            </w:tcBorders>
            <w:vAlign w:val="center"/>
          </w:tcPr>
          <w:p w14:paraId="57F4C747">
            <w:pPr>
              <w:adjustRightInd w:val="0"/>
              <w:snapToGrid w:val="0"/>
              <w:spacing w:line="360" w:lineRule="auto"/>
              <w:jc w:val="center"/>
              <w:rPr>
                <w:rFonts w:hint="default" w:ascii="Times New Roman" w:hAnsi="Times New Roman" w:eastAsia="宋体" w:cs="Times New Roman"/>
                <w:snapToGrid/>
                <w:color w:val="auto"/>
                <w:sz w:val="24"/>
                <w:szCs w:val="24"/>
                <w:highlight w:val="none"/>
                <w:lang w:val="en-US" w:eastAsia="zh-CN"/>
              </w:rPr>
            </w:pPr>
            <w:r>
              <w:rPr>
                <w:rFonts w:hint="default" w:ascii="Times New Roman" w:hAnsi="Times New Roman" w:eastAsia="宋体" w:cs="Times New Roman"/>
                <w:snapToGrid/>
                <w:color w:val="auto"/>
                <w:sz w:val="24"/>
                <w:szCs w:val="24"/>
                <w:highlight w:val="none"/>
                <w:lang w:val="en-US" w:eastAsia="zh-CN"/>
              </w:rPr>
              <w:t>3</w:t>
            </w:r>
          </w:p>
        </w:tc>
        <w:tc>
          <w:tcPr>
            <w:tcW w:w="1688" w:type="pct"/>
            <w:tcBorders>
              <w:top w:val="single" w:color="auto" w:sz="4" w:space="0"/>
              <w:left w:val="single" w:color="auto" w:sz="4" w:space="0"/>
              <w:bottom w:val="single" w:color="auto" w:sz="4" w:space="0"/>
              <w:right w:val="single" w:color="auto" w:sz="4" w:space="0"/>
            </w:tcBorders>
            <w:vAlign w:val="center"/>
          </w:tcPr>
          <w:p w14:paraId="652FA3D9">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w:t>
            </w:r>
            <w:r>
              <w:rPr>
                <w:rFonts w:hint="default" w:ascii="Times New Roman" w:hAnsi="Times New Roman" w:eastAsia="宋体" w:cs="Times New Roman"/>
                <w:snapToGrid/>
                <w:color w:val="auto"/>
                <w:sz w:val="24"/>
                <w:szCs w:val="24"/>
                <w:highlight w:val="none"/>
                <w:lang w:eastAsia="zh-CN"/>
              </w:rPr>
              <w:t>牛</w:t>
            </w:r>
            <w:r>
              <w:rPr>
                <w:rFonts w:hint="default" w:ascii="Times New Roman" w:hAnsi="Times New Roman" w:eastAsia="宋体" w:cs="Times New Roman"/>
                <w:snapToGrid/>
                <w:color w:val="auto"/>
                <w:sz w:val="24"/>
                <w:szCs w:val="24"/>
                <w:highlight w:val="none"/>
              </w:rPr>
              <w:t>布鲁氏菌病活疫苗（A19株或BA0711株）及免疫注射服务（含稀释液）</w:t>
            </w:r>
          </w:p>
        </w:tc>
        <w:tc>
          <w:tcPr>
            <w:tcW w:w="876" w:type="pct"/>
            <w:tcBorders>
              <w:top w:val="single" w:color="auto" w:sz="4" w:space="0"/>
              <w:left w:val="single" w:color="auto" w:sz="4" w:space="0"/>
              <w:bottom w:val="single" w:color="auto" w:sz="4" w:space="0"/>
              <w:right w:val="single" w:color="auto" w:sz="4" w:space="0"/>
            </w:tcBorders>
            <w:vAlign w:val="center"/>
          </w:tcPr>
          <w:p w14:paraId="3BFB8FEE">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20头份/瓶</w:t>
            </w:r>
          </w:p>
        </w:tc>
        <w:tc>
          <w:tcPr>
            <w:tcW w:w="978" w:type="pct"/>
            <w:tcBorders>
              <w:top w:val="single" w:color="auto" w:sz="4" w:space="0"/>
              <w:left w:val="single" w:color="auto" w:sz="4" w:space="0"/>
              <w:bottom w:val="single" w:color="auto" w:sz="4" w:space="0"/>
              <w:right w:val="single" w:color="auto" w:sz="4" w:space="0"/>
            </w:tcBorders>
            <w:vAlign w:val="center"/>
          </w:tcPr>
          <w:p w14:paraId="09022570">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9个月</w:t>
            </w:r>
          </w:p>
        </w:tc>
        <w:tc>
          <w:tcPr>
            <w:tcW w:w="709" w:type="pct"/>
            <w:tcBorders>
              <w:top w:val="single" w:color="auto" w:sz="4" w:space="0"/>
              <w:left w:val="single" w:color="auto" w:sz="4" w:space="0"/>
              <w:bottom w:val="single" w:color="auto" w:sz="4" w:space="0"/>
              <w:right w:val="single" w:color="auto" w:sz="4" w:space="0"/>
            </w:tcBorders>
            <w:vAlign w:val="center"/>
          </w:tcPr>
          <w:p w14:paraId="77CC95D0">
            <w:pPr>
              <w:adjustRightInd w:val="0"/>
              <w:snapToGrid w:val="0"/>
              <w:spacing w:line="360" w:lineRule="auto"/>
              <w:jc w:val="center"/>
              <w:rPr>
                <w:rFonts w:hint="default" w:ascii="Times New Roman" w:hAnsi="Times New Roman" w:eastAsia="宋体" w:cs="Times New Roman"/>
                <w:snapToGrid/>
                <w:color w:val="auto"/>
                <w:kern w:val="0"/>
                <w:sz w:val="24"/>
                <w:szCs w:val="24"/>
                <w:highlight w:val="none"/>
              </w:rPr>
            </w:pPr>
            <w:r>
              <w:rPr>
                <w:rFonts w:hint="default" w:ascii="Times New Roman" w:hAnsi="Times New Roman" w:eastAsia="宋体" w:cs="Times New Roman"/>
                <w:b w:val="0"/>
                <w:bCs w:val="0"/>
                <w:snapToGrid/>
                <w:color w:val="auto"/>
                <w:kern w:val="2"/>
                <w:sz w:val="24"/>
                <w:szCs w:val="24"/>
                <w:highlight w:val="none"/>
                <w:lang w:val="en" w:eastAsia="zh-CN" w:bidi="ar-SA"/>
              </w:rPr>
              <w:t>8.008 万头份</w:t>
            </w:r>
          </w:p>
        </w:tc>
        <w:tc>
          <w:tcPr>
            <w:tcW w:w="400" w:type="pct"/>
            <w:vMerge w:val="continue"/>
            <w:tcBorders>
              <w:left w:val="single" w:color="auto" w:sz="4" w:space="0"/>
              <w:right w:val="single" w:color="auto" w:sz="4" w:space="0"/>
            </w:tcBorders>
            <w:vAlign w:val="center"/>
          </w:tcPr>
          <w:p w14:paraId="48C7CC09">
            <w:pPr>
              <w:adjustRightInd w:val="0"/>
              <w:snapToGrid w:val="0"/>
              <w:spacing w:line="360" w:lineRule="auto"/>
              <w:jc w:val="center"/>
              <w:rPr>
                <w:rFonts w:hint="default" w:ascii="Times New Roman" w:hAnsi="Times New Roman" w:eastAsia="宋体" w:cs="Times New Roman"/>
                <w:b w:val="0"/>
                <w:bCs w:val="0"/>
                <w:snapToGrid/>
                <w:color w:val="auto"/>
                <w:kern w:val="2"/>
                <w:sz w:val="24"/>
                <w:szCs w:val="24"/>
                <w:highlight w:val="none"/>
                <w:lang w:val="en" w:eastAsia="zh-CN" w:bidi="ar-SA"/>
              </w:rPr>
            </w:pPr>
          </w:p>
        </w:tc>
      </w:tr>
      <w:tr w14:paraId="2FF0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346" w:type="pct"/>
            <w:tcBorders>
              <w:top w:val="single" w:color="auto" w:sz="4" w:space="0"/>
              <w:left w:val="single" w:color="auto" w:sz="4" w:space="0"/>
              <w:bottom w:val="single" w:color="auto" w:sz="4" w:space="0"/>
              <w:right w:val="single" w:color="auto" w:sz="4" w:space="0"/>
            </w:tcBorders>
            <w:vAlign w:val="center"/>
          </w:tcPr>
          <w:p w14:paraId="7028961B">
            <w:pPr>
              <w:adjustRightInd w:val="0"/>
              <w:snapToGrid w:val="0"/>
              <w:spacing w:line="360" w:lineRule="auto"/>
              <w:jc w:val="center"/>
              <w:rPr>
                <w:rFonts w:hint="default" w:ascii="Times New Roman" w:hAnsi="Times New Roman" w:eastAsia="宋体" w:cs="Times New Roman"/>
                <w:snapToGrid/>
                <w:color w:val="auto"/>
                <w:sz w:val="24"/>
                <w:szCs w:val="24"/>
                <w:highlight w:val="none"/>
                <w:lang w:eastAsia="zh-CN"/>
              </w:rPr>
            </w:pPr>
            <w:r>
              <w:rPr>
                <w:rFonts w:hint="default" w:ascii="Times New Roman" w:hAnsi="Times New Roman" w:eastAsia="宋体" w:cs="Times New Roman"/>
                <w:snapToGrid/>
                <w:color w:val="auto"/>
                <w:sz w:val="24"/>
                <w:szCs w:val="24"/>
                <w:highlight w:val="none"/>
                <w:lang w:val="en-US" w:eastAsia="zh-CN"/>
              </w:rPr>
              <w:t>4</w:t>
            </w:r>
          </w:p>
        </w:tc>
        <w:tc>
          <w:tcPr>
            <w:tcW w:w="1688" w:type="pct"/>
            <w:tcBorders>
              <w:top w:val="single" w:color="auto" w:sz="4" w:space="0"/>
              <w:left w:val="single" w:color="auto" w:sz="4" w:space="0"/>
              <w:bottom w:val="single" w:color="auto" w:sz="4" w:space="0"/>
              <w:right w:val="single" w:color="auto" w:sz="4" w:space="0"/>
            </w:tcBorders>
            <w:vAlign w:val="center"/>
          </w:tcPr>
          <w:p w14:paraId="11A11A82">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w:t>
            </w:r>
            <w:r>
              <w:rPr>
                <w:rFonts w:hint="default" w:ascii="Times New Roman" w:hAnsi="Times New Roman" w:eastAsia="宋体" w:cs="Times New Roman"/>
                <w:snapToGrid/>
                <w:color w:val="auto"/>
                <w:sz w:val="24"/>
                <w:szCs w:val="24"/>
                <w:highlight w:val="none"/>
                <w:lang w:eastAsia="zh-CN"/>
              </w:rPr>
              <w:t>羊</w:t>
            </w:r>
            <w:r>
              <w:rPr>
                <w:rFonts w:hint="default" w:ascii="Times New Roman" w:hAnsi="Times New Roman" w:eastAsia="宋体" w:cs="Times New Roman"/>
                <w:snapToGrid/>
                <w:color w:val="auto"/>
                <w:sz w:val="24"/>
                <w:szCs w:val="24"/>
                <w:highlight w:val="none"/>
              </w:rPr>
              <w:t>布鲁氏菌活疫苗或基因缺失活疫苗（BA0711株或M5-90Δ26株）及免疫注射服务（含稀释液）</w:t>
            </w:r>
          </w:p>
        </w:tc>
        <w:tc>
          <w:tcPr>
            <w:tcW w:w="876" w:type="pct"/>
            <w:tcBorders>
              <w:top w:val="single" w:color="auto" w:sz="4" w:space="0"/>
              <w:left w:val="single" w:color="auto" w:sz="4" w:space="0"/>
              <w:bottom w:val="single" w:color="auto" w:sz="4" w:space="0"/>
              <w:right w:val="single" w:color="auto" w:sz="4" w:space="0"/>
            </w:tcBorders>
            <w:vAlign w:val="center"/>
          </w:tcPr>
          <w:p w14:paraId="4921F1F6">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100头份/瓶</w:t>
            </w:r>
          </w:p>
        </w:tc>
        <w:tc>
          <w:tcPr>
            <w:tcW w:w="978" w:type="pct"/>
            <w:tcBorders>
              <w:top w:val="single" w:color="auto" w:sz="4" w:space="0"/>
              <w:left w:val="single" w:color="auto" w:sz="4" w:space="0"/>
              <w:bottom w:val="single" w:color="auto" w:sz="4" w:space="0"/>
              <w:right w:val="single" w:color="auto" w:sz="4" w:space="0"/>
            </w:tcBorders>
            <w:vAlign w:val="center"/>
          </w:tcPr>
          <w:p w14:paraId="67401F96">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9个月</w:t>
            </w:r>
          </w:p>
        </w:tc>
        <w:tc>
          <w:tcPr>
            <w:tcW w:w="709" w:type="pct"/>
            <w:tcBorders>
              <w:top w:val="single" w:color="auto" w:sz="4" w:space="0"/>
              <w:left w:val="single" w:color="auto" w:sz="4" w:space="0"/>
              <w:bottom w:val="single" w:color="auto" w:sz="4" w:space="0"/>
              <w:right w:val="single" w:color="auto" w:sz="4" w:space="0"/>
            </w:tcBorders>
            <w:vAlign w:val="center"/>
          </w:tcPr>
          <w:p w14:paraId="0FA06E3A">
            <w:pPr>
              <w:adjustRightInd w:val="0"/>
              <w:snapToGrid w:val="0"/>
              <w:spacing w:line="360" w:lineRule="auto"/>
              <w:jc w:val="left"/>
              <w:rPr>
                <w:rFonts w:hint="default" w:ascii="Times New Roman" w:hAnsi="Times New Roman" w:eastAsia="宋体" w:cs="Times New Roman"/>
                <w:snapToGrid/>
                <w:color w:val="auto"/>
                <w:kern w:val="0"/>
                <w:sz w:val="24"/>
                <w:szCs w:val="24"/>
                <w:highlight w:val="none"/>
              </w:rPr>
            </w:pPr>
            <w:r>
              <w:rPr>
                <w:rFonts w:hint="default" w:ascii="Times New Roman" w:hAnsi="Times New Roman" w:eastAsia="宋体" w:cs="Times New Roman"/>
                <w:snapToGrid/>
                <w:color w:val="auto"/>
                <w:kern w:val="0"/>
                <w:sz w:val="24"/>
                <w:szCs w:val="24"/>
                <w:highlight w:val="none"/>
                <w:lang w:val="en"/>
              </w:rPr>
              <w:t>91.9287</w:t>
            </w:r>
            <w:r>
              <w:rPr>
                <w:rFonts w:hint="default" w:ascii="Times New Roman" w:hAnsi="Times New Roman" w:eastAsia="宋体" w:cs="Times New Roman"/>
                <w:snapToGrid/>
                <w:color w:val="auto"/>
                <w:kern w:val="0"/>
                <w:sz w:val="24"/>
                <w:szCs w:val="24"/>
                <w:highlight w:val="none"/>
              </w:rPr>
              <w:t>万头份</w:t>
            </w:r>
          </w:p>
        </w:tc>
        <w:tc>
          <w:tcPr>
            <w:tcW w:w="400" w:type="pct"/>
            <w:vMerge w:val="continue"/>
            <w:tcBorders>
              <w:left w:val="single" w:color="auto" w:sz="4" w:space="0"/>
              <w:right w:val="single" w:color="auto" w:sz="4" w:space="0"/>
            </w:tcBorders>
            <w:vAlign w:val="center"/>
          </w:tcPr>
          <w:p w14:paraId="02CDE207">
            <w:pPr>
              <w:adjustRightInd w:val="0"/>
              <w:snapToGrid w:val="0"/>
              <w:spacing w:line="360" w:lineRule="auto"/>
              <w:jc w:val="left"/>
              <w:rPr>
                <w:rFonts w:hint="default" w:ascii="Times New Roman" w:hAnsi="Times New Roman" w:eastAsia="宋体" w:cs="Times New Roman"/>
                <w:snapToGrid/>
                <w:color w:val="auto"/>
                <w:kern w:val="0"/>
                <w:sz w:val="24"/>
                <w:szCs w:val="24"/>
                <w:highlight w:val="none"/>
                <w:lang w:val="en"/>
              </w:rPr>
            </w:pPr>
          </w:p>
        </w:tc>
      </w:tr>
      <w:tr w14:paraId="474C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346" w:type="pct"/>
            <w:tcBorders>
              <w:top w:val="single" w:color="auto" w:sz="4" w:space="0"/>
              <w:left w:val="single" w:color="auto" w:sz="4" w:space="0"/>
              <w:bottom w:val="single" w:color="auto" w:sz="4" w:space="0"/>
              <w:right w:val="single" w:color="auto" w:sz="4" w:space="0"/>
            </w:tcBorders>
            <w:vAlign w:val="center"/>
          </w:tcPr>
          <w:p w14:paraId="01334FAC">
            <w:pPr>
              <w:adjustRightInd w:val="0"/>
              <w:snapToGrid w:val="0"/>
              <w:spacing w:line="360" w:lineRule="auto"/>
              <w:jc w:val="center"/>
              <w:rPr>
                <w:rFonts w:hint="default" w:ascii="Times New Roman" w:hAnsi="Times New Roman" w:eastAsia="宋体" w:cs="Times New Roman"/>
                <w:snapToGrid/>
                <w:color w:val="auto"/>
                <w:sz w:val="24"/>
                <w:szCs w:val="24"/>
                <w:highlight w:val="none"/>
                <w:lang w:val="en-US" w:eastAsia="zh-CN"/>
              </w:rPr>
            </w:pPr>
            <w:r>
              <w:rPr>
                <w:rFonts w:hint="default" w:ascii="Times New Roman" w:hAnsi="Times New Roman" w:eastAsia="宋体" w:cs="Times New Roman"/>
                <w:snapToGrid/>
                <w:color w:val="auto"/>
                <w:sz w:val="24"/>
                <w:szCs w:val="24"/>
                <w:highlight w:val="none"/>
                <w:lang w:val="en-US" w:eastAsia="zh-CN"/>
              </w:rPr>
              <w:t>5</w:t>
            </w:r>
          </w:p>
        </w:tc>
        <w:tc>
          <w:tcPr>
            <w:tcW w:w="1688" w:type="pct"/>
            <w:tcBorders>
              <w:top w:val="single" w:color="auto" w:sz="4" w:space="0"/>
              <w:left w:val="single" w:color="auto" w:sz="4" w:space="0"/>
              <w:bottom w:val="single" w:color="auto" w:sz="4" w:space="0"/>
              <w:right w:val="single" w:color="auto" w:sz="4" w:space="0"/>
            </w:tcBorders>
            <w:vAlign w:val="center"/>
          </w:tcPr>
          <w:p w14:paraId="6AE7D840">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w:t>
            </w:r>
            <w:r>
              <w:rPr>
                <w:rFonts w:hint="default" w:ascii="Times New Roman" w:hAnsi="Times New Roman" w:eastAsia="宋体" w:cs="Times New Roman"/>
                <w:snapToGrid/>
                <w:color w:val="auto"/>
                <w:sz w:val="24"/>
                <w:szCs w:val="24"/>
                <w:highlight w:val="none"/>
                <w:lang w:eastAsia="zh-CN"/>
              </w:rPr>
              <w:t>羊</w:t>
            </w:r>
            <w:r>
              <w:rPr>
                <w:rFonts w:hint="default" w:ascii="Times New Roman" w:hAnsi="Times New Roman" w:eastAsia="宋体" w:cs="Times New Roman"/>
                <w:snapToGrid/>
                <w:color w:val="auto"/>
                <w:sz w:val="24"/>
                <w:szCs w:val="24"/>
                <w:highlight w:val="none"/>
              </w:rPr>
              <w:t>布鲁氏菌活疫苗或基因缺失活疫苗（BA0711株或M5-90Δ26株）及免疫注射服务（含稀释液）</w:t>
            </w:r>
          </w:p>
        </w:tc>
        <w:tc>
          <w:tcPr>
            <w:tcW w:w="876" w:type="pct"/>
            <w:tcBorders>
              <w:top w:val="single" w:color="auto" w:sz="4" w:space="0"/>
              <w:left w:val="single" w:color="auto" w:sz="4" w:space="0"/>
              <w:bottom w:val="single" w:color="auto" w:sz="4" w:space="0"/>
              <w:right w:val="single" w:color="auto" w:sz="4" w:space="0"/>
            </w:tcBorders>
            <w:vAlign w:val="center"/>
          </w:tcPr>
          <w:p w14:paraId="699E56A4">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100头份/瓶</w:t>
            </w:r>
          </w:p>
        </w:tc>
        <w:tc>
          <w:tcPr>
            <w:tcW w:w="978" w:type="pct"/>
            <w:tcBorders>
              <w:top w:val="single" w:color="auto" w:sz="4" w:space="0"/>
              <w:left w:val="single" w:color="auto" w:sz="4" w:space="0"/>
              <w:bottom w:val="single" w:color="auto" w:sz="4" w:space="0"/>
              <w:right w:val="single" w:color="auto" w:sz="4" w:space="0"/>
            </w:tcBorders>
            <w:vAlign w:val="center"/>
          </w:tcPr>
          <w:p w14:paraId="47A2A490">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9个月</w:t>
            </w:r>
          </w:p>
        </w:tc>
        <w:tc>
          <w:tcPr>
            <w:tcW w:w="709" w:type="pct"/>
            <w:tcBorders>
              <w:top w:val="single" w:color="auto" w:sz="4" w:space="0"/>
              <w:left w:val="single" w:color="auto" w:sz="4" w:space="0"/>
              <w:bottom w:val="single" w:color="auto" w:sz="4" w:space="0"/>
              <w:right w:val="single" w:color="auto" w:sz="4" w:space="0"/>
            </w:tcBorders>
            <w:vAlign w:val="center"/>
          </w:tcPr>
          <w:p w14:paraId="55954993">
            <w:pPr>
              <w:adjustRightInd w:val="0"/>
              <w:snapToGrid w:val="0"/>
              <w:spacing w:line="360" w:lineRule="auto"/>
              <w:jc w:val="left"/>
              <w:rPr>
                <w:rFonts w:hint="default" w:ascii="Times New Roman" w:hAnsi="Times New Roman" w:eastAsia="宋体" w:cs="Times New Roman"/>
                <w:snapToGrid/>
                <w:color w:val="auto"/>
                <w:kern w:val="0"/>
                <w:sz w:val="24"/>
                <w:szCs w:val="24"/>
                <w:highlight w:val="none"/>
                <w:lang w:val="en"/>
              </w:rPr>
            </w:pPr>
            <w:r>
              <w:rPr>
                <w:rFonts w:hint="default" w:ascii="Times New Roman" w:hAnsi="Times New Roman" w:eastAsia="宋体" w:cs="Times New Roman"/>
                <w:snapToGrid/>
                <w:color w:val="auto"/>
                <w:kern w:val="0"/>
                <w:sz w:val="24"/>
                <w:szCs w:val="24"/>
                <w:highlight w:val="none"/>
                <w:lang w:val="en"/>
              </w:rPr>
              <w:t>71.11万头份</w:t>
            </w:r>
          </w:p>
        </w:tc>
        <w:tc>
          <w:tcPr>
            <w:tcW w:w="400" w:type="pct"/>
            <w:vMerge w:val="continue"/>
            <w:tcBorders>
              <w:left w:val="single" w:color="auto" w:sz="4" w:space="0"/>
              <w:right w:val="single" w:color="auto" w:sz="4" w:space="0"/>
            </w:tcBorders>
            <w:vAlign w:val="center"/>
          </w:tcPr>
          <w:p w14:paraId="73BDF944">
            <w:pPr>
              <w:adjustRightInd w:val="0"/>
              <w:snapToGrid w:val="0"/>
              <w:spacing w:line="360" w:lineRule="auto"/>
              <w:jc w:val="left"/>
              <w:rPr>
                <w:rFonts w:hint="default" w:ascii="Times New Roman" w:hAnsi="Times New Roman" w:eastAsia="宋体" w:cs="Times New Roman"/>
                <w:snapToGrid/>
                <w:color w:val="auto"/>
                <w:kern w:val="0"/>
                <w:sz w:val="24"/>
                <w:szCs w:val="24"/>
                <w:highlight w:val="none"/>
                <w:lang w:val="en"/>
              </w:rPr>
            </w:pPr>
          </w:p>
        </w:tc>
      </w:tr>
      <w:tr w14:paraId="76EF9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46" w:type="pct"/>
            <w:tcBorders>
              <w:top w:val="single" w:color="auto" w:sz="4" w:space="0"/>
              <w:left w:val="single" w:color="auto" w:sz="4" w:space="0"/>
              <w:bottom w:val="single" w:color="auto" w:sz="4" w:space="0"/>
              <w:right w:val="single" w:color="auto" w:sz="4" w:space="0"/>
            </w:tcBorders>
            <w:vAlign w:val="center"/>
          </w:tcPr>
          <w:p w14:paraId="4F27904D">
            <w:pPr>
              <w:adjustRightInd w:val="0"/>
              <w:snapToGrid w:val="0"/>
              <w:spacing w:line="360" w:lineRule="auto"/>
              <w:jc w:val="center"/>
              <w:rPr>
                <w:rFonts w:hint="default" w:ascii="Times New Roman" w:hAnsi="Times New Roman" w:eastAsia="宋体" w:cs="Times New Roman"/>
                <w:snapToGrid/>
                <w:color w:val="auto"/>
                <w:sz w:val="24"/>
                <w:szCs w:val="24"/>
                <w:highlight w:val="none"/>
                <w:lang w:val="en-US" w:eastAsia="zh-CN"/>
              </w:rPr>
            </w:pPr>
            <w:r>
              <w:rPr>
                <w:rFonts w:hint="default" w:ascii="Times New Roman" w:hAnsi="Times New Roman" w:eastAsia="宋体" w:cs="Times New Roman"/>
                <w:snapToGrid/>
                <w:color w:val="auto"/>
                <w:sz w:val="24"/>
                <w:szCs w:val="24"/>
                <w:highlight w:val="none"/>
                <w:lang w:val="en-US" w:eastAsia="zh-CN"/>
              </w:rPr>
              <w:t>6</w:t>
            </w:r>
          </w:p>
        </w:tc>
        <w:tc>
          <w:tcPr>
            <w:tcW w:w="1688" w:type="pct"/>
            <w:tcBorders>
              <w:top w:val="single" w:color="auto" w:sz="4" w:space="0"/>
              <w:left w:val="single" w:color="auto" w:sz="4" w:space="0"/>
              <w:bottom w:val="single" w:color="auto" w:sz="4" w:space="0"/>
              <w:right w:val="single" w:color="auto" w:sz="4" w:space="0"/>
            </w:tcBorders>
            <w:vAlign w:val="center"/>
          </w:tcPr>
          <w:p w14:paraId="7A95AF68">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w:t>
            </w:r>
            <w:r>
              <w:rPr>
                <w:rFonts w:hint="default" w:ascii="Times New Roman" w:hAnsi="Times New Roman" w:eastAsia="宋体" w:cs="Times New Roman"/>
                <w:snapToGrid/>
                <w:color w:val="auto"/>
                <w:sz w:val="24"/>
                <w:szCs w:val="24"/>
                <w:highlight w:val="none"/>
                <w:lang w:eastAsia="zh-CN"/>
              </w:rPr>
              <w:t>羊</w:t>
            </w:r>
            <w:r>
              <w:rPr>
                <w:rFonts w:hint="default" w:ascii="Times New Roman" w:hAnsi="Times New Roman" w:eastAsia="宋体" w:cs="Times New Roman"/>
                <w:snapToGrid/>
                <w:color w:val="auto"/>
                <w:sz w:val="24"/>
                <w:szCs w:val="24"/>
                <w:highlight w:val="none"/>
              </w:rPr>
              <w:t>布鲁氏菌活疫苗或基因缺失活疫苗（BA0711株或M5-90Δ26株）及免疫注射服务（含稀释液）</w:t>
            </w:r>
          </w:p>
        </w:tc>
        <w:tc>
          <w:tcPr>
            <w:tcW w:w="876" w:type="pct"/>
            <w:tcBorders>
              <w:top w:val="single" w:color="auto" w:sz="4" w:space="0"/>
              <w:left w:val="single" w:color="auto" w:sz="4" w:space="0"/>
              <w:bottom w:val="single" w:color="auto" w:sz="4" w:space="0"/>
              <w:right w:val="single" w:color="auto" w:sz="4" w:space="0"/>
            </w:tcBorders>
            <w:vAlign w:val="center"/>
          </w:tcPr>
          <w:p w14:paraId="7AB4AF82">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100头份/瓶</w:t>
            </w:r>
          </w:p>
        </w:tc>
        <w:tc>
          <w:tcPr>
            <w:tcW w:w="978" w:type="pct"/>
            <w:tcBorders>
              <w:top w:val="single" w:color="auto" w:sz="4" w:space="0"/>
              <w:left w:val="single" w:color="auto" w:sz="4" w:space="0"/>
              <w:bottom w:val="single" w:color="auto" w:sz="4" w:space="0"/>
              <w:right w:val="single" w:color="auto" w:sz="4" w:space="0"/>
            </w:tcBorders>
            <w:vAlign w:val="center"/>
          </w:tcPr>
          <w:p w14:paraId="79D63BEB">
            <w:pPr>
              <w:adjustRightInd w:val="0"/>
              <w:snapToGrid w:val="0"/>
              <w:spacing w:line="360" w:lineRule="auto"/>
              <w:jc w:val="center"/>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9个月</w:t>
            </w:r>
          </w:p>
        </w:tc>
        <w:tc>
          <w:tcPr>
            <w:tcW w:w="709" w:type="pct"/>
            <w:tcBorders>
              <w:top w:val="single" w:color="auto" w:sz="4" w:space="0"/>
              <w:left w:val="single" w:color="auto" w:sz="4" w:space="0"/>
              <w:bottom w:val="single" w:color="auto" w:sz="4" w:space="0"/>
              <w:right w:val="single" w:color="auto" w:sz="4" w:space="0"/>
            </w:tcBorders>
            <w:vAlign w:val="center"/>
          </w:tcPr>
          <w:p w14:paraId="01E88D9F">
            <w:pPr>
              <w:adjustRightInd w:val="0"/>
              <w:snapToGrid w:val="0"/>
              <w:spacing w:line="360" w:lineRule="auto"/>
              <w:jc w:val="left"/>
              <w:rPr>
                <w:rFonts w:hint="default" w:ascii="Times New Roman" w:hAnsi="Times New Roman" w:eastAsia="宋体" w:cs="Times New Roman"/>
                <w:snapToGrid/>
                <w:color w:val="auto"/>
                <w:kern w:val="0"/>
                <w:sz w:val="24"/>
                <w:szCs w:val="24"/>
                <w:highlight w:val="none"/>
                <w:lang w:val="en"/>
              </w:rPr>
            </w:pPr>
            <w:r>
              <w:rPr>
                <w:rFonts w:hint="default" w:ascii="Times New Roman" w:hAnsi="Times New Roman" w:eastAsia="宋体" w:cs="Times New Roman"/>
                <w:snapToGrid/>
                <w:color w:val="auto"/>
                <w:kern w:val="0"/>
                <w:sz w:val="24"/>
                <w:szCs w:val="24"/>
                <w:highlight w:val="none"/>
                <w:lang w:val="en"/>
              </w:rPr>
              <w:t>48.4445万头份</w:t>
            </w:r>
          </w:p>
        </w:tc>
        <w:tc>
          <w:tcPr>
            <w:tcW w:w="400" w:type="pct"/>
            <w:vMerge w:val="continue"/>
            <w:tcBorders>
              <w:left w:val="single" w:color="auto" w:sz="4" w:space="0"/>
              <w:bottom w:val="single" w:color="auto" w:sz="4" w:space="0"/>
              <w:right w:val="single" w:color="auto" w:sz="4" w:space="0"/>
            </w:tcBorders>
            <w:vAlign w:val="center"/>
          </w:tcPr>
          <w:p w14:paraId="22E132D3">
            <w:pPr>
              <w:adjustRightInd w:val="0"/>
              <w:snapToGrid w:val="0"/>
              <w:spacing w:line="360" w:lineRule="auto"/>
              <w:jc w:val="left"/>
              <w:rPr>
                <w:rFonts w:hint="default" w:ascii="Times New Roman" w:hAnsi="Times New Roman" w:eastAsia="宋体" w:cs="Times New Roman"/>
                <w:snapToGrid/>
                <w:color w:val="auto"/>
                <w:kern w:val="0"/>
                <w:sz w:val="24"/>
                <w:szCs w:val="24"/>
                <w:highlight w:val="none"/>
                <w:lang w:val="en"/>
              </w:rPr>
            </w:pPr>
          </w:p>
        </w:tc>
      </w:tr>
    </w:tbl>
    <w:p w14:paraId="270C77BA">
      <w:pPr>
        <w:keepNext w:val="0"/>
        <w:keepLines w:val="0"/>
        <w:pageBreakBefore w:val="0"/>
        <w:widowControl w:val="0"/>
        <w:kinsoku/>
        <w:wordWrap/>
        <w:overflowPunct/>
        <w:topLinePunct w:val="0"/>
        <w:autoSpaceDE/>
        <w:autoSpaceDN/>
        <w:bidi w:val="0"/>
        <w:adjustRightInd/>
        <w:snapToGrid/>
        <w:spacing w:line="300" w:lineRule="auto"/>
        <w:ind w:firstLine="437"/>
        <w:textAlignment w:val="auto"/>
        <w:outlineLvl w:val="1"/>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注：</w:t>
      </w:r>
    </w:p>
    <w:p w14:paraId="061D4B82">
      <w:pPr>
        <w:keepNext w:val="0"/>
        <w:keepLines w:val="0"/>
        <w:pageBreakBefore w:val="0"/>
        <w:widowControl w:val="0"/>
        <w:kinsoku/>
        <w:wordWrap/>
        <w:overflowPunct/>
        <w:topLinePunct w:val="0"/>
        <w:autoSpaceDE/>
        <w:autoSpaceDN/>
        <w:bidi w:val="0"/>
        <w:adjustRightInd/>
        <w:snapToGrid/>
        <w:spacing w:line="300" w:lineRule="auto"/>
        <w:ind w:firstLine="437"/>
        <w:textAlignment w:val="auto"/>
        <w:outlineLvl w:val="1"/>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1.根据需求和尽量减少浪费等原则，采购人在调拨疫苗时，可要求中标人提供发货数量不超过20%的最小包装（按瓶包装计）规格的产品。</w:t>
      </w:r>
    </w:p>
    <w:p w14:paraId="4E254068">
      <w:pPr>
        <w:keepNext w:val="0"/>
        <w:keepLines w:val="0"/>
        <w:pageBreakBefore w:val="0"/>
        <w:widowControl w:val="0"/>
        <w:kinsoku/>
        <w:wordWrap/>
        <w:overflowPunct/>
        <w:topLinePunct w:val="0"/>
        <w:autoSpaceDE/>
        <w:autoSpaceDN/>
        <w:bidi w:val="0"/>
        <w:adjustRightInd/>
        <w:snapToGrid/>
        <w:spacing w:line="300" w:lineRule="auto"/>
        <w:ind w:firstLine="437"/>
        <w:textAlignment w:val="auto"/>
        <w:outlineLvl w:val="1"/>
        <w:rPr>
          <w:rFonts w:hint="eastAsia" w:ascii="宋体" w:hAnsi="宋体" w:eastAsia="宋体" w:cs="@仿宋_GB2312"/>
          <w:b/>
          <w:bCs/>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2.所投产品具有有效的兽药产品批准文号批件</w:t>
      </w:r>
      <w:r>
        <w:rPr>
          <w:rFonts w:hint="eastAsia" w:ascii="宋体" w:hAnsi="宋体" w:eastAsia="宋体" w:cs="@仿宋_GB2312"/>
          <w:b/>
          <w:bCs/>
          <w:color w:val="auto"/>
          <w:kern w:val="2"/>
          <w:sz w:val="24"/>
          <w:szCs w:val="18"/>
          <w:highlight w:val="none"/>
          <w:lang w:val="en-US" w:eastAsia="zh-CN" w:bidi="ar-SA"/>
        </w:rPr>
        <w:t>（投标文件中提供所投产品的兽药产品批准文号批件扫描件）。</w:t>
      </w:r>
    </w:p>
    <w:p w14:paraId="642D204E">
      <w:pPr>
        <w:keepNext w:val="0"/>
        <w:keepLines w:val="0"/>
        <w:pageBreakBefore w:val="0"/>
        <w:widowControl w:val="0"/>
        <w:kinsoku/>
        <w:wordWrap/>
        <w:overflowPunct/>
        <w:topLinePunct w:val="0"/>
        <w:autoSpaceDE/>
        <w:autoSpaceDN/>
        <w:bidi w:val="0"/>
        <w:adjustRightInd/>
        <w:snapToGrid/>
        <w:spacing w:line="300" w:lineRule="auto"/>
        <w:ind w:firstLine="437"/>
        <w:textAlignment w:val="auto"/>
        <w:outlineLvl w:val="1"/>
        <w:rPr>
          <w:rFonts w:hint="default" w:ascii="Times New Roman" w:hAnsi="Times New Roman" w:eastAsia="宋体" w:cs="Times New Roman"/>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3.疫苗使用说明书适用范围符合招标文件要求</w:t>
      </w:r>
      <w:r>
        <w:rPr>
          <w:rFonts w:hint="eastAsia" w:ascii="宋体" w:hAnsi="宋体" w:eastAsia="宋体" w:cs="@仿宋_GB2312"/>
          <w:b/>
          <w:bCs/>
          <w:color w:val="auto"/>
          <w:kern w:val="2"/>
          <w:sz w:val="24"/>
          <w:szCs w:val="18"/>
          <w:highlight w:val="none"/>
          <w:lang w:val="en-US" w:eastAsia="zh-CN" w:bidi="ar-SA"/>
        </w:rPr>
        <w:t>（投标文件中提供所投产品的使用说</w:t>
      </w:r>
      <w:r>
        <w:rPr>
          <w:rFonts w:hint="default" w:ascii="Times New Roman" w:hAnsi="Times New Roman" w:eastAsia="宋体" w:cs="Times New Roman"/>
          <w:b/>
          <w:bCs/>
          <w:color w:val="auto"/>
          <w:kern w:val="2"/>
          <w:sz w:val="24"/>
          <w:szCs w:val="18"/>
          <w:highlight w:val="none"/>
          <w:lang w:val="en-US" w:eastAsia="zh-CN" w:bidi="ar-SA"/>
        </w:rPr>
        <w:t>明书扫描件，并体现疫苗使用范围）</w:t>
      </w:r>
      <w:r>
        <w:rPr>
          <w:rFonts w:hint="default" w:ascii="Times New Roman" w:hAnsi="Times New Roman" w:eastAsia="宋体" w:cs="Times New Roman"/>
          <w:b w:val="0"/>
          <w:bCs w:val="0"/>
          <w:color w:val="auto"/>
          <w:kern w:val="2"/>
          <w:sz w:val="24"/>
          <w:szCs w:val="18"/>
          <w:highlight w:val="none"/>
          <w:lang w:val="en-US" w:eastAsia="zh-CN" w:bidi="ar-SA"/>
        </w:rPr>
        <w:t>。</w:t>
      </w:r>
    </w:p>
    <w:p w14:paraId="7A9DE3B4">
      <w:pPr>
        <w:keepNext w:val="0"/>
        <w:keepLines w:val="0"/>
        <w:pageBreakBefore w:val="0"/>
        <w:widowControl/>
        <w:numPr>
          <w:ilvl w:val="0"/>
          <w:numId w:val="0"/>
        </w:numPr>
        <w:kinsoku/>
        <w:wordWrap/>
        <w:overflowPunct/>
        <w:topLinePunct w:val="0"/>
        <w:autoSpaceDE/>
        <w:autoSpaceDN/>
        <w:bidi w:val="0"/>
        <w:adjustRightInd w:val="0"/>
        <w:snapToGrid w:val="0"/>
        <w:spacing w:line="300" w:lineRule="auto"/>
        <w:ind w:firstLine="482" w:firstLineChars="200"/>
        <w:textAlignment w:val="auto"/>
        <w:outlineLvl w:val="2"/>
        <w:rPr>
          <w:rFonts w:hint="default" w:ascii="Times New Roman" w:hAnsi="Times New Roman" w:eastAsia="宋体" w:cs="Times New Roman"/>
          <w:b/>
          <w:bCs/>
          <w:color w:val="auto"/>
          <w:kern w:val="2"/>
          <w:sz w:val="24"/>
          <w:szCs w:val="18"/>
          <w:highlight w:val="none"/>
          <w:lang w:val="en-US" w:eastAsia="zh-CN" w:bidi="ar-SA"/>
        </w:rPr>
      </w:pPr>
      <w:r>
        <w:rPr>
          <w:rFonts w:hint="default" w:ascii="Times New Roman" w:hAnsi="Times New Roman" w:eastAsia="宋体" w:cs="Times New Roman"/>
          <w:b/>
          <w:bCs/>
          <w:color w:val="auto"/>
          <w:kern w:val="2"/>
          <w:sz w:val="24"/>
          <w:szCs w:val="18"/>
          <w:highlight w:val="none"/>
          <w:lang w:val="en-US" w:eastAsia="zh-CN" w:bidi="ar-SA"/>
        </w:rPr>
        <w:t>（二）份额说明</w:t>
      </w:r>
    </w:p>
    <w:p w14:paraId="1E4B4C54">
      <w:pPr>
        <w:keepNext w:val="0"/>
        <w:keepLines w:val="0"/>
        <w:pageBreakBefore w:val="0"/>
        <w:widowControl w:val="0"/>
        <w:kinsoku/>
        <w:wordWrap/>
        <w:overflowPunct/>
        <w:topLinePunct w:val="0"/>
        <w:autoSpaceDE/>
        <w:autoSpaceDN/>
        <w:bidi w:val="0"/>
        <w:adjustRightInd w:val="0"/>
        <w:snapToGrid w:val="0"/>
        <w:spacing w:after="100" w:line="300" w:lineRule="auto"/>
        <w:ind w:firstLine="640"/>
        <w:jc w:val="left"/>
        <w:textAlignment w:val="auto"/>
        <w:rPr>
          <w:rFonts w:hint="default" w:ascii="Times New Roman" w:hAnsi="Times New Roman" w:eastAsia="宋体" w:cs="Times New Roman"/>
          <w:b w:val="0"/>
          <w:bCs w:val="0"/>
          <w:color w:val="auto"/>
          <w:kern w:val="2"/>
          <w:sz w:val="24"/>
          <w:szCs w:val="18"/>
          <w:highlight w:val="none"/>
          <w:lang w:val="en" w:eastAsia="zh-CN" w:bidi="ar-SA"/>
        </w:rPr>
      </w:pPr>
      <w:r>
        <w:rPr>
          <w:rFonts w:hint="default" w:ascii="Times New Roman" w:hAnsi="Times New Roman" w:eastAsia="宋体" w:cs="Times New Roman"/>
          <w:b w:val="0"/>
          <w:bCs w:val="0"/>
          <w:color w:val="auto"/>
          <w:kern w:val="2"/>
          <w:sz w:val="24"/>
          <w:szCs w:val="18"/>
          <w:highlight w:val="none"/>
          <w:lang w:val="en-US" w:eastAsia="zh-CN" w:bidi="ar-SA"/>
        </w:rPr>
        <w:t>本次采购每包有效投标人不少于3家（含3家），每包由1个投标人中标，详见下表，</w:t>
      </w:r>
      <w:r>
        <w:rPr>
          <w:rFonts w:hint="default" w:ascii="Times New Roman" w:hAnsi="Times New Roman" w:eastAsia="宋体" w:cs="Times New Roman"/>
          <w:b w:val="0"/>
          <w:bCs w:val="0"/>
          <w:color w:val="auto"/>
          <w:kern w:val="2"/>
          <w:sz w:val="24"/>
          <w:szCs w:val="18"/>
          <w:highlight w:val="none"/>
          <w:lang w:val="en" w:eastAsia="zh-CN" w:bidi="ar-SA"/>
        </w:rPr>
        <w:t>6包</w:t>
      </w:r>
      <w:r>
        <w:rPr>
          <w:rFonts w:hint="default" w:ascii="Times New Roman" w:hAnsi="Times New Roman" w:eastAsia="宋体" w:cs="Times New Roman"/>
          <w:b w:val="0"/>
          <w:bCs w:val="0"/>
          <w:color w:val="auto"/>
          <w:kern w:val="2"/>
          <w:sz w:val="24"/>
          <w:szCs w:val="18"/>
          <w:highlight w:val="none"/>
          <w:lang w:val="en-US" w:eastAsia="zh-CN" w:bidi="ar-SA"/>
        </w:rPr>
        <w:t>为</w:t>
      </w:r>
      <w:r>
        <w:rPr>
          <w:rFonts w:hint="default" w:ascii="Times New Roman" w:hAnsi="Times New Roman" w:eastAsia="宋体" w:cs="Times New Roman"/>
          <w:b w:val="0"/>
          <w:bCs w:val="0"/>
          <w:color w:val="auto"/>
          <w:kern w:val="2"/>
          <w:sz w:val="24"/>
          <w:szCs w:val="18"/>
          <w:highlight w:val="none"/>
          <w:lang w:val="en" w:eastAsia="zh-CN" w:bidi="ar-SA"/>
        </w:rPr>
        <w:t>2类产品（</w:t>
      </w:r>
      <w:r>
        <w:rPr>
          <w:rFonts w:hint="default" w:ascii="Times New Roman" w:hAnsi="Times New Roman" w:eastAsia="宋体" w:cs="Times New Roman"/>
          <w:b w:val="0"/>
          <w:bCs w:val="0"/>
          <w:color w:val="auto"/>
          <w:kern w:val="2"/>
          <w:sz w:val="24"/>
          <w:szCs w:val="18"/>
          <w:highlight w:val="none"/>
          <w:lang w:val="en-US" w:eastAsia="zh-CN" w:bidi="ar-SA"/>
        </w:rPr>
        <w:t>第</w:t>
      </w:r>
      <w:r>
        <w:rPr>
          <w:rFonts w:hint="default" w:ascii="Times New Roman" w:hAnsi="Times New Roman" w:eastAsia="宋体" w:cs="Times New Roman"/>
          <w:b w:val="0"/>
          <w:bCs w:val="0"/>
          <w:color w:val="auto"/>
          <w:kern w:val="2"/>
          <w:sz w:val="24"/>
          <w:szCs w:val="18"/>
          <w:highlight w:val="none"/>
          <w:lang w:val="en" w:eastAsia="zh-CN" w:bidi="ar-SA"/>
        </w:rPr>
        <w:t>1-3包</w:t>
      </w:r>
      <w:r>
        <w:rPr>
          <w:rFonts w:hint="default" w:ascii="Times New Roman" w:hAnsi="Times New Roman" w:eastAsia="宋体" w:cs="Times New Roman"/>
          <w:b w:val="0"/>
          <w:bCs w:val="0"/>
          <w:color w:val="auto"/>
          <w:kern w:val="2"/>
          <w:sz w:val="24"/>
          <w:szCs w:val="18"/>
          <w:highlight w:val="none"/>
          <w:lang w:val="en-US" w:eastAsia="zh-CN" w:bidi="ar-SA"/>
        </w:rPr>
        <w:t>为</w:t>
      </w:r>
      <w:r>
        <w:rPr>
          <w:rFonts w:hint="eastAsia" w:ascii="Times New Roman" w:hAnsi="Times New Roman" w:eastAsia="宋体" w:cs="Times New Roman"/>
          <w:b w:val="0"/>
          <w:bCs w:val="0"/>
          <w:color w:val="auto"/>
          <w:kern w:val="2"/>
          <w:sz w:val="24"/>
          <w:szCs w:val="18"/>
          <w:highlight w:val="none"/>
          <w:lang w:val="en-US" w:eastAsia="zh-CN" w:bidi="ar-SA"/>
        </w:rPr>
        <w:t>第</w:t>
      </w:r>
      <w:r>
        <w:rPr>
          <w:rFonts w:hint="default" w:ascii="Times New Roman" w:hAnsi="Times New Roman" w:eastAsia="宋体" w:cs="Times New Roman"/>
          <w:b w:val="0"/>
          <w:bCs w:val="0"/>
          <w:color w:val="auto"/>
          <w:kern w:val="2"/>
          <w:sz w:val="24"/>
          <w:szCs w:val="18"/>
          <w:highlight w:val="none"/>
          <w:lang w:val="en-US" w:eastAsia="zh-CN" w:bidi="ar-SA"/>
        </w:rPr>
        <w:t>一类</w:t>
      </w:r>
      <w:r>
        <w:rPr>
          <w:rFonts w:hint="eastAsia" w:ascii="Times New Roman" w:hAnsi="Times New Roman" w:eastAsia="宋体" w:cs="Times New Roman"/>
          <w:b w:val="0"/>
          <w:bCs w:val="0"/>
          <w:color w:val="auto"/>
          <w:kern w:val="2"/>
          <w:sz w:val="24"/>
          <w:szCs w:val="18"/>
          <w:highlight w:val="none"/>
          <w:lang w:val="en-US" w:eastAsia="zh-CN" w:bidi="ar-SA"/>
        </w:rPr>
        <w:t>产品</w:t>
      </w:r>
      <w:r>
        <w:rPr>
          <w:rFonts w:hint="default" w:ascii="Times New Roman" w:hAnsi="Times New Roman" w:eastAsia="宋体" w:cs="Times New Roman"/>
          <w:b w:val="0"/>
          <w:bCs w:val="0"/>
          <w:color w:val="auto"/>
          <w:kern w:val="2"/>
          <w:sz w:val="24"/>
          <w:szCs w:val="18"/>
          <w:highlight w:val="none"/>
          <w:lang w:val="en-US" w:eastAsia="zh-CN" w:bidi="ar-SA"/>
        </w:rPr>
        <w:t>，第</w:t>
      </w:r>
      <w:r>
        <w:rPr>
          <w:rFonts w:hint="default" w:ascii="Times New Roman" w:hAnsi="Times New Roman" w:eastAsia="宋体" w:cs="Times New Roman"/>
          <w:b w:val="0"/>
          <w:bCs w:val="0"/>
          <w:color w:val="auto"/>
          <w:kern w:val="2"/>
          <w:sz w:val="24"/>
          <w:szCs w:val="18"/>
          <w:highlight w:val="none"/>
          <w:lang w:val="en" w:eastAsia="zh-CN" w:bidi="ar-SA"/>
        </w:rPr>
        <w:t>4-6包</w:t>
      </w:r>
      <w:r>
        <w:rPr>
          <w:rFonts w:hint="default" w:ascii="Times New Roman" w:hAnsi="Times New Roman" w:eastAsia="宋体" w:cs="Times New Roman"/>
          <w:b w:val="0"/>
          <w:bCs w:val="0"/>
          <w:color w:val="auto"/>
          <w:kern w:val="2"/>
          <w:sz w:val="24"/>
          <w:szCs w:val="18"/>
          <w:highlight w:val="none"/>
          <w:lang w:val="en-US" w:eastAsia="zh-CN" w:bidi="ar-SA"/>
        </w:rPr>
        <w:t>为</w:t>
      </w:r>
      <w:r>
        <w:rPr>
          <w:rFonts w:hint="eastAsia" w:ascii="Times New Roman" w:hAnsi="Times New Roman" w:eastAsia="宋体" w:cs="Times New Roman"/>
          <w:b w:val="0"/>
          <w:bCs w:val="0"/>
          <w:color w:val="auto"/>
          <w:kern w:val="2"/>
          <w:sz w:val="24"/>
          <w:szCs w:val="18"/>
          <w:highlight w:val="none"/>
          <w:lang w:val="en-US" w:eastAsia="zh-CN" w:bidi="ar-SA"/>
        </w:rPr>
        <w:t>第二</w:t>
      </w:r>
      <w:r>
        <w:rPr>
          <w:rFonts w:hint="default" w:ascii="Times New Roman" w:hAnsi="Times New Roman" w:eastAsia="宋体" w:cs="Times New Roman"/>
          <w:b w:val="0"/>
          <w:bCs w:val="0"/>
          <w:color w:val="auto"/>
          <w:kern w:val="2"/>
          <w:sz w:val="24"/>
          <w:szCs w:val="18"/>
          <w:highlight w:val="none"/>
          <w:lang w:val="en-US" w:eastAsia="zh-CN" w:bidi="ar-SA"/>
        </w:rPr>
        <w:t>类</w:t>
      </w:r>
      <w:r>
        <w:rPr>
          <w:rFonts w:hint="eastAsia" w:ascii="Times New Roman" w:hAnsi="Times New Roman" w:eastAsia="宋体" w:cs="Times New Roman"/>
          <w:b w:val="0"/>
          <w:bCs w:val="0"/>
          <w:color w:val="auto"/>
          <w:kern w:val="2"/>
          <w:sz w:val="24"/>
          <w:szCs w:val="18"/>
          <w:highlight w:val="none"/>
          <w:lang w:val="en-US" w:eastAsia="zh-CN" w:bidi="ar-SA"/>
        </w:rPr>
        <w:t>产品</w:t>
      </w:r>
      <w:r>
        <w:rPr>
          <w:rFonts w:hint="default" w:ascii="Times New Roman" w:hAnsi="Times New Roman" w:eastAsia="宋体" w:cs="Times New Roman"/>
          <w:b w:val="0"/>
          <w:bCs w:val="0"/>
          <w:color w:val="auto"/>
          <w:kern w:val="2"/>
          <w:sz w:val="24"/>
          <w:szCs w:val="18"/>
          <w:highlight w:val="none"/>
          <w:lang w:val="en" w:eastAsia="zh-CN" w:bidi="ar-SA"/>
        </w:rPr>
        <w:t>），</w:t>
      </w:r>
      <w:r>
        <w:rPr>
          <w:rFonts w:hint="default" w:ascii="Times New Roman" w:hAnsi="Times New Roman" w:eastAsia="宋体" w:cs="Times New Roman"/>
          <w:b w:val="0"/>
          <w:bCs w:val="0"/>
          <w:color w:val="auto"/>
          <w:kern w:val="2"/>
          <w:sz w:val="24"/>
          <w:szCs w:val="18"/>
          <w:highlight w:val="none"/>
          <w:lang w:val="en-US" w:eastAsia="zh-CN" w:bidi="ar-SA"/>
        </w:rPr>
        <w:t>潜在投标人可以同时投多个包，</w:t>
      </w:r>
      <w:r>
        <w:rPr>
          <w:rFonts w:hint="default" w:ascii="Times New Roman" w:hAnsi="Times New Roman" w:eastAsia="宋体" w:cs="Times New Roman"/>
          <w:b w:val="0"/>
          <w:bCs w:val="0"/>
          <w:color w:val="auto"/>
          <w:kern w:val="2"/>
          <w:sz w:val="24"/>
          <w:szCs w:val="18"/>
          <w:highlight w:val="none"/>
          <w:lang w:val="en" w:eastAsia="zh-CN" w:bidi="ar-SA"/>
        </w:rPr>
        <w:t>每包确定一个最终中标人，每类产品每家只能中一包。6市实际发货数量由采购人根据实际需求有上下10%浮动。相关中标人中标后所获得的标的物份额分别为：</w:t>
      </w:r>
    </w:p>
    <w:tbl>
      <w:tblPr>
        <w:tblStyle w:val="4"/>
        <w:tblW w:w="49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2931"/>
        <w:gridCol w:w="1689"/>
        <w:gridCol w:w="1787"/>
        <w:gridCol w:w="1186"/>
      </w:tblGrid>
      <w:tr w14:paraId="03A6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57" w:type="pct"/>
            <w:tcBorders>
              <w:top w:val="single" w:color="auto" w:sz="4" w:space="0"/>
              <w:left w:val="single" w:color="auto" w:sz="4" w:space="0"/>
              <w:bottom w:val="single" w:color="auto" w:sz="4" w:space="0"/>
              <w:right w:val="single" w:color="auto" w:sz="4" w:space="0"/>
            </w:tcBorders>
            <w:vAlign w:val="center"/>
          </w:tcPr>
          <w:p w14:paraId="2B6D8F1C">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b/>
                <w:snapToGrid/>
                <w:color w:val="auto"/>
                <w:sz w:val="24"/>
                <w:szCs w:val="24"/>
                <w:highlight w:val="none"/>
              </w:rPr>
            </w:pPr>
            <w:r>
              <w:rPr>
                <w:rFonts w:hint="default" w:ascii="Times New Roman" w:hAnsi="Times New Roman" w:eastAsia="宋体" w:cs="Times New Roman"/>
                <w:b/>
                <w:snapToGrid/>
                <w:color w:val="auto"/>
                <w:sz w:val="24"/>
                <w:szCs w:val="24"/>
                <w:highlight w:val="none"/>
              </w:rPr>
              <w:t>包别</w:t>
            </w:r>
          </w:p>
        </w:tc>
        <w:tc>
          <w:tcPr>
            <w:tcW w:w="1753" w:type="pct"/>
            <w:tcBorders>
              <w:top w:val="single" w:color="auto" w:sz="4" w:space="0"/>
              <w:left w:val="single" w:color="auto" w:sz="4" w:space="0"/>
              <w:bottom w:val="single" w:color="auto" w:sz="4" w:space="0"/>
              <w:right w:val="single" w:color="auto" w:sz="4" w:space="0"/>
            </w:tcBorders>
            <w:vAlign w:val="center"/>
          </w:tcPr>
          <w:p w14:paraId="30115985">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b/>
                <w:snapToGrid/>
                <w:color w:val="auto"/>
                <w:sz w:val="24"/>
                <w:szCs w:val="24"/>
                <w:highlight w:val="none"/>
                <w:lang w:eastAsia="zh-CN"/>
              </w:rPr>
            </w:pPr>
            <w:r>
              <w:rPr>
                <w:rFonts w:hint="default" w:ascii="Times New Roman" w:hAnsi="Times New Roman" w:eastAsia="宋体" w:cs="Times New Roman"/>
                <w:b/>
                <w:snapToGrid/>
                <w:color w:val="auto"/>
                <w:sz w:val="24"/>
                <w:szCs w:val="24"/>
                <w:highlight w:val="none"/>
                <w:lang w:eastAsia="zh-CN"/>
              </w:rPr>
              <w:t>品种</w:t>
            </w:r>
          </w:p>
        </w:tc>
        <w:tc>
          <w:tcPr>
            <w:tcW w:w="1010" w:type="pct"/>
            <w:tcBorders>
              <w:top w:val="single" w:color="auto" w:sz="4" w:space="0"/>
              <w:left w:val="single" w:color="auto" w:sz="4" w:space="0"/>
              <w:bottom w:val="single" w:color="auto" w:sz="4" w:space="0"/>
              <w:right w:val="single" w:color="auto" w:sz="4" w:space="0"/>
            </w:tcBorders>
            <w:vAlign w:val="center"/>
          </w:tcPr>
          <w:p w14:paraId="1927101E">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b/>
                <w:snapToGrid/>
                <w:color w:val="auto"/>
                <w:sz w:val="24"/>
                <w:szCs w:val="24"/>
                <w:highlight w:val="none"/>
                <w:lang w:eastAsia="zh-CN"/>
              </w:rPr>
            </w:pPr>
            <w:r>
              <w:rPr>
                <w:rFonts w:hint="default" w:ascii="Times New Roman" w:hAnsi="Times New Roman" w:eastAsia="宋体" w:cs="Times New Roman"/>
                <w:b/>
                <w:snapToGrid/>
                <w:color w:val="auto"/>
                <w:sz w:val="24"/>
                <w:szCs w:val="24"/>
                <w:highlight w:val="none"/>
                <w:lang w:eastAsia="zh-CN"/>
              </w:rPr>
              <w:t>份额</w:t>
            </w:r>
          </w:p>
        </w:tc>
        <w:tc>
          <w:tcPr>
            <w:tcW w:w="1069" w:type="pct"/>
            <w:tcBorders>
              <w:top w:val="single" w:color="auto" w:sz="4" w:space="0"/>
              <w:left w:val="single" w:color="auto" w:sz="4" w:space="0"/>
              <w:bottom w:val="single" w:color="auto" w:sz="4" w:space="0"/>
              <w:right w:val="single" w:color="auto" w:sz="4" w:space="0"/>
            </w:tcBorders>
            <w:vAlign w:val="center"/>
          </w:tcPr>
          <w:p w14:paraId="70953EBF">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b/>
                <w:snapToGrid/>
                <w:color w:val="auto"/>
                <w:sz w:val="24"/>
                <w:szCs w:val="24"/>
                <w:highlight w:val="none"/>
                <w:lang w:eastAsia="zh-CN"/>
              </w:rPr>
            </w:pPr>
            <w:r>
              <w:rPr>
                <w:rFonts w:hint="default" w:ascii="Times New Roman" w:hAnsi="Times New Roman" w:eastAsia="宋体" w:cs="Times New Roman"/>
                <w:b/>
                <w:snapToGrid/>
                <w:color w:val="auto"/>
                <w:sz w:val="24"/>
                <w:szCs w:val="24"/>
                <w:highlight w:val="none"/>
                <w:lang w:eastAsia="zh-CN"/>
              </w:rPr>
              <w:t>供货地区</w:t>
            </w:r>
          </w:p>
        </w:tc>
        <w:tc>
          <w:tcPr>
            <w:tcW w:w="709" w:type="pct"/>
            <w:tcBorders>
              <w:top w:val="single" w:color="auto" w:sz="4" w:space="0"/>
              <w:left w:val="single" w:color="auto" w:sz="4" w:space="0"/>
              <w:bottom w:val="single" w:color="auto" w:sz="4" w:space="0"/>
              <w:right w:val="single" w:color="auto" w:sz="4" w:space="0"/>
            </w:tcBorders>
            <w:vAlign w:val="center"/>
          </w:tcPr>
          <w:p w14:paraId="560E0B62">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b/>
                <w:snapToGrid/>
                <w:color w:val="auto"/>
                <w:sz w:val="24"/>
                <w:szCs w:val="24"/>
                <w:highlight w:val="none"/>
                <w:lang w:eastAsia="zh-CN"/>
              </w:rPr>
            </w:pPr>
            <w:r>
              <w:rPr>
                <w:rFonts w:hint="default" w:ascii="Times New Roman" w:hAnsi="Times New Roman" w:eastAsia="宋体" w:cs="Times New Roman"/>
                <w:b/>
                <w:snapToGrid/>
                <w:color w:val="auto"/>
                <w:sz w:val="24"/>
                <w:szCs w:val="24"/>
                <w:highlight w:val="none"/>
                <w:lang w:eastAsia="zh-CN"/>
              </w:rPr>
              <w:t>免疫畜种</w:t>
            </w:r>
          </w:p>
        </w:tc>
      </w:tr>
      <w:tr w14:paraId="1BF6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457" w:type="pct"/>
            <w:tcBorders>
              <w:top w:val="single" w:color="auto" w:sz="4" w:space="0"/>
              <w:left w:val="single" w:color="auto" w:sz="4" w:space="0"/>
              <w:bottom w:val="single" w:color="auto" w:sz="4" w:space="0"/>
              <w:right w:val="single" w:color="auto" w:sz="4" w:space="0"/>
            </w:tcBorders>
            <w:vAlign w:val="center"/>
          </w:tcPr>
          <w:p w14:paraId="747D9F9D">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rPr>
              <w:t>1</w:t>
            </w:r>
          </w:p>
        </w:tc>
        <w:tc>
          <w:tcPr>
            <w:tcW w:w="1753" w:type="pct"/>
            <w:tcBorders>
              <w:top w:val="single" w:color="auto" w:sz="4" w:space="0"/>
              <w:left w:val="single" w:color="auto" w:sz="4" w:space="0"/>
              <w:bottom w:val="single" w:color="auto" w:sz="4" w:space="0"/>
              <w:right w:val="single" w:color="auto" w:sz="4" w:space="0"/>
            </w:tcBorders>
            <w:vAlign w:val="center"/>
          </w:tcPr>
          <w:p w14:paraId="06236105">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lang w:eastAsia="zh-CN"/>
              </w:rPr>
              <w:t>牛</w:t>
            </w:r>
            <w:r>
              <w:rPr>
                <w:rFonts w:hint="default" w:ascii="Times New Roman" w:hAnsi="Times New Roman" w:eastAsia="宋体" w:cs="Times New Roman"/>
                <w:snapToGrid/>
                <w:color w:val="auto"/>
                <w:sz w:val="24"/>
                <w:szCs w:val="24"/>
                <w:highlight w:val="none"/>
              </w:rPr>
              <w:t>布鲁氏菌病活疫苗（A19株或BA0711株）及免疫注射服务（含稀释液）</w:t>
            </w:r>
          </w:p>
        </w:tc>
        <w:tc>
          <w:tcPr>
            <w:tcW w:w="1010" w:type="pct"/>
            <w:tcBorders>
              <w:top w:val="single" w:color="auto" w:sz="4" w:space="0"/>
              <w:left w:val="single" w:color="auto" w:sz="4" w:space="0"/>
              <w:bottom w:val="single" w:color="auto" w:sz="4" w:space="0"/>
              <w:right w:val="single" w:color="auto" w:sz="4" w:space="0"/>
            </w:tcBorders>
            <w:vAlign w:val="center"/>
          </w:tcPr>
          <w:p w14:paraId="6B13A61B">
            <w:pPr>
              <w:keepNext w:val="0"/>
              <w:keepLines w:val="0"/>
              <w:pageBreakBefore w:val="0"/>
              <w:widowControl/>
              <w:kinsoku/>
              <w:wordWrap/>
              <w:overflowPunct/>
              <w:topLinePunct w:val="0"/>
              <w:autoSpaceDE/>
              <w:autoSpaceDN/>
              <w:bidi w:val="0"/>
              <w:adjustRightInd w:val="0"/>
              <w:snapToGrid w:val="0"/>
              <w:spacing w:after="100" w:line="300" w:lineRule="auto"/>
              <w:ind w:left="0" w:leftChars="0" w:firstLine="0" w:firstLineChars="0"/>
              <w:jc w:val="left"/>
              <w:textAlignment w:val="auto"/>
              <w:rPr>
                <w:rFonts w:hint="default" w:ascii="Times New Roman" w:hAnsi="Times New Roman" w:eastAsia="宋体" w:cs="Times New Roman"/>
                <w:snapToGrid/>
                <w:color w:val="auto"/>
                <w:kern w:val="0"/>
                <w:sz w:val="24"/>
                <w:szCs w:val="24"/>
                <w:highlight w:val="none"/>
                <w:lang w:val="en-US" w:eastAsia="zh-CN" w:bidi="ar-SA"/>
              </w:rPr>
            </w:pPr>
            <w:r>
              <w:rPr>
                <w:rFonts w:hint="default" w:ascii="Times New Roman" w:hAnsi="Times New Roman" w:eastAsia="宋体" w:cs="Times New Roman"/>
                <w:b w:val="0"/>
                <w:bCs w:val="0"/>
                <w:snapToGrid/>
                <w:color w:val="auto"/>
                <w:kern w:val="2"/>
                <w:sz w:val="24"/>
                <w:szCs w:val="24"/>
                <w:highlight w:val="none"/>
                <w:lang w:val="en" w:eastAsia="zh-CN" w:bidi="ar-SA"/>
              </w:rPr>
              <w:t>23.2475万头份</w:t>
            </w:r>
          </w:p>
        </w:tc>
        <w:tc>
          <w:tcPr>
            <w:tcW w:w="1069" w:type="pct"/>
            <w:tcBorders>
              <w:top w:val="single" w:color="auto" w:sz="4" w:space="0"/>
              <w:left w:val="single" w:color="auto" w:sz="4" w:space="0"/>
              <w:bottom w:val="single" w:color="auto" w:sz="4" w:space="0"/>
              <w:right w:val="single" w:color="auto" w:sz="4" w:space="0"/>
            </w:tcBorders>
            <w:vAlign w:val="center"/>
          </w:tcPr>
          <w:p w14:paraId="78AE5272">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eastAsia="zh-CN"/>
              </w:rPr>
            </w:pPr>
            <w:r>
              <w:rPr>
                <w:rFonts w:hint="default" w:ascii="Times New Roman" w:hAnsi="Times New Roman" w:eastAsia="宋体" w:cs="Times New Roman"/>
                <w:snapToGrid/>
                <w:color w:val="auto"/>
                <w:sz w:val="24"/>
                <w:szCs w:val="24"/>
                <w:highlight w:val="none"/>
                <w:lang w:eastAsia="zh-CN"/>
              </w:rPr>
              <w:t>亳州市、阜阳市</w:t>
            </w:r>
          </w:p>
        </w:tc>
        <w:tc>
          <w:tcPr>
            <w:tcW w:w="709" w:type="pct"/>
            <w:tcBorders>
              <w:top w:val="single" w:color="auto" w:sz="4" w:space="0"/>
              <w:left w:val="single" w:color="auto" w:sz="4" w:space="0"/>
              <w:bottom w:val="single" w:color="auto" w:sz="4" w:space="0"/>
              <w:right w:val="single" w:color="auto" w:sz="4" w:space="0"/>
            </w:tcBorders>
            <w:vAlign w:val="center"/>
          </w:tcPr>
          <w:p w14:paraId="7CAC0E7A">
            <w:pPr>
              <w:keepNext w:val="0"/>
              <w:keepLines w:val="0"/>
              <w:pageBreakBefore w:val="0"/>
              <w:widowControl/>
              <w:kinsoku/>
              <w:wordWrap/>
              <w:overflowPunct/>
              <w:topLinePunct w:val="0"/>
              <w:autoSpaceDE/>
              <w:autoSpaceDN/>
              <w:bidi w:val="0"/>
              <w:adjustRightInd w:val="0"/>
              <w:snapToGrid w:val="0"/>
              <w:spacing w:after="100" w:line="300" w:lineRule="auto"/>
              <w:ind w:left="0" w:leftChars="0" w:firstLine="0" w:firstLineChars="0"/>
              <w:jc w:val="left"/>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b w:val="0"/>
                <w:bCs w:val="0"/>
                <w:snapToGrid/>
                <w:color w:val="auto"/>
                <w:kern w:val="2"/>
                <w:sz w:val="24"/>
                <w:szCs w:val="24"/>
                <w:highlight w:val="none"/>
                <w:lang w:val="en" w:eastAsia="zh-CN" w:bidi="ar-SA"/>
              </w:rPr>
              <w:t>肉牛</w:t>
            </w:r>
          </w:p>
        </w:tc>
      </w:tr>
      <w:tr w14:paraId="5B75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57" w:type="pct"/>
            <w:tcBorders>
              <w:top w:val="single" w:color="auto" w:sz="4" w:space="0"/>
              <w:left w:val="single" w:color="auto" w:sz="4" w:space="0"/>
              <w:bottom w:val="single" w:color="auto" w:sz="4" w:space="0"/>
              <w:right w:val="single" w:color="auto" w:sz="4" w:space="0"/>
            </w:tcBorders>
            <w:vAlign w:val="center"/>
          </w:tcPr>
          <w:p w14:paraId="7ED3644D">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val="en-US" w:eastAsia="zh-CN"/>
              </w:rPr>
            </w:pPr>
            <w:r>
              <w:rPr>
                <w:rFonts w:hint="default" w:ascii="Times New Roman" w:hAnsi="Times New Roman" w:eastAsia="宋体" w:cs="Times New Roman"/>
                <w:snapToGrid/>
                <w:color w:val="auto"/>
                <w:sz w:val="24"/>
                <w:szCs w:val="24"/>
                <w:highlight w:val="none"/>
                <w:lang w:val="en-US" w:eastAsia="zh-CN"/>
              </w:rPr>
              <w:t>2</w:t>
            </w:r>
          </w:p>
        </w:tc>
        <w:tc>
          <w:tcPr>
            <w:tcW w:w="1753" w:type="pct"/>
            <w:tcBorders>
              <w:top w:val="single" w:color="auto" w:sz="4" w:space="0"/>
              <w:left w:val="single" w:color="auto" w:sz="4" w:space="0"/>
              <w:bottom w:val="single" w:color="auto" w:sz="4" w:space="0"/>
              <w:right w:val="single" w:color="auto" w:sz="4" w:space="0"/>
            </w:tcBorders>
            <w:vAlign w:val="center"/>
          </w:tcPr>
          <w:p w14:paraId="7C301AE2">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lang w:eastAsia="zh-CN"/>
              </w:rPr>
              <w:t>牛</w:t>
            </w:r>
            <w:r>
              <w:rPr>
                <w:rFonts w:hint="default" w:ascii="Times New Roman" w:hAnsi="Times New Roman" w:eastAsia="宋体" w:cs="Times New Roman"/>
                <w:snapToGrid/>
                <w:color w:val="auto"/>
                <w:sz w:val="24"/>
                <w:szCs w:val="24"/>
                <w:highlight w:val="none"/>
              </w:rPr>
              <w:t>布鲁氏菌病活疫苗（A19株或BA0711株）及免疫注射服务（含稀释液）</w:t>
            </w:r>
          </w:p>
        </w:tc>
        <w:tc>
          <w:tcPr>
            <w:tcW w:w="1010" w:type="pct"/>
            <w:tcBorders>
              <w:top w:val="single" w:color="auto" w:sz="4" w:space="0"/>
              <w:left w:val="single" w:color="auto" w:sz="4" w:space="0"/>
              <w:bottom w:val="single" w:color="auto" w:sz="4" w:space="0"/>
              <w:right w:val="single" w:color="auto" w:sz="4" w:space="0"/>
            </w:tcBorders>
            <w:vAlign w:val="center"/>
          </w:tcPr>
          <w:p w14:paraId="6EF0D170">
            <w:pPr>
              <w:keepNext w:val="0"/>
              <w:keepLines w:val="0"/>
              <w:pageBreakBefore w:val="0"/>
              <w:widowControl/>
              <w:kinsoku/>
              <w:wordWrap/>
              <w:overflowPunct/>
              <w:topLinePunct w:val="0"/>
              <w:autoSpaceDE/>
              <w:autoSpaceDN/>
              <w:bidi w:val="0"/>
              <w:adjustRightInd w:val="0"/>
              <w:snapToGrid w:val="0"/>
              <w:spacing w:after="100" w:line="300" w:lineRule="auto"/>
              <w:ind w:left="0" w:leftChars="0" w:firstLine="0" w:firstLineChars="0"/>
              <w:jc w:val="left"/>
              <w:textAlignment w:val="auto"/>
              <w:rPr>
                <w:rFonts w:hint="default" w:ascii="Times New Roman" w:hAnsi="Times New Roman" w:eastAsia="宋体" w:cs="Times New Roman"/>
                <w:snapToGrid/>
                <w:color w:val="auto"/>
                <w:kern w:val="0"/>
                <w:sz w:val="24"/>
                <w:szCs w:val="24"/>
                <w:highlight w:val="none"/>
                <w:lang w:val="en-US" w:eastAsia="zh-CN" w:bidi="ar-SA"/>
              </w:rPr>
            </w:pPr>
            <w:r>
              <w:rPr>
                <w:rFonts w:hint="default" w:ascii="Times New Roman" w:hAnsi="Times New Roman" w:eastAsia="宋体" w:cs="Times New Roman"/>
                <w:b w:val="0"/>
                <w:bCs w:val="0"/>
                <w:snapToGrid/>
                <w:color w:val="auto"/>
                <w:kern w:val="2"/>
                <w:sz w:val="24"/>
                <w:szCs w:val="24"/>
                <w:highlight w:val="none"/>
                <w:lang w:val="en" w:eastAsia="zh-CN" w:bidi="ar-SA"/>
              </w:rPr>
              <w:t>14.4202万头份</w:t>
            </w:r>
          </w:p>
        </w:tc>
        <w:tc>
          <w:tcPr>
            <w:tcW w:w="1069" w:type="pct"/>
            <w:tcBorders>
              <w:top w:val="single" w:color="auto" w:sz="4" w:space="0"/>
              <w:left w:val="single" w:color="auto" w:sz="4" w:space="0"/>
              <w:bottom w:val="single" w:color="auto" w:sz="4" w:space="0"/>
              <w:right w:val="single" w:color="auto" w:sz="4" w:space="0"/>
            </w:tcBorders>
            <w:vAlign w:val="center"/>
          </w:tcPr>
          <w:p w14:paraId="57C989FD">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eastAsia="zh-CN"/>
              </w:rPr>
            </w:pPr>
            <w:r>
              <w:rPr>
                <w:rFonts w:hint="default" w:ascii="Times New Roman" w:hAnsi="Times New Roman" w:eastAsia="宋体" w:cs="Times New Roman"/>
                <w:snapToGrid/>
                <w:color w:val="auto"/>
                <w:sz w:val="24"/>
                <w:szCs w:val="24"/>
                <w:highlight w:val="none"/>
                <w:lang w:eastAsia="zh-CN"/>
              </w:rPr>
              <w:t>蚌埠市、淮南市</w:t>
            </w:r>
          </w:p>
        </w:tc>
        <w:tc>
          <w:tcPr>
            <w:tcW w:w="709" w:type="pct"/>
            <w:tcBorders>
              <w:top w:val="single" w:color="auto" w:sz="4" w:space="0"/>
              <w:left w:val="single" w:color="auto" w:sz="4" w:space="0"/>
              <w:bottom w:val="single" w:color="auto" w:sz="4" w:space="0"/>
              <w:right w:val="single" w:color="auto" w:sz="4" w:space="0"/>
            </w:tcBorders>
            <w:vAlign w:val="center"/>
          </w:tcPr>
          <w:p w14:paraId="1112D8FC">
            <w:pPr>
              <w:keepNext w:val="0"/>
              <w:keepLines w:val="0"/>
              <w:pageBreakBefore w:val="0"/>
              <w:widowControl/>
              <w:kinsoku/>
              <w:wordWrap/>
              <w:overflowPunct/>
              <w:topLinePunct w:val="0"/>
              <w:autoSpaceDE/>
              <w:autoSpaceDN/>
              <w:bidi w:val="0"/>
              <w:adjustRightInd w:val="0"/>
              <w:snapToGrid w:val="0"/>
              <w:spacing w:after="100" w:line="300" w:lineRule="auto"/>
              <w:ind w:left="0" w:leftChars="0" w:firstLine="0" w:firstLineChars="0"/>
              <w:jc w:val="left"/>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b w:val="0"/>
                <w:bCs w:val="0"/>
                <w:snapToGrid/>
                <w:color w:val="auto"/>
                <w:kern w:val="2"/>
                <w:sz w:val="24"/>
                <w:szCs w:val="24"/>
                <w:highlight w:val="none"/>
                <w:lang w:val="en" w:eastAsia="zh-CN" w:bidi="ar-SA"/>
              </w:rPr>
              <w:t>肉牛</w:t>
            </w:r>
          </w:p>
        </w:tc>
      </w:tr>
      <w:tr w14:paraId="5C86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457" w:type="pct"/>
            <w:tcBorders>
              <w:top w:val="single" w:color="auto" w:sz="4" w:space="0"/>
              <w:left w:val="single" w:color="auto" w:sz="4" w:space="0"/>
              <w:bottom w:val="single" w:color="auto" w:sz="4" w:space="0"/>
              <w:right w:val="single" w:color="auto" w:sz="4" w:space="0"/>
            </w:tcBorders>
            <w:vAlign w:val="center"/>
          </w:tcPr>
          <w:p w14:paraId="0E09B0F9">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val="en-US" w:eastAsia="zh-CN"/>
              </w:rPr>
            </w:pPr>
            <w:r>
              <w:rPr>
                <w:rFonts w:hint="default" w:ascii="Times New Roman" w:hAnsi="Times New Roman" w:eastAsia="宋体" w:cs="Times New Roman"/>
                <w:snapToGrid/>
                <w:color w:val="auto"/>
                <w:sz w:val="24"/>
                <w:szCs w:val="24"/>
                <w:highlight w:val="none"/>
                <w:lang w:val="en-US" w:eastAsia="zh-CN"/>
              </w:rPr>
              <w:t>3</w:t>
            </w:r>
          </w:p>
        </w:tc>
        <w:tc>
          <w:tcPr>
            <w:tcW w:w="1753" w:type="pct"/>
            <w:tcBorders>
              <w:top w:val="single" w:color="auto" w:sz="4" w:space="0"/>
              <w:left w:val="single" w:color="auto" w:sz="4" w:space="0"/>
              <w:bottom w:val="single" w:color="auto" w:sz="4" w:space="0"/>
              <w:right w:val="single" w:color="auto" w:sz="4" w:space="0"/>
            </w:tcBorders>
            <w:vAlign w:val="center"/>
          </w:tcPr>
          <w:p w14:paraId="512FD9A5">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lang w:eastAsia="zh-CN"/>
              </w:rPr>
              <w:t>牛</w:t>
            </w:r>
            <w:r>
              <w:rPr>
                <w:rFonts w:hint="default" w:ascii="Times New Roman" w:hAnsi="Times New Roman" w:eastAsia="宋体" w:cs="Times New Roman"/>
                <w:snapToGrid/>
                <w:color w:val="auto"/>
                <w:sz w:val="24"/>
                <w:szCs w:val="24"/>
                <w:highlight w:val="none"/>
              </w:rPr>
              <w:t>布鲁氏菌病活疫苗（A19株或BA0711株）及免疫注射服务（含稀释液）</w:t>
            </w:r>
          </w:p>
        </w:tc>
        <w:tc>
          <w:tcPr>
            <w:tcW w:w="1010" w:type="pct"/>
            <w:tcBorders>
              <w:top w:val="single" w:color="auto" w:sz="4" w:space="0"/>
              <w:left w:val="single" w:color="auto" w:sz="4" w:space="0"/>
              <w:bottom w:val="single" w:color="auto" w:sz="4" w:space="0"/>
              <w:right w:val="single" w:color="auto" w:sz="4" w:space="0"/>
            </w:tcBorders>
            <w:vAlign w:val="center"/>
          </w:tcPr>
          <w:p w14:paraId="511F9883">
            <w:pPr>
              <w:keepNext w:val="0"/>
              <w:keepLines w:val="0"/>
              <w:pageBreakBefore w:val="0"/>
              <w:kinsoku/>
              <w:wordWrap/>
              <w:overflowPunct/>
              <w:topLinePunct w:val="0"/>
              <w:autoSpaceDE/>
              <w:autoSpaceDN/>
              <w:bidi w:val="0"/>
              <w:adjustRightInd w:val="0"/>
              <w:snapToGrid w:val="0"/>
              <w:spacing w:line="300" w:lineRule="auto"/>
              <w:jc w:val="both"/>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b w:val="0"/>
                <w:bCs w:val="0"/>
                <w:snapToGrid/>
                <w:color w:val="auto"/>
                <w:kern w:val="2"/>
                <w:sz w:val="24"/>
                <w:szCs w:val="24"/>
                <w:highlight w:val="none"/>
                <w:lang w:val="en" w:eastAsia="zh-CN" w:bidi="ar-SA"/>
              </w:rPr>
              <w:t>8.008 万头份</w:t>
            </w:r>
          </w:p>
        </w:tc>
        <w:tc>
          <w:tcPr>
            <w:tcW w:w="1069" w:type="pct"/>
            <w:tcBorders>
              <w:top w:val="single" w:color="auto" w:sz="4" w:space="0"/>
              <w:left w:val="single" w:color="auto" w:sz="4" w:space="0"/>
              <w:bottom w:val="single" w:color="auto" w:sz="4" w:space="0"/>
              <w:right w:val="single" w:color="auto" w:sz="4" w:space="0"/>
            </w:tcBorders>
            <w:vAlign w:val="center"/>
          </w:tcPr>
          <w:p w14:paraId="10289A6A">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eastAsia="zh-CN"/>
              </w:rPr>
            </w:pPr>
            <w:r>
              <w:rPr>
                <w:rFonts w:hint="default" w:ascii="Times New Roman" w:hAnsi="Times New Roman" w:eastAsia="宋体" w:cs="Times New Roman"/>
                <w:snapToGrid/>
                <w:color w:val="auto"/>
                <w:sz w:val="24"/>
                <w:szCs w:val="24"/>
                <w:highlight w:val="none"/>
                <w:lang w:eastAsia="zh-CN"/>
              </w:rPr>
              <w:t>淮北市、宿州市</w:t>
            </w:r>
          </w:p>
        </w:tc>
        <w:tc>
          <w:tcPr>
            <w:tcW w:w="709" w:type="pct"/>
            <w:tcBorders>
              <w:top w:val="single" w:color="auto" w:sz="4" w:space="0"/>
              <w:left w:val="single" w:color="auto" w:sz="4" w:space="0"/>
              <w:bottom w:val="single" w:color="auto" w:sz="4" w:space="0"/>
              <w:right w:val="single" w:color="auto" w:sz="4" w:space="0"/>
            </w:tcBorders>
            <w:vAlign w:val="center"/>
          </w:tcPr>
          <w:p w14:paraId="5427859C">
            <w:pPr>
              <w:keepNext w:val="0"/>
              <w:keepLines w:val="0"/>
              <w:pageBreakBefore w:val="0"/>
              <w:kinsoku/>
              <w:wordWrap/>
              <w:overflowPunct/>
              <w:topLinePunct w:val="0"/>
              <w:autoSpaceDE/>
              <w:autoSpaceDN/>
              <w:bidi w:val="0"/>
              <w:adjustRightInd w:val="0"/>
              <w:snapToGrid w:val="0"/>
              <w:spacing w:line="300" w:lineRule="auto"/>
              <w:jc w:val="both"/>
              <w:textAlignment w:val="auto"/>
              <w:rPr>
                <w:rFonts w:hint="default" w:ascii="Times New Roman" w:hAnsi="Times New Roman" w:eastAsia="宋体" w:cs="Times New Roman"/>
                <w:snapToGrid/>
                <w:color w:val="auto"/>
                <w:kern w:val="0"/>
                <w:sz w:val="24"/>
                <w:szCs w:val="24"/>
                <w:highlight w:val="none"/>
              </w:rPr>
            </w:pPr>
            <w:r>
              <w:rPr>
                <w:rFonts w:hint="default" w:ascii="Times New Roman" w:hAnsi="Times New Roman" w:eastAsia="宋体" w:cs="Times New Roman"/>
                <w:b w:val="0"/>
                <w:bCs w:val="0"/>
                <w:snapToGrid/>
                <w:color w:val="auto"/>
                <w:kern w:val="2"/>
                <w:sz w:val="24"/>
                <w:szCs w:val="24"/>
                <w:highlight w:val="none"/>
                <w:lang w:val="en" w:eastAsia="zh-CN" w:bidi="ar-SA"/>
              </w:rPr>
              <w:t>肉牛</w:t>
            </w:r>
          </w:p>
        </w:tc>
      </w:tr>
      <w:tr w14:paraId="55C0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457" w:type="pct"/>
            <w:tcBorders>
              <w:top w:val="single" w:color="auto" w:sz="4" w:space="0"/>
              <w:left w:val="single" w:color="auto" w:sz="4" w:space="0"/>
              <w:bottom w:val="single" w:color="auto" w:sz="4" w:space="0"/>
              <w:right w:val="single" w:color="auto" w:sz="4" w:space="0"/>
            </w:tcBorders>
            <w:vAlign w:val="center"/>
          </w:tcPr>
          <w:p w14:paraId="35454991">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eastAsia="zh-CN"/>
              </w:rPr>
            </w:pPr>
            <w:r>
              <w:rPr>
                <w:rFonts w:hint="default" w:ascii="Times New Roman" w:hAnsi="Times New Roman" w:eastAsia="宋体" w:cs="Times New Roman"/>
                <w:snapToGrid/>
                <w:color w:val="auto"/>
                <w:sz w:val="24"/>
                <w:szCs w:val="24"/>
                <w:highlight w:val="none"/>
                <w:lang w:val="en-US" w:eastAsia="zh-CN"/>
              </w:rPr>
              <w:t>4</w:t>
            </w:r>
          </w:p>
        </w:tc>
        <w:tc>
          <w:tcPr>
            <w:tcW w:w="1753" w:type="pct"/>
            <w:tcBorders>
              <w:top w:val="single" w:color="auto" w:sz="4" w:space="0"/>
              <w:left w:val="single" w:color="auto" w:sz="4" w:space="0"/>
              <w:bottom w:val="single" w:color="auto" w:sz="4" w:space="0"/>
              <w:right w:val="single" w:color="auto" w:sz="4" w:space="0"/>
            </w:tcBorders>
            <w:vAlign w:val="center"/>
          </w:tcPr>
          <w:p w14:paraId="6FD2DC62">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lang w:eastAsia="zh-CN"/>
              </w:rPr>
              <w:t>羊</w:t>
            </w:r>
            <w:r>
              <w:rPr>
                <w:rFonts w:hint="default" w:ascii="Times New Roman" w:hAnsi="Times New Roman" w:eastAsia="宋体" w:cs="Times New Roman"/>
                <w:snapToGrid/>
                <w:color w:val="auto"/>
                <w:sz w:val="24"/>
                <w:szCs w:val="24"/>
                <w:highlight w:val="none"/>
              </w:rPr>
              <w:t>布鲁氏菌活疫苗或基因缺失活疫苗（BA0711株或M5-90Δ26株）及免疫注射服务（含稀释液）</w:t>
            </w:r>
          </w:p>
        </w:tc>
        <w:tc>
          <w:tcPr>
            <w:tcW w:w="1010" w:type="pct"/>
            <w:tcBorders>
              <w:top w:val="single" w:color="auto" w:sz="4" w:space="0"/>
              <w:left w:val="single" w:color="auto" w:sz="4" w:space="0"/>
              <w:bottom w:val="single" w:color="auto" w:sz="4" w:space="0"/>
              <w:right w:val="single" w:color="auto" w:sz="4" w:space="0"/>
            </w:tcBorders>
            <w:vAlign w:val="center"/>
          </w:tcPr>
          <w:p w14:paraId="0020FBB3">
            <w:pPr>
              <w:keepNext w:val="0"/>
              <w:keepLines w:val="0"/>
              <w:pageBreakBefore w:val="0"/>
              <w:kinsoku/>
              <w:wordWrap/>
              <w:overflowPunct/>
              <w:topLinePunct w:val="0"/>
              <w:autoSpaceDE/>
              <w:autoSpaceDN/>
              <w:bidi w:val="0"/>
              <w:adjustRightInd w:val="0"/>
              <w:snapToGrid w:val="0"/>
              <w:spacing w:line="300" w:lineRule="auto"/>
              <w:jc w:val="left"/>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kern w:val="0"/>
                <w:sz w:val="24"/>
                <w:szCs w:val="24"/>
                <w:highlight w:val="none"/>
                <w:lang w:val="en"/>
              </w:rPr>
              <w:t>91.9287</w:t>
            </w:r>
            <w:r>
              <w:rPr>
                <w:rFonts w:hint="default" w:ascii="Times New Roman" w:hAnsi="Times New Roman" w:eastAsia="宋体" w:cs="Times New Roman"/>
                <w:snapToGrid/>
                <w:color w:val="auto"/>
                <w:kern w:val="0"/>
                <w:sz w:val="24"/>
                <w:szCs w:val="24"/>
                <w:highlight w:val="none"/>
              </w:rPr>
              <w:t>万头份</w:t>
            </w:r>
          </w:p>
        </w:tc>
        <w:tc>
          <w:tcPr>
            <w:tcW w:w="1069" w:type="pct"/>
            <w:tcBorders>
              <w:top w:val="single" w:color="auto" w:sz="4" w:space="0"/>
              <w:left w:val="single" w:color="auto" w:sz="4" w:space="0"/>
              <w:bottom w:val="single" w:color="auto" w:sz="4" w:space="0"/>
              <w:right w:val="single" w:color="auto" w:sz="4" w:space="0"/>
            </w:tcBorders>
            <w:vAlign w:val="center"/>
          </w:tcPr>
          <w:p w14:paraId="2E0D818B">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eastAsia="zh-CN"/>
              </w:rPr>
            </w:pPr>
            <w:r>
              <w:rPr>
                <w:rFonts w:hint="default" w:ascii="Times New Roman" w:hAnsi="Times New Roman" w:eastAsia="宋体" w:cs="Times New Roman"/>
                <w:snapToGrid/>
                <w:color w:val="auto"/>
                <w:sz w:val="24"/>
                <w:szCs w:val="24"/>
                <w:highlight w:val="none"/>
                <w:lang w:eastAsia="zh-CN"/>
              </w:rPr>
              <w:t>亳州市、阜阳市</w:t>
            </w:r>
          </w:p>
        </w:tc>
        <w:tc>
          <w:tcPr>
            <w:tcW w:w="709" w:type="pct"/>
            <w:tcBorders>
              <w:top w:val="single" w:color="auto" w:sz="4" w:space="0"/>
              <w:left w:val="single" w:color="auto" w:sz="4" w:space="0"/>
              <w:bottom w:val="single" w:color="auto" w:sz="4" w:space="0"/>
              <w:right w:val="single" w:color="auto" w:sz="4" w:space="0"/>
            </w:tcBorders>
            <w:vAlign w:val="center"/>
          </w:tcPr>
          <w:p w14:paraId="0304E3F2">
            <w:pPr>
              <w:keepNext w:val="0"/>
              <w:keepLines w:val="0"/>
              <w:pageBreakBefore w:val="0"/>
              <w:kinsoku/>
              <w:wordWrap/>
              <w:overflowPunct/>
              <w:topLinePunct w:val="0"/>
              <w:autoSpaceDE/>
              <w:autoSpaceDN/>
              <w:bidi w:val="0"/>
              <w:adjustRightInd w:val="0"/>
              <w:snapToGrid w:val="0"/>
              <w:spacing w:line="300" w:lineRule="auto"/>
              <w:jc w:val="left"/>
              <w:textAlignment w:val="auto"/>
              <w:rPr>
                <w:rFonts w:hint="default" w:ascii="Times New Roman" w:hAnsi="Times New Roman" w:eastAsia="宋体" w:cs="Times New Roman"/>
                <w:snapToGrid/>
                <w:color w:val="auto"/>
                <w:kern w:val="0"/>
                <w:sz w:val="24"/>
                <w:szCs w:val="24"/>
                <w:highlight w:val="none"/>
                <w:lang w:eastAsia="zh-CN"/>
              </w:rPr>
            </w:pPr>
            <w:r>
              <w:rPr>
                <w:rFonts w:hint="default" w:ascii="Times New Roman" w:hAnsi="Times New Roman" w:eastAsia="宋体" w:cs="Times New Roman"/>
                <w:snapToGrid/>
                <w:color w:val="auto"/>
                <w:kern w:val="0"/>
                <w:sz w:val="24"/>
                <w:szCs w:val="24"/>
                <w:highlight w:val="none"/>
                <w:lang w:val="en" w:eastAsia="zh-CN"/>
              </w:rPr>
              <w:t>肉羊</w:t>
            </w:r>
          </w:p>
        </w:tc>
      </w:tr>
      <w:tr w14:paraId="79F5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457" w:type="pct"/>
            <w:tcBorders>
              <w:top w:val="single" w:color="auto" w:sz="4" w:space="0"/>
              <w:left w:val="single" w:color="auto" w:sz="4" w:space="0"/>
              <w:bottom w:val="single" w:color="auto" w:sz="4" w:space="0"/>
              <w:right w:val="single" w:color="auto" w:sz="4" w:space="0"/>
            </w:tcBorders>
            <w:vAlign w:val="center"/>
          </w:tcPr>
          <w:p w14:paraId="3687ABD3">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val="en-US" w:eastAsia="zh-CN"/>
              </w:rPr>
            </w:pPr>
            <w:r>
              <w:rPr>
                <w:rFonts w:hint="default" w:ascii="Times New Roman" w:hAnsi="Times New Roman" w:eastAsia="宋体" w:cs="Times New Roman"/>
                <w:snapToGrid/>
                <w:color w:val="auto"/>
                <w:sz w:val="24"/>
                <w:szCs w:val="24"/>
                <w:highlight w:val="none"/>
                <w:lang w:val="en-US" w:eastAsia="zh-CN"/>
              </w:rPr>
              <w:t>5</w:t>
            </w:r>
          </w:p>
        </w:tc>
        <w:tc>
          <w:tcPr>
            <w:tcW w:w="1753" w:type="pct"/>
            <w:tcBorders>
              <w:top w:val="single" w:color="auto" w:sz="4" w:space="0"/>
              <w:left w:val="single" w:color="auto" w:sz="4" w:space="0"/>
              <w:bottom w:val="single" w:color="auto" w:sz="4" w:space="0"/>
              <w:right w:val="single" w:color="auto" w:sz="4" w:space="0"/>
            </w:tcBorders>
            <w:vAlign w:val="center"/>
          </w:tcPr>
          <w:p w14:paraId="6E9B42B1">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lang w:eastAsia="zh-CN"/>
              </w:rPr>
              <w:t>羊</w:t>
            </w:r>
            <w:r>
              <w:rPr>
                <w:rFonts w:hint="default" w:ascii="Times New Roman" w:hAnsi="Times New Roman" w:eastAsia="宋体" w:cs="Times New Roman"/>
                <w:snapToGrid/>
                <w:color w:val="auto"/>
                <w:sz w:val="24"/>
                <w:szCs w:val="24"/>
                <w:highlight w:val="none"/>
              </w:rPr>
              <w:t>布鲁氏菌活疫苗或基因缺失活疫苗（BA0711株或M5-90Δ26株）及免疫注射服务（含稀释液）</w:t>
            </w:r>
          </w:p>
        </w:tc>
        <w:tc>
          <w:tcPr>
            <w:tcW w:w="1010" w:type="pct"/>
            <w:tcBorders>
              <w:top w:val="single" w:color="auto" w:sz="4" w:space="0"/>
              <w:left w:val="single" w:color="auto" w:sz="4" w:space="0"/>
              <w:bottom w:val="single" w:color="auto" w:sz="4" w:space="0"/>
              <w:right w:val="single" w:color="auto" w:sz="4" w:space="0"/>
            </w:tcBorders>
            <w:vAlign w:val="center"/>
          </w:tcPr>
          <w:p w14:paraId="73979D4F">
            <w:pPr>
              <w:keepNext w:val="0"/>
              <w:keepLines w:val="0"/>
              <w:pageBreakBefore w:val="0"/>
              <w:kinsoku/>
              <w:wordWrap/>
              <w:overflowPunct/>
              <w:topLinePunct w:val="0"/>
              <w:autoSpaceDE/>
              <w:autoSpaceDN/>
              <w:bidi w:val="0"/>
              <w:adjustRightInd w:val="0"/>
              <w:snapToGrid w:val="0"/>
              <w:spacing w:line="300" w:lineRule="auto"/>
              <w:jc w:val="left"/>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kern w:val="0"/>
                <w:sz w:val="24"/>
                <w:szCs w:val="24"/>
                <w:highlight w:val="none"/>
                <w:lang w:val="en"/>
              </w:rPr>
              <w:t>71.11万头份</w:t>
            </w:r>
          </w:p>
        </w:tc>
        <w:tc>
          <w:tcPr>
            <w:tcW w:w="1069" w:type="pct"/>
            <w:tcBorders>
              <w:top w:val="single" w:color="auto" w:sz="4" w:space="0"/>
              <w:left w:val="single" w:color="auto" w:sz="4" w:space="0"/>
              <w:bottom w:val="single" w:color="auto" w:sz="4" w:space="0"/>
              <w:right w:val="single" w:color="auto" w:sz="4" w:space="0"/>
            </w:tcBorders>
            <w:vAlign w:val="center"/>
          </w:tcPr>
          <w:p w14:paraId="6FADDD6E">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lang w:eastAsia="zh-CN"/>
              </w:rPr>
              <w:t>淮北市、宿州市</w:t>
            </w:r>
          </w:p>
        </w:tc>
        <w:tc>
          <w:tcPr>
            <w:tcW w:w="709" w:type="pct"/>
            <w:tcBorders>
              <w:top w:val="single" w:color="auto" w:sz="4" w:space="0"/>
              <w:left w:val="single" w:color="auto" w:sz="4" w:space="0"/>
              <w:bottom w:val="single" w:color="auto" w:sz="4" w:space="0"/>
              <w:right w:val="single" w:color="auto" w:sz="4" w:space="0"/>
            </w:tcBorders>
            <w:vAlign w:val="center"/>
          </w:tcPr>
          <w:p w14:paraId="53E210F3">
            <w:pPr>
              <w:keepNext w:val="0"/>
              <w:keepLines w:val="0"/>
              <w:pageBreakBefore w:val="0"/>
              <w:kinsoku/>
              <w:wordWrap/>
              <w:overflowPunct/>
              <w:topLinePunct w:val="0"/>
              <w:autoSpaceDE/>
              <w:autoSpaceDN/>
              <w:bidi w:val="0"/>
              <w:adjustRightInd w:val="0"/>
              <w:snapToGrid w:val="0"/>
              <w:spacing w:line="300" w:lineRule="auto"/>
              <w:jc w:val="left"/>
              <w:textAlignment w:val="auto"/>
              <w:rPr>
                <w:rFonts w:hint="default" w:ascii="Times New Roman" w:hAnsi="Times New Roman" w:eastAsia="宋体" w:cs="Times New Roman"/>
                <w:snapToGrid/>
                <w:color w:val="auto"/>
                <w:kern w:val="0"/>
                <w:sz w:val="24"/>
                <w:szCs w:val="24"/>
                <w:highlight w:val="none"/>
                <w:lang w:val="en"/>
              </w:rPr>
            </w:pPr>
            <w:r>
              <w:rPr>
                <w:rFonts w:hint="default" w:ascii="Times New Roman" w:hAnsi="Times New Roman" w:eastAsia="宋体" w:cs="Times New Roman"/>
                <w:snapToGrid/>
                <w:color w:val="auto"/>
                <w:kern w:val="0"/>
                <w:sz w:val="24"/>
                <w:szCs w:val="24"/>
                <w:highlight w:val="none"/>
                <w:lang w:val="en" w:eastAsia="zh-CN"/>
              </w:rPr>
              <w:t>肉羊</w:t>
            </w:r>
          </w:p>
        </w:tc>
      </w:tr>
      <w:tr w14:paraId="3581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trPr>
        <w:tc>
          <w:tcPr>
            <w:tcW w:w="457" w:type="pct"/>
            <w:tcBorders>
              <w:top w:val="single" w:color="auto" w:sz="4" w:space="0"/>
              <w:left w:val="single" w:color="auto" w:sz="4" w:space="0"/>
              <w:bottom w:val="single" w:color="auto" w:sz="4" w:space="0"/>
              <w:right w:val="single" w:color="auto" w:sz="4" w:space="0"/>
            </w:tcBorders>
            <w:vAlign w:val="center"/>
          </w:tcPr>
          <w:p w14:paraId="78B46E0A">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val="en-US" w:eastAsia="zh-CN"/>
              </w:rPr>
            </w:pPr>
            <w:r>
              <w:rPr>
                <w:rFonts w:hint="default" w:ascii="Times New Roman" w:hAnsi="Times New Roman" w:eastAsia="宋体" w:cs="Times New Roman"/>
                <w:snapToGrid/>
                <w:color w:val="auto"/>
                <w:sz w:val="24"/>
                <w:szCs w:val="24"/>
                <w:highlight w:val="none"/>
                <w:lang w:val="en-US" w:eastAsia="zh-CN"/>
              </w:rPr>
              <w:t>6</w:t>
            </w:r>
          </w:p>
        </w:tc>
        <w:tc>
          <w:tcPr>
            <w:tcW w:w="1753" w:type="pct"/>
            <w:tcBorders>
              <w:top w:val="single" w:color="auto" w:sz="4" w:space="0"/>
              <w:left w:val="single" w:color="auto" w:sz="4" w:space="0"/>
              <w:bottom w:val="single" w:color="auto" w:sz="4" w:space="0"/>
              <w:right w:val="single" w:color="auto" w:sz="4" w:space="0"/>
            </w:tcBorders>
            <w:vAlign w:val="center"/>
          </w:tcPr>
          <w:p w14:paraId="32E9E06C">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sz w:val="24"/>
                <w:szCs w:val="24"/>
                <w:highlight w:val="none"/>
                <w:lang w:eastAsia="zh-CN"/>
              </w:rPr>
              <w:t>羊</w:t>
            </w:r>
            <w:r>
              <w:rPr>
                <w:rFonts w:hint="default" w:ascii="Times New Roman" w:hAnsi="Times New Roman" w:eastAsia="宋体" w:cs="Times New Roman"/>
                <w:snapToGrid/>
                <w:color w:val="auto"/>
                <w:sz w:val="24"/>
                <w:szCs w:val="24"/>
                <w:highlight w:val="none"/>
              </w:rPr>
              <w:t>布鲁氏菌活疫苗或基因缺失活疫苗（BA0711株或M5-90Δ26株）及免疫注射服务（含稀释液）</w:t>
            </w:r>
          </w:p>
        </w:tc>
        <w:tc>
          <w:tcPr>
            <w:tcW w:w="1010" w:type="pct"/>
            <w:tcBorders>
              <w:top w:val="single" w:color="auto" w:sz="4" w:space="0"/>
              <w:left w:val="single" w:color="auto" w:sz="4" w:space="0"/>
              <w:bottom w:val="single" w:color="auto" w:sz="4" w:space="0"/>
              <w:right w:val="single" w:color="auto" w:sz="4" w:space="0"/>
            </w:tcBorders>
            <w:vAlign w:val="center"/>
          </w:tcPr>
          <w:p w14:paraId="6FC77F65">
            <w:pPr>
              <w:keepNext w:val="0"/>
              <w:keepLines w:val="0"/>
              <w:pageBreakBefore w:val="0"/>
              <w:kinsoku/>
              <w:wordWrap/>
              <w:overflowPunct/>
              <w:topLinePunct w:val="0"/>
              <w:autoSpaceDE/>
              <w:autoSpaceDN/>
              <w:bidi w:val="0"/>
              <w:adjustRightInd w:val="0"/>
              <w:snapToGrid w:val="0"/>
              <w:spacing w:line="300" w:lineRule="auto"/>
              <w:jc w:val="left"/>
              <w:textAlignment w:val="auto"/>
              <w:rPr>
                <w:rFonts w:hint="default" w:ascii="Times New Roman" w:hAnsi="Times New Roman" w:eastAsia="宋体" w:cs="Times New Roman"/>
                <w:snapToGrid/>
                <w:color w:val="auto"/>
                <w:sz w:val="24"/>
                <w:szCs w:val="24"/>
                <w:highlight w:val="none"/>
              </w:rPr>
            </w:pPr>
            <w:r>
              <w:rPr>
                <w:rFonts w:hint="default" w:ascii="Times New Roman" w:hAnsi="Times New Roman" w:eastAsia="宋体" w:cs="Times New Roman"/>
                <w:snapToGrid/>
                <w:color w:val="auto"/>
                <w:kern w:val="0"/>
                <w:sz w:val="24"/>
                <w:szCs w:val="24"/>
                <w:highlight w:val="none"/>
                <w:lang w:val="en"/>
              </w:rPr>
              <w:t>48.4445万头份</w:t>
            </w:r>
          </w:p>
        </w:tc>
        <w:tc>
          <w:tcPr>
            <w:tcW w:w="1069" w:type="pct"/>
            <w:tcBorders>
              <w:top w:val="single" w:color="auto" w:sz="4" w:space="0"/>
              <w:left w:val="single" w:color="auto" w:sz="4" w:space="0"/>
              <w:bottom w:val="single" w:color="auto" w:sz="4" w:space="0"/>
              <w:right w:val="single" w:color="auto" w:sz="4" w:space="0"/>
            </w:tcBorders>
            <w:vAlign w:val="center"/>
          </w:tcPr>
          <w:p w14:paraId="5D6D1976">
            <w:pPr>
              <w:keepNext w:val="0"/>
              <w:keepLines w:val="0"/>
              <w:pageBreakBefore w:val="0"/>
              <w:kinsoku/>
              <w:wordWrap/>
              <w:overflowPunct/>
              <w:topLinePunct w:val="0"/>
              <w:autoSpaceDE/>
              <w:autoSpaceDN/>
              <w:bidi w:val="0"/>
              <w:adjustRightInd w:val="0"/>
              <w:snapToGrid w:val="0"/>
              <w:spacing w:line="300" w:lineRule="auto"/>
              <w:jc w:val="center"/>
              <w:textAlignment w:val="auto"/>
              <w:rPr>
                <w:rFonts w:hint="default" w:ascii="Times New Roman" w:hAnsi="Times New Roman" w:eastAsia="宋体" w:cs="Times New Roman"/>
                <w:snapToGrid/>
                <w:color w:val="auto"/>
                <w:sz w:val="24"/>
                <w:szCs w:val="24"/>
                <w:highlight w:val="none"/>
                <w:lang w:eastAsia="zh-CN"/>
              </w:rPr>
            </w:pPr>
            <w:r>
              <w:rPr>
                <w:rFonts w:hint="default" w:ascii="Times New Roman" w:hAnsi="Times New Roman" w:eastAsia="宋体" w:cs="Times New Roman"/>
                <w:snapToGrid/>
                <w:color w:val="auto"/>
                <w:sz w:val="24"/>
                <w:szCs w:val="24"/>
                <w:highlight w:val="none"/>
                <w:lang w:eastAsia="zh-CN"/>
              </w:rPr>
              <w:t>蚌埠市、淮南市</w:t>
            </w:r>
          </w:p>
        </w:tc>
        <w:tc>
          <w:tcPr>
            <w:tcW w:w="709" w:type="pct"/>
            <w:tcBorders>
              <w:top w:val="single" w:color="auto" w:sz="4" w:space="0"/>
              <w:left w:val="single" w:color="auto" w:sz="4" w:space="0"/>
              <w:bottom w:val="single" w:color="auto" w:sz="4" w:space="0"/>
              <w:right w:val="single" w:color="auto" w:sz="4" w:space="0"/>
            </w:tcBorders>
            <w:vAlign w:val="center"/>
          </w:tcPr>
          <w:p w14:paraId="78505D4D">
            <w:pPr>
              <w:keepNext w:val="0"/>
              <w:keepLines w:val="0"/>
              <w:pageBreakBefore w:val="0"/>
              <w:kinsoku/>
              <w:wordWrap/>
              <w:overflowPunct/>
              <w:topLinePunct w:val="0"/>
              <w:autoSpaceDE/>
              <w:autoSpaceDN/>
              <w:bidi w:val="0"/>
              <w:adjustRightInd w:val="0"/>
              <w:snapToGrid w:val="0"/>
              <w:spacing w:line="300" w:lineRule="auto"/>
              <w:jc w:val="left"/>
              <w:textAlignment w:val="auto"/>
              <w:rPr>
                <w:rFonts w:hint="default" w:ascii="Times New Roman" w:hAnsi="Times New Roman" w:eastAsia="宋体" w:cs="Times New Roman"/>
                <w:snapToGrid/>
                <w:color w:val="auto"/>
                <w:kern w:val="0"/>
                <w:sz w:val="24"/>
                <w:szCs w:val="24"/>
                <w:highlight w:val="none"/>
                <w:lang w:val="en"/>
              </w:rPr>
            </w:pPr>
            <w:r>
              <w:rPr>
                <w:rFonts w:hint="default" w:ascii="Times New Roman" w:hAnsi="Times New Roman" w:eastAsia="宋体" w:cs="Times New Roman"/>
                <w:snapToGrid/>
                <w:color w:val="auto"/>
                <w:kern w:val="0"/>
                <w:sz w:val="24"/>
                <w:szCs w:val="24"/>
                <w:highlight w:val="none"/>
                <w:lang w:val="en" w:eastAsia="zh-CN"/>
              </w:rPr>
              <w:t>肉羊</w:t>
            </w:r>
          </w:p>
        </w:tc>
      </w:tr>
      <w:bookmarkEnd w:id="4"/>
      <w:bookmarkEnd w:id="5"/>
    </w:tbl>
    <w:p w14:paraId="2D96BF30">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三、货物及服务要求</w:t>
      </w:r>
    </w:p>
    <w:p w14:paraId="7631404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1.合同签订后，中标人接到采购人疫苗调拨通知后应在5日内将疫苗送到指定的地点。</w:t>
      </w:r>
    </w:p>
    <w:p w14:paraId="4C57211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2.疫苗必须冷链运输，温度控制在2—8℃，否则采购人拒收，并要求中标人重新发货。</w:t>
      </w:r>
    </w:p>
    <w:p w14:paraId="23410EA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3.交货时疫苗有效期不得低于中标人在投标文件中承诺的有效期时长，包装规格必须与投标文件承诺一致，且性状与说明书描述一致，否则采购人拒收，并要求中标人重新发货。</w:t>
      </w:r>
    </w:p>
    <w:p w14:paraId="3553663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4.交货时需提供产品出厂合格证、使用说明书和中国兽医药品监察所对该批产品的批签发报告扫描件。</w:t>
      </w:r>
    </w:p>
    <w:p w14:paraId="35D4F869">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5.中标人按照采购人要求，及时开展免疫注射服务，如实填写记录等免疫档案，做好疫苗瓶等废弃物的回收和处理，以防污染环境。中标人要准备好免疫注射服务防护用品、注射器械和消毒药械，同时免疫注射人员要按照《布鲁氏菌病免疫接种技术规范》进行操作，做好人身防护，因防疫造成的人身伤害，由中标人承担，采购人概不负责。</w:t>
      </w:r>
    </w:p>
    <w:p w14:paraId="1F40CD42">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四、售后服务</w:t>
      </w:r>
    </w:p>
    <w:p w14:paraId="272463C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1.送货地点为用户方（6个市农业农村部门或所在市要求的县级农业农村部门）单位所在地。</w:t>
      </w:r>
    </w:p>
    <w:p w14:paraId="2D5B111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2.采购人可根据免疫情况及防疫工作需要，要求中标人免费开展相关疫苗试验、监测、培训等。</w:t>
      </w:r>
    </w:p>
    <w:p w14:paraId="1571FE1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3.疫苗免疫造成副反应、死亡或经济损失的，中标人无条件及时派人调查或参加由供需双方组成的联合调查小组进行调查。经调查认定或经国家权威部门鉴定，确认是因疫苗质量引起的损失，负责给予赔偿。</w:t>
      </w:r>
    </w:p>
    <w:p w14:paraId="1BDF3A8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4.如因免疫失败，导致疫情暴发，双方会同有关部门组成调查组查清原因，经权威部门确认是由产品质量原因造成的，中标人应承担扑疫经费，并赔偿相应的经济损失。</w:t>
      </w:r>
    </w:p>
    <w:p w14:paraId="22403DC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5.采购人有权对中标人提供产品和服务的每一个批次产品开展免疫效果评价，经检测和评价不符合国家相关标准和要求的，按要求进行补免，补免1次仍不符合要求的，应扣除履约保证金或对产品进行退货、中止合同，并追究违约责任。</w:t>
      </w:r>
    </w:p>
    <w:p w14:paraId="4E7E4328">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五</w:t>
      </w:r>
      <w:r>
        <w:rPr>
          <w:rFonts w:hint="default" w:ascii="Times New Roman" w:hAnsi="Times New Roman" w:eastAsia="宋体" w:cs="Times New Roman"/>
          <w:b/>
          <w:bCs/>
          <w:color w:val="auto"/>
          <w:sz w:val="24"/>
          <w:highlight w:val="none"/>
          <w:lang w:val="en-US" w:eastAsia="zh-CN"/>
        </w:rPr>
        <w:t>、知识产权</w:t>
      </w:r>
    </w:p>
    <w:p w14:paraId="62F08129">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采购人在中华人民共和国境内使用投标人提供的货物及服务时免受第三方提出的侵犯其专利权或其</w:t>
      </w:r>
      <w:bookmarkStart w:id="6" w:name="_GoBack"/>
      <w:bookmarkEnd w:id="6"/>
      <w:r>
        <w:rPr>
          <w:rFonts w:hint="default" w:ascii="Times New Roman" w:hAnsi="Times New Roman" w:eastAsia="宋体" w:cs="Times New Roman"/>
          <w:color w:val="auto"/>
          <w:sz w:val="24"/>
          <w:highlight w:val="none"/>
          <w:lang w:val="en-US" w:eastAsia="zh-CN"/>
        </w:rPr>
        <w:t>它知识产权的起诉。如果第三方提出侵权指控，中标人应承担由此而引起的一切法律责任和费用。</w:t>
      </w:r>
    </w:p>
    <w:p w14:paraId="2E940F6D">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六、投标报价</w:t>
      </w:r>
    </w:p>
    <w:p w14:paraId="379C0E8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1.本项目各包分别报</w:t>
      </w:r>
      <w:r>
        <w:rPr>
          <w:rFonts w:hint="default" w:ascii="Times New Roman" w:hAnsi="Times New Roman" w:eastAsia="宋体" w:cs="Times New Roman"/>
          <w:b/>
          <w:bCs/>
          <w:color w:val="auto"/>
          <w:sz w:val="24"/>
          <w:highlight w:val="none"/>
          <w:lang w:val="en-US" w:eastAsia="zh-CN"/>
        </w:rPr>
        <w:t>综合单价</w:t>
      </w:r>
      <w:r>
        <w:rPr>
          <w:rFonts w:hint="default" w:ascii="Times New Roman" w:hAnsi="Times New Roman" w:eastAsia="宋体" w:cs="Times New Roman"/>
          <w:color w:val="auto"/>
          <w:sz w:val="24"/>
          <w:highlight w:val="none"/>
          <w:lang w:val="en-US" w:eastAsia="zh-CN"/>
        </w:rPr>
        <w:t>，投标人对每包投标产品报且只能报一个投标综合单价，且所报单价不得高于最高限价。</w:t>
      </w:r>
    </w:p>
    <w:p w14:paraId="25E1699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投标人对所投产品综合单价报价为对应本项目需求的全部货物及所需附件购置费、包装费、运输费、人工费、保险费、安装调试费、各种税费、资料费、售后服务费及完成项目应有的全部费用。所有优惠均体现在投标报价中，额外标明或承诺提供其他费用或物品均不予认可。</w:t>
      </w:r>
      <w:r>
        <w:rPr>
          <w:rFonts w:hint="default" w:ascii="Times New Roman" w:hAnsi="Times New Roman" w:eastAsia="宋体" w:cs="Times New Roman"/>
          <w:b/>
          <w:bCs/>
          <w:color w:val="auto"/>
          <w:sz w:val="24"/>
          <w:highlight w:val="none"/>
          <w:lang w:val="en-US" w:eastAsia="zh-CN"/>
        </w:rPr>
        <w:t>费用结算：按实际供货数量×中标人所报综合单价据实结算，最终结算总费用不超过各包预算</w:t>
      </w:r>
      <w:r>
        <w:rPr>
          <w:rFonts w:hint="default" w:ascii="Times New Roman" w:hAnsi="Times New Roman" w:eastAsia="宋体" w:cs="Times New Roman"/>
          <w:color w:val="auto"/>
          <w:sz w:val="24"/>
          <w:highlight w:val="none"/>
          <w:lang w:val="en-US" w:eastAsia="zh-CN"/>
        </w:rPr>
        <w:t>。</w:t>
      </w:r>
    </w:p>
    <w:p w14:paraId="6FB36B1E">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七、其他说明</w:t>
      </w:r>
    </w:p>
    <w:p w14:paraId="37DDE759">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在履行合同期间，国家出台政策调整强制免疫病种或疫苗品种时，用户方和采购人有权对采购品种和采购数量进行调整或取消；如在中标人提供产品期间，国家相关部门规定统一更换、增加或减少疫苗毒株，中标人应提供更换、增加或减少毒株后生产的产品，疫苗结算单价不变。</w:t>
      </w:r>
    </w:p>
    <w:p w14:paraId="6B5E3BB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因不可抗力、政策调整或其他非中标人原因导致不能按时供货或所供的产品不能满足用户方实际使用需要时，为保证强制免疫顺利开展，用户方在报采购人备案后，可要求中标人采购其他中标人同类产品进行供货，结算单价不变。</w:t>
      </w:r>
    </w:p>
    <w:p w14:paraId="277105B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因中标人原因导致产品不能供应或按时供应时，为保证强制免疫工作顺利开展，用户方有权要求中标人从其他中标人调购疫苗，结算单价按该品种疫苗最低中标价格结算；同时，采购人将相关违约情况报省财政厅进行处罚，并取消下一年度投标资格。</w:t>
      </w:r>
    </w:p>
    <w:p w14:paraId="5627C8E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4.中标人在实施本项目过程中应尽必要的安全注意义务，如发生任何事故，由中标人自行负责，若由此给采购人或第三人造成损失的，中标人应承担赔偿责任。</w:t>
      </w:r>
    </w:p>
    <w:p w14:paraId="7836770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5.中标人与采购人签订采购总合同（包括供货范围、需求数量、单价等）后，需与用户方签订供货合同，明确具体供货数量、供货时间、送达地点、免疫注射服务时间等内容。</w:t>
      </w:r>
    </w:p>
    <w:p w14:paraId="43A6A6F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6.本项目由安徽省农业农村厅负责解释。</w:t>
      </w:r>
    </w:p>
    <w:p w14:paraId="1B5C8631">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注：</w:t>
      </w:r>
    </w:p>
    <w:p w14:paraId="3B51385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采购人：安徽省农业农村厅</w:t>
      </w:r>
    </w:p>
    <w:p w14:paraId="4DACED6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用户方：淮北、亳州、宿州、蚌埠、阜阳、淮南等6个设区市农业农村部门。</w:t>
      </w:r>
    </w:p>
    <w:p w14:paraId="722137E5">
      <w:pPr>
        <w:keepNext w:val="0"/>
        <w:keepLines w:val="0"/>
        <w:pageBreakBefore w:val="0"/>
        <w:widowControl w:val="0"/>
        <w:kinsoku/>
        <w:wordWrap/>
        <w:overflowPunct/>
        <w:topLinePunct w:val="0"/>
        <w:autoSpaceDE/>
        <w:autoSpaceDN/>
        <w:bidi w:val="0"/>
        <w:adjustRightInd/>
        <w:snapToGrid/>
        <w:spacing w:line="30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A358C6"/>
    <w:rsid w:val="10394623"/>
    <w:rsid w:val="34D20DDF"/>
    <w:rsid w:val="41A35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3">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customStyle="1" w:styleId="6">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944</Words>
  <Characters>978</Characters>
  <Lines>0</Lines>
  <Paragraphs>0</Paragraphs>
  <TotalTime>0</TotalTime>
  <ScaleCrop>false</ScaleCrop>
  <LinksUpToDate>false</LinksUpToDate>
  <CharactersWithSpaces>995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2026-08-25T09:03:00Z</dcterms:created>
  <dc:creator>省招</dc:creator>
  <cp:lastModifiedBy>省招</cp:lastModifiedBy>
  <dcterms:modified xsi:type="dcterms:W3CDTF">2026-08-25T11:22:58Z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21E76B3FF3664FC289E02D39C9CFB0DC_11</vt:lpwstr>
  </property>
  <property fmtid="{D5CDD505-2E9C-101B-9397-08002B2CF9AE}" pid="4" name="KSOTemplateDocerSaveRecord">
    <vt:lpwstr>eyJoZGlkIjoiNGMwMTQ4YTY5ZjhmMzQyYzc0YTE3NTkyOGVmODk0MTIiLCJ1c2VySWQiOiI2OTIxNzQ3NjMifQ==</vt:lpwstr>
  </property>
</Properties>
</file>