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7006A4">
      <w:pPr>
        <w:spacing w:line="360" w:lineRule="auto"/>
        <w:jc w:val="center"/>
        <w:outlineLvl w:val="0"/>
        <w:rPr>
          <w:rFonts w:asciiTheme="minorEastAsia" w:hAnsiTheme="minorEastAsia" w:eastAsiaTheme="minorEastAsia"/>
          <w:b/>
          <w:sz w:val="28"/>
        </w:rPr>
      </w:pPr>
      <w:bookmarkStart w:id="0" w:name="_Toc13066"/>
      <w:r>
        <w:rPr>
          <w:rFonts w:hint="eastAsia" w:asciiTheme="minorEastAsia" w:hAnsiTheme="minorEastAsia" w:eastAsiaTheme="minorEastAsia"/>
          <w:b/>
          <w:sz w:val="28"/>
        </w:rPr>
        <w:t>第三章  采购需求</w:t>
      </w:r>
      <w:bookmarkEnd w:id="0"/>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8"/>
        <w:gridCol w:w="1277"/>
        <w:gridCol w:w="6287"/>
      </w:tblGrid>
      <w:tr w14:paraId="41401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Align w:val="center"/>
          </w:tcPr>
          <w:p w14:paraId="13E5CB30">
            <w:pPr>
              <w:spacing w:line="360" w:lineRule="auto"/>
              <w:jc w:val="center"/>
              <w:rPr>
                <w:rFonts w:hint="eastAsia" w:asciiTheme="minorEastAsia" w:hAnsiTheme="minorEastAsia" w:eastAsiaTheme="minorEastAsia" w:cstheme="minorEastAsia"/>
                <w:b/>
                <w:kern w:val="2"/>
                <w:sz w:val="24"/>
                <w:szCs w:val="22"/>
              </w:rPr>
            </w:pPr>
            <w:r>
              <w:rPr>
                <w:rFonts w:hint="eastAsia" w:asciiTheme="minorEastAsia" w:hAnsiTheme="minorEastAsia" w:eastAsiaTheme="minorEastAsia" w:cstheme="minorEastAsia"/>
                <w:b/>
                <w:kern w:val="2"/>
                <w:sz w:val="24"/>
                <w:szCs w:val="22"/>
              </w:rPr>
              <w:t>序号</w:t>
            </w:r>
          </w:p>
        </w:tc>
        <w:tc>
          <w:tcPr>
            <w:tcW w:w="1277" w:type="dxa"/>
            <w:vAlign w:val="center"/>
          </w:tcPr>
          <w:p w14:paraId="497C0315">
            <w:pPr>
              <w:spacing w:line="360" w:lineRule="auto"/>
              <w:ind w:firstLine="435"/>
              <w:jc w:val="center"/>
              <w:rPr>
                <w:rFonts w:hint="eastAsia" w:asciiTheme="minorEastAsia" w:hAnsiTheme="minorEastAsia" w:eastAsiaTheme="minorEastAsia" w:cstheme="minorEastAsia"/>
                <w:b/>
                <w:kern w:val="2"/>
                <w:sz w:val="24"/>
                <w:szCs w:val="22"/>
              </w:rPr>
            </w:pPr>
            <w:r>
              <w:rPr>
                <w:rFonts w:hint="eastAsia" w:asciiTheme="minorEastAsia" w:hAnsiTheme="minorEastAsia" w:eastAsiaTheme="minorEastAsia" w:cstheme="minorEastAsia"/>
                <w:b/>
                <w:kern w:val="2"/>
                <w:sz w:val="24"/>
                <w:szCs w:val="22"/>
              </w:rPr>
              <w:t>内容</w:t>
            </w:r>
          </w:p>
        </w:tc>
        <w:tc>
          <w:tcPr>
            <w:tcW w:w="6287" w:type="dxa"/>
            <w:vAlign w:val="center"/>
          </w:tcPr>
          <w:p w14:paraId="469F116A">
            <w:pPr>
              <w:spacing w:line="360" w:lineRule="auto"/>
              <w:ind w:firstLine="435"/>
              <w:jc w:val="center"/>
              <w:rPr>
                <w:rFonts w:hint="eastAsia" w:asciiTheme="minorEastAsia" w:hAnsiTheme="minorEastAsia" w:eastAsiaTheme="minorEastAsia" w:cstheme="minorEastAsia"/>
                <w:b/>
                <w:kern w:val="2"/>
                <w:sz w:val="24"/>
                <w:szCs w:val="22"/>
              </w:rPr>
            </w:pPr>
            <w:r>
              <w:rPr>
                <w:rFonts w:hint="eastAsia" w:asciiTheme="minorEastAsia" w:hAnsiTheme="minorEastAsia" w:eastAsiaTheme="minorEastAsia" w:cstheme="minorEastAsia"/>
                <w:b/>
                <w:kern w:val="2"/>
                <w:sz w:val="24"/>
                <w:szCs w:val="22"/>
              </w:rPr>
              <w:t>说明和要求</w:t>
            </w:r>
          </w:p>
        </w:tc>
      </w:tr>
      <w:tr w14:paraId="1171F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Align w:val="center"/>
          </w:tcPr>
          <w:p w14:paraId="7C2F0405">
            <w:pPr>
              <w:spacing w:line="360" w:lineRule="auto"/>
              <w:jc w:val="center"/>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t>1</w:t>
            </w:r>
          </w:p>
        </w:tc>
        <w:tc>
          <w:tcPr>
            <w:tcW w:w="1277" w:type="dxa"/>
            <w:vAlign w:val="center"/>
          </w:tcPr>
          <w:p w14:paraId="07935F56">
            <w:pPr>
              <w:spacing w:line="360" w:lineRule="auto"/>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t>人员到岗及履约要求</w:t>
            </w:r>
          </w:p>
        </w:tc>
        <w:tc>
          <w:tcPr>
            <w:tcW w:w="6287" w:type="dxa"/>
            <w:vAlign w:val="center"/>
          </w:tcPr>
          <w:p w14:paraId="757DA6C0">
            <w:pPr>
              <w:spacing w:line="360" w:lineRule="auto"/>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t>（1）供应商一旦成交，磋商时所报的本项目的项目经理、施工现场技术负责人、各专业负责工程师及施工机械等在整个项目施工期内必须在位，否则采购人有权解除合同。由此造成的损失，成交供应商自行承担并赔偿可能给采购人造成的损失。</w:t>
            </w:r>
          </w:p>
          <w:p w14:paraId="3C0256CA">
            <w:pPr>
              <w:spacing w:line="360" w:lineRule="auto"/>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t>（2）成交供应商不得擅自更换磋商时所报项目经理及项目部主要管理人员。确需更换时，须报采购人同意，更换后人员不得低于成交供应商磋商时所报人员资质和技术水平。采购人如认为有必要，可要求对上述人员中的部分人员作出更好的调整。</w:t>
            </w:r>
          </w:p>
          <w:p w14:paraId="2B6CBB4C">
            <w:pPr>
              <w:spacing w:line="360" w:lineRule="auto"/>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t>（3）成交供应商未能按照承诺到岗尽职的，采购人将视情况严重程度对其作出相应处理，并发出整改通知。如仍未及时整改，采购人有权责令其停工整改、直至解除合同，引进新的承包人。采购人还将停止支付工程款项，扣留任何未付的工程进度款项补偿建设单位的有关损失或工期延误的损失，并就此向承包人索赔。</w:t>
            </w:r>
          </w:p>
        </w:tc>
      </w:tr>
      <w:tr w14:paraId="75FB5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Align w:val="center"/>
          </w:tcPr>
          <w:p w14:paraId="2FD118DB">
            <w:pPr>
              <w:spacing w:line="360" w:lineRule="auto"/>
              <w:jc w:val="center"/>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t>2</w:t>
            </w:r>
          </w:p>
        </w:tc>
        <w:tc>
          <w:tcPr>
            <w:tcW w:w="1277" w:type="dxa"/>
            <w:vAlign w:val="center"/>
          </w:tcPr>
          <w:p w14:paraId="42D6E991">
            <w:pPr>
              <w:spacing w:line="360" w:lineRule="auto"/>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t>材料要求</w:t>
            </w:r>
          </w:p>
        </w:tc>
        <w:tc>
          <w:tcPr>
            <w:tcW w:w="6287" w:type="dxa"/>
            <w:vAlign w:val="center"/>
          </w:tcPr>
          <w:p w14:paraId="1AC8DE30">
            <w:pPr>
              <w:spacing w:line="360" w:lineRule="auto"/>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t>成交供应商自行采购的材料应满足设计和规范要求的质量等级，并须按有关技术规范要求对材料质量进行检验。成交供应商选定的材料供应厂家和价格须经采购人和监理单位认可。如采购人和监理单位对某种或某些材料的质量有异议，有权提出停止使用的要求，成交供应商必须服从该要求。若该材料经权威检验部门鉴定确有质量问题，由此而发生的一切费用由成交供应商自负。因成交供应商自行采购的材料质量引起的工程质量问题由成交供应商承担所造成的一切损失。</w:t>
            </w:r>
          </w:p>
        </w:tc>
      </w:tr>
      <w:tr w14:paraId="3402E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Align w:val="center"/>
          </w:tcPr>
          <w:p w14:paraId="0FFCAFB9">
            <w:pPr>
              <w:spacing w:line="360" w:lineRule="auto"/>
              <w:jc w:val="center"/>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t>3</w:t>
            </w:r>
          </w:p>
        </w:tc>
        <w:tc>
          <w:tcPr>
            <w:tcW w:w="1277" w:type="dxa"/>
            <w:vAlign w:val="center"/>
          </w:tcPr>
          <w:p w14:paraId="1D42F447">
            <w:pPr>
              <w:spacing w:line="360" w:lineRule="auto"/>
              <w:rPr>
                <w:rFonts w:hint="eastAsia" w:asciiTheme="minorEastAsia" w:hAnsiTheme="minorEastAsia" w:eastAsiaTheme="minorEastAsia" w:cstheme="minorEastAsia"/>
                <w:b/>
                <w:bCs/>
                <w:kern w:val="2"/>
                <w:sz w:val="24"/>
                <w:szCs w:val="22"/>
              </w:rPr>
            </w:pPr>
            <w:r>
              <w:rPr>
                <w:rFonts w:hint="eastAsia" w:asciiTheme="minorEastAsia" w:hAnsiTheme="minorEastAsia" w:eastAsiaTheme="minorEastAsia" w:cstheme="minorEastAsia"/>
                <w:b/>
                <w:bCs/>
                <w:kern w:val="2"/>
                <w:sz w:val="24"/>
                <w:szCs w:val="22"/>
              </w:rPr>
              <w:t>工程施工重点难点</w:t>
            </w:r>
          </w:p>
        </w:tc>
        <w:tc>
          <w:tcPr>
            <w:tcW w:w="6287" w:type="dxa"/>
            <w:vAlign w:val="center"/>
          </w:tcPr>
          <w:p w14:paraId="6582A846">
            <w:pPr>
              <w:spacing w:line="360" w:lineRule="auto"/>
              <w:rPr>
                <w:rFonts w:hint="eastAsia" w:asciiTheme="minorEastAsia" w:hAnsiTheme="minorEastAsia" w:eastAsiaTheme="minorEastAsia" w:cstheme="minorEastAsia"/>
                <w:b/>
                <w:bCs/>
                <w:kern w:val="2"/>
                <w:sz w:val="24"/>
                <w:szCs w:val="22"/>
                <w:lang w:eastAsia="zh-CN"/>
              </w:rPr>
            </w:pPr>
            <w:r>
              <w:rPr>
                <w:rFonts w:hint="eastAsia" w:asciiTheme="minorEastAsia" w:hAnsiTheme="minorEastAsia" w:eastAsiaTheme="minorEastAsia" w:cstheme="minorEastAsia"/>
                <w:b/>
                <w:bCs/>
                <w:kern w:val="2"/>
                <w:sz w:val="24"/>
                <w:szCs w:val="22"/>
                <w:lang w:eastAsia="zh-CN"/>
              </w:rPr>
              <w:t>（</w:t>
            </w:r>
            <w:r>
              <w:rPr>
                <w:rFonts w:hint="eastAsia" w:asciiTheme="minorEastAsia" w:hAnsiTheme="minorEastAsia" w:eastAsiaTheme="minorEastAsia" w:cstheme="minorEastAsia"/>
                <w:b/>
                <w:bCs/>
                <w:kern w:val="2"/>
                <w:sz w:val="24"/>
                <w:szCs w:val="22"/>
                <w:lang w:val="en-US" w:eastAsia="zh-CN"/>
              </w:rPr>
              <w:t>1</w:t>
            </w:r>
            <w:r>
              <w:rPr>
                <w:rFonts w:hint="eastAsia" w:asciiTheme="minorEastAsia" w:hAnsiTheme="minorEastAsia" w:eastAsiaTheme="minorEastAsia" w:cstheme="minorEastAsia"/>
                <w:b/>
                <w:bCs/>
                <w:kern w:val="2"/>
                <w:sz w:val="24"/>
                <w:szCs w:val="22"/>
                <w:lang w:eastAsia="zh-CN"/>
              </w:rPr>
              <w:t>）因施工区域为校园内部，四周人流密集且情况复杂，施工过程中须做好四面</w:t>
            </w:r>
            <w:r>
              <w:rPr>
                <w:rFonts w:hint="eastAsia" w:asciiTheme="minorEastAsia" w:hAnsiTheme="minorEastAsia" w:eastAsiaTheme="minorEastAsia" w:cstheme="minorEastAsia"/>
                <w:b/>
                <w:bCs/>
                <w:kern w:val="2"/>
                <w:sz w:val="24"/>
                <w:szCs w:val="22"/>
                <w:lang w:val="en-US" w:eastAsia="zh-CN"/>
              </w:rPr>
              <w:t>封闭</w:t>
            </w:r>
            <w:r>
              <w:rPr>
                <w:rFonts w:hint="eastAsia" w:asciiTheme="minorEastAsia" w:hAnsiTheme="minorEastAsia" w:eastAsiaTheme="minorEastAsia" w:cstheme="minorEastAsia"/>
                <w:b/>
                <w:bCs/>
                <w:kern w:val="2"/>
                <w:sz w:val="24"/>
                <w:szCs w:val="22"/>
                <w:lang w:eastAsia="zh-CN"/>
              </w:rPr>
              <w:t>安全防护、时刻关注现场附近和过往行人车流的安全与方便，确保工程安全顺利开展。供应商应在交通组织及成品与半成品保护上提供切实可行的方案及措施。</w:t>
            </w:r>
          </w:p>
          <w:p w14:paraId="069F4D99">
            <w:pPr>
              <w:spacing w:line="360" w:lineRule="auto"/>
              <w:rPr>
                <w:rFonts w:hint="eastAsia" w:asciiTheme="minorEastAsia" w:hAnsiTheme="minorEastAsia" w:eastAsiaTheme="minorEastAsia" w:cstheme="minorEastAsia"/>
                <w:b/>
                <w:bCs/>
                <w:kern w:val="2"/>
                <w:sz w:val="24"/>
                <w:szCs w:val="22"/>
                <w:lang w:eastAsia="zh-CN"/>
              </w:rPr>
            </w:pPr>
            <w:r>
              <w:rPr>
                <w:rFonts w:hint="eastAsia" w:asciiTheme="minorEastAsia" w:hAnsiTheme="minorEastAsia" w:eastAsiaTheme="minorEastAsia" w:cstheme="minorEastAsia"/>
                <w:b/>
                <w:bCs/>
                <w:kern w:val="2"/>
                <w:sz w:val="24"/>
                <w:szCs w:val="22"/>
                <w:lang w:val="en-US" w:eastAsia="zh-CN"/>
              </w:rPr>
              <w:t>（2）本</w:t>
            </w:r>
            <w:r>
              <w:rPr>
                <w:rFonts w:hint="eastAsia" w:asciiTheme="minorEastAsia" w:hAnsiTheme="minorEastAsia" w:eastAsiaTheme="minorEastAsia" w:cstheme="minorEastAsia"/>
                <w:b/>
                <w:bCs/>
                <w:kern w:val="2"/>
                <w:sz w:val="24"/>
                <w:szCs w:val="22"/>
                <w:lang w:eastAsia="zh-CN"/>
              </w:rPr>
              <w:t>项目工期紧任务重，请供应商自行踏勘现场，响应工期要求编制详细的工期计划。</w:t>
            </w:r>
          </w:p>
          <w:p w14:paraId="610BC1AF">
            <w:pPr>
              <w:spacing w:line="360" w:lineRule="auto"/>
              <w:rPr>
                <w:rFonts w:hint="eastAsia" w:asciiTheme="minorEastAsia" w:hAnsiTheme="minorEastAsia" w:eastAsiaTheme="minorEastAsia" w:cstheme="minorEastAsia"/>
                <w:b/>
                <w:bCs/>
                <w:kern w:val="2"/>
                <w:sz w:val="24"/>
                <w:szCs w:val="22"/>
                <w:lang w:eastAsia="zh-CN"/>
              </w:rPr>
            </w:pPr>
            <w:r>
              <w:rPr>
                <w:rFonts w:hint="eastAsia" w:asciiTheme="minorEastAsia" w:hAnsiTheme="minorEastAsia" w:eastAsiaTheme="minorEastAsia" w:cstheme="minorEastAsia"/>
                <w:b/>
                <w:bCs/>
                <w:kern w:val="2"/>
                <w:sz w:val="24"/>
                <w:szCs w:val="22"/>
                <w:lang w:eastAsia="zh-CN"/>
              </w:rPr>
              <w:t>（</w:t>
            </w:r>
            <w:r>
              <w:rPr>
                <w:rFonts w:hint="eastAsia" w:asciiTheme="minorEastAsia" w:hAnsiTheme="minorEastAsia" w:eastAsiaTheme="minorEastAsia" w:cstheme="minorEastAsia"/>
                <w:b/>
                <w:bCs/>
                <w:kern w:val="2"/>
                <w:sz w:val="24"/>
                <w:szCs w:val="22"/>
                <w:lang w:val="en-US" w:eastAsia="zh-CN"/>
              </w:rPr>
              <w:t>3</w:t>
            </w:r>
            <w:r>
              <w:rPr>
                <w:rFonts w:hint="eastAsia" w:asciiTheme="minorEastAsia" w:hAnsiTheme="minorEastAsia" w:eastAsiaTheme="minorEastAsia" w:cstheme="minorEastAsia"/>
                <w:b/>
                <w:bCs/>
                <w:kern w:val="2"/>
                <w:sz w:val="24"/>
                <w:szCs w:val="22"/>
                <w:lang w:eastAsia="zh-CN"/>
              </w:rPr>
              <w:t>）施工现场无材料及垃圾堆放区，需考虑材料堆放场地及拆除后的垃圾每日清理出现场，供应商需按照文明施工要求在噪音、扬尘、垃圾清运上编制详细的文明施工方案。</w:t>
            </w:r>
          </w:p>
        </w:tc>
      </w:tr>
      <w:tr w14:paraId="28DFC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Align w:val="center"/>
          </w:tcPr>
          <w:p w14:paraId="5C017143">
            <w:pPr>
              <w:spacing w:line="360" w:lineRule="auto"/>
              <w:jc w:val="center"/>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t>4</w:t>
            </w:r>
          </w:p>
        </w:tc>
        <w:tc>
          <w:tcPr>
            <w:tcW w:w="1277" w:type="dxa"/>
            <w:vAlign w:val="center"/>
          </w:tcPr>
          <w:p w14:paraId="41699B1F">
            <w:pPr>
              <w:spacing w:line="360" w:lineRule="auto"/>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t>报价须知</w:t>
            </w:r>
          </w:p>
        </w:tc>
        <w:tc>
          <w:tcPr>
            <w:tcW w:w="6287" w:type="dxa"/>
            <w:vAlign w:val="center"/>
          </w:tcPr>
          <w:p w14:paraId="3BD7695E">
            <w:pPr>
              <w:spacing w:line="360" w:lineRule="auto"/>
              <w:rPr>
                <w:rFonts w:hint="eastAsia" w:asciiTheme="minorEastAsia" w:hAnsiTheme="minorEastAsia" w:eastAsiaTheme="minorEastAsia" w:cstheme="minorEastAsia"/>
                <w:kern w:val="2"/>
                <w:sz w:val="21"/>
                <w:szCs w:val="22"/>
              </w:rPr>
            </w:pPr>
            <w:r>
              <w:rPr>
                <w:rFonts w:hint="eastAsia" w:asciiTheme="minorEastAsia" w:hAnsiTheme="minorEastAsia" w:eastAsiaTheme="minorEastAsia" w:cstheme="minorEastAsia"/>
                <w:kern w:val="2"/>
                <w:sz w:val="24"/>
                <w:szCs w:val="22"/>
              </w:rPr>
              <w:t>供应商最后报价均不得高于磋商文件（公告）列明的项目预算、最高限价，否则其响应文件将被认定为响应无效。</w:t>
            </w:r>
          </w:p>
        </w:tc>
      </w:tr>
      <w:tr w14:paraId="46C67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Align w:val="center"/>
          </w:tcPr>
          <w:p w14:paraId="19D47F8D">
            <w:pPr>
              <w:spacing w:line="360" w:lineRule="auto"/>
              <w:jc w:val="center"/>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t>5</w:t>
            </w:r>
          </w:p>
        </w:tc>
        <w:tc>
          <w:tcPr>
            <w:tcW w:w="1277" w:type="dxa"/>
            <w:vAlign w:val="center"/>
          </w:tcPr>
          <w:p w14:paraId="02181476">
            <w:pPr>
              <w:spacing w:line="360" w:lineRule="auto"/>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t>重要说明</w:t>
            </w:r>
          </w:p>
        </w:tc>
        <w:tc>
          <w:tcPr>
            <w:tcW w:w="6287" w:type="dxa"/>
            <w:vAlign w:val="center"/>
          </w:tcPr>
          <w:p w14:paraId="11818C7A">
            <w:pPr>
              <w:spacing w:line="360" w:lineRule="auto"/>
              <w:rPr>
                <w:rFonts w:hint="eastAsia" w:asciiTheme="minorEastAsia" w:hAnsiTheme="minorEastAsia" w:eastAsiaTheme="minorEastAsia" w:cstheme="minorEastAsia"/>
                <w:kern w:val="2"/>
                <w:sz w:val="24"/>
                <w:szCs w:val="18"/>
              </w:rPr>
            </w:pPr>
            <w:bookmarkStart w:id="1" w:name="OLE_LINK3"/>
            <w:r>
              <w:rPr>
                <w:rFonts w:hint="eastAsia" w:asciiTheme="minorEastAsia" w:hAnsiTheme="minorEastAsia" w:eastAsiaTheme="minorEastAsia" w:cstheme="minorEastAsia"/>
                <w:kern w:val="2"/>
                <w:sz w:val="24"/>
                <w:szCs w:val="24"/>
              </w:rPr>
              <w:t>政府采购政策（包括但不限于下列具体政策要求）</w:t>
            </w:r>
            <w:r>
              <w:rPr>
                <w:rFonts w:hint="eastAsia" w:asciiTheme="minorEastAsia" w:hAnsiTheme="minorEastAsia" w:eastAsiaTheme="minorEastAsia" w:cstheme="minorEastAsia"/>
                <w:kern w:val="2"/>
                <w:sz w:val="24"/>
                <w:szCs w:val="18"/>
              </w:rPr>
              <w:t>：</w:t>
            </w:r>
          </w:p>
          <w:p w14:paraId="3EF14ADE">
            <w:pPr>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1）如属于《节能产品政府采购品目清单》中政府强制采购的节能产品，则供应商所投产品须具有市场监管总局公布的《参与实施政府采购节能产品认证机构目录》中的认证机构出具的、处于有效期内的节能产品认证证书。</w:t>
            </w:r>
          </w:p>
          <w:p w14:paraId="481E60EC">
            <w:pPr>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2）如涉及商品包装和快递包装，供应商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66D42859">
            <w:pPr>
              <w:spacing w:line="360" w:lineRule="auto"/>
              <w:rPr>
                <w:rFonts w:hint="eastAsia" w:asciiTheme="minorEastAsia" w:hAnsiTheme="minorEastAsia" w:eastAsiaTheme="minorEastAsia" w:cstheme="minorEastAsia"/>
                <w:kern w:val="2"/>
                <w:sz w:val="24"/>
                <w:szCs w:val="22"/>
                <w:lang w:val="en-US" w:eastAsia="zh-CN"/>
              </w:rPr>
            </w:pPr>
            <w:bookmarkStart w:id="2" w:name="OLE_LINK5"/>
            <w:r>
              <w:rPr>
                <w:rFonts w:hint="eastAsia" w:asciiTheme="minorEastAsia" w:hAnsiTheme="minorEastAsia" w:eastAsiaTheme="minorEastAsia" w:cstheme="minorEastAsia"/>
                <w:kern w:val="2"/>
                <w:sz w:val="24"/>
                <w:szCs w:val="24"/>
                <w:lang w:eastAsia="zh-CN"/>
              </w:rPr>
              <w:t>（</w:t>
            </w:r>
            <w:r>
              <w:rPr>
                <w:rFonts w:hint="eastAsia" w:asciiTheme="minorEastAsia" w:hAnsiTheme="minorEastAsia" w:eastAsiaTheme="minorEastAsia" w:cstheme="minorEastAsia"/>
                <w:kern w:val="2"/>
                <w:sz w:val="24"/>
                <w:szCs w:val="24"/>
                <w:lang w:val="en-US" w:eastAsia="zh-CN"/>
              </w:rPr>
              <w:t>3</w:t>
            </w:r>
            <w:r>
              <w:rPr>
                <w:rFonts w:hint="eastAsia" w:asciiTheme="minorEastAsia" w:hAnsiTheme="minorEastAsia" w:eastAsiaTheme="minorEastAsia" w:cstheme="minorEastAsia"/>
                <w:kern w:val="2"/>
                <w:sz w:val="24"/>
                <w:szCs w:val="24"/>
                <w:lang w:eastAsia="zh-CN"/>
              </w:rPr>
              <w:t>）</w:t>
            </w:r>
            <w:r>
              <w:rPr>
                <w:rFonts w:hint="eastAsia" w:asciiTheme="minorEastAsia" w:hAnsiTheme="minorEastAsia" w:eastAsiaTheme="minorEastAsia" w:cstheme="minorEastAsia"/>
                <w:kern w:val="2"/>
                <w:sz w:val="24"/>
                <w:szCs w:val="22"/>
                <w:lang w:val="en-US"/>
              </w:rPr>
              <w:t>根据《关于进一步做好政府采购支持绿色建材促进建筑品质提升相关工作的通知》（</w:t>
            </w:r>
            <w:r>
              <w:rPr>
                <w:rFonts w:hint="eastAsia" w:asciiTheme="minorEastAsia" w:hAnsiTheme="minorEastAsia" w:eastAsiaTheme="minorEastAsia" w:cstheme="minorEastAsia"/>
                <w:kern w:val="2"/>
                <w:sz w:val="24"/>
                <w:szCs w:val="22"/>
              </w:rPr>
              <w:t>合财购〔2025〕167号</w:t>
            </w:r>
            <w:r>
              <w:rPr>
                <w:rFonts w:hint="eastAsia" w:asciiTheme="minorEastAsia" w:hAnsiTheme="minorEastAsia" w:eastAsiaTheme="minorEastAsia" w:cstheme="minorEastAsia"/>
                <w:kern w:val="2"/>
                <w:sz w:val="24"/>
                <w:szCs w:val="22"/>
                <w:lang w:val="en-US"/>
              </w:rPr>
              <w:t>）、《</w:t>
            </w:r>
            <w:r>
              <w:rPr>
                <w:rFonts w:hint="eastAsia" w:asciiTheme="minorEastAsia" w:hAnsiTheme="minorEastAsia" w:eastAsiaTheme="minorEastAsia" w:cstheme="minorEastAsia"/>
                <w:kern w:val="2"/>
                <w:sz w:val="24"/>
                <w:szCs w:val="22"/>
              </w:rPr>
              <w:t>合肥市政府采购支持绿色建材促进建筑品质提升试点实施方案</w:t>
            </w:r>
            <w:r>
              <w:rPr>
                <w:rFonts w:hint="eastAsia" w:asciiTheme="minorEastAsia" w:hAnsiTheme="minorEastAsia" w:eastAsiaTheme="minorEastAsia" w:cstheme="minorEastAsia"/>
                <w:kern w:val="2"/>
                <w:sz w:val="24"/>
                <w:szCs w:val="22"/>
                <w:lang w:val="en-US"/>
              </w:rPr>
              <w:t>》，属于实施范围内的政府采购工程项目，</w:t>
            </w:r>
            <w:r>
              <w:rPr>
                <w:rFonts w:hint="eastAsia" w:asciiTheme="minorEastAsia" w:hAnsiTheme="minorEastAsia" w:eastAsiaTheme="minorEastAsia" w:cstheme="minorEastAsia"/>
                <w:kern w:val="2"/>
                <w:sz w:val="24"/>
                <w:szCs w:val="22"/>
              </w:rPr>
              <w:t>应</w:t>
            </w:r>
            <w:r>
              <w:rPr>
                <w:rFonts w:hint="eastAsia" w:asciiTheme="minorEastAsia" w:hAnsiTheme="minorEastAsia" w:eastAsiaTheme="minorEastAsia" w:cstheme="minorEastAsia"/>
                <w:kern w:val="2"/>
                <w:sz w:val="24"/>
                <w:szCs w:val="22"/>
                <w:lang w:val="en-US"/>
              </w:rPr>
              <w:t>按照</w:t>
            </w:r>
            <w:r>
              <w:rPr>
                <w:rFonts w:hint="eastAsia" w:asciiTheme="minorEastAsia" w:hAnsiTheme="minorEastAsia" w:eastAsiaTheme="minorEastAsia" w:cstheme="minorEastAsia"/>
                <w:kern w:val="2"/>
                <w:sz w:val="24"/>
                <w:szCs w:val="22"/>
              </w:rPr>
              <w:t>财政部、住建部、工信部联合印发的《绿色建筑和绿色建材政府采购需求标准》</w:t>
            </w:r>
            <w:r>
              <w:rPr>
                <w:rFonts w:hint="eastAsia" w:asciiTheme="minorEastAsia" w:hAnsiTheme="minorEastAsia" w:eastAsiaTheme="minorEastAsia" w:cstheme="minorEastAsia"/>
                <w:kern w:val="2"/>
                <w:sz w:val="24"/>
                <w:szCs w:val="22"/>
                <w:lang w:val="en-US"/>
              </w:rPr>
              <w:t>和</w:t>
            </w:r>
            <w:r>
              <w:rPr>
                <w:rFonts w:hint="eastAsia" w:asciiTheme="minorEastAsia" w:hAnsiTheme="minorEastAsia" w:eastAsiaTheme="minorEastAsia" w:cstheme="minorEastAsia"/>
                <w:kern w:val="2"/>
                <w:sz w:val="24"/>
                <w:szCs w:val="22"/>
              </w:rPr>
              <w:t>《政府采购支持绿色建材促进建筑品质提升政策项目实施指南》</w:t>
            </w:r>
            <w:r>
              <w:rPr>
                <w:rFonts w:hint="eastAsia" w:asciiTheme="minorEastAsia" w:hAnsiTheme="minorEastAsia" w:eastAsiaTheme="minorEastAsia" w:cstheme="minorEastAsia"/>
                <w:kern w:val="2"/>
                <w:sz w:val="24"/>
                <w:szCs w:val="22"/>
                <w:lang w:val="en-US"/>
              </w:rPr>
              <w:t>应</w:t>
            </w:r>
            <w:r>
              <w:rPr>
                <w:rFonts w:hint="eastAsia" w:asciiTheme="minorEastAsia" w:hAnsiTheme="minorEastAsia" w:eastAsiaTheme="minorEastAsia" w:cstheme="minorEastAsia"/>
                <w:kern w:val="2"/>
                <w:sz w:val="24"/>
                <w:szCs w:val="22"/>
              </w:rPr>
              <w:t>用绿色建筑和绿色建材</w:t>
            </w:r>
            <w:r>
              <w:rPr>
                <w:rFonts w:hint="eastAsia" w:asciiTheme="minorEastAsia" w:hAnsiTheme="minorEastAsia" w:eastAsiaTheme="minorEastAsia" w:cstheme="minorEastAsia"/>
                <w:kern w:val="2"/>
                <w:sz w:val="24"/>
                <w:szCs w:val="24"/>
                <w:lang w:val="en-US" w:eastAsia="zh-CN"/>
              </w:rPr>
              <w:t>。</w:t>
            </w:r>
            <w:bookmarkEnd w:id="1"/>
            <w:bookmarkEnd w:id="2"/>
          </w:p>
        </w:tc>
      </w:tr>
      <w:tr w14:paraId="7363A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Align w:val="center"/>
          </w:tcPr>
          <w:p w14:paraId="35A8E5EC">
            <w:pPr>
              <w:spacing w:line="360" w:lineRule="auto"/>
              <w:jc w:val="center"/>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t>6</w:t>
            </w:r>
          </w:p>
        </w:tc>
        <w:tc>
          <w:tcPr>
            <w:tcW w:w="1277" w:type="dxa"/>
            <w:vAlign w:val="center"/>
          </w:tcPr>
          <w:p w14:paraId="01C859E5">
            <w:pPr>
              <w:spacing w:line="360" w:lineRule="auto"/>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t>项目经理</w:t>
            </w:r>
          </w:p>
        </w:tc>
        <w:tc>
          <w:tcPr>
            <w:tcW w:w="6287" w:type="dxa"/>
            <w:vAlign w:val="center"/>
          </w:tcPr>
          <w:p w14:paraId="18BBBED9">
            <w:pPr>
              <w:spacing w:line="360" w:lineRule="auto"/>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lang w:eastAsia="zh-CN"/>
              </w:rPr>
              <w:t>（</w:t>
            </w:r>
            <w:r>
              <w:rPr>
                <w:rFonts w:hint="eastAsia" w:asciiTheme="minorEastAsia" w:hAnsiTheme="minorEastAsia" w:eastAsiaTheme="minorEastAsia" w:cstheme="minorEastAsia"/>
                <w:kern w:val="2"/>
                <w:sz w:val="24"/>
                <w:szCs w:val="22"/>
                <w:lang w:val="en-US" w:eastAsia="zh-CN"/>
              </w:rPr>
              <w:t>1</w:t>
            </w:r>
            <w:r>
              <w:rPr>
                <w:rFonts w:hint="eastAsia" w:asciiTheme="minorEastAsia" w:hAnsiTheme="minorEastAsia" w:eastAsiaTheme="minorEastAsia" w:cstheme="minorEastAsia"/>
                <w:kern w:val="2"/>
                <w:sz w:val="24"/>
                <w:szCs w:val="22"/>
                <w:lang w:eastAsia="zh-CN"/>
              </w:rPr>
              <w:t>）</w:t>
            </w:r>
            <w:r>
              <w:rPr>
                <w:rFonts w:hint="eastAsia" w:asciiTheme="minorEastAsia" w:hAnsiTheme="minorEastAsia" w:eastAsiaTheme="minorEastAsia" w:cstheme="minorEastAsia"/>
                <w:kern w:val="2"/>
                <w:sz w:val="24"/>
                <w:szCs w:val="22"/>
              </w:rPr>
              <w:t>符合竞争性磋商公告中“项目经理资格要求”</w:t>
            </w:r>
            <w:r>
              <w:rPr>
                <w:rFonts w:hint="eastAsia" w:asciiTheme="minorEastAsia" w:hAnsiTheme="minorEastAsia" w:eastAsiaTheme="minorEastAsia" w:cstheme="minorEastAsia"/>
                <w:kern w:val="2"/>
                <w:sz w:val="24"/>
                <w:szCs w:val="22"/>
                <w:lang w:eastAsia="zh-CN"/>
              </w:rPr>
              <w:t>，</w:t>
            </w:r>
            <w:r>
              <w:rPr>
                <w:rFonts w:hint="eastAsia" w:ascii="Times New Roman" w:hAnsi="Times New Roman" w:cs="楷体"/>
                <w:bCs/>
                <w:snapToGrid w:val="0"/>
                <w:color w:val="000000"/>
                <w:kern w:val="0"/>
                <w:sz w:val="24"/>
                <w:szCs w:val="24"/>
              </w:rPr>
              <w:t>且必须是本单位人员（</w:t>
            </w:r>
            <w:r>
              <w:rPr>
                <w:rFonts w:hint="eastAsia" w:asciiTheme="minorEastAsia" w:hAnsiTheme="minorEastAsia" w:eastAsiaTheme="minorEastAsia" w:cstheme="minorEastAsia"/>
                <w:kern w:val="2"/>
                <w:sz w:val="24"/>
                <w:szCs w:val="22"/>
              </w:rPr>
              <w:t>竞争性磋商公告</w:t>
            </w:r>
            <w:r>
              <w:rPr>
                <w:rFonts w:hint="eastAsia" w:ascii="Times New Roman" w:hAnsi="Times New Roman" w:cs="楷体"/>
                <w:bCs/>
                <w:snapToGrid w:val="0"/>
                <w:color w:val="000000"/>
                <w:kern w:val="0"/>
                <w:sz w:val="24"/>
                <w:szCs w:val="24"/>
              </w:rPr>
              <w:t>中要求的注册证书注册单位应当与</w:t>
            </w:r>
            <w:r>
              <w:rPr>
                <w:rFonts w:hint="eastAsia" w:ascii="Times New Roman" w:hAnsi="Times New Roman" w:cs="楷体"/>
                <w:bCs/>
                <w:snapToGrid w:val="0"/>
                <w:color w:val="000000"/>
                <w:kern w:val="0"/>
                <w:sz w:val="24"/>
                <w:szCs w:val="24"/>
                <w:lang w:val="en-US" w:eastAsia="zh-CN"/>
              </w:rPr>
              <w:t>供应商</w:t>
            </w:r>
            <w:r>
              <w:rPr>
                <w:rFonts w:hint="eastAsia" w:ascii="Times New Roman" w:hAnsi="Times New Roman" w:cs="楷体"/>
                <w:bCs/>
                <w:snapToGrid w:val="0"/>
                <w:color w:val="000000"/>
                <w:kern w:val="0"/>
                <w:sz w:val="24"/>
                <w:szCs w:val="24"/>
              </w:rPr>
              <w:t>名称一致）</w:t>
            </w:r>
            <w:r>
              <w:rPr>
                <w:rFonts w:hint="eastAsia" w:asciiTheme="minorEastAsia" w:hAnsiTheme="minorEastAsia" w:eastAsiaTheme="minorEastAsia" w:cstheme="minorEastAsia"/>
                <w:kern w:val="2"/>
                <w:sz w:val="24"/>
                <w:szCs w:val="22"/>
              </w:rPr>
              <w:t>。</w:t>
            </w:r>
          </w:p>
          <w:p w14:paraId="0E3C4D9E">
            <w:pPr>
              <w:spacing w:line="360" w:lineRule="auto"/>
              <w:rPr>
                <w:rFonts w:hint="eastAsia" w:asciiTheme="minorEastAsia" w:hAnsiTheme="minorEastAsia" w:eastAsiaTheme="minorEastAsia" w:cstheme="minorEastAsia"/>
                <w:kern w:val="2"/>
                <w:sz w:val="24"/>
                <w:szCs w:val="22"/>
              </w:rPr>
            </w:pPr>
            <w:bookmarkStart w:id="3" w:name="OLE_LINK10"/>
            <w:bookmarkStart w:id="4" w:name="OLE_LINK9"/>
            <w:r>
              <w:rPr>
                <w:rFonts w:hint="eastAsia" w:asciiTheme="minorEastAsia" w:hAnsiTheme="minorEastAsia" w:eastAsiaTheme="minorEastAsia" w:cstheme="minorEastAsia"/>
                <w:kern w:val="2"/>
                <w:sz w:val="24"/>
                <w:szCs w:val="22"/>
                <w:lang w:eastAsia="zh-CN"/>
              </w:rPr>
              <w:t>（</w:t>
            </w:r>
            <w:r>
              <w:rPr>
                <w:rFonts w:hint="eastAsia" w:asciiTheme="minorEastAsia" w:hAnsiTheme="minorEastAsia" w:eastAsiaTheme="minorEastAsia" w:cstheme="minorEastAsia"/>
                <w:kern w:val="2"/>
                <w:sz w:val="24"/>
                <w:szCs w:val="22"/>
                <w:lang w:val="en-US" w:eastAsia="zh-CN"/>
              </w:rPr>
              <w:t>2</w:t>
            </w:r>
            <w:r>
              <w:rPr>
                <w:rFonts w:hint="eastAsia" w:asciiTheme="minorEastAsia" w:hAnsiTheme="minorEastAsia" w:eastAsiaTheme="minorEastAsia" w:cstheme="minorEastAsia"/>
                <w:kern w:val="2"/>
                <w:sz w:val="24"/>
                <w:szCs w:val="22"/>
                <w:lang w:eastAsia="zh-CN"/>
              </w:rPr>
              <w:t>）</w:t>
            </w:r>
            <w:r>
              <w:rPr>
                <w:rFonts w:hint="eastAsia" w:asciiTheme="minorEastAsia" w:hAnsiTheme="minorEastAsia" w:eastAsiaTheme="minorEastAsia" w:cstheme="minorEastAsia"/>
                <w:kern w:val="2"/>
                <w:sz w:val="24"/>
                <w:szCs w:val="22"/>
              </w:rPr>
              <w:t>项目经理不得同时担任两个及以上建设工程施工项目经理，以下情形除外：</w:t>
            </w:r>
          </w:p>
          <w:p w14:paraId="7C2DAEF5">
            <w:pPr>
              <w:spacing w:line="360" w:lineRule="auto"/>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fldChar w:fldCharType="begin"/>
            </w:r>
            <w:r>
              <w:rPr>
                <w:rFonts w:hint="eastAsia" w:asciiTheme="minorEastAsia" w:hAnsiTheme="minorEastAsia" w:eastAsiaTheme="minorEastAsia" w:cstheme="minorEastAsia"/>
                <w:kern w:val="2"/>
                <w:sz w:val="24"/>
                <w:szCs w:val="22"/>
              </w:rPr>
              <w:instrText xml:space="preserve"> = 1 \* GB3 \* MERGEFORMAT </w:instrText>
            </w:r>
            <w:r>
              <w:rPr>
                <w:rFonts w:hint="eastAsia" w:asciiTheme="minorEastAsia" w:hAnsiTheme="minorEastAsia" w:eastAsiaTheme="minorEastAsia" w:cstheme="minorEastAsia"/>
                <w:kern w:val="2"/>
                <w:sz w:val="24"/>
                <w:szCs w:val="22"/>
              </w:rPr>
              <w:fldChar w:fldCharType="separate"/>
            </w:r>
            <w:r>
              <w:rPr>
                <w:rFonts w:hint="eastAsia" w:asciiTheme="minorEastAsia" w:hAnsiTheme="minorEastAsia" w:eastAsiaTheme="minorEastAsia" w:cstheme="minorEastAsia"/>
                <w:kern w:val="2"/>
                <w:sz w:val="24"/>
                <w:szCs w:val="22"/>
              </w:rPr>
              <w:t>①</w:t>
            </w:r>
            <w:r>
              <w:rPr>
                <w:rFonts w:hint="eastAsia" w:asciiTheme="minorEastAsia" w:hAnsiTheme="minorEastAsia" w:eastAsiaTheme="minorEastAsia" w:cstheme="minorEastAsia"/>
                <w:kern w:val="2"/>
                <w:sz w:val="24"/>
                <w:szCs w:val="22"/>
              </w:rPr>
              <w:fldChar w:fldCharType="end"/>
            </w:r>
            <w:r>
              <w:rPr>
                <w:rFonts w:hint="eastAsia" w:asciiTheme="minorEastAsia" w:hAnsiTheme="minorEastAsia" w:eastAsiaTheme="minorEastAsia" w:cstheme="minorEastAsia"/>
                <w:kern w:val="2"/>
                <w:sz w:val="24"/>
                <w:szCs w:val="22"/>
              </w:rPr>
              <w:t>法定情形；</w:t>
            </w:r>
          </w:p>
          <w:p w14:paraId="12D182B2">
            <w:pPr>
              <w:spacing w:line="360" w:lineRule="auto"/>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fldChar w:fldCharType="begin"/>
            </w:r>
            <w:r>
              <w:rPr>
                <w:rFonts w:hint="eastAsia" w:asciiTheme="minorEastAsia" w:hAnsiTheme="minorEastAsia" w:eastAsiaTheme="minorEastAsia" w:cstheme="minorEastAsia"/>
                <w:kern w:val="2"/>
                <w:sz w:val="24"/>
                <w:szCs w:val="22"/>
              </w:rPr>
              <w:instrText xml:space="preserve"> = 2 \* GB3 \* MERGEFORMAT </w:instrText>
            </w:r>
            <w:r>
              <w:rPr>
                <w:rFonts w:hint="eastAsia" w:asciiTheme="minorEastAsia" w:hAnsiTheme="minorEastAsia" w:eastAsiaTheme="minorEastAsia" w:cstheme="minorEastAsia"/>
                <w:kern w:val="2"/>
                <w:sz w:val="24"/>
                <w:szCs w:val="22"/>
              </w:rPr>
              <w:fldChar w:fldCharType="separate"/>
            </w:r>
            <w:r>
              <w:rPr>
                <w:rFonts w:hint="eastAsia" w:asciiTheme="minorEastAsia" w:hAnsiTheme="minorEastAsia" w:eastAsiaTheme="minorEastAsia" w:cstheme="minorEastAsia"/>
                <w:kern w:val="2"/>
                <w:sz w:val="24"/>
                <w:szCs w:val="22"/>
              </w:rPr>
              <w:t>②</w:t>
            </w:r>
            <w:r>
              <w:rPr>
                <w:rFonts w:hint="eastAsia" w:asciiTheme="minorEastAsia" w:hAnsiTheme="minorEastAsia" w:eastAsiaTheme="minorEastAsia" w:cstheme="minorEastAsia"/>
                <w:kern w:val="2"/>
                <w:sz w:val="24"/>
                <w:szCs w:val="22"/>
              </w:rPr>
              <w:fldChar w:fldCharType="end"/>
            </w:r>
            <w:r>
              <w:rPr>
                <w:rFonts w:hint="eastAsia" w:asciiTheme="minorEastAsia" w:hAnsiTheme="minorEastAsia" w:eastAsiaTheme="minorEastAsia" w:cstheme="minorEastAsia"/>
                <w:kern w:val="2"/>
                <w:sz w:val="24"/>
                <w:szCs w:val="22"/>
              </w:rPr>
              <w:t>虽在其他项目上担任项目经理岗位，但承诺在本项目成交后合同签订前能够从其他项目变更至本项目并全面履约。</w:t>
            </w:r>
            <w:bookmarkEnd w:id="3"/>
            <w:bookmarkEnd w:id="4"/>
          </w:p>
        </w:tc>
      </w:tr>
      <w:tr w14:paraId="4D9FE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Align w:val="center"/>
          </w:tcPr>
          <w:p w14:paraId="3EF1780B">
            <w:pPr>
              <w:spacing w:line="360" w:lineRule="auto"/>
              <w:jc w:val="center"/>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t>7</w:t>
            </w:r>
          </w:p>
        </w:tc>
        <w:tc>
          <w:tcPr>
            <w:tcW w:w="1277" w:type="dxa"/>
            <w:vAlign w:val="center"/>
          </w:tcPr>
          <w:p w14:paraId="045D5838">
            <w:pPr>
              <w:pStyle w:val="9"/>
              <w:widowControl w:val="0"/>
              <w:spacing w:before="0" w:beforeAutospacing="0" w:after="0" w:afterAutospacing="0" w:line="360" w:lineRule="auto"/>
              <w:rPr>
                <w:rFonts w:hint="eastAsia" w:asciiTheme="minorEastAsia" w:hAnsiTheme="minorEastAsia" w:eastAsiaTheme="minorEastAsia" w:cstheme="minorEastAsia"/>
                <w:kern w:val="2"/>
                <w:sz w:val="24"/>
              </w:rPr>
            </w:pPr>
            <w:r>
              <w:rPr>
                <w:rFonts w:hint="eastAsia" w:asciiTheme="minorEastAsia" w:hAnsiTheme="minorEastAsia" w:eastAsiaTheme="minorEastAsia" w:cstheme="minorEastAsia"/>
                <w:b w:val="0"/>
                <w:kern w:val="2"/>
                <w:sz w:val="24"/>
              </w:rPr>
              <w:t>本项目采购标的名称及所属行业</w:t>
            </w:r>
          </w:p>
        </w:tc>
        <w:tc>
          <w:tcPr>
            <w:tcW w:w="6287" w:type="dxa"/>
            <w:vAlign w:val="center"/>
          </w:tcPr>
          <w:p w14:paraId="11110185">
            <w:pPr>
              <w:spacing w:line="360" w:lineRule="auto"/>
              <w:jc w:val="left"/>
              <w:rPr>
                <w:rFonts w:hint="eastAsia" w:asciiTheme="minorEastAsia" w:hAnsiTheme="minorEastAsia" w:eastAsiaTheme="minorEastAsia" w:cstheme="minorEastAsia"/>
                <w:kern w:val="2"/>
                <w:sz w:val="24"/>
                <w:szCs w:val="22"/>
                <w:lang w:eastAsia="zh-CN"/>
              </w:rPr>
            </w:pPr>
            <w:r>
              <w:rPr>
                <w:rFonts w:hint="eastAsia" w:asciiTheme="minorEastAsia" w:hAnsiTheme="minorEastAsia" w:eastAsiaTheme="minorEastAsia" w:cstheme="minorEastAsia"/>
                <w:kern w:val="2"/>
                <w:sz w:val="24"/>
                <w:szCs w:val="22"/>
              </w:rPr>
              <w:t>标的名称：</w:t>
            </w:r>
            <w:r>
              <w:rPr>
                <w:rFonts w:hint="eastAsia" w:asciiTheme="minorEastAsia" w:hAnsiTheme="minorEastAsia" w:eastAsiaTheme="minorEastAsia" w:cstheme="minorEastAsia"/>
                <w:kern w:val="2"/>
                <w:sz w:val="24"/>
                <w:szCs w:val="18"/>
                <w:lang w:eastAsia="zh-CN"/>
              </w:rPr>
              <w:t>安徽大学磬苑校区新建篮球场项目</w:t>
            </w:r>
          </w:p>
          <w:p w14:paraId="1C642D8D">
            <w:pPr>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t>所属行业：建筑业</w:t>
            </w:r>
          </w:p>
        </w:tc>
      </w:tr>
    </w:tbl>
    <w:p w14:paraId="746DD911">
      <w:pPr>
        <w:pStyle w:val="4"/>
        <w:spacing w:before="0" w:after="0" w:line="360" w:lineRule="auto"/>
        <w:rPr>
          <w:rFonts w:asciiTheme="minorEastAsia" w:hAnsiTheme="minorEastAsia" w:eastAsiaTheme="minorEastAsia" w:cstheme="minorEastAsia"/>
          <w:sz w:val="24"/>
          <w:szCs w:val="24"/>
        </w:rPr>
      </w:pPr>
      <w:bookmarkStart w:id="5" w:name="_Toc15645"/>
      <w:bookmarkStart w:id="6" w:name="_Toc23730"/>
      <w:r>
        <w:rPr>
          <w:rFonts w:hint="eastAsia" w:asciiTheme="minorEastAsia" w:hAnsiTheme="minorEastAsia" w:eastAsiaTheme="minorEastAsia" w:cstheme="minorEastAsia"/>
          <w:sz w:val="24"/>
          <w:szCs w:val="24"/>
          <w:lang w:val="en-US"/>
        </w:rPr>
        <w:t>一、</w:t>
      </w:r>
      <w:r>
        <w:rPr>
          <w:rFonts w:hint="eastAsia" w:asciiTheme="minorEastAsia" w:hAnsiTheme="minorEastAsia" w:eastAsiaTheme="minorEastAsia" w:cstheme="minorEastAsia"/>
          <w:sz w:val="24"/>
          <w:szCs w:val="24"/>
        </w:rPr>
        <w:t>项目概况及总体要求</w:t>
      </w:r>
      <w:bookmarkEnd w:id="5"/>
      <w:bookmarkEnd w:id="6"/>
    </w:p>
    <w:p w14:paraId="7C333B38">
      <w:pPr>
        <w:spacing w:line="360" w:lineRule="auto"/>
        <w:ind w:firstLine="480" w:firstLineChars="200"/>
        <w:textAlignment w:val="baseline"/>
        <w:rPr>
          <w:rFonts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val="0"/>
          <w:bCs w:val="0"/>
          <w:color w:val="auto"/>
          <w:sz w:val="24"/>
          <w:szCs w:val="24"/>
          <w:lang w:eastAsia="zh-CN"/>
        </w:rPr>
        <w:t>安徽大学磬苑校区新建篮球场项目，磬苑校区体育活动场地资源紧张，为满足师生日常教学、体育锻炼，在学校原景观场地上规划</w:t>
      </w:r>
      <w:r>
        <w:rPr>
          <w:rFonts w:hint="eastAsia" w:asciiTheme="minorEastAsia" w:hAnsiTheme="minorEastAsia" w:eastAsiaTheme="minorEastAsia" w:cstheme="minorEastAsia"/>
          <w:b w:val="0"/>
          <w:bCs w:val="0"/>
          <w:color w:val="auto"/>
          <w:sz w:val="24"/>
          <w:szCs w:val="24"/>
        </w:rPr>
        <w:t>新建6片篮球场，面层采用拼接式悬浮地板。具体内容详见图纸及清单。</w:t>
      </w:r>
    </w:p>
    <w:p w14:paraId="4A0FF2C0">
      <w:pPr>
        <w:pStyle w:val="5"/>
        <w:widowControl/>
        <w:spacing w:line="360" w:lineRule="auto"/>
        <w:outlineLvl w:val="1"/>
        <w:rPr>
          <w:rStyle w:val="10"/>
          <w:rFonts w:asciiTheme="minorEastAsia" w:hAnsiTheme="minorEastAsia" w:eastAsiaTheme="minorEastAsia" w:cstheme="minorEastAsia"/>
          <w:color w:val="auto"/>
          <w:sz w:val="24"/>
          <w:szCs w:val="24"/>
        </w:rPr>
      </w:pPr>
      <w:bookmarkStart w:id="7" w:name="_Toc466024558"/>
      <w:bookmarkStart w:id="8" w:name="_Toc18199"/>
      <w:bookmarkStart w:id="9" w:name="_Toc445554749"/>
      <w:bookmarkStart w:id="10" w:name="_Toc455587275"/>
      <w:bookmarkStart w:id="11" w:name="_Toc455587091"/>
      <w:bookmarkStart w:id="12" w:name="_Toc12271"/>
      <w:r>
        <w:rPr>
          <w:rStyle w:val="10"/>
          <w:rFonts w:hint="eastAsia" w:asciiTheme="minorEastAsia" w:hAnsiTheme="minorEastAsia" w:cstheme="minorEastAsia"/>
          <w:color w:val="auto"/>
          <w:sz w:val="24"/>
          <w:szCs w:val="24"/>
        </w:rPr>
        <w:t>二、</w:t>
      </w:r>
      <w:r>
        <w:rPr>
          <w:rStyle w:val="10"/>
          <w:rFonts w:hint="eastAsia" w:asciiTheme="minorEastAsia" w:hAnsiTheme="minorEastAsia" w:eastAsiaTheme="minorEastAsia" w:cstheme="minorEastAsia"/>
          <w:color w:val="auto"/>
          <w:sz w:val="24"/>
          <w:szCs w:val="24"/>
        </w:rPr>
        <w:t>技术要求</w:t>
      </w:r>
      <w:bookmarkEnd w:id="7"/>
      <w:bookmarkEnd w:id="8"/>
      <w:bookmarkEnd w:id="9"/>
      <w:bookmarkEnd w:id="10"/>
      <w:bookmarkEnd w:id="11"/>
      <w:bookmarkEnd w:id="12"/>
    </w:p>
    <w:p w14:paraId="26B80A53">
      <w:pPr>
        <w:pStyle w:val="5"/>
        <w:widowControl/>
        <w:spacing w:line="360" w:lineRule="auto"/>
        <w:ind w:firstLine="480" w:firstLineChars="200"/>
        <w:rPr>
          <w:rFonts w:hint="eastAsia" w:asciiTheme="minorEastAsia" w:hAnsiTheme="minorEastAsia" w:cstheme="minorEastAsia"/>
          <w:color w:val="auto"/>
          <w:sz w:val="24"/>
          <w:szCs w:val="24"/>
        </w:rPr>
      </w:pPr>
      <w:r>
        <w:rPr>
          <w:rFonts w:hint="eastAsia" w:asciiTheme="minorEastAsia" w:hAnsiTheme="minorEastAsia" w:cstheme="minorEastAsia"/>
          <w:color w:val="auto"/>
          <w:sz w:val="24"/>
          <w:szCs w:val="24"/>
          <w:lang w:val="en-US" w:eastAsia="zh-CN"/>
        </w:rPr>
        <w:t>1.</w:t>
      </w:r>
      <w:r>
        <w:rPr>
          <w:rFonts w:hint="eastAsia" w:asciiTheme="minorEastAsia" w:hAnsiTheme="minorEastAsia" w:cstheme="minorEastAsia"/>
          <w:color w:val="auto"/>
          <w:sz w:val="24"/>
          <w:szCs w:val="24"/>
        </w:rPr>
        <w:t>按照图纸、工程量清单要求及最新国家相关标准、规范要求执行。</w:t>
      </w:r>
    </w:p>
    <w:p w14:paraId="774F32CA">
      <w:pPr>
        <w:pStyle w:val="5"/>
        <w:widowControl/>
        <w:spacing w:line="360" w:lineRule="auto"/>
        <w:ind w:firstLine="480"/>
        <w:rPr>
          <w:rFonts w:hint="eastAsia" w:asciiTheme="minorEastAsia" w:hAnsiTheme="minorEastAsia" w:cstheme="minorEastAsia"/>
          <w:sz w:val="24"/>
          <w:szCs w:val="24"/>
          <w:lang w:val="en-US" w:eastAsia="zh-CN"/>
        </w:rPr>
      </w:pPr>
      <w:r>
        <w:rPr>
          <w:rFonts w:hint="eastAsia" w:asciiTheme="minorEastAsia" w:hAnsiTheme="minorEastAsia" w:cstheme="minorEastAsia"/>
          <w:color w:val="auto"/>
          <w:sz w:val="24"/>
          <w:szCs w:val="24"/>
          <w:lang w:val="en-US" w:eastAsia="zh-CN"/>
        </w:rPr>
        <w:t>2.合同签订后，施工选用的悬浮地板材料（品牌及颜色等）须经过建</w:t>
      </w:r>
      <w:r>
        <w:rPr>
          <w:rFonts w:hint="eastAsia" w:asciiTheme="minorEastAsia" w:hAnsiTheme="minorEastAsia" w:cstheme="minorEastAsia"/>
          <w:sz w:val="24"/>
          <w:szCs w:val="24"/>
          <w:lang w:val="en-US" w:eastAsia="zh-CN"/>
        </w:rPr>
        <w:t>设单位、监理单位、设计单位同意，并符合标准要求。</w:t>
      </w:r>
    </w:p>
    <w:p w14:paraId="253BD4CD">
      <w:pPr>
        <w:pStyle w:val="5"/>
        <w:widowControl/>
        <w:spacing w:line="360" w:lineRule="auto"/>
        <w:ind w:firstLine="480"/>
        <w:rPr>
          <w:rFonts w:hint="default"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3.</w:t>
      </w:r>
      <w:r>
        <w:rPr>
          <w:rFonts w:hint="default" w:asciiTheme="minorEastAsia" w:hAnsiTheme="minorEastAsia" w:cstheme="minorEastAsia"/>
          <w:sz w:val="24"/>
          <w:szCs w:val="24"/>
          <w:lang w:val="en-US" w:eastAsia="zh-CN"/>
        </w:rPr>
        <w:t>悬浮拼装地板具备高球反弹率、耐老化、防霉菌等特性，有害物质未检出，符合GB/T14833-2020</w:t>
      </w:r>
      <w:r>
        <w:rPr>
          <w:rFonts w:hint="eastAsia" w:asciiTheme="minorEastAsia" w:hAnsiTheme="minorEastAsia" w:cstheme="minorEastAsia"/>
          <w:sz w:val="24"/>
          <w:szCs w:val="24"/>
          <w:lang w:val="en-US" w:eastAsia="zh-CN"/>
        </w:rPr>
        <w:t>《合成材料运动场地面层》</w:t>
      </w:r>
      <w:r>
        <w:rPr>
          <w:rFonts w:hint="default" w:asciiTheme="minorEastAsia" w:hAnsiTheme="minorEastAsia" w:cstheme="minorEastAsia"/>
          <w:sz w:val="24"/>
          <w:szCs w:val="24"/>
          <w:lang w:val="en-US" w:eastAsia="zh-CN"/>
        </w:rPr>
        <w:t>等标准，施工平整、耐候</w:t>
      </w:r>
      <w:r>
        <w:rPr>
          <w:rFonts w:hint="eastAsia" w:asciiTheme="minorEastAsia" w:hAnsiTheme="minorEastAsia" w:cstheme="minorEastAsia"/>
          <w:sz w:val="24"/>
          <w:szCs w:val="24"/>
          <w:lang w:val="en-US" w:eastAsia="zh-CN"/>
        </w:rPr>
        <w:t>性能</w:t>
      </w:r>
      <w:r>
        <w:rPr>
          <w:rFonts w:hint="default" w:asciiTheme="minorEastAsia" w:hAnsiTheme="minorEastAsia" w:cstheme="minorEastAsia"/>
          <w:sz w:val="24"/>
          <w:szCs w:val="24"/>
          <w:lang w:val="en-US" w:eastAsia="zh-CN"/>
        </w:rPr>
        <w:t>强。</w:t>
      </w:r>
    </w:p>
    <w:p w14:paraId="01E550EF">
      <w:pPr>
        <w:pStyle w:val="5"/>
        <w:widowControl/>
        <w:spacing w:line="360" w:lineRule="auto"/>
        <w:ind w:firstLine="480"/>
        <w:rPr>
          <w:rFonts w:hint="default" w:asciiTheme="minorEastAsia" w:hAnsiTheme="minorEastAsia" w:cstheme="minorEastAsia"/>
          <w:b/>
          <w:bCs/>
          <w:sz w:val="24"/>
          <w:szCs w:val="24"/>
          <w:lang w:val="en-US" w:eastAsia="zh-CN"/>
        </w:rPr>
      </w:pPr>
      <w:r>
        <w:rPr>
          <w:rFonts w:hint="eastAsia" w:asciiTheme="minorEastAsia" w:hAnsiTheme="minorEastAsia" w:cstheme="minorEastAsia"/>
          <w:b/>
          <w:bCs/>
          <w:sz w:val="24"/>
          <w:szCs w:val="24"/>
          <w:lang w:val="en-US" w:eastAsia="zh-CN"/>
        </w:rPr>
        <w:t>4.相当于或优于以下品牌</w:t>
      </w:r>
    </w:p>
    <w:tbl>
      <w:tblPr>
        <w:tblStyle w:val="6"/>
        <w:tblW w:w="91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2550"/>
        <w:gridCol w:w="1157"/>
        <w:gridCol w:w="1157"/>
        <w:gridCol w:w="1157"/>
        <w:gridCol w:w="1157"/>
        <w:gridCol w:w="1157"/>
      </w:tblGrid>
      <w:tr w14:paraId="1C0BA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40" w:type="dxa"/>
            <w:tcBorders>
              <w:tl2br w:val="nil"/>
              <w:tr2bl w:val="nil"/>
            </w:tcBorders>
            <w:noWrap w:val="0"/>
            <w:vAlign w:val="center"/>
          </w:tcPr>
          <w:p w14:paraId="4D7ED5C2">
            <w:pPr>
              <w:widowControl/>
              <w:spacing w:line="360" w:lineRule="auto"/>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bCs/>
                <w:kern w:val="0"/>
                <w:sz w:val="24"/>
                <w:szCs w:val="24"/>
              </w:rPr>
              <w:t>序号</w:t>
            </w:r>
          </w:p>
        </w:tc>
        <w:tc>
          <w:tcPr>
            <w:tcW w:w="2550" w:type="dxa"/>
            <w:tcBorders>
              <w:tl2br w:val="nil"/>
              <w:tr2bl w:val="nil"/>
            </w:tcBorders>
            <w:noWrap w:val="0"/>
            <w:vAlign w:val="center"/>
          </w:tcPr>
          <w:p w14:paraId="58B7BE73">
            <w:pPr>
              <w:widowControl/>
              <w:spacing w:line="360" w:lineRule="auto"/>
              <w:jc w:val="center"/>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bCs/>
                <w:kern w:val="0"/>
                <w:sz w:val="24"/>
                <w:szCs w:val="24"/>
              </w:rPr>
              <w:t>材料、设备名称</w:t>
            </w:r>
          </w:p>
        </w:tc>
        <w:tc>
          <w:tcPr>
            <w:tcW w:w="1157" w:type="dxa"/>
            <w:tcBorders>
              <w:tl2br w:val="nil"/>
              <w:tr2bl w:val="nil"/>
            </w:tcBorders>
            <w:noWrap w:val="0"/>
            <w:vAlign w:val="center"/>
          </w:tcPr>
          <w:p w14:paraId="35897031">
            <w:pPr>
              <w:widowControl/>
              <w:spacing w:line="360" w:lineRule="auto"/>
              <w:jc w:val="center"/>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bCs/>
                <w:kern w:val="0"/>
                <w:sz w:val="24"/>
                <w:szCs w:val="24"/>
              </w:rPr>
              <w:t>品牌1</w:t>
            </w:r>
          </w:p>
        </w:tc>
        <w:tc>
          <w:tcPr>
            <w:tcW w:w="1157" w:type="dxa"/>
            <w:tcBorders>
              <w:tl2br w:val="nil"/>
              <w:tr2bl w:val="nil"/>
            </w:tcBorders>
            <w:noWrap w:val="0"/>
            <w:vAlign w:val="center"/>
          </w:tcPr>
          <w:p w14:paraId="6F1E0FC0">
            <w:pPr>
              <w:widowControl/>
              <w:spacing w:line="360" w:lineRule="auto"/>
              <w:jc w:val="center"/>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bCs/>
                <w:kern w:val="0"/>
                <w:sz w:val="24"/>
                <w:szCs w:val="24"/>
              </w:rPr>
              <w:t>品牌2</w:t>
            </w:r>
          </w:p>
        </w:tc>
        <w:tc>
          <w:tcPr>
            <w:tcW w:w="1157" w:type="dxa"/>
            <w:tcBorders>
              <w:tl2br w:val="nil"/>
              <w:tr2bl w:val="nil"/>
            </w:tcBorders>
            <w:noWrap w:val="0"/>
            <w:vAlign w:val="center"/>
          </w:tcPr>
          <w:p w14:paraId="250F2FFA">
            <w:pPr>
              <w:widowControl/>
              <w:spacing w:line="360" w:lineRule="auto"/>
              <w:jc w:val="center"/>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bCs/>
                <w:kern w:val="0"/>
                <w:sz w:val="24"/>
                <w:szCs w:val="24"/>
              </w:rPr>
              <w:t>品牌3</w:t>
            </w:r>
          </w:p>
        </w:tc>
        <w:tc>
          <w:tcPr>
            <w:tcW w:w="1157" w:type="dxa"/>
            <w:tcBorders>
              <w:tl2br w:val="nil"/>
              <w:tr2bl w:val="nil"/>
            </w:tcBorders>
            <w:noWrap w:val="0"/>
            <w:vAlign w:val="center"/>
          </w:tcPr>
          <w:p w14:paraId="5CF22891">
            <w:pPr>
              <w:widowControl/>
              <w:spacing w:line="360" w:lineRule="auto"/>
              <w:jc w:val="center"/>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bCs/>
                <w:kern w:val="0"/>
                <w:sz w:val="24"/>
                <w:szCs w:val="24"/>
              </w:rPr>
              <w:t>品牌4</w:t>
            </w:r>
          </w:p>
        </w:tc>
        <w:tc>
          <w:tcPr>
            <w:tcW w:w="1157" w:type="dxa"/>
            <w:tcBorders>
              <w:tl2br w:val="nil"/>
              <w:tr2bl w:val="nil"/>
            </w:tcBorders>
            <w:noWrap w:val="0"/>
            <w:vAlign w:val="center"/>
          </w:tcPr>
          <w:p w14:paraId="47DA7B99">
            <w:pPr>
              <w:widowControl/>
              <w:spacing w:line="360" w:lineRule="auto"/>
              <w:jc w:val="center"/>
              <w:rPr>
                <w:rFonts w:hint="eastAsia" w:asciiTheme="minorEastAsia" w:hAnsiTheme="minorEastAsia" w:eastAsiaTheme="minorEastAsia" w:cstheme="minorEastAsia"/>
                <w:b/>
                <w:bCs/>
                <w:kern w:val="0"/>
                <w:sz w:val="24"/>
                <w:szCs w:val="24"/>
                <w:lang w:eastAsia="zh-CN"/>
              </w:rPr>
            </w:pPr>
            <w:r>
              <w:rPr>
                <w:rFonts w:hint="eastAsia" w:asciiTheme="minorEastAsia" w:hAnsiTheme="minorEastAsia" w:eastAsiaTheme="minorEastAsia" w:cstheme="minorEastAsia"/>
                <w:b/>
                <w:bCs/>
                <w:kern w:val="0"/>
                <w:sz w:val="24"/>
                <w:szCs w:val="24"/>
              </w:rPr>
              <w:t>品牌</w:t>
            </w:r>
            <w:r>
              <w:rPr>
                <w:rFonts w:hint="eastAsia" w:asciiTheme="minorEastAsia" w:hAnsiTheme="minorEastAsia" w:eastAsiaTheme="minorEastAsia" w:cstheme="minorEastAsia"/>
                <w:b/>
                <w:bCs/>
                <w:kern w:val="0"/>
                <w:sz w:val="24"/>
                <w:szCs w:val="24"/>
                <w:lang w:val="en-US" w:eastAsia="zh-CN"/>
              </w:rPr>
              <w:t>5</w:t>
            </w:r>
          </w:p>
        </w:tc>
      </w:tr>
      <w:tr w14:paraId="730F0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840" w:type="dxa"/>
            <w:tcBorders>
              <w:tl2br w:val="nil"/>
              <w:tr2bl w:val="nil"/>
            </w:tcBorders>
            <w:noWrap w:val="0"/>
            <w:vAlign w:val="center"/>
          </w:tcPr>
          <w:p w14:paraId="674A723B">
            <w:pPr>
              <w:widowControl/>
              <w:spacing w:line="360" w:lineRule="auto"/>
              <w:jc w:val="center"/>
              <w:rPr>
                <w:rFonts w:hint="eastAsia" w:asciiTheme="minorEastAsia" w:hAnsiTheme="minorEastAsia" w:eastAsiaTheme="minorEastAsia" w:cstheme="minorEastAsia"/>
                <w:kern w:val="0"/>
                <w:sz w:val="24"/>
                <w:szCs w:val="24"/>
                <w:lang w:eastAsia="zh-CN"/>
              </w:rPr>
            </w:pPr>
            <w:r>
              <w:rPr>
                <w:rFonts w:hint="eastAsia" w:asciiTheme="minorEastAsia" w:hAnsiTheme="minorEastAsia" w:eastAsiaTheme="minorEastAsia" w:cstheme="minorEastAsia"/>
                <w:kern w:val="0"/>
                <w:sz w:val="24"/>
                <w:szCs w:val="24"/>
                <w:lang w:val="en-US" w:eastAsia="zh-CN"/>
              </w:rPr>
              <w:t>1</w:t>
            </w:r>
          </w:p>
        </w:tc>
        <w:tc>
          <w:tcPr>
            <w:tcW w:w="2550" w:type="dxa"/>
            <w:tcBorders>
              <w:tl2br w:val="nil"/>
              <w:tr2bl w:val="nil"/>
            </w:tcBorders>
            <w:noWrap w:val="0"/>
            <w:vAlign w:val="center"/>
          </w:tcPr>
          <w:p w14:paraId="53275F15">
            <w:pPr>
              <w:widowControl/>
              <w:spacing w:line="360" w:lineRule="auto"/>
              <w:rPr>
                <w:rFonts w:hint="eastAsia"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lang w:val="en-US" w:eastAsia="zh-CN"/>
              </w:rPr>
              <w:t>悬浮地板</w:t>
            </w:r>
          </w:p>
        </w:tc>
        <w:tc>
          <w:tcPr>
            <w:tcW w:w="1157" w:type="dxa"/>
            <w:tcBorders>
              <w:tl2br w:val="nil"/>
              <w:tr2bl w:val="nil"/>
            </w:tcBorders>
            <w:noWrap w:val="0"/>
            <w:vAlign w:val="center"/>
          </w:tcPr>
          <w:p w14:paraId="0F3E324E">
            <w:pPr>
              <w:spacing w:line="360" w:lineRule="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kern w:val="0"/>
                <w:sz w:val="24"/>
                <w:szCs w:val="24"/>
              </w:rPr>
              <w:t>英利奥</w:t>
            </w:r>
          </w:p>
        </w:tc>
        <w:tc>
          <w:tcPr>
            <w:tcW w:w="1157" w:type="dxa"/>
            <w:tcBorders>
              <w:tl2br w:val="nil"/>
              <w:tr2bl w:val="nil"/>
            </w:tcBorders>
            <w:noWrap w:val="0"/>
            <w:vAlign w:val="center"/>
          </w:tcPr>
          <w:p w14:paraId="26EA19BF">
            <w:pPr>
              <w:spacing w:line="360" w:lineRule="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rPr>
              <w:t>杰帝奇</w:t>
            </w:r>
          </w:p>
        </w:tc>
        <w:tc>
          <w:tcPr>
            <w:tcW w:w="1157" w:type="dxa"/>
            <w:tcBorders>
              <w:tl2br w:val="nil"/>
              <w:tr2bl w:val="nil"/>
            </w:tcBorders>
            <w:noWrap w:val="0"/>
            <w:vAlign w:val="center"/>
          </w:tcPr>
          <w:p w14:paraId="08E60200">
            <w:pPr>
              <w:spacing w:line="360" w:lineRule="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rPr>
              <w:t>劲踏</w:t>
            </w:r>
          </w:p>
        </w:tc>
        <w:tc>
          <w:tcPr>
            <w:tcW w:w="1157" w:type="dxa"/>
            <w:tcBorders>
              <w:tl2br w:val="nil"/>
              <w:tr2bl w:val="nil"/>
            </w:tcBorders>
            <w:noWrap w:val="0"/>
            <w:vAlign w:val="center"/>
          </w:tcPr>
          <w:p w14:paraId="075A6CFD">
            <w:pPr>
              <w:spacing w:line="360" w:lineRule="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eastAsia="zh-CN"/>
              </w:rPr>
              <w:t>欧立曼</w:t>
            </w:r>
          </w:p>
        </w:tc>
        <w:tc>
          <w:tcPr>
            <w:tcW w:w="1157" w:type="dxa"/>
            <w:tcBorders>
              <w:tl2br w:val="nil"/>
              <w:tr2bl w:val="nil"/>
            </w:tcBorders>
            <w:noWrap w:val="0"/>
            <w:vAlign w:val="center"/>
          </w:tcPr>
          <w:p w14:paraId="5A24CCFD">
            <w:pPr>
              <w:widowControl/>
              <w:spacing w:line="360" w:lineRule="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sz w:val="24"/>
                <w:szCs w:val="24"/>
              </w:rPr>
              <w:t>匠运</w:t>
            </w:r>
          </w:p>
        </w:tc>
      </w:tr>
      <w:tr w14:paraId="355F1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840" w:type="dxa"/>
            <w:tcBorders>
              <w:tl2br w:val="nil"/>
              <w:tr2bl w:val="nil"/>
            </w:tcBorders>
            <w:noWrap w:val="0"/>
            <w:vAlign w:val="center"/>
          </w:tcPr>
          <w:p w14:paraId="7B4E6A18">
            <w:pPr>
              <w:widowControl/>
              <w:spacing w:line="360" w:lineRule="auto"/>
              <w:jc w:val="center"/>
              <w:rPr>
                <w:rFonts w:hint="eastAsia" w:asciiTheme="minorEastAsia" w:hAnsiTheme="minorEastAsia" w:eastAsiaTheme="minorEastAsia" w:cstheme="minorEastAsia"/>
                <w:kern w:val="0"/>
                <w:sz w:val="24"/>
                <w:szCs w:val="24"/>
                <w:lang w:eastAsia="zh-CN"/>
              </w:rPr>
            </w:pPr>
            <w:r>
              <w:rPr>
                <w:rFonts w:hint="eastAsia" w:asciiTheme="minorEastAsia" w:hAnsiTheme="minorEastAsia" w:eastAsiaTheme="minorEastAsia" w:cstheme="minorEastAsia"/>
                <w:kern w:val="0"/>
                <w:sz w:val="24"/>
                <w:szCs w:val="24"/>
                <w:lang w:val="en-US" w:eastAsia="zh-CN"/>
              </w:rPr>
              <w:t>2</w:t>
            </w:r>
          </w:p>
        </w:tc>
        <w:tc>
          <w:tcPr>
            <w:tcW w:w="2550" w:type="dxa"/>
            <w:tcBorders>
              <w:tl2br w:val="nil"/>
              <w:tr2bl w:val="nil"/>
            </w:tcBorders>
            <w:noWrap w:val="0"/>
            <w:vAlign w:val="center"/>
          </w:tcPr>
          <w:p w14:paraId="70081D2C">
            <w:pPr>
              <w:widowControl/>
              <w:spacing w:line="360" w:lineRule="auto"/>
              <w:rPr>
                <w:rFonts w:hint="eastAsia"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lang w:val="en-US" w:eastAsia="zh-CN"/>
              </w:rPr>
              <w:t>运动器械（篮球架、及休闲运动器械）</w:t>
            </w:r>
          </w:p>
        </w:tc>
        <w:tc>
          <w:tcPr>
            <w:tcW w:w="1157" w:type="dxa"/>
            <w:tcBorders>
              <w:tl2br w:val="nil"/>
              <w:tr2bl w:val="nil"/>
            </w:tcBorders>
            <w:noWrap w:val="0"/>
            <w:vAlign w:val="center"/>
          </w:tcPr>
          <w:p w14:paraId="53C6D1E8">
            <w:pPr>
              <w:spacing w:line="360" w:lineRule="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rPr>
              <w:t>金陵</w:t>
            </w:r>
          </w:p>
        </w:tc>
        <w:tc>
          <w:tcPr>
            <w:tcW w:w="1157" w:type="dxa"/>
            <w:tcBorders>
              <w:tl2br w:val="nil"/>
              <w:tr2bl w:val="nil"/>
            </w:tcBorders>
            <w:noWrap w:val="0"/>
            <w:vAlign w:val="center"/>
          </w:tcPr>
          <w:p w14:paraId="053D94C7">
            <w:pPr>
              <w:spacing w:line="360" w:lineRule="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rPr>
              <w:t>红旗</w:t>
            </w:r>
          </w:p>
        </w:tc>
        <w:tc>
          <w:tcPr>
            <w:tcW w:w="1157" w:type="dxa"/>
            <w:tcBorders>
              <w:tl2br w:val="nil"/>
              <w:tr2bl w:val="nil"/>
            </w:tcBorders>
            <w:noWrap w:val="0"/>
            <w:vAlign w:val="center"/>
          </w:tcPr>
          <w:p w14:paraId="10C4DA2C">
            <w:pPr>
              <w:spacing w:line="360" w:lineRule="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rPr>
              <w:t>英派斯</w:t>
            </w:r>
          </w:p>
        </w:tc>
        <w:tc>
          <w:tcPr>
            <w:tcW w:w="1157" w:type="dxa"/>
            <w:tcBorders>
              <w:tl2br w:val="nil"/>
              <w:tr2bl w:val="nil"/>
            </w:tcBorders>
            <w:noWrap w:val="0"/>
            <w:vAlign w:val="center"/>
          </w:tcPr>
          <w:p w14:paraId="25A10D75">
            <w:pPr>
              <w:spacing w:line="360" w:lineRule="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国龙</w:t>
            </w:r>
          </w:p>
        </w:tc>
        <w:tc>
          <w:tcPr>
            <w:tcW w:w="1157" w:type="dxa"/>
            <w:tcBorders>
              <w:tl2br w:val="nil"/>
              <w:tr2bl w:val="nil"/>
            </w:tcBorders>
            <w:noWrap w:val="0"/>
            <w:vAlign w:val="center"/>
          </w:tcPr>
          <w:p w14:paraId="25BA66D2">
            <w:pPr>
              <w:spacing w:line="360" w:lineRule="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sz w:val="24"/>
                <w:szCs w:val="24"/>
                <w:lang w:val="en-US" w:eastAsia="zh-CN"/>
              </w:rPr>
              <w:t>世纪昊佳</w:t>
            </w:r>
          </w:p>
        </w:tc>
      </w:tr>
    </w:tbl>
    <w:p w14:paraId="3EA63E22">
      <w:pPr>
        <w:topLinePunct/>
        <w:spacing w:line="360" w:lineRule="auto"/>
        <w:ind w:firstLine="480" w:firstLineChars="200"/>
        <w:rPr>
          <w:rFonts w:ascii="宋体" w:hAnsi="宋体" w:eastAsia="宋体" w:cs="宋体"/>
          <w:kern w:val="2"/>
          <w:sz w:val="24"/>
          <w:szCs w:val="24"/>
        </w:rPr>
      </w:pPr>
      <w:r>
        <w:rPr>
          <w:rFonts w:hint="eastAsia" w:ascii="宋体" w:hAnsi="宋体" w:eastAsia="宋体" w:cs="宋体"/>
          <w:kern w:val="2"/>
          <w:sz w:val="24"/>
          <w:szCs w:val="24"/>
        </w:rPr>
        <w:t>注：</w:t>
      </w:r>
    </w:p>
    <w:p w14:paraId="6A0AE463">
      <w:pPr>
        <w:topLinePunct/>
        <w:spacing w:line="360" w:lineRule="auto"/>
        <w:ind w:firstLine="480" w:firstLineChars="200"/>
        <w:rPr>
          <w:rFonts w:ascii="宋体" w:hAnsi="宋体" w:eastAsia="宋体" w:cs="宋体"/>
          <w:kern w:val="2"/>
          <w:sz w:val="24"/>
          <w:szCs w:val="24"/>
        </w:rPr>
      </w:pPr>
      <w:r>
        <w:rPr>
          <w:rFonts w:hint="eastAsia" w:ascii="宋体" w:hAnsi="宋体" w:eastAsia="宋体" w:cs="宋体"/>
          <w:kern w:val="2"/>
          <w:sz w:val="24"/>
          <w:szCs w:val="24"/>
        </w:rPr>
        <w:t>（1）以上产品设备，不具有限制性和排他性；</w:t>
      </w:r>
    </w:p>
    <w:p w14:paraId="08E2FEBD">
      <w:pPr>
        <w:topLinePunct/>
        <w:spacing w:line="360" w:lineRule="auto"/>
        <w:ind w:firstLine="480" w:firstLineChars="200"/>
        <w:rPr>
          <w:rFonts w:hint="default" w:asciiTheme="minorEastAsia" w:hAnsiTheme="minorEastAsia" w:cstheme="minorEastAsia"/>
          <w:sz w:val="24"/>
          <w:szCs w:val="24"/>
          <w:lang w:val="en-US" w:eastAsia="zh-CN"/>
        </w:rPr>
      </w:pPr>
      <w:r>
        <w:rPr>
          <w:rFonts w:hint="eastAsia" w:ascii="宋体" w:hAnsi="宋体" w:eastAsia="宋体" w:cs="宋体"/>
          <w:kern w:val="2"/>
          <w:sz w:val="24"/>
          <w:szCs w:val="24"/>
        </w:rPr>
        <w:t>（2）供应商可选用不低于以上品牌技术性能指标的其他品牌；采用其他品牌的应在响应文件中注明并提供相关技术性能指标等供磋商小组评审，未在响应文件中注明或未提供相关技术性能指标，或经磋商小组评审未通过的，成交后成交供应商只能从采购人以上品牌中进行选择，合同价格不予调整。</w:t>
      </w:r>
    </w:p>
    <w:p w14:paraId="20E81ACA">
      <w:pPr>
        <w:pStyle w:val="4"/>
        <w:spacing w:before="0" w:after="0" w:line="360" w:lineRule="auto"/>
        <w:rPr>
          <w:rFonts w:asciiTheme="minorEastAsia" w:hAnsiTheme="minorEastAsia" w:eastAsiaTheme="minorEastAsia" w:cstheme="minorEastAsia"/>
          <w:sz w:val="24"/>
          <w:szCs w:val="24"/>
        </w:rPr>
      </w:pPr>
      <w:bookmarkStart w:id="13" w:name="_Toc8900"/>
      <w:bookmarkStart w:id="14" w:name="_Toc29071"/>
      <w:bookmarkStart w:id="15" w:name="OLE_LINK7"/>
      <w:r>
        <w:rPr>
          <w:rFonts w:hint="eastAsia" w:asciiTheme="minorEastAsia" w:hAnsiTheme="minorEastAsia" w:eastAsiaTheme="minorEastAsia" w:cstheme="minorEastAsia"/>
          <w:sz w:val="24"/>
          <w:szCs w:val="24"/>
          <w:lang w:val="en-US"/>
        </w:rPr>
        <w:t>三、</w:t>
      </w:r>
      <w:r>
        <w:rPr>
          <w:rFonts w:hint="eastAsia" w:asciiTheme="minorEastAsia" w:hAnsiTheme="minorEastAsia" w:eastAsiaTheme="minorEastAsia" w:cstheme="minorEastAsia"/>
          <w:sz w:val="24"/>
          <w:szCs w:val="24"/>
        </w:rPr>
        <w:t>报价要求</w:t>
      </w:r>
      <w:bookmarkEnd w:id="13"/>
      <w:bookmarkEnd w:id="14"/>
    </w:p>
    <w:p w14:paraId="5D76F0F3">
      <w:pPr>
        <w:keepNext/>
        <w:keepLines/>
        <w:spacing w:line="360" w:lineRule="auto"/>
        <w:outlineLvl w:val="9"/>
        <w:rPr>
          <w:rFonts w:asciiTheme="minorEastAsia" w:hAnsiTheme="minorEastAsia" w:eastAsiaTheme="minorEastAsia" w:cstheme="minorEastAsia"/>
          <w:b/>
          <w:bCs/>
          <w:color w:val="000000"/>
          <w:sz w:val="24"/>
          <w:szCs w:val="24"/>
        </w:rPr>
      </w:pPr>
      <w:bookmarkStart w:id="16" w:name="_Toc28825"/>
      <w:bookmarkStart w:id="17" w:name="_Toc11545"/>
      <w:bookmarkStart w:id="18" w:name="_Toc22767"/>
      <w:r>
        <w:rPr>
          <w:rFonts w:hint="eastAsia" w:asciiTheme="minorEastAsia" w:hAnsiTheme="minorEastAsia" w:eastAsiaTheme="minorEastAsia" w:cstheme="minorEastAsia"/>
          <w:b/>
          <w:bCs/>
          <w:color w:val="000000"/>
          <w:sz w:val="24"/>
          <w:szCs w:val="24"/>
        </w:rPr>
        <w:t>3.1计价依据</w:t>
      </w:r>
      <w:bookmarkEnd w:id="16"/>
      <w:bookmarkEnd w:id="17"/>
      <w:bookmarkEnd w:id="18"/>
    </w:p>
    <w:p w14:paraId="7B9E34B3">
      <w:pPr>
        <w:spacing w:line="360" w:lineRule="auto"/>
        <w:ind w:firstLine="480" w:firstLineChars="200"/>
        <w:outlineLvl w:val="9"/>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3.1.1 计价依据的确定符合国家法律法规、现行有关标准与规范，工程所在地的省、市工程定额和工程造价的规定以及工程造价信息要求。</w:t>
      </w:r>
    </w:p>
    <w:p w14:paraId="29877C2A">
      <w:pPr>
        <w:spacing w:line="360" w:lineRule="auto"/>
        <w:ind w:firstLine="480" w:firstLineChars="200"/>
        <w:outlineLvl w:val="9"/>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rPr>
        <w:t xml:space="preserve">3.1.2 </w:t>
      </w:r>
      <w:bookmarkStart w:id="19" w:name="OLE_LINK6"/>
      <w:r>
        <w:rPr>
          <w:rFonts w:hint="eastAsia" w:asciiTheme="minorEastAsia" w:hAnsiTheme="minorEastAsia" w:eastAsiaTheme="minorEastAsia" w:cstheme="minorEastAsia"/>
          <w:color w:val="auto"/>
          <w:sz w:val="24"/>
          <w:szCs w:val="24"/>
        </w:rPr>
        <w:t>安全文明施工费</w:t>
      </w:r>
      <w:bookmarkEnd w:id="19"/>
      <w:r>
        <w:rPr>
          <w:rFonts w:hint="eastAsia" w:asciiTheme="minorEastAsia" w:hAnsiTheme="minorEastAsia" w:eastAsiaTheme="minorEastAsia" w:cstheme="minorEastAsia"/>
          <w:color w:val="auto"/>
          <w:sz w:val="24"/>
          <w:szCs w:val="24"/>
          <w:lang w:val="en-US" w:eastAsia="zh-CN"/>
        </w:rPr>
        <w:t>费率</w:t>
      </w: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详见最高限价中</w:t>
      </w:r>
      <w:r>
        <w:rPr>
          <w:rFonts w:hint="eastAsia" w:asciiTheme="minorEastAsia" w:hAnsiTheme="minorEastAsia" w:eastAsiaTheme="minorEastAsia" w:cstheme="minorEastAsia"/>
          <w:color w:val="auto"/>
          <w:sz w:val="24"/>
          <w:szCs w:val="24"/>
        </w:rPr>
        <w:t>安全文明施工费</w:t>
      </w:r>
      <w:r>
        <w:rPr>
          <w:rFonts w:hint="eastAsia" w:asciiTheme="minorEastAsia" w:hAnsiTheme="minorEastAsia" w:eastAsiaTheme="minorEastAsia" w:cstheme="minorEastAsia"/>
          <w:color w:val="auto"/>
          <w:sz w:val="24"/>
          <w:szCs w:val="24"/>
          <w:lang w:val="en-US" w:eastAsia="zh-CN"/>
        </w:rPr>
        <w:t>费率。</w:t>
      </w:r>
    </w:p>
    <w:p w14:paraId="39A852D7">
      <w:pPr>
        <w:spacing w:line="360" w:lineRule="auto"/>
        <w:ind w:firstLine="480" w:firstLineChars="200"/>
        <w:outlineLvl w:val="9"/>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rPr>
        <w:t>3.1.</w:t>
      </w:r>
      <w:r>
        <w:rPr>
          <w:rFonts w:hint="eastAsia" w:asciiTheme="minorEastAsia" w:hAnsiTheme="minorEastAsia" w:eastAsiaTheme="minorEastAsia" w:cstheme="minorEastAsia"/>
          <w:color w:val="auto"/>
          <w:sz w:val="24"/>
          <w:szCs w:val="24"/>
          <w:lang w:val="en-US" w:eastAsia="zh-CN"/>
        </w:rPr>
        <w:t>3</w:t>
      </w:r>
      <w:r>
        <w:rPr>
          <w:rFonts w:hint="eastAsia" w:asciiTheme="minorEastAsia" w:hAnsiTheme="minorEastAsia" w:eastAsiaTheme="minorEastAsia" w:cstheme="minorEastAsia"/>
          <w:color w:val="auto"/>
          <w:sz w:val="24"/>
          <w:szCs w:val="24"/>
        </w:rPr>
        <w:t xml:space="preserve"> </w:t>
      </w:r>
      <w:r>
        <w:rPr>
          <w:rFonts w:hint="eastAsia" w:asciiTheme="minorEastAsia" w:hAnsiTheme="minorEastAsia" w:eastAsiaTheme="minorEastAsia" w:cstheme="minorEastAsia"/>
          <w:color w:val="auto"/>
          <w:sz w:val="24"/>
          <w:szCs w:val="24"/>
          <w:lang w:eastAsia="zh-CN"/>
        </w:rPr>
        <w:t>安全生产责任保险费</w:t>
      </w:r>
      <w:r>
        <w:rPr>
          <w:rFonts w:hint="eastAsia" w:asciiTheme="minorEastAsia" w:hAnsiTheme="minorEastAsia" w:eastAsiaTheme="minorEastAsia" w:cstheme="minorEastAsia"/>
          <w:color w:val="auto"/>
          <w:sz w:val="24"/>
          <w:szCs w:val="24"/>
          <w:lang w:val="en-US" w:eastAsia="zh-CN"/>
        </w:rPr>
        <w:t>费率</w:t>
      </w: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详见最高限价中</w:t>
      </w:r>
      <w:r>
        <w:rPr>
          <w:rFonts w:hint="eastAsia" w:asciiTheme="minorEastAsia" w:hAnsiTheme="minorEastAsia" w:eastAsiaTheme="minorEastAsia" w:cstheme="minorEastAsia"/>
          <w:color w:val="auto"/>
          <w:sz w:val="24"/>
          <w:szCs w:val="24"/>
          <w:lang w:eastAsia="zh-CN"/>
        </w:rPr>
        <w:t>安全生产责任保险费</w:t>
      </w:r>
      <w:r>
        <w:rPr>
          <w:rFonts w:hint="eastAsia" w:asciiTheme="minorEastAsia" w:hAnsiTheme="minorEastAsia" w:eastAsiaTheme="minorEastAsia" w:cstheme="minorEastAsia"/>
          <w:color w:val="auto"/>
          <w:sz w:val="24"/>
          <w:szCs w:val="24"/>
          <w:lang w:val="en-US" w:eastAsia="zh-CN"/>
        </w:rPr>
        <w:t>费率。</w:t>
      </w:r>
    </w:p>
    <w:p w14:paraId="28A4862D">
      <w:pPr>
        <w:keepNext/>
        <w:keepLines/>
        <w:spacing w:line="360" w:lineRule="auto"/>
        <w:outlineLvl w:val="9"/>
        <w:rPr>
          <w:rFonts w:asciiTheme="minorEastAsia" w:hAnsiTheme="minorEastAsia" w:eastAsiaTheme="minorEastAsia" w:cstheme="minorEastAsia"/>
          <w:b/>
          <w:bCs/>
          <w:color w:val="auto"/>
          <w:sz w:val="24"/>
          <w:szCs w:val="24"/>
        </w:rPr>
      </w:pPr>
      <w:bookmarkStart w:id="20" w:name="_Toc22414"/>
      <w:bookmarkStart w:id="21" w:name="_Toc4564"/>
      <w:bookmarkStart w:id="22" w:name="_Toc22790"/>
      <w:r>
        <w:rPr>
          <w:rFonts w:hint="eastAsia" w:asciiTheme="minorEastAsia" w:hAnsiTheme="minorEastAsia" w:eastAsiaTheme="minorEastAsia" w:cstheme="minorEastAsia"/>
          <w:b/>
          <w:bCs/>
          <w:color w:val="auto"/>
          <w:sz w:val="24"/>
          <w:szCs w:val="24"/>
        </w:rPr>
        <w:t>3.2响应报价参考编制要求</w:t>
      </w:r>
      <w:bookmarkEnd w:id="20"/>
      <w:bookmarkEnd w:id="21"/>
      <w:bookmarkEnd w:id="22"/>
    </w:p>
    <w:p w14:paraId="0C9B3A4E">
      <w:pPr>
        <w:spacing w:line="360" w:lineRule="auto"/>
        <w:ind w:firstLine="480" w:firstLineChars="200"/>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auto"/>
          <w:sz w:val="24"/>
          <w:szCs w:val="24"/>
        </w:rPr>
        <w:t>3.2.1 响应报价</w:t>
      </w:r>
      <w:r>
        <w:rPr>
          <w:rFonts w:hint="eastAsia" w:asciiTheme="minorEastAsia" w:hAnsiTheme="minorEastAsia" w:eastAsiaTheme="minorEastAsia" w:cstheme="minorEastAsia"/>
          <w:sz w:val="24"/>
          <w:szCs w:val="24"/>
        </w:rPr>
        <w:t>编制参考依据：</w:t>
      </w:r>
      <w:r>
        <w:rPr>
          <w:rFonts w:hint="eastAsia" w:asciiTheme="minorEastAsia" w:hAnsiTheme="minorEastAsia" w:eastAsiaTheme="minorEastAsia" w:cstheme="minorEastAsia"/>
          <w:color w:val="000000"/>
          <w:sz w:val="24"/>
          <w:szCs w:val="24"/>
          <w:lang w:val="en-US" w:eastAsia="zh-CN"/>
        </w:rPr>
        <w:t>详见清单编制说明（如有）。</w:t>
      </w:r>
    </w:p>
    <w:p w14:paraId="4D12DBD5">
      <w:pPr>
        <w:spacing w:line="360" w:lineRule="auto"/>
        <w:ind w:firstLine="480" w:firstLineChars="200"/>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3.2.2供应商应仔细阅读采购文件，了解全部工程内容。供应商的响应报价应是采购文件所确定的采购范围内全部工程内容的价格体现，但其响应报价不得低于供应商个别成本价。</w:t>
      </w:r>
    </w:p>
    <w:p w14:paraId="61332338">
      <w:pPr>
        <w:spacing w:line="360" w:lineRule="auto"/>
        <w:ind w:firstLine="480" w:firstLineChars="200"/>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3.2.3供应商应按采购人提供的工程量清单填报综合单价和合价，未填报的综合单价和合价，视为此项费用已合在工程量清单的其他综合单价和合价中。</w:t>
      </w:r>
    </w:p>
    <w:p w14:paraId="50DF7539">
      <w:pPr>
        <w:spacing w:line="360" w:lineRule="auto"/>
        <w:ind w:firstLine="480" w:firstLineChars="200"/>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000000"/>
          <w:sz w:val="24"/>
          <w:szCs w:val="24"/>
        </w:rPr>
        <w:t>3.2.4分部分项工程费根据采购文件中的工程量清单项目及项目特征描述等确定综合单价。其中综合单价是指完成一个规定清单项目所需的人工费、材料和工程设备费、施工机具使用费和综合费（企业管理费和利润）以及一定范围内供应商承担的风险</w:t>
      </w:r>
      <w:r>
        <w:rPr>
          <w:rFonts w:hint="eastAsia" w:asciiTheme="minorEastAsia" w:hAnsiTheme="minorEastAsia" w:eastAsiaTheme="minorEastAsia" w:cstheme="minorEastAsia"/>
          <w:color w:val="auto"/>
          <w:sz w:val="24"/>
          <w:szCs w:val="24"/>
        </w:rPr>
        <w:t>费用。</w:t>
      </w:r>
    </w:p>
    <w:p w14:paraId="095E8CD7">
      <w:pPr>
        <w:spacing w:line="360" w:lineRule="auto"/>
        <w:ind w:firstLine="480" w:firstLineChars="200"/>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3.2.5措施项目费依据第3.2.1项编制依据确定。</w:t>
      </w:r>
    </w:p>
    <w:p w14:paraId="4197F809">
      <w:pPr>
        <w:spacing w:line="360" w:lineRule="auto"/>
        <w:ind w:firstLine="480" w:firstLineChars="200"/>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3.2.6不可竞争费（含安全文明施工费、环境保护税</w:t>
      </w:r>
      <w:r>
        <w:rPr>
          <w:rFonts w:hint="eastAsia" w:asciiTheme="minorEastAsia" w:hAnsiTheme="minorEastAsia" w:eastAsiaTheme="minorEastAsia" w:cstheme="minorEastAsia"/>
          <w:color w:val="auto"/>
          <w:sz w:val="24"/>
          <w:szCs w:val="24"/>
          <w:lang w:eastAsia="zh-CN"/>
        </w:rPr>
        <w:t>、安全生产责任保险费</w:t>
      </w:r>
      <w:r>
        <w:rPr>
          <w:rFonts w:hint="eastAsia" w:asciiTheme="minorEastAsia" w:hAnsiTheme="minorEastAsia" w:eastAsiaTheme="minorEastAsia" w:cstheme="minorEastAsia"/>
          <w:color w:val="auto"/>
          <w:sz w:val="24"/>
          <w:szCs w:val="24"/>
          <w:lang w:val="en-US" w:eastAsia="zh-CN"/>
        </w:rPr>
        <w:t>等</w:t>
      </w:r>
      <w:r>
        <w:rPr>
          <w:rFonts w:hint="eastAsia" w:asciiTheme="minorEastAsia" w:hAnsiTheme="minorEastAsia" w:eastAsiaTheme="minorEastAsia" w:cstheme="minorEastAsia"/>
          <w:color w:val="auto"/>
          <w:sz w:val="24"/>
          <w:szCs w:val="24"/>
        </w:rPr>
        <w:t>）根据工程量清单不可竞争项目，结合第3.2.1项编制依据确定，安全文明施工费费率</w:t>
      </w:r>
      <w:r>
        <w:rPr>
          <w:rFonts w:hint="eastAsia" w:asciiTheme="minorEastAsia" w:hAnsiTheme="minorEastAsia" w:eastAsiaTheme="minorEastAsia" w:cstheme="minorEastAsia"/>
          <w:color w:val="auto"/>
          <w:sz w:val="24"/>
          <w:szCs w:val="24"/>
          <w:lang w:val="en-US" w:eastAsia="zh-CN"/>
        </w:rPr>
        <w:t>和</w:t>
      </w:r>
      <w:r>
        <w:rPr>
          <w:rFonts w:hint="eastAsia" w:asciiTheme="minorEastAsia" w:hAnsiTheme="minorEastAsia" w:eastAsiaTheme="minorEastAsia" w:cstheme="minorEastAsia"/>
          <w:color w:val="auto"/>
          <w:sz w:val="24"/>
          <w:szCs w:val="24"/>
          <w:lang w:eastAsia="zh-CN"/>
        </w:rPr>
        <w:t>安全生产责任保险费</w:t>
      </w:r>
      <w:r>
        <w:rPr>
          <w:rFonts w:hint="eastAsia" w:asciiTheme="minorEastAsia" w:hAnsiTheme="minorEastAsia" w:eastAsiaTheme="minorEastAsia" w:cstheme="minorEastAsia"/>
          <w:color w:val="auto"/>
          <w:sz w:val="24"/>
          <w:szCs w:val="24"/>
          <w:lang w:val="en-US" w:eastAsia="zh-CN"/>
        </w:rPr>
        <w:t>费率</w:t>
      </w:r>
      <w:r>
        <w:rPr>
          <w:rFonts w:hint="eastAsia" w:asciiTheme="minorEastAsia" w:hAnsiTheme="minorEastAsia" w:eastAsiaTheme="minorEastAsia" w:cstheme="minorEastAsia"/>
          <w:color w:val="auto"/>
          <w:sz w:val="24"/>
          <w:szCs w:val="24"/>
        </w:rPr>
        <w:t>不得调整。</w:t>
      </w:r>
    </w:p>
    <w:p w14:paraId="642AC66D">
      <w:pPr>
        <w:spacing w:line="360" w:lineRule="auto"/>
        <w:ind w:firstLine="480" w:firstLineChars="200"/>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3.2.7其他项目费用应按照下列规定计价：</w:t>
      </w:r>
    </w:p>
    <w:p w14:paraId="421B8137">
      <w:pPr>
        <w:spacing w:line="360" w:lineRule="auto"/>
        <w:ind w:firstLine="480" w:firstLineChars="200"/>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（1）暂列金额按工程量清单中列出的金额填写，不得更改；</w:t>
      </w:r>
    </w:p>
    <w:p w14:paraId="2EC896AE">
      <w:pPr>
        <w:spacing w:line="360" w:lineRule="auto"/>
        <w:ind w:firstLine="480" w:firstLineChars="200"/>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（2）专业工程暂估价按工程量清单中列出的金额填写，不得更改；</w:t>
      </w:r>
    </w:p>
    <w:p w14:paraId="2D2369D9">
      <w:pPr>
        <w:spacing w:line="360" w:lineRule="auto"/>
        <w:ind w:firstLine="480" w:firstLineChars="200"/>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xml:space="preserve">（3）计日工按采购人列出项目和数量，结合第3.2.1项编制依据的要求确定综合单价并计算费用； </w:t>
      </w:r>
    </w:p>
    <w:p w14:paraId="617A4598">
      <w:pPr>
        <w:spacing w:line="360" w:lineRule="auto"/>
        <w:ind w:firstLine="480" w:firstLineChars="200"/>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（4）总承包服务费根据采购文件列出的内容和要求计算。</w:t>
      </w:r>
    </w:p>
    <w:p w14:paraId="0EBA267E">
      <w:pPr>
        <w:spacing w:line="360" w:lineRule="auto"/>
        <w:ind w:firstLine="480" w:firstLineChars="200"/>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3.2.8税金（增值税）按税金项目清单，结合第3.2.1项编制依据的要求编制，不得调整。</w:t>
      </w:r>
    </w:p>
    <w:p w14:paraId="7D99AA56">
      <w:pPr>
        <w:spacing w:line="360" w:lineRule="auto"/>
        <w:ind w:firstLine="480" w:firstLineChars="200"/>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3.2.9 响应报价编制注意事项</w:t>
      </w:r>
    </w:p>
    <w:p w14:paraId="23B158B6">
      <w:pPr>
        <w:spacing w:line="360" w:lineRule="auto"/>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对于受施工现场场地限制，如需要另外寻找场地解决临时住宿、材料及设备堆放，由此所产生的费用应包含在响应报价范围内，采购人不再承担该费用</w:t>
      </w:r>
      <w:r>
        <w:rPr>
          <w:rFonts w:hint="eastAsia" w:asciiTheme="minorEastAsia" w:hAnsiTheme="minorEastAsia" w:eastAsiaTheme="minorEastAsia" w:cstheme="minorEastAsia"/>
          <w:bCs/>
          <w:sz w:val="24"/>
          <w:szCs w:val="24"/>
        </w:rPr>
        <w:t>。</w:t>
      </w:r>
    </w:p>
    <w:bookmarkEnd w:id="15"/>
    <w:p w14:paraId="044ED0CE">
      <w:pPr>
        <w:pStyle w:val="4"/>
        <w:pageBreakBefore w:val="0"/>
        <w:widowControl w:val="0"/>
        <w:kinsoku/>
        <w:wordWrap/>
        <w:overflowPunct/>
        <w:topLinePunct w:val="0"/>
        <w:autoSpaceDE/>
        <w:autoSpaceDN/>
        <w:bidi w:val="0"/>
        <w:adjustRightInd/>
        <w:snapToGrid/>
        <w:spacing w:before="0" w:after="0" w:line="360" w:lineRule="auto"/>
        <w:rPr>
          <w:rFonts w:asciiTheme="minorEastAsia" w:hAnsiTheme="minorEastAsia" w:eastAsiaTheme="minorEastAsia" w:cstheme="minorEastAsia"/>
          <w:sz w:val="24"/>
          <w:szCs w:val="24"/>
        </w:rPr>
      </w:pPr>
      <w:bookmarkStart w:id="23" w:name="_Toc25124"/>
      <w:bookmarkStart w:id="24" w:name="_Toc26113"/>
      <w:bookmarkStart w:id="25" w:name="_Toc527541657"/>
      <w:r>
        <w:rPr>
          <w:rFonts w:hint="eastAsia" w:asciiTheme="minorEastAsia" w:hAnsiTheme="minorEastAsia" w:eastAsiaTheme="minorEastAsia" w:cstheme="minorEastAsia"/>
          <w:sz w:val="24"/>
          <w:szCs w:val="24"/>
          <w:lang w:val="en-US"/>
        </w:rPr>
        <w:t>四、</w:t>
      </w:r>
      <w:r>
        <w:rPr>
          <w:rFonts w:hint="eastAsia" w:asciiTheme="minorEastAsia" w:hAnsiTheme="minorEastAsia" w:eastAsiaTheme="minorEastAsia" w:cstheme="minorEastAsia"/>
          <w:sz w:val="24"/>
          <w:szCs w:val="24"/>
        </w:rPr>
        <w:t>工程量清单</w:t>
      </w:r>
      <w:bookmarkEnd w:id="23"/>
      <w:bookmarkEnd w:id="24"/>
    </w:p>
    <w:bookmarkEnd w:id="25"/>
    <w:p w14:paraId="0B3EEF40">
      <w:pPr>
        <w:pStyle w:val="11"/>
        <w:pageBreakBefore w:val="0"/>
        <w:widowControl w:val="0"/>
        <w:kinsoku/>
        <w:wordWrap/>
        <w:overflowPunct/>
        <w:topLinePunct w:val="0"/>
        <w:autoSpaceDE/>
        <w:autoSpaceDN/>
        <w:bidi w:val="0"/>
        <w:adjustRightInd/>
        <w:snapToGrid/>
        <w:ind w:firstLine="482"/>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另行发放。如工程量清单中涉及证明材料，供应商无须提供。如工程量清单中出现特定性、唯一性品牌的表述，该品牌仅作为参考，施工过程中不具有限定性。</w:t>
      </w:r>
    </w:p>
    <w:p w14:paraId="00372180">
      <w:pPr>
        <w:pStyle w:val="4"/>
        <w:pageBreakBefore w:val="0"/>
        <w:widowControl w:val="0"/>
        <w:kinsoku/>
        <w:wordWrap/>
        <w:overflowPunct/>
        <w:topLinePunct w:val="0"/>
        <w:autoSpaceDE/>
        <w:autoSpaceDN/>
        <w:bidi w:val="0"/>
        <w:adjustRightInd/>
        <w:snapToGrid/>
        <w:spacing w:before="0" w:after="0" w:line="360" w:lineRule="auto"/>
        <w:rPr>
          <w:rFonts w:asciiTheme="minorEastAsia" w:hAnsiTheme="minorEastAsia" w:eastAsiaTheme="minorEastAsia" w:cstheme="minorEastAsia"/>
          <w:sz w:val="24"/>
          <w:szCs w:val="24"/>
        </w:rPr>
      </w:pPr>
      <w:bookmarkStart w:id="26" w:name="_Toc527541659"/>
      <w:bookmarkStart w:id="27" w:name="_Hlk165186373"/>
      <w:bookmarkStart w:id="28" w:name="_Toc4770"/>
      <w:bookmarkStart w:id="29" w:name="_Toc31135"/>
      <w:r>
        <w:rPr>
          <w:rFonts w:hint="eastAsia" w:asciiTheme="minorEastAsia" w:hAnsiTheme="minorEastAsia" w:eastAsiaTheme="minorEastAsia" w:cstheme="minorEastAsia"/>
          <w:sz w:val="24"/>
          <w:szCs w:val="24"/>
          <w:lang w:val="en-US"/>
        </w:rPr>
        <w:t>五、</w:t>
      </w:r>
      <w:r>
        <w:rPr>
          <w:rFonts w:hint="eastAsia" w:asciiTheme="minorEastAsia" w:hAnsiTheme="minorEastAsia" w:eastAsiaTheme="minorEastAsia" w:cstheme="minorEastAsia"/>
          <w:sz w:val="24"/>
          <w:szCs w:val="24"/>
        </w:rPr>
        <w:t>图纸</w:t>
      </w:r>
      <w:bookmarkEnd w:id="26"/>
      <w:bookmarkEnd w:id="27"/>
      <w:r>
        <w:rPr>
          <w:rFonts w:hint="eastAsia" w:asciiTheme="minorEastAsia" w:hAnsiTheme="minorEastAsia" w:eastAsiaTheme="minorEastAsia" w:cstheme="minorEastAsia"/>
          <w:sz w:val="24"/>
          <w:szCs w:val="24"/>
        </w:rPr>
        <w:t>（如有）</w:t>
      </w:r>
      <w:bookmarkEnd w:id="28"/>
      <w:bookmarkEnd w:id="29"/>
    </w:p>
    <w:p w14:paraId="54D931EB">
      <w:r>
        <w:rPr>
          <w:rFonts w:hint="eastAsia" w:asciiTheme="minorEastAsia" w:hAnsiTheme="minorEastAsia" w:eastAsiaTheme="minorEastAsia" w:cstheme="minorEastAsia"/>
          <w:b/>
          <w:bCs/>
          <w:sz w:val="24"/>
          <w:szCs w:val="24"/>
        </w:rPr>
        <w:t>另行发放。如图纸中涉及证明材料，供应商无须提供。如图纸中出现特定性、唯一性品牌的表述，该品牌仅作为参考，施工过程中不具有限定性。</w:t>
      </w:r>
      <w:bookmarkStart w:id="30" w:name="_GoBack"/>
      <w:bookmarkEnd w:id="3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95642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宋体" w:cstheme="minorBidi"/>
      <w:lang w:val="en-US" w:eastAsia="zh-CN" w:bidi="ar-SA"/>
    </w:rPr>
  </w:style>
  <w:style w:type="paragraph" w:styleId="4">
    <w:name w:val="heading 2"/>
    <w:basedOn w:val="1"/>
    <w:next w:val="1"/>
    <w:unhideWhenUsed/>
    <w:qFormat/>
    <w:uiPriority w:val="0"/>
    <w:pPr>
      <w:keepNext/>
      <w:keepLines/>
      <w:spacing w:before="260" w:after="260" w:line="416" w:lineRule="auto"/>
      <w:outlineLvl w:val="1"/>
    </w:pPr>
    <w:rPr>
      <w:rFonts w:ascii="Cambria" w:hAnsi="Cambria" w:cs="Times New Roman"/>
      <w:b/>
      <w:bCs/>
      <w:kern w:val="2"/>
      <w:sz w:val="32"/>
      <w:szCs w:val="32"/>
      <w:lang w:val="zh-CN"/>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First Indent 2"/>
    <w:next w:val="3"/>
    <w:qFormat/>
    <w:uiPriority w:val="0"/>
    <w:pPr>
      <w:widowControl w:val="0"/>
      <w:ind w:firstLine="420"/>
      <w:jc w:val="both"/>
    </w:pPr>
    <w:rPr>
      <w:rFonts w:ascii="楷体_GB2312" w:hAnsi="Calibri" w:eastAsia="楷体_GB2312" w:cs="Times New Roman"/>
      <w:kern w:val="2"/>
      <w:sz w:val="32"/>
      <w:szCs w:val="22"/>
      <w:lang w:val="en-US" w:eastAsia="zh-CN" w:bidi="ar-SA"/>
    </w:rPr>
  </w:style>
  <w:style w:type="paragraph" w:styleId="3">
    <w:name w:val="List"/>
    <w:basedOn w:val="1"/>
    <w:qFormat/>
    <w:uiPriority w:val="0"/>
    <w:pPr>
      <w:ind w:left="200" w:hanging="200" w:hangingChars="200"/>
    </w:pPr>
    <w:rPr>
      <w:rFonts w:ascii="Calibri" w:hAnsi="Calibri" w:cs="Times New Roman"/>
      <w:kern w:val="2"/>
      <w:sz w:val="21"/>
      <w:szCs w:val="22"/>
    </w:rPr>
  </w:style>
  <w:style w:type="paragraph" w:styleId="5">
    <w:name w:val="Plain Text"/>
    <w:basedOn w:val="1"/>
    <w:qFormat/>
    <w:uiPriority w:val="0"/>
    <w:rPr>
      <w:rFonts w:hAnsi="Courier New" w:eastAsiaTheme="minorEastAsia"/>
      <w:szCs w:val="22"/>
    </w:rPr>
  </w:style>
  <w:style w:type="table" w:customStyle="1" w:styleId="8">
    <w:name w:val="网格型2"/>
    <w:basedOn w:val="6"/>
    <w:unhideWhenUsed/>
    <w:qFormat/>
    <w:uiPriority w:val="59"/>
    <w:rPr>
      <w:rFonts w:asciiTheme="minorHAnsi" w:hAnsiTheme="minorHAnsi" w:eastAsiaTheme="minorEastAsia"/>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xl31"/>
    <w:basedOn w:val="1"/>
    <w:qFormat/>
    <w:uiPriority w:val="0"/>
    <w:pPr>
      <w:widowControl/>
      <w:spacing w:before="100" w:beforeAutospacing="1" w:after="100" w:afterAutospacing="1"/>
      <w:jc w:val="center"/>
    </w:pPr>
    <w:rPr>
      <w:b/>
      <w:bCs/>
      <w:sz w:val="28"/>
      <w:szCs w:val="28"/>
    </w:rPr>
  </w:style>
  <w:style w:type="character" w:customStyle="1" w:styleId="10">
    <w:name w:val="标题 2 Char Char"/>
    <w:qFormat/>
    <w:uiPriority w:val="0"/>
    <w:rPr>
      <w:rFonts w:ascii="Arial" w:hAnsi="Arial" w:eastAsia="黑体" w:cs="Times New Roman"/>
      <w:b/>
      <w:bCs/>
      <w:kern w:val="2"/>
      <w:sz w:val="32"/>
      <w:szCs w:val="32"/>
      <w:lang w:val="en-US" w:eastAsia="zh-CN" w:bidi="ar-SA"/>
    </w:rPr>
  </w:style>
  <w:style w:type="paragraph" w:customStyle="1" w:styleId="11">
    <w:name w:val="正文2"/>
    <w:qFormat/>
    <w:uiPriority w:val="0"/>
    <w:pPr>
      <w:widowControl w:val="0"/>
      <w:adjustRightInd w:val="0"/>
      <w:snapToGrid w:val="0"/>
      <w:spacing w:line="360" w:lineRule="auto"/>
      <w:ind w:firstLine="200" w:firstLineChars="200"/>
      <w:jc w:val="both"/>
      <w:textAlignment w:val="baseline"/>
    </w:pPr>
    <w:rPr>
      <w:rFonts w:ascii="楷体" w:hAnsi="宋体" w:eastAsia="楷体" w:cstheme="minorBidi"/>
      <w:b/>
      <w:color w:val="0000FF"/>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2026-08-03T09:27:42Z</dcterms:created>
  <dc:creator>Lenovo</dc:creator>
  <cp:lastModifiedBy>gsy</cp:lastModifiedBy>
  <dcterms:modified xsi:type="dcterms:W3CDTF">2026-08-03T09:28:14Z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eyJoZGlkIjoiZjc4MDdiNDI1NzdiMmQ3M2FiNzNkZWYzMDcxMGZkNzYiLCJ1c2VySWQiOiI2NjQ2OTQwOTEifQ==</vt:lpwstr>
  </property>
  <property fmtid="{D5CDD505-2E9C-101B-9397-08002B2CF9AE}" pid="4" name="ICV">
    <vt:lpwstr>9918270DD3704FA69DA3383B45D7B134_12</vt:lpwstr>
  </property>
</Properties>
</file>