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E215">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第三章  采购需求</w:t>
      </w:r>
    </w:p>
    <w:p w14:paraId="69D4D7B1">
      <w:pPr>
        <w:adjustRightInd w:val="0"/>
        <w:snapToGrid w:val="0"/>
        <w:spacing w:line="360" w:lineRule="auto"/>
        <w:rPr>
          <w:rFonts w:hint="eastAsia" w:ascii="宋体" w:hAnsi="宋体" w:eastAsia="宋体"/>
          <w:b/>
          <w:color w:val="auto"/>
          <w:szCs w:val="21"/>
          <w:highlight w:val="none"/>
        </w:rPr>
      </w:pPr>
      <w:r>
        <w:rPr>
          <w:rFonts w:hint="eastAsia" w:ascii="宋体" w:hAnsi="宋体" w:eastAsia="宋体"/>
          <w:b/>
          <w:color w:val="auto"/>
          <w:szCs w:val="21"/>
          <w:highlight w:val="none"/>
        </w:rPr>
        <w:t>前注：</w:t>
      </w:r>
    </w:p>
    <w:p w14:paraId="3298725F">
      <w:pPr>
        <w:adjustRightInd w:val="0"/>
        <w:snapToGrid w:val="0"/>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1.本采购需求中提出的服务方案仅为参考，如无明确限制，投标人可以进行优化，提供满足采购人实际需要的更优（或者性能实质上不低于的）服务方案，且此方案须经评标委员会评审认可。</w:t>
      </w:r>
    </w:p>
    <w:p w14:paraId="1CD9116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p>
    <w:p w14:paraId="2BACB1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E69F2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C9E33AE">
      <w:pPr>
        <w:adjustRightInd w:val="0"/>
        <w:snapToGrid w:val="0"/>
        <w:spacing w:line="360" w:lineRule="auto"/>
        <w:ind w:firstLine="420" w:firstLineChars="200"/>
        <w:rPr>
          <w:rFonts w:hint="eastAsia" w:ascii="宋体" w:hAnsi="宋体" w:eastAsia="宋体"/>
          <w:bCs/>
          <w:color w:val="auto"/>
          <w:szCs w:val="21"/>
          <w:highlight w:val="none"/>
        </w:rPr>
      </w:pPr>
      <w:r>
        <w:rPr>
          <w:rFonts w:hint="eastAsia" w:ascii="宋体" w:hAnsi="宋体" w:eastAsia="宋体" w:cs="宋体"/>
          <w:color w:val="auto"/>
          <w:szCs w:val="21"/>
          <w:highlight w:val="none"/>
        </w:rPr>
        <w:t>3.如采购人允许采用分包方式履行合同的，应当明确可以分包履行的相关内容，本项目除主体服务内容外，投标人不具备的资质内容可允许分包。</w:t>
      </w:r>
    </w:p>
    <w:p w14:paraId="43DBE80A">
      <w:pPr>
        <w:pStyle w:val="2"/>
        <w:ind w:left="1260"/>
        <w:rPr>
          <w:color w:val="auto"/>
          <w:highlight w:val="none"/>
        </w:rPr>
      </w:pPr>
      <w:bookmarkStart w:id="0" w:name="_Toc21798"/>
      <w:bookmarkStart w:id="1" w:name="_Toc173275127"/>
      <w:bookmarkStart w:id="2" w:name="_Toc4148"/>
      <w:bookmarkStart w:id="3" w:name="_Hlk23621890"/>
    </w:p>
    <w:p w14:paraId="244C6EA1">
      <w:pPr>
        <w:adjustRightInd w:val="0"/>
        <w:snapToGrid w:val="0"/>
        <w:spacing w:line="360" w:lineRule="auto"/>
        <w:ind w:firstLine="437"/>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一、采购需求前附表</w:t>
      </w:r>
      <w:bookmarkEnd w:id="0"/>
      <w:bookmarkEnd w:id="1"/>
      <w:bookmarkEnd w:id="2"/>
    </w:p>
    <w:tbl>
      <w:tblPr>
        <w:tblStyle w:val="6"/>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31"/>
        <w:gridCol w:w="6122"/>
      </w:tblGrid>
      <w:tr w14:paraId="4912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5" w:type="pct"/>
            <w:noWrap w:val="0"/>
            <w:vAlign w:val="center"/>
          </w:tcPr>
          <w:p w14:paraId="576B5BAF">
            <w:pPr>
              <w:pStyle w:val="8"/>
              <w:rPr>
                <w:rFonts w:hint="eastAsia" w:cs="@仿宋_GB2312"/>
                <w:color w:val="auto"/>
                <w:kern w:val="2"/>
                <w:highlight w:val="none"/>
                <w:lang w:val="en-US" w:eastAsia="zh-CN"/>
              </w:rPr>
            </w:pPr>
            <w:r>
              <w:rPr>
                <w:rFonts w:hint="eastAsia" w:cs="@仿宋_GB2312"/>
                <w:b/>
                <w:bCs w:val="0"/>
                <w:color w:val="auto"/>
                <w:kern w:val="2"/>
                <w:highlight w:val="none"/>
                <w:lang w:val="en-US" w:eastAsia="zh-CN"/>
              </w:rPr>
              <w:t>序号</w:t>
            </w:r>
          </w:p>
        </w:tc>
        <w:tc>
          <w:tcPr>
            <w:tcW w:w="923" w:type="pct"/>
            <w:noWrap w:val="0"/>
            <w:vAlign w:val="center"/>
          </w:tcPr>
          <w:p w14:paraId="6A7FA5C2">
            <w:pPr>
              <w:pStyle w:val="9"/>
              <w:adjustRightInd w:val="0"/>
              <w:snapToGrid w:val="0"/>
              <w:spacing w:line="300" w:lineRule="auto"/>
              <w:jc w:val="center"/>
              <w:rPr>
                <w:rFonts w:hint="eastAsia"/>
                <w:b/>
                <w:color w:val="auto"/>
                <w:sz w:val="21"/>
                <w:szCs w:val="21"/>
                <w:highlight w:val="none"/>
              </w:rPr>
            </w:pPr>
            <w:r>
              <w:rPr>
                <w:rFonts w:hint="eastAsia"/>
                <w:b/>
                <w:color w:val="auto"/>
                <w:sz w:val="21"/>
                <w:szCs w:val="21"/>
                <w:highlight w:val="none"/>
              </w:rPr>
              <w:t>条款名称</w:t>
            </w:r>
          </w:p>
        </w:tc>
        <w:tc>
          <w:tcPr>
            <w:tcW w:w="3690" w:type="pct"/>
            <w:noWrap w:val="0"/>
            <w:vAlign w:val="center"/>
          </w:tcPr>
          <w:p w14:paraId="05F94C03">
            <w:pPr>
              <w:pStyle w:val="9"/>
              <w:adjustRightInd w:val="0"/>
              <w:snapToGrid w:val="0"/>
              <w:spacing w:line="300" w:lineRule="auto"/>
              <w:jc w:val="center"/>
              <w:rPr>
                <w:rFonts w:hint="eastAsia"/>
                <w:b/>
                <w:color w:val="auto"/>
                <w:sz w:val="21"/>
                <w:szCs w:val="21"/>
                <w:highlight w:val="none"/>
              </w:rPr>
            </w:pPr>
            <w:r>
              <w:rPr>
                <w:rFonts w:hint="eastAsia"/>
                <w:b/>
                <w:color w:val="auto"/>
                <w:sz w:val="21"/>
                <w:szCs w:val="21"/>
                <w:highlight w:val="none"/>
              </w:rPr>
              <w:t>内容、说明与要求</w:t>
            </w:r>
          </w:p>
        </w:tc>
      </w:tr>
      <w:tr w14:paraId="49D9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5" w:type="pct"/>
            <w:noWrap w:val="0"/>
            <w:vAlign w:val="center"/>
          </w:tcPr>
          <w:p w14:paraId="76EC961F">
            <w:pPr>
              <w:pStyle w:val="8"/>
              <w:rPr>
                <w:rFonts w:hint="eastAsia" w:cs="@仿宋_GB2312"/>
                <w:color w:val="auto"/>
                <w:kern w:val="2"/>
                <w:highlight w:val="none"/>
                <w:lang w:val="en-US" w:eastAsia="zh-CN"/>
              </w:rPr>
            </w:pPr>
            <w:r>
              <w:rPr>
                <w:rFonts w:hint="eastAsia" w:cs="@仿宋_GB2312"/>
                <w:color w:val="auto"/>
                <w:kern w:val="2"/>
                <w:highlight w:val="none"/>
                <w:lang w:val="en-US" w:eastAsia="zh-CN"/>
              </w:rPr>
              <w:t>1</w:t>
            </w:r>
          </w:p>
        </w:tc>
        <w:tc>
          <w:tcPr>
            <w:tcW w:w="923" w:type="pct"/>
            <w:noWrap w:val="0"/>
            <w:vAlign w:val="center"/>
          </w:tcPr>
          <w:p w14:paraId="569287FA">
            <w:pPr>
              <w:pStyle w:val="9"/>
              <w:adjustRightInd w:val="0"/>
              <w:snapToGrid w:val="0"/>
              <w:spacing w:line="300" w:lineRule="auto"/>
              <w:jc w:val="center"/>
              <w:rPr>
                <w:rFonts w:hint="eastAsia"/>
                <w:color w:val="auto"/>
                <w:sz w:val="21"/>
                <w:szCs w:val="21"/>
                <w:highlight w:val="none"/>
              </w:rPr>
            </w:pPr>
            <w:r>
              <w:rPr>
                <w:rFonts w:hint="eastAsia"/>
                <w:color w:val="auto"/>
                <w:sz w:val="21"/>
                <w:szCs w:val="21"/>
                <w:highlight w:val="none"/>
              </w:rPr>
              <w:t>付款方式</w:t>
            </w:r>
          </w:p>
        </w:tc>
        <w:tc>
          <w:tcPr>
            <w:tcW w:w="6122" w:type="dxa"/>
            <w:noWrap w:val="0"/>
            <w:vAlign w:val="center"/>
          </w:tcPr>
          <w:p w14:paraId="60E270E1">
            <w:pPr>
              <w:pStyle w:val="9"/>
              <w:adjustRightInd w:val="0"/>
              <w:snapToGrid w:val="0"/>
              <w:spacing w:line="300" w:lineRule="auto"/>
              <w:rPr>
                <w:rFonts w:hint="eastAsia"/>
                <w:color w:val="auto"/>
                <w:sz w:val="21"/>
                <w:szCs w:val="21"/>
                <w:highlight w:val="none"/>
              </w:rPr>
            </w:pPr>
            <w:r>
              <w:rPr>
                <w:rFonts w:hint="eastAsia"/>
                <w:color w:val="auto"/>
                <w:sz w:val="21"/>
                <w:szCs w:val="21"/>
                <w:highlight w:val="none"/>
              </w:rPr>
              <w:t>合同、担保措施生效并具备实施条件后支付合同价的50%作为预付款（支付预付款前中标人须向采购人提交经采购人审核无误的等额预付款保函，保函有效期同服务期），项目验收合格后付清余款。</w:t>
            </w:r>
          </w:p>
          <w:p w14:paraId="4A6B3303">
            <w:pPr>
              <w:pStyle w:val="9"/>
              <w:adjustRightInd w:val="0"/>
              <w:snapToGrid w:val="0"/>
              <w:spacing w:line="300" w:lineRule="auto"/>
              <w:rPr>
                <w:rFonts w:hint="eastAsia"/>
                <w:b/>
                <w:color w:val="auto"/>
                <w:sz w:val="21"/>
                <w:szCs w:val="21"/>
                <w:highlight w:val="none"/>
              </w:rPr>
            </w:pPr>
            <w:r>
              <w:rPr>
                <w:rFonts w:hint="eastAsia"/>
                <w:b/>
                <w:color w:val="auto"/>
                <w:sz w:val="21"/>
                <w:szCs w:val="21"/>
                <w:highlight w:val="none"/>
              </w:rPr>
              <w:t>注：</w:t>
            </w:r>
          </w:p>
          <w:p w14:paraId="7F101D5E">
            <w:pPr>
              <w:pStyle w:val="9"/>
              <w:adjustRightInd w:val="0"/>
              <w:snapToGrid w:val="0"/>
              <w:spacing w:line="300" w:lineRule="auto"/>
              <w:rPr>
                <w:rFonts w:hint="eastAsia"/>
                <w:b/>
                <w:color w:val="auto"/>
                <w:sz w:val="21"/>
                <w:szCs w:val="21"/>
                <w:highlight w:val="none"/>
              </w:rPr>
            </w:pPr>
            <w:r>
              <w:rPr>
                <w:rFonts w:hint="eastAsia"/>
                <w:b/>
                <w:color w:val="auto"/>
                <w:sz w:val="21"/>
                <w:szCs w:val="21"/>
                <w:highlight w:val="none"/>
              </w:rPr>
              <w:t>（1）本项目要求中标人提供预付款保函或其他担保措施；</w:t>
            </w:r>
          </w:p>
          <w:p w14:paraId="22B9D3E8">
            <w:pPr>
              <w:pStyle w:val="9"/>
              <w:adjustRightInd w:val="0"/>
              <w:snapToGrid w:val="0"/>
              <w:spacing w:line="300" w:lineRule="auto"/>
              <w:rPr>
                <w:rFonts w:hint="eastAsia"/>
                <w:b/>
                <w:color w:val="auto"/>
                <w:sz w:val="21"/>
                <w:szCs w:val="21"/>
                <w:highlight w:val="none"/>
              </w:rPr>
            </w:pPr>
            <w:r>
              <w:rPr>
                <w:rFonts w:hint="eastAsia"/>
                <w:b/>
                <w:color w:val="auto"/>
                <w:sz w:val="21"/>
                <w:szCs w:val="21"/>
                <w:highlight w:val="none"/>
              </w:rPr>
              <w:t>（2）预付款保函形式：银行保函、担保机构担保；</w:t>
            </w:r>
          </w:p>
          <w:p w14:paraId="247E6585">
            <w:pPr>
              <w:pStyle w:val="9"/>
              <w:adjustRightInd w:val="0"/>
              <w:snapToGrid w:val="0"/>
              <w:spacing w:line="300" w:lineRule="auto"/>
              <w:rPr>
                <w:rFonts w:hint="eastAsia"/>
                <w:b/>
                <w:color w:val="auto"/>
                <w:sz w:val="21"/>
                <w:szCs w:val="21"/>
                <w:highlight w:val="none"/>
              </w:rPr>
            </w:pPr>
            <w:r>
              <w:rPr>
                <w:rFonts w:hint="eastAsia"/>
                <w:b/>
                <w:color w:val="auto"/>
                <w:sz w:val="21"/>
                <w:szCs w:val="21"/>
                <w:highlight w:val="none"/>
              </w:rPr>
              <w:t>（3）预付款保函递交要求：①如采用银行保函，银行保函应为银行出具的见索即付无条件保函。且应将原件交至采购人保管。②如采用担保机构担保，应为经政府部门或主管部门备案的融资担保机构出具的见索即付无条件担保，且应将原件交至采购人保管。</w:t>
            </w:r>
          </w:p>
          <w:p w14:paraId="39772000">
            <w:pPr>
              <w:pStyle w:val="9"/>
              <w:adjustRightInd w:val="0"/>
              <w:snapToGrid w:val="0"/>
              <w:spacing w:line="300" w:lineRule="auto"/>
              <w:rPr>
                <w:color w:val="auto"/>
                <w:sz w:val="21"/>
                <w:szCs w:val="21"/>
                <w:highlight w:val="none"/>
              </w:rPr>
            </w:pPr>
            <w:r>
              <w:rPr>
                <w:rFonts w:hint="eastAsia"/>
                <w:b/>
                <w:color w:val="auto"/>
                <w:sz w:val="21"/>
                <w:szCs w:val="21"/>
                <w:highlight w:val="none"/>
              </w:rPr>
              <w:t>（4）在签订合同时，中标人书面明确表示无需预付款或者主动要求降低预付款比例的，采购人可降低预付款支付比例或不支付预付款。</w:t>
            </w:r>
          </w:p>
        </w:tc>
      </w:tr>
      <w:tr w14:paraId="5716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5" w:type="pct"/>
            <w:noWrap w:val="0"/>
            <w:vAlign w:val="center"/>
          </w:tcPr>
          <w:p w14:paraId="174D3E0A">
            <w:pPr>
              <w:pStyle w:val="8"/>
              <w:rPr>
                <w:rFonts w:hint="eastAsia" w:cs="@仿宋_GB2312"/>
                <w:color w:val="auto"/>
                <w:kern w:val="2"/>
                <w:highlight w:val="none"/>
                <w:lang w:val="en-US" w:eastAsia="zh-CN"/>
              </w:rPr>
            </w:pPr>
            <w:r>
              <w:rPr>
                <w:rFonts w:hint="eastAsia" w:cs="@仿宋_GB2312"/>
                <w:color w:val="auto"/>
                <w:kern w:val="2"/>
                <w:highlight w:val="none"/>
                <w:lang w:val="en-US" w:eastAsia="zh-CN"/>
              </w:rPr>
              <w:t>2</w:t>
            </w:r>
          </w:p>
        </w:tc>
        <w:tc>
          <w:tcPr>
            <w:tcW w:w="923" w:type="pct"/>
            <w:noWrap w:val="0"/>
            <w:vAlign w:val="center"/>
          </w:tcPr>
          <w:p w14:paraId="47BD1F7B">
            <w:pPr>
              <w:pStyle w:val="9"/>
              <w:adjustRightInd w:val="0"/>
              <w:snapToGrid w:val="0"/>
              <w:spacing w:line="300" w:lineRule="auto"/>
              <w:jc w:val="center"/>
              <w:rPr>
                <w:rFonts w:hint="eastAsia"/>
                <w:color w:val="auto"/>
                <w:sz w:val="21"/>
                <w:szCs w:val="21"/>
                <w:highlight w:val="none"/>
              </w:rPr>
            </w:pPr>
            <w:r>
              <w:rPr>
                <w:rFonts w:hint="eastAsia"/>
                <w:color w:val="auto"/>
                <w:sz w:val="21"/>
                <w:szCs w:val="21"/>
                <w:highlight w:val="none"/>
              </w:rPr>
              <w:t>服务地点</w:t>
            </w:r>
          </w:p>
        </w:tc>
        <w:tc>
          <w:tcPr>
            <w:tcW w:w="6122" w:type="dxa"/>
            <w:noWrap w:val="0"/>
            <w:vAlign w:val="center"/>
          </w:tcPr>
          <w:p w14:paraId="3B1A1EDC">
            <w:pPr>
              <w:pStyle w:val="9"/>
              <w:adjustRightInd w:val="0"/>
              <w:snapToGrid w:val="0"/>
              <w:spacing w:line="300" w:lineRule="auto"/>
              <w:rPr>
                <w:rFonts w:hint="eastAsia"/>
                <w:color w:val="auto"/>
                <w:sz w:val="21"/>
                <w:szCs w:val="21"/>
                <w:highlight w:val="none"/>
              </w:rPr>
            </w:pPr>
            <w:r>
              <w:rPr>
                <w:rFonts w:hint="eastAsia"/>
                <w:color w:val="auto"/>
                <w:sz w:val="21"/>
                <w:szCs w:val="21"/>
                <w:highlight w:val="none"/>
              </w:rPr>
              <w:t>安徽博物院，具体按采购人指定。</w:t>
            </w:r>
          </w:p>
        </w:tc>
      </w:tr>
      <w:tr w14:paraId="1CBA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5" w:type="pct"/>
            <w:noWrap w:val="0"/>
            <w:vAlign w:val="center"/>
          </w:tcPr>
          <w:p w14:paraId="49C8265B">
            <w:pPr>
              <w:pStyle w:val="8"/>
              <w:rPr>
                <w:rFonts w:hint="eastAsia" w:cs="@仿宋_GB2312"/>
                <w:color w:val="auto"/>
                <w:kern w:val="2"/>
                <w:highlight w:val="none"/>
                <w:lang w:val="en-US" w:eastAsia="zh-CN"/>
              </w:rPr>
            </w:pPr>
            <w:r>
              <w:rPr>
                <w:rFonts w:hint="eastAsia" w:cs="@仿宋_GB2312"/>
                <w:color w:val="auto"/>
                <w:kern w:val="2"/>
                <w:highlight w:val="none"/>
                <w:lang w:val="en-US" w:eastAsia="zh-CN"/>
              </w:rPr>
              <w:t>3</w:t>
            </w:r>
          </w:p>
        </w:tc>
        <w:tc>
          <w:tcPr>
            <w:tcW w:w="923" w:type="pct"/>
            <w:noWrap w:val="0"/>
            <w:vAlign w:val="center"/>
          </w:tcPr>
          <w:p w14:paraId="3D28617C">
            <w:pPr>
              <w:pStyle w:val="9"/>
              <w:adjustRightInd w:val="0"/>
              <w:snapToGrid w:val="0"/>
              <w:spacing w:line="300" w:lineRule="auto"/>
              <w:jc w:val="center"/>
              <w:rPr>
                <w:rFonts w:hint="eastAsia"/>
                <w:color w:val="auto"/>
                <w:sz w:val="21"/>
                <w:szCs w:val="21"/>
                <w:highlight w:val="none"/>
              </w:rPr>
            </w:pPr>
            <w:r>
              <w:rPr>
                <w:rFonts w:hint="eastAsia"/>
                <w:color w:val="auto"/>
                <w:sz w:val="21"/>
                <w:szCs w:val="21"/>
                <w:highlight w:val="none"/>
              </w:rPr>
              <w:t>服务期限</w:t>
            </w:r>
          </w:p>
        </w:tc>
        <w:tc>
          <w:tcPr>
            <w:tcW w:w="6122" w:type="dxa"/>
            <w:noWrap w:val="0"/>
            <w:vAlign w:val="center"/>
          </w:tcPr>
          <w:p w14:paraId="2586DE44">
            <w:pPr>
              <w:pStyle w:val="9"/>
              <w:adjustRightInd w:val="0"/>
              <w:snapToGrid w:val="0"/>
              <w:spacing w:line="300" w:lineRule="auto"/>
              <w:rPr>
                <w:rFonts w:hint="eastAsia"/>
                <w:color w:val="auto"/>
                <w:sz w:val="21"/>
                <w:szCs w:val="21"/>
                <w:highlight w:val="none"/>
              </w:rPr>
            </w:pPr>
            <w:r>
              <w:rPr>
                <w:rFonts w:hint="eastAsia"/>
                <w:color w:val="auto"/>
                <w:sz w:val="21"/>
                <w:szCs w:val="21"/>
                <w:highlight w:val="none"/>
              </w:rPr>
              <w:t>自签订合同之日起300天内完成所有服务内容。</w:t>
            </w:r>
          </w:p>
        </w:tc>
      </w:tr>
      <w:tr w14:paraId="3BC0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5" w:type="pct"/>
            <w:noWrap w:val="0"/>
            <w:vAlign w:val="center"/>
          </w:tcPr>
          <w:p w14:paraId="6B2E6B8F">
            <w:pPr>
              <w:pStyle w:val="8"/>
              <w:rPr>
                <w:rFonts w:hint="eastAsia" w:cs="@仿宋_GB2312"/>
                <w:color w:val="auto"/>
                <w:kern w:val="2"/>
                <w:highlight w:val="none"/>
                <w:lang w:val="en-US" w:eastAsia="zh-CN"/>
              </w:rPr>
            </w:pPr>
            <w:r>
              <w:rPr>
                <w:rFonts w:hint="eastAsia" w:cs="@仿宋_GB2312"/>
                <w:color w:val="auto"/>
                <w:kern w:val="2"/>
                <w:highlight w:val="none"/>
                <w:lang w:val="en-US" w:eastAsia="zh-CN"/>
              </w:rPr>
              <w:t>4</w:t>
            </w:r>
          </w:p>
        </w:tc>
        <w:tc>
          <w:tcPr>
            <w:tcW w:w="923" w:type="pct"/>
            <w:noWrap w:val="0"/>
            <w:vAlign w:val="center"/>
          </w:tcPr>
          <w:p w14:paraId="349CFA03">
            <w:pPr>
              <w:pStyle w:val="9"/>
              <w:adjustRightInd w:val="0"/>
              <w:snapToGrid w:val="0"/>
              <w:spacing w:line="300" w:lineRule="auto"/>
              <w:jc w:val="center"/>
              <w:rPr>
                <w:rFonts w:hint="eastAsia"/>
                <w:b/>
                <w:color w:val="auto"/>
                <w:sz w:val="21"/>
                <w:szCs w:val="21"/>
                <w:highlight w:val="none"/>
              </w:rPr>
            </w:pPr>
            <w:r>
              <w:rPr>
                <w:rFonts w:hint="eastAsia"/>
                <w:color w:val="auto"/>
                <w:sz w:val="21"/>
                <w:szCs w:val="21"/>
                <w:highlight w:val="none"/>
              </w:rPr>
              <w:t>本项目采购标的名称及所属行业</w:t>
            </w:r>
          </w:p>
        </w:tc>
        <w:tc>
          <w:tcPr>
            <w:tcW w:w="6122" w:type="dxa"/>
            <w:noWrap w:val="0"/>
            <w:vAlign w:val="center"/>
          </w:tcPr>
          <w:p w14:paraId="1A7A9D9C">
            <w:pPr>
              <w:pStyle w:val="9"/>
              <w:adjustRightInd w:val="0"/>
              <w:snapToGrid w:val="0"/>
              <w:spacing w:line="300" w:lineRule="auto"/>
              <w:rPr>
                <w:rFonts w:hint="eastAsia"/>
                <w:color w:val="auto"/>
                <w:sz w:val="21"/>
                <w:szCs w:val="21"/>
                <w:highlight w:val="none"/>
              </w:rPr>
            </w:pPr>
            <w:r>
              <w:rPr>
                <w:rFonts w:hint="eastAsia"/>
                <w:color w:val="auto"/>
                <w:sz w:val="21"/>
                <w:szCs w:val="21"/>
                <w:highlight w:val="none"/>
              </w:rPr>
              <w:t>标的名称：安徽博物院院藏石刻文物数字化保护</w:t>
            </w:r>
          </w:p>
          <w:p w14:paraId="362D75A2">
            <w:pPr>
              <w:pStyle w:val="9"/>
              <w:adjustRightInd w:val="0"/>
              <w:snapToGrid w:val="0"/>
              <w:spacing w:line="300" w:lineRule="auto"/>
              <w:rPr>
                <w:rFonts w:hint="eastAsia"/>
                <w:color w:val="auto"/>
                <w:sz w:val="21"/>
                <w:szCs w:val="21"/>
                <w:highlight w:val="none"/>
              </w:rPr>
            </w:pPr>
            <w:r>
              <w:rPr>
                <w:rFonts w:hint="eastAsia"/>
                <w:color w:val="auto"/>
                <w:sz w:val="21"/>
                <w:szCs w:val="21"/>
                <w:highlight w:val="none"/>
              </w:rPr>
              <w:t>所属行业：</w:t>
            </w:r>
            <w:r>
              <w:rPr>
                <w:rFonts w:hint="eastAsia"/>
                <w:color w:val="auto"/>
                <w:sz w:val="21"/>
                <w:szCs w:val="21"/>
                <w:highlight w:val="none"/>
                <w:lang w:bidi="ar"/>
              </w:rPr>
              <w:t>软件和信息技术服务业</w:t>
            </w:r>
          </w:p>
        </w:tc>
      </w:tr>
      <w:bookmarkEnd w:id="3"/>
    </w:tbl>
    <w:p w14:paraId="1DA2DE8F">
      <w:pPr>
        <w:adjustRightInd w:val="0"/>
        <w:snapToGrid w:val="0"/>
        <w:spacing w:line="360" w:lineRule="auto"/>
        <w:ind w:firstLine="437"/>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二、项目概况</w:t>
      </w:r>
    </w:p>
    <w:p w14:paraId="5588CD83">
      <w:pPr>
        <w:pStyle w:val="9"/>
        <w:adjustRightInd w:val="0"/>
        <w:snapToGrid w:val="0"/>
        <w:ind w:firstLine="420" w:firstLineChars="200"/>
        <w:rPr>
          <w:color w:val="auto"/>
          <w:sz w:val="21"/>
          <w:szCs w:val="21"/>
          <w:highlight w:val="none"/>
        </w:rPr>
      </w:pPr>
      <w:r>
        <w:rPr>
          <w:color w:val="auto"/>
          <w:sz w:val="21"/>
          <w:szCs w:val="21"/>
          <w:highlight w:val="none"/>
        </w:rPr>
        <w:t>本项目利用数字化技术，系统</w:t>
      </w:r>
      <w:r>
        <w:rPr>
          <w:rFonts w:hint="eastAsia"/>
          <w:color w:val="auto"/>
          <w:sz w:val="21"/>
          <w:szCs w:val="21"/>
          <w:highlight w:val="none"/>
        </w:rPr>
        <w:t>地开展</w:t>
      </w:r>
      <w:r>
        <w:rPr>
          <w:color w:val="auto"/>
          <w:sz w:val="21"/>
          <w:szCs w:val="21"/>
          <w:highlight w:val="none"/>
        </w:rPr>
        <w:t>安徽博物院院藏古代碑刻</w:t>
      </w:r>
      <w:r>
        <w:rPr>
          <w:rFonts w:hint="eastAsia"/>
          <w:color w:val="auto"/>
          <w:sz w:val="21"/>
          <w:szCs w:val="21"/>
          <w:highlight w:val="none"/>
        </w:rPr>
        <w:t>等</w:t>
      </w:r>
      <w:r>
        <w:rPr>
          <w:color w:val="auto"/>
          <w:sz w:val="21"/>
          <w:szCs w:val="21"/>
          <w:highlight w:val="none"/>
        </w:rPr>
        <w:t>石刻文物</w:t>
      </w:r>
      <w:r>
        <w:rPr>
          <w:rFonts w:hint="eastAsia"/>
          <w:color w:val="auto"/>
          <w:sz w:val="21"/>
          <w:szCs w:val="21"/>
          <w:highlight w:val="none"/>
        </w:rPr>
        <w:t>的</w:t>
      </w:r>
      <w:r>
        <w:rPr>
          <w:color w:val="auto"/>
          <w:sz w:val="21"/>
          <w:szCs w:val="21"/>
          <w:highlight w:val="none"/>
        </w:rPr>
        <w:t>三维数字化</w:t>
      </w:r>
      <w:r>
        <w:rPr>
          <w:rFonts w:hint="eastAsia"/>
          <w:color w:val="auto"/>
          <w:sz w:val="21"/>
          <w:szCs w:val="21"/>
          <w:highlight w:val="none"/>
        </w:rPr>
        <w:t>工作</w:t>
      </w:r>
      <w:r>
        <w:rPr>
          <w:color w:val="auto"/>
          <w:sz w:val="21"/>
          <w:szCs w:val="21"/>
          <w:highlight w:val="none"/>
        </w:rPr>
        <w:t>，对数据进行</w:t>
      </w:r>
      <w:r>
        <w:rPr>
          <w:rFonts w:hint="eastAsia"/>
          <w:color w:val="auto"/>
          <w:sz w:val="21"/>
          <w:szCs w:val="21"/>
          <w:highlight w:val="none"/>
        </w:rPr>
        <w:t>采集、</w:t>
      </w:r>
      <w:r>
        <w:rPr>
          <w:color w:val="auto"/>
          <w:sz w:val="21"/>
          <w:szCs w:val="21"/>
          <w:highlight w:val="none"/>
        </w:rPr>
        <w:t>加工</w:t>
      </w:r>
      <w:r>
        <w:rPr>
          <w:rFonts w:hint="eastAsia"/>
          <w:color w:val="auto"/>
          <w:sz w:val="21"/>
          <w:szCs w:val="21"/>
          <w:highlight w:val="none"/>
        </w:rPr>
        <w:t>、</w:t>
      </w:r>
      <w:r>
        <w:rPr>
          <w:color w:val="auto"/>
          <w:sz w:val="21"/>
          <w:szCs w:val="21"/>
          <w:highlight w:val="none"/>
        </w:rPr>
        <w:t>活化利用，建立满足文物数字化保护要求、贴近观众服务体验需求的院藏石刻文物信息</w:t>
      </w:r>
      <w:r>
        <w:rPr>
          <w:rFonts w:hint="eastAsia"/>
          <w:color w:val="auto"/>
          <w:sz w:val="21"/>
          <w:szCs w:val="21"/>
          <w:highlight w:val="none"/>
        </w:rPr>
        <w:t>资源</w:t>
      </w:r>
      <w:r>
        <w:rPr>
          <w:color w:val="auto"/>
          <w:sz w:val="21"/>
          <w:szCs w:val="21"/>
          <w:highlight w:val="none"/>
        </w:rPr>
        <w:t>库，为石刻文物的保管、展示、研究、教育等工作提供更快捷、更新颖的技术手段，提升石刻文物数字化保护利用水平</w:t>
      </w:r>
      <w:r>
        <w:rPr>
          <w:rFonts w:hint="eastAsia"/>
          <w:color w:val="auto"/>
          <w:sz w:val="21"/>
          <w:szCs w:val="21"/>
          <w:highlight w:val="none"/>
        </w:rPr>
        <w:t>，推动安徽博物院</w:t>
      </w:r>
      <w:r>
        <w:rPr>
          <w:color w:val="auto"/>
          <w:sz w:val="21"/>
          <w:szCs w:val="21"/>
          <w:highlight w:val="none"/>
        </w:rPr>
        <w:t>从文物收藏向文物赋能的转变。</w:t>
      </w:r>
    </w:p>
    <w:p w14:paraId="612D767B">
      <w:pPr>
        <w:pStyle w:val="9"/>
        <w:adjustRightInd w:val="0"/>
        <w:snapToGrid w:val="0"/>
        <w:ind w:firstLine="420" w:firstLineChars="200"/>
        <w:rPr>
          <w:color w:val="auto"/>
          <w:sz w:val="21"/>
          <w:szCs w:val="21"/>
          <w:highlight w:val="none"/>
        </w:rPr>
      </w:pPr>
      <w:r>
        <w:rPr>
          <w:rFonts w:hint="eastAsia"/>
          <w:color w:val="auto"/>
          <w:sz w:val="21"/>
          <w:szCs w:val="21"/>
          <w:highlight w:val="none"/>
        </w:rPr>
        <w:t>具体服务内容包含但不限于</w:t>
      </w:r>
      <w:r>
        <w:rPr>
          <w:color w:val="auto"/>
          <w:sz w:val="21"/>
          <w:szCs w:val="21"/>
          <w:highlight w:val="none"/>
        </w:rPr>
        <w:t>：</w:t>
      </w:r>
    </w:p>
    <w:p w14:paraId="307BB387">
      <w:pPr>
        <w:pStyle w:val="9"/>
        <w:numPr>
          <w:ilvl w:val="0"/>
          <w:numId w:val="1"/>
        </w:numPr>
        <w:adjustRightInd w:val="0"/>
        <w:snapToGrid w:val="0"/>
        <w:ind w:firstLine="420" w:firstLineChars="200"/>
        <w:rPr>
          <w:color w:val="auto"/>
          <w:sz w:val="21"/>
          <w:szCs w:val="21"/>
          <w:highlight w:val="none"/>
        </w:rPr>
      </w:pPr>
      <w:r>
        <w:rPr>
          <w:color w:val="auto"/>
          <w:sz w:val="21"/>
          <w:szCs w:val="21"/>
          <w:highlight w:val="none"/>
        </w:rPr>
        <w:t>172件套（335单件）石刻文物三维数字化采集</w:t>
      </w:r>
      <w:r>
        <w:rPr>
          <w:rFonts w:hint="eastAsia"/>
          <w:color w:val="auto"/>
          <w:sz w:val="21"/>
          <w:szCs w:val="21"/>
          <w:highlight w:val="none"/>
        </w:rPr>
        <w:t>及</w:t>
      </w:r>
      <w:r>
        <w:rPr>
          <w:color w:val="auto"/>
          <w:sz w:val="21"/>
          <w:szCs w:val="21"/>
          <w:highlight w:val="none"/>
        </w:rPr>
        <w:t>加工；</w:t>
      </w:r>
    </w:p>
    <w:p w14:paraId="5E0FC435">
      <w:pPr>
        <w:pStyle w:val="9"/>
        <w:numPr>
          <w:ilvl w:val="0"/>
          <w:numId w:val="1"/>
        </w:numPr>
        <w:adjustRightInd w:val="0"/>
        <w:snapToGrid w:val="0"/>
        <w:ind w:firstLine="420" w:firstLineChars="200"/>
        <w:rPr>
          <w:color w:val="auto"/>
          <w:sz w:val="21"/>
          <w:szCs w:val="21"/>
          <w:highlight w:val="none"/>
        </w:rPr>
      </w:pPr>
      <w:r>
        <w:rPr>
          <w:color w:val="auto"/>
          <w:sz w:val="21"/>
          <w:szCs w:val="21"/>
          <w:highlight w:val="none"/>
        </w:rPr>
        <w:t>石刻文物线图绘制954张</w:t>
      </w:r>
      <w:r>
        <w:rPr>
          <w:rFonts w:hint="eastAsia"/>
          <w:color w:val="auto"/>
          <w:sz w:val="21"/>
          <w:szCs w:val="21"/>
          <w:highlight w:val="none"/>
        </w:rPr>
        <w:t>；</w:t>
      </w:r>
    </w:p>
    <w:p w14:paraId="144AE7C2">
      <w:pPr>
        <w:pStyle w:val="9"/>
        <w:numPr>
          <w:ilvl w:val="0"/>
          <w:numId w:val="1"/>
        </w:numPr>
        <w:adjustRightInd w:val="0"/>
        <w:snapToGrid w:val="0"/>
        <w:ind w:firstLine="420" w:firstLineChars="200"/>
        <w:rPr>
          <w:color w:val="auto"/>
          <w:sz w:val="21"/>
          <w:szCs w:val="21"/>
          <w:highlight w:val="none"/>
        </w:rPr>
      </w:pPr>
      <w:r>
        <w:rPr>
          <w:color w:val="auto"/>
          <w:sz w:val="21"/>
          <w:szCs w:val="21"/>
          <w:highlight w:val="none"/>
        </w:rPr>
        <w:t>223</w:t>
      </w:r>
      <w:r>
        <w:rPr>
          <w:rFonts w:hint="eastAsia"/>
          <w:color w:val="auto"/>
          <w:sz w:val="21"/>
          <w:szCs w:val="21"/>
          <w:highlight w:val="none"/>
        </w:rPr>
        <w:t>件</w:t>
      </w:r>
      <w:r>
        <w:rPr>
          <w:color w:val="auto"/>
          <w:sz w:val="21"/>
          <w:szCs w:val="21"/>
          <w:highlight w:val="none"/>
        </w:rPr>
        <w:t>石刻文物数字化拓片</w:t>
      </w:r>
      <w:r>
        <w:rPr>
          <w:rFonts w:hint="eastAsia"/>
          <w:color w:val="auto"/>
          <w:sz w:val="21"/>
          <w:szCs w:val="21"/>
          <w:highlight w:val="none"/>
        </w:rPr>
        <w:t>；</w:t>
      </w:r>
    </w:p>
    <w:p w14:paraId="799E5D26">
      <w:pPr>
        <w:pStyle w:val="9"/>
        <w:numPr>
          <w:ilvl w:val="0"/>
          <w:numId w:val="1"/>
        </w:numPr>
        <w:adjustRightInd w:val="0"/>
        <w:snapToGrid w:val="0"/>
        <w:ind w:firstLine="420" w:firstLineChars="200"/>
        <w:rPr>
          <w:color w:val="auto"/>
          <w:sz w:val="21"/>
          <w:szCs w:val="21"/>
          <w:highlight w:val="none"/>
        </w:rPr>
      </w:pPr>
      <w:r>
        <w:rPr>
          <w:color w:val="auto"/>
          <w:sz w:val="21"/>
          <w:szCs w:val="21"/>
          <w:highlight w:val="none"/>
        </w:rPr>
        <w:t>223</w:t>
      </w:r>
      <w:r>
        <w:rPr>
          <w:rFonts w:hint="eastAsia"/>
          <w:color w:val="auto"/>
          <w:sz w:val="21"/>
          <w:szCs w:val="21"/>
          <w:highlight w:val="none"/>
        </w:rPr>
        <w:t>件</w:t>
      </w:r>
      <w:r>
        <w:rPr>
          <w:color w:val="auto"/>
          <w:sz w:val="21"/>
          <w:szCs w:val="21"/>
          <w:highlight w:val="none"/>
        </w:rPr>
        <w:t>石刻文物文字释读；</w:t>
      </w:r>
    </w:p>
    <w:p w14:paraId="4024D69C">
      <w:pPr>
        <w:pStyle w:val="9"/>
        <w:numPr>
          <w:ilvl w:val="0"/>
          <w:numId w:val="1"/>
        </w:numPr>
        <w:adjustRightInd w:val="0"/>
        <w:snapToGrid w:val="0"/>
        <w:ind w:firstLine="420" w:firstLineChars="200"/>
        <w:rPr>
          <w:color w:val="auto"/>
          <w:sz w:val="21"/>
          <w:szCs w:val="21"/>
          <w:highlight w:val="none"/>
        </w:rPr>
      </w:pPr>
      <w:r>
        <w:rPr>
          <w:rFonts w:hint="eastAsia"/>
          <w:color w:val="auto"/>
          <w:sz w:val="21"/>
          <w:szCs w:val="21"/>
          <w:highlight w:val="none"/>
        </w:rPr>
        <w:t>石刻</w:t>
      </w:r>
      <w:r>
        <w:rPr>
          <w:color w:val="auto"/>
          <w:sz w:val="21"/>
          <w:szCs w:val="21"/>
          <w:highlight w:val="none"/>
        </w:rPr>
        <w:t>文物数字化</w:t>
      </w:r>
      <w:r>
        <w:rPr>
          <w:rFonts w:hint="eastAsia"/>
          <w:color w:val="auto"/>
          <w:sz w:val="21"/>
          <w:szCs w:val="21"/>
          <w:highlight w:val="none"/>
        </w:rPr>
        <w:t>采集</w:t>
      </w:r>
      <w:r>
        <w:rPr>
          <w:color w:val="auto"/>
          <w:sz w:val="21"/>
          <w:szCs w:val="21"/>
          <w:highlight w:val="none"/>
        </w:rPr>
        <w:t>辅助设施</w:t>
      </w:r>
      <w:r>
        <w:rPr>
          <w:rFonts w:hint="eastAsia"/>
          <w:color w:val="auto"/>
          <w:sz w:val="21"/>
          <w:szCs w:val="21"/>
          <w:highlight w:val="none"/>
        </w:rPr>
        <w:t>，包括</w:t>
      </w:r>
      <w:r>
        <w:rPr>
          <w:color w:val="auto"/>
          <w:sz w:val="21"/>
          <w:szCs w:val="21"/>
          <w:highlight w:val="none"/>
        </w:rPr>
        <w:t>电动叉车1台</w:t>
      </w:r>
      <w:r>
        <w:rPr>
          <w:rFonts w:hint="eastAsia"/>
          <w:color w:val="auto"/>
          <w:sz w:val="21"/>
          <w:szCs w:val="21"/>
          <w:highlight w:val="none"/>
        </w:rPr>
        <w:t>、</w:t>
      </w:r>
      <w:r>
        <w:rPr>
          <w:color w:val="auto"/>
          <w:sz w:val="21"/>
          <w:szCs w:val="21"/>
          <w:highlight w:val="none"/>
        </w:rPr>
        <w:t>电动升降平台1台</w:t>
      </w:r>
      <w:r>
        <w:rPr>
          <w:rFonts w:hint="eastAsia"/>
          <w:color w:val="auto"/>
          <w:sz w:val="21"/>
          <w:szCs w:val="21"/>
          <w:highlight w:val="none"/>
        </w:rPr>
        <w:t>、</w:t>
      </w:r>
      <w:r>
        <w:rPr>
          <w:color w:val="auto"/>
          <w:sz w:val="21"/>
          <w:szCs w:val="21"/>
          <w:highlight w:val="none"/>
        </w:rPr>
        <w:t>数字化采集耗材1项，以辅助</w:t>
      </w:r>
      <w:r>
        <w:rPr>
          <w:rFonts w:hint="eastAsia"/>
          <w:color w:val="auto"/>
          <w:sz w:val="21"/>
          <w:szCs w:val="21"/>
          <w:highlight w:val="none"/>
        </w:rPr>
        <w:t>院藏</w:t>
      </w:r>
      <w:r>
        <w:rPr>
          <w:color w:val="auto"/>
          <w:sz w:val="21"/>
          <w:szCs w:val="21"/>
          <w:highlight w:val="none"/>
        </w:rPr>
        <w:t>石刻文物的数字化和日常管理</w:t>
      </w:r>
      <w:r>
        <w:rPr>
          <w:rFonts w:hint="eastAsia"/>
          <w:color w:val="auto"/>
          <w:sz w:val="21"/>
          <w:szCs w:val="21"/>
          <w:highlight w:val="none"/>
        </w:rPr>
        <w:t>；</w:t>
      </w:r>
    </w:p>
    <w:p w14:paraId="0584FE9D">
      <w:pPr>
        <w:pStyle w:val="9"/>
        <w:numPr>
          <w:ilvl w:val="0"/>
          <w:numId w:val="1"/>
        </w:numPr>
        <w:adjustRightInd w:val="0"/>
        <w:snapToGrid w:val="0"/>
        <w:ind w:firstLine="420" w:firstLineChars="200"/>
        <w:rPr>
          <w:color w:val="auto"/>
          <w:sz w:val="21"/>
          <w:szCs w:val="21"/>
          <w:highlight w:val="none"/>
        </w:rPr>
      </w:pPr>
      <w:r>
        <w:rPr>
          <w:color w:val="auto"/>
          <w:sz w:val="21"/>
          <w:szCs w:val="21"/>
          <w:highlight w:val="none"/>
        </w:rPr>
        <w:t>石刻文物资料整理与录入1项</w:t>
      </w:r>
      <w:r>
        <w:rPr>
          <w:rFonts w:hint="eastAsia"/>
          <w:color w:val="auto"/>
          <w:sz w:val="21"/>
          <w:szCs w:val="21"/>
          <w:highlight w:val="none"/>
        </w:rPr>
        <w:t>；</w:t>
      </w:r>
    </w:p>
    <w:p w14:paraId="1002C22D">
      <w:pPr>
        <w:pStyle w:val="9"/>
        <w:numPr>
          <w:ilvl w:val="0"/>
          <w:numId w:val="1"/>
        </w:numPr>
        <w:adjustRightInd w:val="0"/>
        <w:snapToGrid w:val="0"/>
        <w:ind w:firstLine="420" w:firstLineChars="200"/>
        <w:rPr>
          <w:color w:val="auto"/>
          <w:sz w:val="21"/>
          <w:szCs w:val="21"/>
          <w:highlight w:val="none"/>
        </w:rPr>
      </w:pPr>
      <w:r>
        <w:rPr>
          <w:color w:val="auto"/>
          <w:sz w:val="21"/>
          <w:szCs w:val="21"/>
          <w:highlight w:val="none"/>
        </w:rPr>
        <w:t>石刻文物3D赏析系统1套；</w:t>
      </w:r>
    </w:p>
    <w:p w14:paraId="2C488563">
      <w:pPr>
        <w:pStyle w:val="9"/>
        <w:numPr>
          <w:ilvl w:val="0"/>
          <w:numId w:val="1"/>
        </w:numPr>
        <w:adjustRightInd w:val="0"/>
        <w:snapToGrid w:val="0"/>
        <w:ind w:firstLine="420" w:firstLineChars="200"/>
        <w:rPr>
          <w:rFonts w:hint="eastAsia"/>
          <w:color w:val="auto"/>
          <w:szCs w:val="21"/>
          <w:highlight w:val="none"/>
        </w:rPr>
      </w:pPr>
      <w:r>
        <w:rPr>
          <w:color w:val="auto"/>
          <w:sz w:val="21"/>
          <w:szCs w:val="21"/>
          <w:highlight w:val="none"/>
        </w:rPr>
        <w:t>石刻文物中文讲解音频6.67万字；</w:t>
      </w:r>
    </w:p>
    <w:p w14:paraId="754C6636">
      <w:pPr>
        <w:pStyle w:val="9"/>
        <w:adjustRightInd w:val="0"/>
        <w:snapToGrid w:val="0"/>
        <w:ind w:firstLine="420" w:firstLineChars="200"/>
        <w:rPr>
          <w:rFonts w:hint="eastAsia"/>
          <w:color w:val="auto"/>
          <w:sz w:val="21"/>
          <w:szCs w:val="21"/>
          <w:highlight w:val="none"/>
        </w:rPr>
      </w:pPr>
      <w:r>
        <w:rPr>
          <w:rFonts w:hint="eastAsia"/>
          <w:color w:val="auto"/>
          <w:sz w:val="21"/>
          <w:szCs w:val="21"/>
          <w:highlight w:val="none"/>
        </w:rPr>
        <w:t>9、</w:t>
      </w:r>
      <w:r>
        <w:rPr>
          <w:color w:val="auto"/>
          <w:sz w:val="21"/>
          <w:szCs w:val="21"/>
          <w:highlight w:val="none"/>
        </w:rPr>
        <w:t>石刻文物科普动画4部共240秒。</w:t>
      </w:r>
    </w:p>
    <w:p w14:paraId="60D9FD7D">
      <w:pPr>
        <w:adjustRightInd w:val="0"/>
        <w:snapToGrid w:val="0"/>
        <w:spacing w:line="360" w:lineRule="auto"/>
        <w:ind w:firstLine="422" w:firstLineChars="200"/>
        <w:outlineLvl w:val="1"/>
        <w:rPr>
          <w:rFonts w:hint="eastAsia" w:ascii="宋体" w:hAnsi="宋体" w:eastAsia="宋体"/>
          <w:b/>
          <w:color w:val="auto"/>
          <w:szCs w:val="21"/>
          <w:highlight w:val="none"/>
        </w:rPr>
      </w:pPr>
    </w:p>
    <w:p w14:paraId="07683D4A">
      <w:pPr>
        <w:adjustRightInd w:val="0"/>
        <w:snapToGrid w:val="0"/>
        <w:spacing w:line="360" w:lineRule="auto"/>
        <w:ind w:firstLine="422" w:firstLineChars="200"/>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三、服务需求</w:t>
      </w:r>
    </w:p>
    <w:p w14:paraId="4A62DD9B">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（一）服务需求指标说明</w:t>
      </w:r>
    </w:p>
    <w:tbl>
      <w:tblPr>
        <w:tblStyle w:val="6"/>
        <w:tblW w:w="8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4"/>
        <w:gridCol w:w="1404"/>
        <w:gridCol w:w="5177"/>
      </w:tblGrid>
      <w:tr w14:paraId="2F2AE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14" w:type="dxa"/>
            <w:noWrap w:val="0"/>
            <w:vAlign w:val="top"/>
          </w:tcPr>
          <w:p w14:paraId="32604D4D">
            <w:pPr>
              <w:autoSpaceDE w:val="0"/>
              <w:autoSpaceDN w:val="0"/>
              <w:spacing w:before="81"/>
              <w:ind w:left="116" w:right="108"/>
              <w:jc w:val="center"/>
              <w:rPr>
                <w:rFonts w:ascii="宋体" w:hAnsi="宋体" w:eastAsia="宋体" w:cs="宋体"/>
                <w:b/>
                <w:bCs/>
                <w:color w:val="auto"/>
                <w:kern w:val="0"/>
                <w:szCs w:val="21"/>
                <w:highlight w:val="none"/>
                <w:lang w:val="zh-CN" w:bidi="zh-CN"/>
              </w:rPr>
            </w:pPr>
            <w:r>
              <w:rPr>
                <w:rFonts w:ascii="宋体" w:hAnsi="宋体" w:eastAsia="宋体" w:cs="宋体"/>
                <w:b/>
                <w:bCs/>
                <w:color w:val="auto"/>
                <w:kern w:val="0"/>
                <w:szCs w:val="21"/>
                <w:highlight w:val="none"/>
                <w:lang w:val="zh-CN" w:bidi="zh-CN"/>
              </w:rPr>
              <w:t>标识重要性</w:t>
            </w:r>
          </w:p>
        </w:tc>
        <w:tc>
          <w:tcPr>
            <w:tcW w:w="1404" w:type="dxa"/>
            <w:noWrap w:val="0"/>
            <w:vAlign w:val="top"/>
          </w:tcPr>
          <w:p w14:paraId="2F5AEA73">
            <w:pPr>
              <w:autoSpaceDE w:val="0"/>
              <w:autoSpaceDN w:val="0"/>
              <w:spacing w:before="81"/>
              <w:ind w:left="202" w:right="192"/>
              <w:jc w:val="center"/>
              <w:rPr>
                <w:rFonts w:ascii="宋体" w:hAnsi="宋体" w:eastAsia="宋体" w:cs="宋体"/>
                <w:b/>
                <w:bCs/>
                <w:color w:val="auto"/>
                <w:kern w:val="0"/>
                <w:szCs w:val="21"/>
                <w:highlight w:val="none"/>
                <w:lang w:val="zh-CN" w:bidi="zh-CN"/>
              </w:rPr>
            </w:pPr>
            <w:r>
              <w:rPr>
                <w:rFonts w:ascii="宋体" w:hAnsi="宋体" w:eastAsia="宋体" w:cs="宋体"/>
                <w:b/>
                <w:bCs/>
                <w:color w:val="auto"/>
                <w:kern w:val="0"/>
                <w:szCs w:val="21"/>
                <w:highlight w:val="none"/>
                <w:lang w:val="zh-CN" w:bidi="zh-CN"/>
              </w:rPr>
              <w:t>标识符号</w:t>
            </w:r>
          </w:p>
        </w:tc>
        <w:tc>
          <w:tcPr>
            <w:tcW w:w="5177" w:type="dxa"/>
            <w:noWrap w:val="0"/>
            <w:vAlign w:val="top"/>
          </w:tcPr>
          <w:p w14:paraId="522BCAD7">
            <w:pPr>
              <w:autoSpaceDE w:val="0"/>
              <w:autoSpaceDN w:val="0"/>
              <w:spacing w:before="81"/>
              <w:ind w:left="689" w:right="679"/>
              <w:jc w:val="center"/>
              <w:rPr>
                <w:rFonts w:ascii="宋体" w:hAnsi="宋体" w:eastAsia="宋体" w:cs="宋体"/>
                <w:b/>
                <w:bCs/>
                <w:color w:val="auto"/>
                <w:kern w:val="0"/>
                <w:szCs w:val="21"/>
                <w:highlight w:val="none"/>
                <w:lang w:val="zh-CN" w:bidi="zh-CN"/>
              </w:rPr>
            </w:pPr>
            <w:r>
              <w:rPr>
                <w:rFonts w:ascii="宋体" w:hAnsi="宋体" w:eastAsia="宋体" w:cs="宋体"/>
                <w:b/>
                <w:bCs/>
                <w:color w:val="auto"/>
                <w:kern w:val="0"/>
                <w:szCs w:val="21"/>
                <w:highlight w:val="none"/>
                <w:lang w:val="zh-CN" w:bidi="zh-CN"/>
              </w:rPr>
              <w:t>代表意思</w:t>
            </w:r>
          </w:p>
        </w:tc>
      </w:tr>
      <w:tr w14:paraId="468A4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14" w:type="dxa"/>
            <w:noWrap w:val="0"/>
            <w:vAlign w:val="center"/>
          </w:tcPr>
          <w:p w14:paraId="6FECB6FE">
            <w:pPr>
              <w:autoSpaceDE w:val="0"/>
              <w:autoSpaceDN w:val="0"/>
              <w:spacing w:before="80"/>
              <w:ind w:left="116" w:right="108"/>
              <w:jc w:val="center"/>
              <w:rPr>
                <w:rFonts w:ascii="宋体" w:hAnsi="宋体" w:eastAsia="宋体" w:cs="宋体"/>
                <w:color w:val="auto"/>
                <w:kern w:val="0"/>
                <w:szCs w:val="21"/>
                <w:highlight w:val="none"/>
                <w:lang w:val="zh-CN" w:bidi="zh-CN"/>
              </w:rPr>
            </w:pPr>
            <w:r>
              <w:rPr>
                <w:rFonts w:ascii="宋体" w:hAnsi="宋体" w:eastAsia="宋体" w:cs="宋体"/>
                <w:color w:val="auto"/>
                <w:kern w:val="0"/>
                <w:szCs w:val="21"/>
                <w:highlight w:val="none"/>
                <w:lang w:val="zh-CN" w:bidi="zh-CN"/>
              </w:rPr>
              <w:t>重要指标项</w:t>
            </w:r>
          </w:p>
        </w:tc>
        <w:tc>
          <w:tcPr>
            <w:tcW w:w="1404" w:type="dxa"/>
            <w:noWrap w:val="0"/>
            <w:vAlign w:val="center"/>
          </w:tcPr>
          <w:p w14:paraId="04940185">
            <w:pPr>
              <w:autoSpaceDE w:val="0"/>
              <w:autoSpaceDN w:val="0"/>
              <w:spacing w:before="80"/>
              <w:ind w:left="10"/>
              <w:jc w:val="center"/>
              <w:rPr>
                <w:rFonts w:ascii="宋体" w:hAnsi="宋体" w:eastAsia="宋体" w:cs="宋体"/>
                <w:color w:val="auto"/>
                <w:kern w:val="0"/>
                <w:szCs w:val="21"/>
                <w:highlight w:val="none"/>
                <w:lang w:val="zh-CN" w:bidi="zh-CN"/>
              </w:rPr>
            </w:pPr>
            <w:bookmarkStart w:id="4" w:name="OLE_LINK21"/>
            <w:r>
              <w:rPr>
                <w:rFonts w:hint="eastAsia" w:ascii="宋体" w:hAnsi="宋体" w:eastAsia="宋体" w:cs="宋体"/>
                <w:color w:val="auto"/>
                <w:szCs w:val="21"/>
                <w:highlight w:val="none"/>
              </w:rPr>
              <w:t>●</w:t>
            </w:r>
            <w:bookmarkEnd w:id="4"/>
          </w:p>
        </w:tc>
        <w:tc>
          <w:tcPr>
            <w:tcW w:w="5177" w:type="dxa"/>
            <w:noWrap w:val="0"/>
            <w:vAlign w:val="center"/>
          </w:tcPr>
          <w:p w14:paraId="4FF6BEBF">
            <w:pPr>
              <w:autoSpaceDE w:val="0"/>
              <w:autoSpaceDN w:val="0"/>
              <w:spacing w:before="80"/>
              <w:ind w:left="689" w:right="679"/>
              <w:jc w:val="center"/>
              <w:rPr>
                <w:rFonts w:ascii="宋体" w:hAnsi="宋体" w:eastAsia="宋体" w:cs="宋体"/>
                <w:color w:val="auto"/>
                <w:kern w:val="0"/>
                <w:szCs w:val="21"/>
                <w:highlight w:val="none"/>
                <w:lang w:bidi="zh-CN"/>
              </w:rPr>
            </w:pPr>
            <w:r>
              <w:rPr>
                <w:rFonts w:ascii="宋体" w:hAnsi="宋体" w:eastAsia="宋体" w:cs="宋体"/>
                <w:color w:val="auto"/>
                <w:kern w:val="0"/>
                <w:szCs w:val="21"/>
                <w:highlight w:val="none"/>
                <w:lang w:bidi="zh-CN"/>
              </w:rPr>
              <w:t>评分项，详见评分标准</w:t>
            </w:r>
            <w:r>
              <w:rPr>
                <w:rFonts w:hint="eastAsia" w:ascii="宋体" w:hAnsi="宋体" w:eastAsia="宋体" w:cs="宋体"/>
                <w:color w:val="auto"/>
                <w:kern w:val="0"/>
                <w:szCs w:val="21"/>
                <w:highlight w:val="none"/>
                <w:lang w:bidi="zh-CN"/>
              </w:rPr>
              <w:t>。</w:t>
            </w:r>
          </w:p>
        </w:tc>
      </w:tr>
      <w:tr w14:paraId="73C58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714" w:type="dxa"/>
            <w:noWrap w:val="0"/>
            <w:vAlign w:val="center"/>
          </w:tcPr>
          <w:p w14:paraId="08937C99">
            <w:pPr>
              <w:autoSpaceDE w:val="0"/>
              <w:autoSpaceDN w:val="0"/>
              <w:spacing w:before="82"/>
              <w:ind w:left="116" w:right="108"/>
              <w:jc w:val="center"/>
              <w:rPr>
                <w:rFonts w:ascii="宋体" w:hAnsi="宋体" w:eastAsia="宋体" w:cs="宋体"/>
                <w:b/>
                <w:bCs/>
                <w:color w:val="auto"/>
                <w:kern w:val="0"/>
                <w:szCs w:val="21"/>
                <w:highlight w:val="yellow"/>
                <w:lang w:val="zh-CN" w:bidi="zh-CN"/>
              </w:rPr>
            </w:pPr>
            <w:r>
              <w:rPr>
                <w:rFonts w:ascii="宋体" w:hAnsi="宋体" w:eastAsia="宋体" w:cs="宋体"/>
                <w:b/>
                <w:bCs/>
                <w:color w:val="auto"/>
                <w:kern w:val="0"/>
                <w:szCs w:val="21"/>
                <w:highlight w:val="yellow"/>
                <w:lang w:val="zh-CN" w:bidi="zh-CN"/>
              </w:rPr>
              <w:t>无标识项</w:t>
            </w:r>
          </w:p>
        </w:tc>
        <w:tc>
          <w:tcPr>
            <w:tcW w:w="1404" w:type="dxa"/>
            <w:noWrap w:val="0"/>
            <w:vAlign w:val="center"/>
          </w:tcPr>
          <w:p w14:paraId="25157385">
            <w:pPr>
              <w:autoSpaceDE w:val="0"/>
              <w:autoSpaceDN w:val="0"/>
              <w:jc w:val="center"/>
              <w:rPr>
                <w:rFonts w:ascii="Times New Roman" w:hAnsi="宋体" w:eastAsia="宋体" w:cs="宋体"/>
                <w:b/>
                <w:bCs/>
                <w:color w:val="auto"/>
                <w:kern w:val="0"/>
                <w:szCs w:val="21"/>
                <w:highlight w:val="yellow"/>
                <w:lang w:val="zh-CN" w:bidi="zh-CN"/>
              </w:rPr>
            </w:pPr>
          </w:p>
        </w:tc>
        <w:tc>
          <w:tcPr>
            <w:tcW w:w="5177" w:type="dxa"/>
            <w:noWrap w:val="0"/>
            <w:vAlign w:val="center"/>
          </w:tcPr>
          <w:p w14:paraId="2EAA1E8F">
            <w:pPr>
              <w:autoSpaceDE w:val="0"/>
              <w:autoSpaceDN w:val="0"/>
              <w:spacing w:before="82"/>
              <w:ind w:right="679"/>
              <w:jc w:val="center"/>
              <w:rPr>
                <w:rFonts w:ascii="宋体" w:hAnsi="宋体" w:eastAsia="宋体" w:cs="宋体"/>
                <w:b/>
                <w:bCs/>
                <w:color w:val="auto"/>
                <w:kern w:val="0"/>
                <w:szCs w:val="21"/>
                <w:highlight w:val="yellow"/>
                <w:lang w:val="zh-CN" w:bidi="zh-CN"/>
              </w:rPr>
            </w:pPr>
            <w:r>
              <w:rPr>
                <w:rFonts w:hint="eastAsia" w:ascii="宋体" w:hAnsi="宋体" w:eastAsia="宋体" w:cs="宋体"/>
                <w:b/>
                <w:bCs/>
                <w:color w:val="auto"/>
                <w:kern w:val="0"/>
                <w:szCs w:val="21"/>
                <w:highlight w:val="yellow"/>
                <w:lang w:val="en-US" w:bidi="zh-CN"/>
              </w:rPr>
              <w:t>实质性要求，</w:t>
            </w:r>
            <w:r>
              <w:rPr>
                <w:rFonts w:hint="eastAsia" w:ascii="宋体" w:hAnsi="宋体" w:eastAsia="宋体" w:cs="宋体"/>
                <w:b/>
                <w:bCs/>
                <w:color w:val="auto"/>
                <w:kern w:val="0"/>
                <w:szCs w:val="21"/>
                <w:highlight w:val="yellow"/>
                <w:lang w:val="zh-CN" w:bidi="zh-CN"/>
              </w:rPr>
              <w:t>负偏离将导致投标被拒绝</w:t>
            </w:r>
          </w:p>
        </w:tc>
      </w:tr>
    </w:tbl>
    <w:p w14:paraId="779F0E10">
      <w:pPr>
        <w:pStyle w:val="2"/>
        <w:ind w:left="0" w:leftChars="0"/>
        <w:rPr>
          <w:rFonts w:hint="eastAsia" w:ascii="宋体" w:hAnsi="宋体" w:eastAsia="宋体" w:cs="宋体"/>
          <w:color w:val="auto"/>
          <w:szCs w:val="21"/>
          <w:highlight w:val="none"/>
        </w:rPr>
      </w:pPr>
    </w:p>
    <w:p w14:paraId="33BC369E">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（二）服务需求内容</w:t>
      </w:r>
    </w:p>
    <w:tbl>
      <w:tblPr>
        <w:tblStyle w:val="6"/>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18"/>
        <w:gridCol w:w="6739"/>
      </w:tblGrid>
      <w:tr w14:paraId="4DCE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6E0F59C9">
            <w:pPr>
              <w:wordWrap w:val="0"/>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58" w:type="pct"/>
            <w:noWrap w:val="0"/>
            <w:vAlign w:val="center"/>
          </w:tcPr>
          <w:p w14:paraId="0F1EC4FF">
            <w:pPr>
              <w:wordWrap w:val="0"/>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3968" w:type="pct"/>
            <w:noWrap w:val="0"/>
            <w:vAlign w:val="center"/>
          </w:tcPr>
          <w:p w14:paraId="39D23AAA">
            <w:pPr>
              <w:wordWrap w:val="0"/>
              <w:spacing w:line="288"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服务需求及相关技术参数要求</w:t>
            </w:r>
          </w:p>
        </w:tc>
      </w:tr>
      <w:tr w14:paraId="4AA2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5F11F3F">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58" w:type="pct"/>
            <w:noWrap w:val="0"/>
            <w:vAlign w:val="center"/>
          </w:tcPr>
          <w:p w14:paraId="629AABA6">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石刻文物三维数字化采集及加工</w:t>
            </w:r>
          </w:p>
        </w:tc>
        <w:tc>
          <w:tcPr>
            <w:tcW w:w="3968" w:type="pct"/>
            <w:noWrap w:val="0"/>
            <w:vAlign w:val="center"/>
          </w:tcPr>
          <w:p w14:paraId="19BD1FF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在国家文物局发布的《可移动文物三维数字化采集与加工》（WW T 0115—2023）、《可移动文物二维数字化采集与加工》（WW T 0114—2023）、《石窟寺三维数字化采集与加工》（WW/T 0117—2023）、《石窟寺二维数字化采集与加工》（WW/T 0116—2023）、《博物馆照明设计规范》（GB/T 23863-2024）等标准的指导下，选取院内172件套（335单件）具有重大历史和研究价值的石刻文物进行三维数字化采集、加工与制作。</w:t>
            </w:r>
          </w:p>
          <w:p w14:paraId="47A762BB">
            <w:pPr>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一、前期准备要求</w:t>
            </w:r>
          </w:p>
          <w:p w14:paraId="1202BA5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1.方案设计</w:t>
            </w:r>
          </w:p>
          <w:p w14:paraId="3BD9D22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1.1在采集工作开展前,应根据实际情况开展已有资料收集、文物现状评估、现场勘察等工作,对采集方法的适用性、项目实施环境的安全性等进行综合评估。</w:t>
            </w:r>
          </w:p>
          <w:p w14:paraId="1616CDB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1.2方案设计应遵循</w:t>
            </w:r>
            <w:bookmarkStart w:id="5" w:name="OLE_LINK12"/>
            <w:r>
              <w:rPr>
                <w:rFonts w:hint="eastAsia" w:ascii="宋体" w:hAnsi="宋体" w:eastAsia="宋体" w:cs="宋体"/>
                <w:bCs/>
                <w:color w:val="auto"/>
                <w:szCs w:val="21"/>
                <w:highlight w:val="none"/>
              </w:rPr>
              <w:t>《测绘技术设计规定》</w:t>
            </w:r>
            <w:bookmarkEnd w:id="5"/>
            <w:r>
              <w:rPr>
                <w:rFonts w:hint="eastAsia" w:ascii="宋体" w:hAnsi="宋体" w:eastAsia="宋体" w:cs="宋体"/>
                <w:bCs/>
                <w:color w:val="auto"/>
                <w:szCs w:val="21"/>
                <w:highlight w:val="none"/>
              </w:rPr>
              <w:t>CH/T 1004-2005,根据采集要求,结合评估结果进行编制。方案设计文件宜包括下列内容：</w:t>
            </w:r>
          </w:p>
          <w:p w14:paraId="4AA5C32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a)项目概述：说明项目实施的背景、目标、工作内容、工作要求、完成期限等基本情况；</w:t>
            </w:r>
          </w:p>
          <w:p w14:paraId="1C5EC8F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b)文物情况：说明文物特点,分析其适用的技术方法,预估工作难点；</w:t>
            </w:r>
          </w:p>
          <w:p w14:paraId="5027C62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c)实施依据：说明项目要求和引用的标准、规范；</w:t>
            </w:r>
          </w:p>
          <w:p w14:paraId="5803D47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d)技术方法：说明项目实施采用的技术路线、作业流程、方法步骤；</w:t>
            </w:r>
          </w:p>
          <w:p w14:paraId="6D32419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e)资源配置：说明项目实施配置的仪器设备、软件、人员、环境等情况；</w:t>
            </w:r>
          </w:p>
          <w:p w14:paraId="352EA94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f)安全保障：说明项目实施中对文物、人员、设备、场地等采取的安全保障措施；</w:t>
            </w:r>
          </w:p>
          <w:p w14:paraId="3B5BEC9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g)实施计划：说明项目实施的组织机构、责任分工、进度安排；</w:t>
            </w:r>
          </w:p>
          <w:p w14:paraId="23CAF16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h)质量控制：说明项目实施的质量管理与控制措施；</w:t>
            </w:r>
          </w:p>
          <w:p w14:paraId="60CE1C2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i)成果存储：说明项目成果类型、数量、方式等。</w:t>
            </w:r>
          </w:p>
          <w:p w14:paraId="0CA4332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1.3采集与加工方案应由文物保管单位进行审核,经批准的方案方可实施。</w:t>
            </w:r>
          </w:p>
          <w:p w14:paraId="7A5C5B9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2.条件准备</w:t>
            </w:r>
          </w:p>
          <w:p w14:paraId="4B00E27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2.1采集场地环境布置应符合以下要求：</w:t>
            </w:r>
          </w:p>
          <w:p w14:paraId="26D861E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a)在满足文物安全存放规定基础上,选择地面平坦、空间充裕、无障碍物、电源充足之处,且有安全保护措施；</w:t>
            </w:r>
          </w:p>
          <w:p w14:paraId="6E3F900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b)按任务类别或工序进行现场空间划分,工作空间不出现交叉；</w:t>
            </w:r>
          </w:p>
          <w:p w14:paraId="0DCCA6E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c)放置文物的工作平台平稳牢固,台面无杂物,铺设缓冲衬垫。</w:t>
            </w:r>
          </w:p>
          <w:p w14:paraId="12FEDE2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2.2人员</w:t>
            </w:r>
          </w:p>
          <w:p w14:paraId="7695466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人力资源配置应满足项目实施要求,包括项目负责人、技术负责人、审核人、数据采集人员、数据加工人员等。</w:t>
            </w:r>
          </w:p>
          <w:p w14:paraId="66998AC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2.3设备设施</w:t>
            </w:r>
          </w:p>
          <w:p w14:paraId="4961001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配备符合采集要求的三维扫描设备、拍摄设备、处理软件及辅助设施。</w:t>
            </w:r>
          </w:p>
          <w:p w14:paraId="1CDC035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3.文物除尘服务</w:t>
            </w:r>
          </w:p>
          <w:p w14:paraId="1BC2FC6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由于文物常年存放在库房或展厅，文物表面难免会堆积污垢和灰尘，为了提高三维扫描数据的质量，在文物三维数字化前，实施单位聘请专业文保人员对文物进行必要的除尘、清洗、去除杂物、养护处理。</w:t>
            </w:r>
          </w:p>
          <w:p w14:paraId="07C25190">
            <w:pPr>
              <w:shd w:val="clear" w:color="auto" w:fill="auto"/>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二、三维采集设备要求</w:t>
            </w:r>
          </w:p>
          <w:p w14:paraId="172FBE57">
            <w:pPr>
              <w:shd w:val="clear" w:color="auto" w:fill="auto"/>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1.三维扫描设备符合以下要求</w:t>
            </w:r>
            <w:r>
              <w:rPr>
                <w:rFonts w:hint="eastAsia" w:ascii="宋体" w:hAnsi="宋体" w:eastAsia="宋体" w:cs="宋体"/>
                <w:bCs/>
                <w:color w:val="auto"/>
                <w:szCs w:val="21"/>
                <w:highlight w:val="none"/>
                <w:lang w:eastAsia="zh-CN"/>
              </w:rPr>
              <w:t>：</w:t>
            </w:r>
          </w:p>
          <w:p w14:paraId="3FB5085F">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a)扫描精度和扫描密度应符合项目技术指标要求，扫描精度≤0.01mm</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投标文件中需提供证明材料，证明材料包括但不限于产品官网截图或</w:t>
            </w:r>
            <w:bookmarkStart w:id="6" w:name="OLE_LINK35"/>
            <w:r>
              <w:rPr>
                <w:rFonts w:hint="eastAsia" w:ascii="宋体" w:hAnsi="宋体" w:eastAsia="宋体" w:cs="宋体"/>
                <w:b/>
                <w:bCs/>
                <w:color w:val="auto"/>
                <w:szCs w:val="21"/>
                <w:highlight w:val="none"/>
                <w:lang w:val="en-US" w:eastAsia="zh-CN"/>
              </w:rPr>
              <w:t>产品使用说明书或</w:t>
            </w:r>
            <w:bookmarkEnd w:id="6"/>
            <w:r>
              <w:rPr>
                <w:rFonts w:hint="eastAsia" w:ascii="宋体" w:hAnsi="宋体" w:eastAsia="宋体" w:cs="宋体"/>
                <w:b/>
                <w:bCs/>
                <w:color w:val="auto"/>
                <w:szCs w:val="21"/>
                <w:highlight w:val="none"/>
              </w:rPr>
              <w:t>第三方机构出具的具有CMA标识的检测报告）</w:t>
            </w:r>
            <w:r>
              <w:rPr>
                <w:rFonts w:hint="eastAsia" w:ascii="宋体" w:hAnsi="宋体" w:eastAsia="宋体" w:cs="宋体"/>
                <w:bCs/>
                <w:color w:val="auto"/>
                <w:szCs w:val="21"/>
                <w:highlight w:val="none"/>
              </w:rPr>
              <w:t>；</w:t>
            </w:r>
          </w:p>
          <w:p w14:paraId="5FC327F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b)采用激光扫描设备时，激光安全等级应为ClassI及以上</w:t>
            </w:r>
            <w:bookmarkStart w:id="7" w:name="OLE_LINK11"/>
            <w:r>
              <w:rPr>
                <w:rFonts w:hint="eastAsia" w:ascii="宋体" w:hAnsi="宋体" w:eastAsia="宋体" w:cs="宋体"/>
                <w:bCs/>
                <w:color w:val="auto"/>
                <w:szCs w:val="21"/>
                <w:highlight w:val="none"/>
              </w:rPr>
              <w:t>；</w:t>
            </w:r>
            <w:bookmarkEnd w:id="7"/>
          </w:p>
          <w:p w14:paraId="326AD25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c)具有校准精度和拼接精度输出功能；</w:t>
            </w:r>
          </w:p>
          <w:p w14:paraId="06EAE48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d)具有设备自跟踪的点云拼接功能。</w:t>
            </w:r>
          </w:p>
          <w:p w14:paraId="21BFD774">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2.照片拍摄设备应符合以下要求</w:t>
            </w:r>
            <w:bookmarkStart w:id="8" w:name="OLE_LINK25"/>
            <w:r>
              <w:rPr>
                <w:rFonts w:hint="eastAsia" w:ascii="宋体" w:hAnsi="宋体" w:eastAsia="宋体" w:cs="宋体"/>
                <w:bCs/>
                <w:color w:val="auto"/>
                <w:szCs w:val="21"/>
                <w:highlight w:val="none"/>
                <w:lang w:eastAsia="zh-CN"/>
              </w:rPr>
              <w:t>：</w:t>
            </w:r>
            <w:bookmarkEnd w:id="8"/>
          </w:p>
          <w:p w14:paraId="79DB372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a)成像传感器尺寸不小于24mm×36mm；</w:t>
            </w:r>
          </w:p>
          <w:p w14:paraId="4EB6C92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b)成像的RGB每通道颜色深度值不小于12bit；</w:t>
            </w:r>
          </w:p>
          <w:p w14:paraId="2A7A084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c)具有AdobeRGB及以上色域；</w:t>
            </w:r>
          </w:p>
          <w:p w14:paraId="74F05779">
            <w:pPr>
              <w:wordWrap w:val="0"/>
              <w:spacing w:line="288" w:lineRule="auto"/>
              <w:rPr>
                <w:rFonts w:hint="eastAsia" w:ascii="宋体" w:hAnsi="宋体" w:eastAsia="宋体" w:cs="宋体"/>
                <w:bCs/>
                <w:color w:val="auto"/>
                <w:szCs w:val="21"/>
                <w:highlight w:val="none"/>
              </w:rPr>
            </w:pPr>
            <w:bookmarkStart w:id="9" w:name="OLE_LINK7"/>
            <w:r>
              <w:rPr>
                <w:rFonts w:hint="eastAsia" w:ascii="宋体" w:hAnsi="宋体" w:eastAsia="宋体" w:cs="宋体"/>
                <w:color w:val="auto"/>
                <w:szCs w:val="21"/>
                <w:highlight w:val="none"/>
              </w:rPr>
              <w:t>●</w:t>
            </w:r>
            <w:bookmarkEnd w:id="9"/>
            <w:r>
              <w:rPr>
                <w:rFonts w:hint="eastAsia" w:ascii="宋体" w:hAnsi="宋体" w:eastAsia="宋体" w:cs="宋体"/>
                <w:bCs/>
                <w:color w:val="auto"/>
                <w:szCs w:val="21"/>
                <w:highlight w:val="none"/>
              </w:rPr>
              <w:t>d)单张照片不小于5000万像素</w:t>
            </w:r>
            <w:bookmarkStart w:id="10" w:name="OLE_LINK36"/>
            <w:r>
              <w:rPr>
                <w:rFonts w:hint="eastAsia" w:ascii="宋体" w:hAnsi="宋体" w:eastAsia="宋体" w:cs="宋体"/>
                <w:b/>
                <w:color w:val="auto"/>
                <w:szCs w:val="21"/>
                <w:highlight w:val="none"/>
              </w:rPr>
              <w:t>（</w:t>
            </w:r>
            <w:bookmarkStart w:id="11" w:name="OLE_LINK31"/>
            <w:r>
              <w:rPr>
                <w:rFonts w:hint="eastAsia" w:ascii="宋体" w:hAnsi="宋体" w:eastAsia="宋体" w:cs="宋体"/>
                <w:b/>
                <w:bCs/>
                <w:color w:val="auto"/>
                <w:szCs w:val="21"/>
                <w:highlight w:val="none"/>
              </w:rPr>
              <w:t>投标文件中需提供证明材料，证明材料包括但不限于产品官网截图或</w:t>
            </w:r>
            <w:bookmarkStart w:id="12" w:name="OLE_LINK34"/>
            <w:bookmarkStart w:id="13" w:name="OLE_LINK33"/>
            <w:r>
              <w:rPr>
                <w:rFonts w:hint="eastAsia" w:ascii="宋体" w:hAnsi="宋体" w:eastAsia="宋体" w:cs="宋体"/>
                <w:b/>
                <w:bCs/>
                <w:color w:val="auto"/>
                <w:szCs w:val="21"/>
                <w:highlight w:val="none"/>
                <w:lang w:val="en-US" w:eastAsia="zh-CN"/>
              </w:rPr>
              <w:t>产品使用说明书</w:t>
            </w:r>
            <w:bookmarkEnd w:id="12"/>
            <w:r>
              <w:rPr>
                <w:rFonts w:hint="eastAsia" w:ascii="宋体" w:hAnsi="宋体" w:eastAsia="宋体" w:cs="宋体"/>
                <w:b/>
                <w:bCs/>
                <w:color w:val="auto"/>
                <w:szCs w:val="21"/>
                <w:highlight w:val="none"/>
              </w:rPr>
              <w:t>或</w:t>
            </w:r>
            <w:bookmarkEnd w:id="13"/>
            <w:r>
              <w:rPr>
                <w:rFonts w:hint="eastAsia" w:ascii="宋体" w:hAnsi="宋体" w:eastAsia="宋体" w:cs="宋体"/>
                <w:b/>
                <w:bCs/>
                <w:color w:val="auto"/>
                <w:szCs w:val="21"/>
                <w:highlight w:val="none"/>
              </w:rPr>
              <w:t>第三方机构出具的具有CMA标识的检测报告</w:t>
            </w:r>
            <w:bookmarkEnd w:id="11"/>
            <w:r>
              <w:rPr>
                <w:rFonts w:hint="eastAsia" w:ascii="宋体" w:hAnsi="宋体" w:eastAsia="宋体" w:cs="宋体"/>
                <w:b/>
                <w:bCs/>
                <w:color w:val="auto"/>
                <w:szCs w:val="21"/>
                <w:highlight w:val="none"/>
              </w:rPr>
              <w:t>）</w:t>
            </w:r>
            <w:bookmarkEnd w:id="10"/>
            <w:r>
              <w:rPr>
                <w:rFonts w:hint="eastAsia" w:ascii="宋体" w:hAnsi="宋体" w:eastAsia="宋体" w:cs="宋体"/>
                <w:bCs/>
                <w:color w:val="auto"/>
                <w:szCs w:val="21"/>
                <w:highlight w:val="none"/>
              </w:rPr>
              <w:t>；</w:t>
            </w:r>
          </w:p>
          <w:p w14:paraId="2876B82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e)支持RAW文件存储。</w:t>
            </w:r>
          </w:p>
          <w:p w14:paraId="1CF4AF9B">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3.照明设备符合以下要求</w:t>
            </w:r>
            <w:r>
              <w:rPr>
                <w:rFonts w:hint="eastAsia" w:ascii="宋体" w:hAnsi="宋体" w:eastAsia="宋体" w:cs="宋体"/>
                <w:bCs/>
                <w:color w:val="auto"/>
                <w:szCs w:val="21"/>
                <w:highlight w:val="none"/>
                <w:lang w:eastAsia="zh-CN"/>
              </w:rPr>
              <w:t>：</w:t>
            </w:r>
          </w:p>
          <w:p w14:paraId="1CAECE5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a)应采用持续色温为5500K的人工光源,色温偏差不超过10%；</w:t>
            </w:r>
          </w:p>
          <w:p w14:paraId="6EB62EA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b)使用冷光源；</w:t>
            </w:r>
          </w:p>
          <w:p w14:paraId="6E4EEF0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c)在连续拍摄期间,光源亮度差异应不大于10%；</w:t>
            </w:r>
          </w:p>
          <w:p w14:paraId="61A3E74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d)应与具有阻挡红外线和紫外线功能的柔光装置搭配使用。</w:t>
            </w:r>
          </w:p>
          <w:p w14:paraId="3372459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4.颜色管理设备应符合以下要求</w:t>
            </w:r>
            <w:r>
              <w:rPr>
                <w:rFonts w:hint="eastAsia" w:ascii="宋体" w:hAnsi="宋体" w:eastAsia="宋体" w:cs="宋体"/>
                <w:bCs/>
                <w:color w:val="auto"/>
                <w:szCs w:val="21"/>
                <w:highlight w:val="none"/>
                <w:lang w:eastAsia="zh-CN"/>
              </w:rPr>
              <w:t>：</w:t>
            </w:r>
          </w:p>
          <w:p w14:paraId="691116A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a)标准色卡不少于24色，大、中、小规格成套配置；</w:t>
            </w:r>
          </w:p>
          <w:p w14:paraId="1C111A1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b)显示器能覆盖95%以上的AdobeRGB色彩空间,色彩位深度不小于10bit；</w:t>
            </w:r>
          </w:p>
          <w:p w14:paraId="1BC1F89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c)显示器使用分光光度计定期进行颜色校准。</w:t>
            </w:r>
          </w:p>
          <w:p w14:paraId="58397F57">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5.模型标准器符合以下要求</w:t>
            </w:r>
            <w:r>
              <w:rPr>
                <w:rFonts w:hint="eastAsia" w:ascii="宋体" w:hAnsi="宋体" w:eastAsia="宋体" w:cs="宋体"/>
                <w:bCs/>
                <w:color w:val="auto"/>
                <w:szCs w:val="21"/>
                <w:highlight w:val="none"/>
                <w:lang w:eastAsia="zh-CN"/>
              </w:rPr>
              <w:t>：</w:t>
            </w:r>
          </w:p>
          <w:p w14:paraId="11E0162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a)尺寸应不小于采集对象的三分之一,且不大于采集对象的3倍；</w:t>
            </w:r>
          </w:p>
          <w:p w14:paraId="75CC924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b)精度指标应不低于采集技术指标；</w:t>
            </w:r>
          </w:p>
          <w:p w14:paraId="5EB0F27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c)具有已知几何参数。</w:t>
            </w:r>
          </w:p>
          <w:p w14:paraId="2DBB50E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6.温度湿度测量设备的指标应满足采集设备参数修正的需要。</w:t>
            </w:r>
          </w:p>
          <w:p w14:paraId="3AA82EA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7.采集加工及存储设备除功能和性能满足要求外,还应满足信息安全和存储安全的要求。采集设备应进行安装、预热、校准。</w:t>
            </w:r>
          </w:p>
          <w:p w14:paraId="6536E26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8.软件资源配置应满足采集与加工实施要求,包括三维扫描控制软件、点云处理软件、照片处理软件、摄影测量三维重建软件、三维模型处理软件等。</w:t>
            </w:r>
          </w:p>
          <w:p w14:paraId="2BDE5ED3">
            <w:pPr>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三、三维数据采集要求</w:t>
            </w:r>
          </w:p>
          <w:p w14:paraId="2973920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1.基本要求</w:t>
            </w:r>
          </w:p>
          <w:p w14:paraId="20A5C84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1.1所有采集工作在馆内完成，采用非接触测量方法采集；采用结构光三维扫描仪（白光）或三维激光扫描仪无接触测绘方式，确保采集过程中的藏品安全。</w:t>
            </w:r>
          </w:p>
          <w:p w14:paraId="070269C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1.2采集的技术指标应符合要求。</w:t>
            </w:r>
          </w:p>
          <w:p w14:paraId="79BA31E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三维扫描数据：点云平均点间距≤0.01mm；最大点间距≤0.20mm；</w:t>
            </w:r>
          </w:p>
          <w:p w14:paraId="37A1AD7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对于尺寸在20cm以下、多细节、有损坏或者修复痕迹的文物，点间距≤0.01mm</w:t>
            </w:r>
          </w:p>
          <w:p w14:paraId="6379A67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网格模型：模型精度≤0.10mm；完整度≥98%</w:t>
            </w:r>
          </w:p>
          <w:p w14:paraId="6105E81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摄影测量纹理模型数据网格模型：模型精度≤0.15mm；完整度≥95%</w:t>
            </w:r>
          </w:p>
          <w:p w14:paraId="634DAC3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纹理贴图：贴图分辨率≥600dpi；CIEDE2000色差平均值≤3.0</w:t>
            </w:r>
          </w:p>
          <w:p w14:paraId="142E153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精度类指标(模型精度、平均点间距、最大点间距)均为中误差。</w:t>
            </w:r>
          </w:p>
          <w:p w14:paraId="5676BCB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1.3空间参考系应采用世界坐标系。应按文物安全放置姿态和方向确定坐标轴,各坐标轴方向最大尺寸所构成的六面体的中心点为坐标原点。</w:t>
            </w:r>
          </w:p>
          <w:p w14:paraId="0F0C23B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1.4时间系统的日期应采用公元纪年,时间应采用北京时间。</w:t>
            </w:r>
          </w:p>
          <w:p w14:paraId="464A4ED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1.5采集的数据应统一命名存储,及时检查完整性、可用性。</w:t>
            </w:r>
          </w:p>
          <w:p w14:paraId="3570202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1.6采集前需制定文物采集规范及文物安全保护措施，获得馆方同意后方可实施，采集过程中需严格遵守所制定的采集规范，确保文物本体及文物数据安全。</w:t>
            </w:r>
          </w:p>
          <w:p w14:paraId="4F97150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2.控制测量</w:t>
            </w:r>
          </w:p>
          <w:p w14:paraId="5841554E">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2.1控制点布设要求如下</w:t>
            </w:r>
            <w:r>
              <w:rPr>
                <w:rFonts w:hint="eastAsia" w:ascii="宋体" w:hAnsi="宋体" w:eastAsia="宋体" w:cs="宋体"/>
                <w:bCs/>
                <w:color w:val="auto"/>
                <w:szCs w:val="21"/>
                <w:highlight w:val="none"/>
                <w:lang w:eastAsia="zh-CN"/>
              </w:rPr>
              <w:t>：</w:t>
            </w:r>
          </w:p>
          <w:p w14:paraId="4F7A507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a)控制点采用文物表面特征点时应便于识别,采用人工标志点时应布设于文物之外；</w:t>
            </w:r>
          </w:p>
          <w:p w14:paraId="5F3E3D3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b)控制点的数量应不少于8个,以便构成覆盖文物的控制网,满足数字化精度指标的控制要求；</w:t>
            </w:r>
          </w:p>
          <w:p w14:paraId="16D7FCF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c)控制点应均匀分布,在文物形态变化大的部位可增加控制点。</w:t>
            </w:r>
          </w:p>
          <w:p w14:paraId="4B88B058">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2.2控制点测量要求如下</w:t>
            </w:r>
            <w:r>
              <w:rPr>
                <w:rFonts w:hint="eastAsia" w:ascii="宋体" w:hAnsi="宋体" w:eastAsia="宋体" w:cs="宋体"/>
                <w:bCs/>
                <w:color w:val="auto"/>
                <w:szCs w:val="21"/>
                <w:highlight w:val="none"/>
                <w:lang w:eastAsia="zh-CN"/>
              </w:rPr>
              <w:t>：</w:t>
            </w:r>
          </w:p>
          <w:p w14:paraId="72F2CB2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a)测量仪器的精度应不低于技术指标；</w:t>
            </w:r>
          </w:p>
          <w:p w14:paraId="75CB8AE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b)测量仪器单点测量时,每个控制点测量应不少于2次,取平均值为测量值；</w:t>
            </w:r>
          </w:p>
          <w:p w14:paraId="272F529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c)三维扫描测量时,每个控制点扫描应不少于2次,取拟合值的平均值为测量值。</w:t>
            </w:r>
          </w:p>
          <w:p w14:paraId="26A532D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2.3控制测量结果数据应满足控制点的中误差值小于技术指标精度值,且误差最大值小于2倍中误差。</w:t>
            </w:r>
          </w:p>
          <w:p w14:paraId="47352E1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3.三维扫描数据采集</w:t>
            </w:r>
          </w:p>
          <w:p w14:paraId="57722DF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3.1三维扫描设备应根据文物特点和采集技术指标选择,应具有校准精度和拼接精度输出功能，采集精度≤0.01mm；</w:t>
            </w:r>
          </w:p>
          <w:p w14:paraId="2937698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3.2三维扫描作业参照</w:t>
            </w:r>
            <w:r>
              <w:rPr>
                <w:rFonts w:hint="eastAsia" w:ascii="宋体" w:hAnsi="宋体" w:eastAsia="宋体" w:cs="宋体"/>
                <w:color w:val="auto"/>
                <w:highlight w:val="none"/>
              </w:rPr>
              <w:t>CH/Z 3017-2015</w:t>
            </w:r>
            <w:r>
              <w:rPr>
                <w:rFonts w:hint="eastAsia" w:ascii="宋体" w:hAnsi="宋体" w:eastAsia="宋体" w:cs="宋体"/>
                <w:bCs/>
                <w:color w:val="auto"/>
                <w:szCs w:val="21"/>
                <w:highlight w:val="none"/>
              </w:rPr>
              <w:t>开展,应参照填写采集现场记录,且操作符合以下要求：</w:t>
            </w:r>
          </w:p>
          <w:p w14:paraId="77D15D0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a)扫描仪的指向与文物被扫描表面切线夹角宜为90度,不应小于60度；</w:t>
            </w:r>
          </w:p>
          <w:p w14:paraId="78E9F05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b)采集过程中扫描仪应与文物保持相同的距离范围；</w:t>
            </w:r>
          </w:p>
          <w:p w14:paraId="1FFB330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c)随文物表面曲率增大应增加点云密度；</w:t>
            </w:r>
          </w:p>
          <w:p w14:paraId="5136922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d)分块扫描时,按照分块数最少、相邻块彼此平行、相邻块之间有效点云的重叠度大于30%的原则设计分块；</w:t>
            </w:r>
          </w:p>
          <w:p w14:paraId="48C3FC0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e)扫描需要标靶点时,控制点可作为标靶点使用；</w:t>
            </w:r>
          </w:p>
          <w:p w14:paraId="4F493E4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f)在文物旁放置模型标准器并随文物一起扫描，三维数据带实质尺寸数据；</w:t>
            </w:r>
          </w:p>
          <w:p w14:paraId="41C0ABC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g)点云数据噪音点控制＜5%；</w:t>
            </w:r>
          </w:p>
          <w:p w14:paraId="42875B8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h)拼合后物体的形态误差≤0.05mm；</w:t>
            </w:r>
          </w:p>
          <w:p w14:paraId="7EDE943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i)石刻文物表面不可粘贴标志点，需采用特征拼接方式采集；</w:t>
            </w:r>
          </w:p>
          <w:p w14:paraId="39438AF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j)扫描面对物体外表面覆盖率≥95%，复杂装配体、有遮挡、高透光、深孔内腔的藏品除外。</w:t>
            </w:r>
          </w:p>
          <w:p w14:paraId="03C3D928">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3.3每件文物现场扫描完成后,应立即进行以下检查,应参照进行记录,有不合格项时按相应要求重扫或补扫</w:t>
            </w:r>
            <w:r>
              <w:rPr>
                <w:rFonts w:hint="eastAsia" w:ascii="宋体" w:hAnsi="宋体" w:eastAsia="宋体" w:cs="宋体"/>
                <w:bCs/>
                <w:color w:val="auto"/>
                <w:szCs w:val="21"/>
                <w:highlight w:val="none"/>
                <w:lang w:eastAsia="zh-CN"/>
              </w:rPr>
              <w:t>：</w:t>
            </w:r>
          </w:p>
          <w:p w14:paraId="6AD39D8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a)分块重叠度符合</w:t>
            </w:r>
            <w:bookmarkStart w:id="14" w:name="OLE_LINK13"/>
            <w:r>
              <w:rPr>
                <w:rFonts w:hint="eastAsia" w:ascii="宋体" w:hAnsi="宋体" w:eastAsia="宋体" w:cs="宋体"/>
                <w:bCs/>
                <w:color w:val="auto"/>
                <w:szCs w:val="21"/>
                <w:highlight w:val="none"/>
              </w:rPr>
              <w:t>三维扫描作业</w:t>
            </w:r>
            <w:bookmarkEnd w:id="14"/>
            <w:r>
              <w:rPr>
                <w:rFonts w:hint="eastAsia" w:ascii="宋体" w:hAnsi="宋体" w:eastAsia="宋体" w:cs="宋体"/>
                <w:bCs/>
                <w:color w:val="auto"/>
                <w:szCs w:val="21"/>
                <w:highlight w:val="none"/>
              </w:rPr>
              <w:t>要求；</w:t>
            </w:r>
          </w:p>
          <w:p w14:paraId="3EA8C5A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b)网格模型完整度符合三维扫描作业要求；</w:t>
            </w:r>
          </w:p>
          <w:p w14:paraId="6FBE362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c)平均点间距和最大点间距符合三维扫描作业要求；</w:t>
            </w:r>
          </w:p>
          <w:p w14:paraId="442DF97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d)原始点云体外无噪点、无悬浮杂点，拼接无分层、无错位；</w:t>
            </w:r>
          </w:p>
          <w:p w14:paraId="37A9FCB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e)点云文件坐标轴中心，应保证在石刻文物中心；</w:t>
            </w:r>
          </w:p>
          <w:p w14:paraId="347FEEB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f)点云及模型输出文件支持xyz、3ds、wrl、asc、stl、ply、obj等格式</w:t>
            </w:r>
            <w:bookmarkStart w:id="15" w:name="OLE_LINK18"/>
            <w:r>
              <w:rPr>
                <w:rFonts w:hint="eastAsia" w:ascii="宋体" w:hAnsi="宋体" w:eastAsia="宋体" w:cs="宋体"/>
                <w:bCs/>
                <w:color w:val="auto"/>
                <w:szCs w:val="21"/>
                <w:highlight w:val="none"/>
              </w:rPr>
              <w:t>，</w:t>
            </w:r>
            <w:bookmarkStart w:id="16" w:name="OLE_LINK15"/>
            <w:r>
              <w:rPr>
                <w:rFonts w:hint="eastAsia" w:ascii="宋体" w:hAnsi="宋体" w:eastAsia="宋体" w:cs="宋体"/>
                <w:bCs/>
                <w:color w:val="auto"/>
                <w:szCs w:val="21"/>
                <w:highlight w:val="none"/>
              </w:rPr>
              <w:t>按流程要求，选择合适的输出格式</w:t>
            </w:r>
            <w:bookmarkEnd w:id="15"/>
            <w:bookmarkEnd w:id="16"/>
            <w:r>
              <w:rPr>
                <w:rFonts w:hint="eastAsia" w:ascii="宋体" w:hAnsi="宋体" w:eastAsia="宋体" w:cs="宋体"/>
                <w:bCs/>
                <w:color w:val="auto"/>
                <w:szCs w:val="21"/>
                <w:highlight w:val="none"/>
              </w:rPr>
              <w:t>。</w:t>
            </w:r>
          </w:p>
          <w:p w14:paraId="0BA517D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g)扫描仪输出的校准记录、单站扫描记录和拼接记录数据无异常。</w:t>
            </w:r>
          </w:p>
          <w:p w14:paraId="4C8A919A">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3.4三维扫描采集的点云数据应使用扫描仪配套软件或通用软件,按以下要求进行基本处理</w:t>
            </w:r>
            <w:r>
              <w:rPr>
                <w:rFonts w:hint="eastAsia" w:ascii="宋体" w:hAnsi="宋体" w:eastAsia="宋体" w:cs="宋体"/>
                <w:bCs/>
                <w:color w:val="auto"/>
                <w:szCs w:val="21"/>
                <w:highlight w:val="none"/>
                <w:lang w:eastAsia="zh-CN"/>
              </w:rPr>
              <w:t>：</w:t>
            </w:r>
          </w:p>
          <w:p w14:paraId="15626CB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a)应删除多余点,只保留采集对象的点云数据；</w:t>
            </w:r>
          </w:p>
          <w:p w14:paraId="45E7515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b)应对数据进行降噪,并过滤、剔除异常点,应参照进行记录；</w:t>
            </w:r>
          </w:p>
          <w:p w14:paraId="5E638D0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c)应采用标靶点、控制点、点云相结合的方式进行分块点云拼接配准,配准后的点云尺寸精度符合精度要求；</w:t>
            </w:r>
          </w:p>
          <w:p w14:paraId="65829F2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d)应按曲率采样方式进行点云抽稀,抽稀后的点间距符合精度要求。</w:t>
            </w:r>
          </w:p>
          <w:p w14:paraId="36185AE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3.5经过基本处理后的点云应采用三角网封装,生成网格模型。</w:t>
            </w:r>
          </w:p>
          <w:p w14:paraId="7360E6D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4.摄影测量数据采集</w:t>
            </w:r>
          </w:p>
          <w:p w14:paraId="423B3F14">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4.1照片拍摄的光环境应符合以下要求</w:t>
            </w:r>
            <w:r>
              <w:rPr>
                <w:rFonts w:hint="eastAsia" w:ascii="宋体" w:hAnsi="宋体" w:eastAsia="宋体" w:cs="宋体"/>
                <w:bCs/>
                <w:color w:val="auto"/>
                <w:szCs w:val="21"/>
                <w:highlight w:val="none"/>
                <w:lang w:eastAsia="zh-CN"/>
              </w:rPr>
              <w:t>：</w:t>
            </w:r>
          </w:p>
          <w:p w14:paraId="3F584EA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a)遮蔽干扰光源；</w:t>
            </w:r>
          </w:p>
          <w:p w14:paraId="205B3A6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b)按文物纹理特点布设光源,通过调整光源类型、位置、角度、亮度等,减少影像中阴影、反光、光晕等现象；</w:t>
            </w:r>
          </w:p>
          <w:p w14:paraId="4D9BA72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c)灯光及设备辐射应严格控制在相关藏品保护范围内，符合《博物馆照明设计规范》（GB/T 23863-2024）的要求；</w:t>
            </w:r>
          </w:p>
          <w:p w14:paraId="579BB8E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d)使用LED连续冷光源，灯箱配置柔光布，色温5600K±300K。</w:t>
            </w:r>
          </w:p>
          <w:p w14:paraId="5BD51790">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4.2拍摄前数码相机参数设置符合以下要求</w:t>
            </w:r>
            <w:r>
              <w:rPr>
                <w:rFonts w:hint="eastAsia" w:ascii="宋体" w:hAnsi="宋体" w:eastAsia="宋体" w:cs="宋体"/>
                <w:bCs/>
                <w:color w:val="auto"/>
                <w:szCs w:val="21"/>
                <w:highlight w:val="none"/>
                <w:lang w:eastAsia="zh-CN"/>
              </w:rPr>
              <w:t>：</w:t>
            </w:r>
          </w:p>
          <w:p w14:paraId="412F749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a)RAW文件和JPEG格式应同时存储；</w:t>
            </w:r>
          </w:p>
          <w:p w14:paraId="28B32DD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b)画质应为最高等级；</w:t>
            </w:r>
          </w:p>
          <w:p w14:paraId="7B7BFDE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c)感光度(ISO)应不大于100；</w:t>
            </w:r>
          </w:p>
          <w:p w14:paraId="6909EEE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d)色域应选择最大范围；</w:t>
            </w:r>
          </w:p>
          <w:p w14:paraId="3B58938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e)白平衡应与拍摄光环境适应。</w:t>
            </w:r>
          </w:p>
          <w:p w14:paraId="776860B0">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4.3标准色卡照片的拍摄符合以下要求</w:t>
            </w:r>
            <w:r>
              <w:rPr>
                <w:rFonts w:hint="eastAsia" w:ascii="宋体" w:hAnsi="宋体" w:eastAsia="宋体" w:cs="宋体"/>
                <w:bCs/>
                <w:color w:val="auto"/>
                <w:szCs w:val="21"/>
                <w:highlight w:val="none"/>
                <w:lang w:eastAsia="zh-CN"/>
              </w:rPr>
              <w:t>：</w:t>
            </w:r>
          </w:p>
          <w:p w14:paraId="7BF5D96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a)色卡照片应同时包含色卡和文物,画面清晰且其中色卡在画幅中占比大于50%；</w:t>
            </w:r>
          </w:p>
          <w:p w14:paraId="19AC1D8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b)色卡应放置于文物前方,色卡平面应与数码相机的焦平面平行；</w:t>
            </w:r>
          </w:p>
          <w:p w14:paraId="1C038ED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c)当文物尺寸大于0.5m时,应在纵横方向按0.5m分区拍摄色卡照片；</w:t>
            </w:r>
          </w:p>
          <w:p w14:paraId="1632A3F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d)拍摄色卡照片后进行色差评估。</w:t>
            </w:r>
          </w:p>
          <w:p w14:paraId="7F01BAB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4.4摄影测量照片拍摄按照</w:t>
            </w:r>
            <w:r>
              <w:rPr>
                <w:rFonts w:hint="eastAsia" w:ascii="宋体" w:hAnsi="宋体" w:eastAsia="宋体" w:cs="宋体"/>
                <w:color w:val="auto"/>
                <w:highlight w:val="none"/>
              </w:rPr>
              <w:t>GB/T12979-2024</w:t>
            </w:r>
            <w:r>
              <w:rPr>
                <w:rFonts w:hint="eastAsia" w:ascii="宋体" w:hAnsi="宋体" w:eastAsia="宋体" w:cs="宋体"/>
                <w:bCs/>
                <w:color w:val="auto"/>
                <w:szCs w:val="21"/>
                <w:highlight w:val="none"/>
              </w:rPr>
              <w:t>中第5章的要求执行,应参照记录采集现场情况,且拍摄应符合以下要求</w:t>
            </w:r>
            <w:r>
              <w:rPr>
                <w:rFonts w:hint="eastAsia" w:ascii="宋体" w:hAnsi="宋体" w:eastAsia="宋体" w:cs="宋体"/>
                <w:bCs/>
                <w:color w:val="auto"/>
                <w:szCs w:val="21"/>
                <w:highlight w:val="none"/>
                <w:lang w:eastAsia="zh-CN"/>
              </w:rPr>
              <w:t>：</w:t>
            </w:r>
          </w:p>
          <w:p w14:paraId="7E1C5D6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a)照片分辨率高于贴图分辨率的要求；</w:t>
            </w:r>
          </w:p>
          <w:p w14:paraId="338E54E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b)拍摄过程中保持相同的焦距,使用非定焦镜头时采取焦距固定措施；</w:t>
            </w:r>
          </w:p>
          <w:p w14:paraId="297E4D5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c)文物在照片中的画面占比大于70%；</w:t>
            </w:r>
          </w:p>
          <w:p w14:paraId="5FDADC3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d)航向重叠度大于80%,旁向重叠度大于60%；</w:t>
            </w:r>
          </w:p>
          <w:p w14:paraId="1BCF3F1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e)文物上同一特征点的相邻照片数不少于3张；</w:t>
            </w:r>
          </w:p>
          <w:p w14:paraId="07A32A5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f)在文物旁放置模型标准器并随文物一起拍摄。</w:t>
            </w:r>
          </w:p>
          <w:p w14:paraId="30839202">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4.5每件文物拍摄完成后,应立即进行以下检查,应参照进行记录,有不合格项时按相应要求重拍或补拍</w:t>
            </w:r>
            <w:r>
              <w:rPr>
                <w:rFonts w:hint="eastAsia" w:ascii="宋体" w:hAnsi="宋体" w:eastAsia="宋体" w:cs="宋体"/>
                <w:bCs/>
                <w:color w:val="auto"/>
                <w:szCs w:val="21"/>
                <w:highlight w:val="none"/>
                <w:lang w:eastAsia="zh-CN"/>
              </w:rPr>
              <w:t>：</w:t>
            </w:r>
          </w:p>
          <w:p w14:paraId="0AD255D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a)纹理文件标准格式支持JPG、TIF、RAW等</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按流程要求，选择合适的输出格式；</w:t>
            </w:r>
          </w:p>
          <w:p w14:paraId="5C2BB55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b)采集纹理影像像素≥5000万；</w:t>
            </w:r>
          </w:p>
          <w:p w14:paraId="5C8A22F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c)纹理分辨率≥4096×4096；</w:t>
            </w:r>
          </w:p>
          <w:p w14:paraId="73BB51A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d)感光度符合</w:t>
            </w:r>
            <w:bookmarkStart w:id="17" w:name="OLE_LINK16"/>
            <w:r>
              <w:rPr>
                <w:rFonts w:hint="eastAsia" w:ascii="宋体" w:hAnsi="宋体" w:eastAsia="宋体" w:cs="宋体"/>
                <w:bCs/>
                <w:color w:val="auto"/>
                <w:szCs w:val="21"/>
                <w:highlight w:val="none"/>
              </w:rPr>
              <w:t>摄影测量数据采集</w:t>
            </w:r>
            <w:bookmarkEnd w:id="17"/>
            <w:r>
              <w:rPr>
                <w:rFonts w:hint="eastAsia" w:ascii="宋体" w:hAnsi="宋体" w:eastAsia="宋体" w:cs="宋体"/>
                <w:bCs/>
                <w:color w:val="auto"/>
                <w:szCs w:val="21"/>
                <w:highlight w:val="none"/>
              </w:rPr>
              <w:t>要求；</w:t>
            </w:r>
          </w:p>
          <w:p w14:paraId="7C83C2B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e)保存有色卡照片,且照片符合摄影测量数据采集要求；</w:t>
            </w:r>
          </w:p>
          <w:p w14:paraId="58CA2E0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f)颜色管理符合摄影测量数据采集要求；</w:t>
            </w:r>
          </w:p>
          <w:p w14:paraId="71AD270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g)照片分辨率符合摄影测量数据采集要求；</w:t>
            </w:r>
          </w:p>
          <w:p w14:paraId="71003C7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h)航向重叠度、旁向重叠度符合摄影测量数据采集要求；</w:t>
            </w:r>
          </w:p>
          <w:p w14:paraId="409299B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i)文物上同一特征点的相邻照片数符合摄影测量数据采集要求,且拍摄的照片满足三维重建后网格模型完整度要求；</w:t>
            </w:r>
          </w:p>
          <w:p w14:paraId="4D95009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j)图像清晰、曝光均匀；</w:t>
            </w:r>
          </w:p>
          <w:p w14:paraId="3ADC5D9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k)文物在画面中的占比符合摄影测量数据采集要求；</w:t>
            </w:r>
          </w:p>
          <w:p w14:paraId="64D2503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l)焦距整体一致或成组一致。</w:t>
            </w:r>
          </w:p>
          <w:p w14:paraId="1AC4A162">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4.6摄影测量照片应按以下要求进行颜色还原</w:t>
            </w:r>
            <w:r>
              <w:rPr>
                <w:rFonts w:hint="eastAsia" w:ascii="宋体" w:hAnsi="宋体" w:eastAsia="宋体" w:cs="宋体"/>
                <w:bCs/>
                <w:color w:val="auto"/>
                <w:szCs w:val="21"/>
                <w:highlight w:val="none"/>
                <w:lang w:eastAsia="zh-CN"/>
              </w:rPr>
              <w:t>：</w:t>
            </w:r>
          </w:p>
          <w:p w14:paraId="4EEA9A8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a)相机、显示器及照片处理软件的颜色空间设置应一致；</w:t>
            </w:r>
          </w:p>
          <w:p w14:paraId="030F937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b)剔除不清晰的照片；</w:t>
            </w:r>
          </w:p>
          <w:p w14:paraId="00BAC69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c)解析各区域标准色卡照片,生成对应的颜色特性文件(ICC文件),还原文物照片颜色；</w:t>
            </w:r>
          </w:p>
          <w:p w14:paraId="0F5937C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d)色彩还原为标准色温自然光照条件下物体表面色彩；</w:t>
            </w:r>
          </w:p>
          <w:p w14:paraId="12DAA8DD">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4.7空中三角测量计算按以下要求进行</w:t>
            </w:r>
            <w:r>
              <w:rPr>
                <w:rFonts w:hint="eastAsia" w:ascii="宋体" w:hAnsi="宋体" w:eastAsia="宋体" w:cs="宋体"/>
                <w:bCs/>
                <w:color w:val="auto"/>
                <w:szCs w:val="21"/>
                <w:highlight w:val="none"/>
                <w:lang w:eastAsia="zh-CN"/>
              </w:rPr>
              <w:t>：</w:t>
            </w:r>
          </w:p>
          <w:p w14:paraId="35E1F1E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a)应采用控制测量数据进行控制；</w:t>
            </w:r>
          </w:p>
          <w:p w14:paraId="35B5882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b)应使用已配准的三维扫描点云辅助三维重建；</w:t>
            </w:r>
          </w:p>
          <w:p w14:paraId="1B95D1D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c)应检查计算输出的精度和分辨率等指标,符合摄影测量数据采集要求方可进行纹理模型生成。</w:t>
            </w:r>
          </w:p>
          <w:p w14:paraId="089845A2">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4.8纹理模型生成应按以下要求进行</w:t>
            </w:r>
            <w:r>
              <w:rPr>
                <w:rFonts w:hint="eastAsia" w:ascii="宋体" w:hAnsi="宋体" w:eastAsia="宋体" w:cs="宋体"/>
                <w:bCs/>
                <w:color w:val="auto"/>
                <w:szCs w:val="21"/>
                <w:highlight w:val="none"/>
                <w:lang w:eastAsia="zh-CN"/>
              </w:rPr>
              <w:t>：</w:t>
            </w:r>
          </w:p>
          <w:p w14:paraId="0238093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a)根据设备条件,按分块数最少的原则分块；</w:t>
            </w:r>
          </w:p>
          <w:p w14:paraId="50E3D70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b)相邻分块之间无重叠；</w:t>
            </w:r>
          </w:p>
          <w:p w14:paraId="3E22A94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c)对网格模型微小孔洞自动补洞；</w:t>
            </w:r>
          </w:p>
          <w:p w14:paraId="7527799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d)单张纹理贴图≥8192×8192像素；</w:t>
            </w:r>
          </w:p>
          <w:p w14:paraId="5FDB8A2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e)对纹理贴图自动匀色。</w:t>
            </w:r>
          </w:p>
          <w:p w14:paraId="5CF6427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5.采集成果质量检查</w:t>
            </w:r>
          </w:p>
          <w:p w14:paraId="516549D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5.1采集成果主要技术指标参照进行质量检查，并参照填写检查记录表。</w:t>
            </w:r>
          </w:p>
          <w:p w14:paraId="7CB59E4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5.2采集成果主要技术指标质量检查中有不合格项时，应查找原因并修改。</w:t>
            </w:r>
          </w:p>
          <w:p w14:paraId="4CF60BC8">
            <w:pPr>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四、三维数据加工要求</w:t>
            </w:r>
          </w:p>
          <w:p w14:paraId="2614446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1.基本要求</w:t>
            </w:r>
          </w:p>
          <w:p w14:paraId="5D9F9A1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1.1加工的技术指标应符合《可移动文物三维数字化采集与加工》要求。</w:t>
            </w:r>
          </w:p>
          <w:p w14:paraId="3F91E6D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1.2用于长期保存的模型数据应加工为存档数据,为后续应用提供数据基础。</w:t>
            </w:r>
          </w:p>
          <w:p w14:paraId="6453DF9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1.3用于文物修复、研究、展示、传播等的模型数据应加工为应用数据,可根据项目要求在存档数据基础上选择加工。</w:t>
            </w:r>
          </w:p>
          <w:p w14:paraId="465893E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1.4加工不应改变数据的空间参考系、时间系统。</w:t>
            </w:r>
          </w:p>
          <w:p w14:paraId="61A6978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1.5数据应统一命名存储,及时检查完整性、可用性；</w:t>
            </w:r>
          </w:p>
          <w:p w14:paraId="08A94BF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1.6三维模型格式支持OBJ、PLY、MAX等，按流程要求，选择合适的输出格式；</w:t>
            </w:r>
          </w:p>
          <w:p w14:paraId="66AD2A9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1.7三维模型按文物拆分构造单独建模；</w:t>
            </w:r>
          </w:p>
          <w:p w14:paraId="23E55C6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1.8三维网络模型封装无重叠面、无交叉面、无网格锐角；</w:t>
            </w:r>
          </w:p>
          <w:p w14:paraId="56B209C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1.9模型纹理贴图格式根据实际纹理贴图类型需要输出（过程文件及JPG、TGA、PNG、TIF等格式的成果文件）</w:t>
            </w:r>
          </w:p>
          <w:p w14:paraId="4F50C1A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1.10模型单张纹理贴图分辨率≥4096×4096；</w:t>
            </w:r>
          </w:p>
          <w:p w14:paraId="6EDF42F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1.11UV展开均匀，切线位置合理、无重叠，摆放充满UV格；</w:t>
            </w:r>
          </w:p>
          <w:p w14:paraId="23A32EB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1.12模型贴图需要有真实的物理属性；</w:t>
            </w:r>
          </w:p>
          <w:p w14:paraId="3301350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1.13贴图边缘融合自然、无接缝。</w:t>
            </w:r>
          </w:p>
          <w:p w14:paraId="3B05E03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2.存档数据加工</w:t>
            </w:r>
          </w:p>
          <w:p w14:paraId="7ED7BC8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2.1三维扫描数据加工</w:t>
            </w:r>
          </w:p>
          <w:p w14:paraId="0308ABD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2.1.1应结合点云数据对采集生成的网格模型进行加工,加工后的网格模型符合存档数据的要求。</w:t>
            </w:r>
          </w:p>
          <w:p w14:paraId="2CAE2629">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2.1.2加工应按以下要求进行</w:t>
            </w:r>
            <w:r>
              <w:rPr>
                <w:rFonts w:hint="eastAsia" w:ascii="宋体" w:hAnsi="宋体" w:eastAsia="宋体" w:cs="宋体"/>
                <w:bCs/>
                <w:color w:val="auto"/>
                <w:szCs w:val="21"/>
                <w:highlight w:val="none"/>
                <w:lang w:eastAsia="zh-CN"/>
              </w:rPr>
              <w:t>：</w:t>
            </w:r>
          </w:p>
          <w:p w14:paraId="0E5B1E0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a)除去与可移动文物无关的多余部分；</w:t>
            </w:r>
          </w:p>
          <w:p w14:paraId="1513FCF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b)消除变形、叠面、交叉面等现象；</w:t>
            </w:r>
          </w:p>
          <w:p w14:paraId="102E2B9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c)在点间距符合要求的范围内,进行三角网减量；</w:t>
            </w:r>
          </w:p>
          <w:p w14:paraId="73C0812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d)在模型精度符合要求的范围内,进行局部或整体平滑处理；</w:t>
            </w:r>
          </w:p>
          <w:p w14:paraId="4C5049F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e)在符合指标要求的情况下,应重复上述步骤使网格模型数据量最小。</w:t>
            </w:r>
          </w:p>
          <w:p w14:paraId="2286D03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2.2摄影测量数据加工</w:t>
            </w:r>
          </w:p>
          <w:p w14:paraId="6D57AAD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2.2.1应结合摄影测量照片对采集生成的纹理模型进行加工,加工后的纹理模型符合存档数据的要求。</w:t>
            </w:r>
          </w:p>
          <w:p w14:paraId="2C73CB33">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2.2.2加工应按以下要求进行</w:t>
            </w:r>
            <w:r>
              <w:rPr>
                <w:rFonts w:hint="eastAsia" w:ascii="宋体" w:hAnsi="宋体" w:eastAsia="宋体" w:cs="宋体"/>
                <w:bCs/>
                <w:color w:val="auto"/>
                <w:szCs w:val="21"/>
                <w:highlight w:val="none"/>
                <w:lang w:eastAsia="zh-CN"/>
              </w:rPr>
              <w:t>：</w:t>
            </w:r>
          </w:p>
          <w:p w14:paraId="4C74E87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a)消除网格模型中的变形、叠面、交叉面、缝隙等现象；</w:t>
            </w:r>
          </w:p>
          <w:p w14:paraId="226668B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b)消除纹理贴图中的模糊、拉伸、接缝、高光等问题；</w:t>
            </w:r>
          </w:p>
          <w:p w14:paraId="6385BF5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c)进行纹理贴图匀色,使纹理颜色均匀统一；</w:t>
            </w:r>
          </w:p>
          <w:p w14:paraId="62AECF3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d)在符合指标要求的情况下,应优化网格模型、纹理贴图,使数据量最小化。</w:t>
            </w:r>
          </w:p>
          <w:p w14:paraId="754C59C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2.3三维扫描与摄影测量三维重建结合的数据加工</w:t>
            </w:r>
          </w:p>
          <w:p w14:paraId="7B50687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2.3.1三维扫描与摄影测量三维重建结合的数据加工应在三维扫描数据加工、摄影测量数据加工、UV分块和展开的基础上,将三维重建纹理贴图烘焙到三维扫描网格模型上。</w:t>
            </w:r>
          </w:p>
          <w:p w14:paraId="6D4018B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2.3.2应按要求对三维扫描数据进行加工。</w:t>
            </w:r>
          </w:p>
          <w:p w14:paraId="7C6BC2F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2.3.3应按要求对摄影测量数据进行加工。</w:t>
            </w:r>
          </w:p>
          <w:p w14:paraId="1315894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2.3.4应按以下要求对三维扫描的网格模型进行UV分块和展开</w:t>
            </w:r>
            <w:r>
              <w:rPr>
                <w:rFonts w:hint="eastAsia" w:ascii="宋体" w:hAnsi="宋体" w:eastAsia="宋体" w:cs="宋体"/>
                <w:bCs/>
                <w:color w:val="auto"/>
                <w:szCs w:val="21"/>
                <w:highlight w:val="none"/>
                <w:lang w:eastAsia="zh-CN"/>
              </w:rPr>
              <w:t>：</w:t>
            </w:r>
          </w:p>
          <w:p w14:paraId="1C37705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a)UV分块的边界在文物模型的隐蔽、平滑处,且不破坏文物主体纹饰；</w:t>
            </w:r>
          </w:p>
          <w:p w14:paraId="4FC7E32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b)对UV展开的结果采用棋盘格法进行形变校验,UV分块分布均匀、充满画幅、无拉伸。出现形变区域较大或局部变形较明显时,对UV分块调整后,再进行UV展开。</w:t>
            </w:r>
          </w:p>
          <w:p w14:paraId="11A9AFE1">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2.3.5应按以下要求进行纹理贴图烘焙</w:t>
            </w:r>
            <w:r>
              <w:rPr>
                <w:rFonts w:hint="eastAsia" w:ascii="宋体" w:hAnsi="宋体" w:eastAsia="宋体" w:cs="宋体"/>
                <w:bCs/>
                <w:color w:val="auto"/>
                <w:szCs w:val="21"/>
                <w:highlight w:val="none"/>
                <w:lang w:eastAsia="zh-CN"/>
              </w:rPr>
              <w:t>：</w:t>
            </w:r>
          </w:p>
          <w:p w14:paraId="4C51F51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a)摄影测量网格模型与三维扫描网格模型之间的误差与摄影测量生成纹理贴图时产生的误差之和,不大于对存档数据要求的纹理贴图映射的位置误差；</w:t>
            </w:r>
          </w:p>
          <w:p w14:paraId="26EE53D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b)使用的烘焙软件具有烘焙结果缺陷提示功能,能完整、准确地将摄影测量三维重建纹理模型的纹理贴图烘焙至三维扫描网络模型上。</w:t>
            </w:r>
          </w:p>
          <w:p w14:paraId="17277BC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2.3.6纹理贴图烘焙完成后应进行纹理贴图检查,重点检查网格模型曲率大的部位。如出现问题,及时查找原因并解决。</w:t>
            </w:r>
          </w:p>
          <w:p w14:paraId="55E24B2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3.应用数据加工</w:t>
            </w:r>
          </w:p>
          <w:p w14:paraId="19CE8D3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3.1高网格面纹理模型加工</w:t>
            </w:r>
          </w:p>
          <w:p w14:paraId="16D9F783">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3.1.1网格模型应由存档网格模型抽稀50%生成,当生成后的网格面数大于1000万面时,应降低抽稀比例,由存档网格模型重新抽稀至不大于1000万面</w:t>
            </w:r>
            <w:r>
              <w:rPr>
                <w:rFonts w:hint="eastAsia" w:ascii="宋体" w:hAnsi="宋体" w:eastAsia="宋体" w:cs="宋体"/>
                <w:bCs/>
                <w:color w:val="auto"/>
                <w:szCs w:val="21"/>
                <w:highlight w:val="none"/>
                <w:lang w:eastAsia="zh-CN"/>
              </w:rPr>
              <w:t>。</w:t>
            </w:r>
          </w:p>
          <w:p w14:paraId="384B422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3.1.2应消除网格模型中的变形、叠面、交叉面、缝隙等现象。</w:t>
            </w:r>
          </w:p>
          <w:p w14:paraId="5126698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3.1.3应修补网格模型的孔洞,使模型完整度达到100%。</w:t>
            </w:r>
          </w:p>
          <w:p w14:paraId="3473985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3.1.4纹理贴图由存档纹理模型的纹理贴图缩减50%生成,并修补孔洞部分的纹理贴图。</w:t>
            </w:r>
          </w:p>
          <w:p w14:paraId="6EE0722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3.1.5网格模型和纹理贴图的修补情况,应在加工记录表中进行记录。</w:t>
            </w:r>
          </w:p>
          <w:p w14:paraId="0A22E5C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3.2低网格面纹理模型加工</w:t>
            </w:r>
          </w:p>
          <w:p w14:paraId="50ECF9E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3.2.1网格模型应由存档网格模型抽稀简化或拓扑制作而成,网格面数不宜大于30万面。</w:t>
            </w:r>
          </w:p>
          <w:p w14:paraId="4CB4D1F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3.2.2网格模型的网格面分布密度应与网格模型曲率大小成正比,网格模型与存档纹理模型的贴合距离最大值应不大于2mm。</w:t>
            </w:r>
          </w:p>
          <w:p w14:paraId="35A12C3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3.2.3应消除网格模型中的变形、叠面、交叉面、缝隙等现象。</w:t>
            </w:r>
          </w:p>
          <w:p w14:paraId="43F487B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3.2.4应修补网格模型的孔洞,使模型完整度达到100%。</w:t>
            </w:r>
          </w:p>
          <w:p w14:paraId="0E6B91A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3.2.5应使用单张贴图,单张纹理贴图应不低于4096×4096像素。</w:t>
            </w:r>
          </w:p>
          <w:p w14:paraId="0FE28AB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3.2.6 UV分块的边界应在文物模型的隐蔽、平滑处,UV分块分布均匀、充满画幅、无拉伸。</w:t>
            </w:r>
          </w:p>
          <w:p w14:paraId="2704E09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3.2.7纹理贴图应由存档纹理模型的纹理贴图烘焙制作而成,并修补缺失部分的纹理贴图。</w:t>
            </w:r>
          </w:p>
          <w:p w14:paraId="24572B7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3.2.8应有法线贴图,法线贴图的法线方向和表现的凹凸程度应与文物形态一致。</w:t>
            </w:r>
          </w:p>
          <w:p w14:paraId="76E62CE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3.2.9网格模型和纹理贴图的修补情况,应在加工记录表中进行记录。</w:t>
            </w:r>
          </w:p>
          <w:p w14:paraId="7E0C6CC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4.加工成果质量检查</w:t>
            </w:r>
          </w:p>
          <w:p w14:paraId="66FC7C4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4.1加工成果主要技术指标应参照进行质量检查,并参照填写检查记录表。</w:t>
            </w:r>
          </w:p>
          <w:p w14:paraId="03D3872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4.2加工成果主要技术指标质量检查中有不合格项时,应查找原因并修改。</w:t>
            </w:r>
          </w:p>
          <w:p w14:paraId="22542BD6">
            <w:pPr>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五、成果制作要求</w:t>
            </w:r>
          </w:p>
          <w:p w14:paraId="1B9E833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根据数据使用场景，制作4套数据成果。模型面数根据文物实际情况有所调整。</w:t>
            </w:r>
          </w:p>
          <w:p w14:paraId="1F32BD88">
            <w:pPr>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bookmarkStart w:id="18" w:name="OLE_LINK10"/>
            <w:r>
              <w:rPr>
                <w:rFonts w:hint="eastAsia" w:ascii="宋体" w:hAnsi="宋体" w:eastAsia="宋体" w:cs="宋体"/>
                <w:b/>
                <w:color w:val="auto"/>
                <w:szCs w:val="21"/>
                <w:highlight w:val="none"/>
              </w:rPr>
              <w:t>存档数据成果</w:t>
            </w:r>
            <w:bookmarkEnd w:id="18"/>
          </w:p>
          <w:p w14:paraId="0B5503A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1.1存档数据成果可用于模型数据的长期保存、为后续应用提供数据基础。</w:t>
            </w:r>
          </w:p>
          <w:p w14:paraId="65B45AE1">
            <w:pPr>
              <w:wordWrap w:val="0"/>
              <w:spacing w:line="288" w:lineRule="auto"/>
              <w:rPr>
                <w:rFonts w:hint="eastAsia" w:ascii="宋体" w:hAnsi="宋体" w:eastAsia="宋体" w:cs="宋体"/>
                <w:b/>
                <w:bCs/>
                <w:color w:val="auto"/>
                <w:szCs w:val="21"/>
                <w:highlight w:val="none"/>
              </w:rPr>
            </w:pPr>
            <w:bookmarkStart w:id="19" w:name="OLE_LINK26"/>
            <w:r>
              <w:rPr>
                <w:rFonts w:hint="eastAsia" w:ascii="宋体" w:hAnsi="宋体" w:eastAsia="宋体" w:cs="宋体"/>
                <w:bCs/>
                <w:color w:val="auto"/>
                <w:szCs w:val="21"/>
                <w:highlight w:val="none"/>
              </w:rPr>
              <w:t>●</w:t>
            </w:r>
            <w:bookmarkEnd w:id="19"/>
            <w:r>
              <w:rPr>
                <w:rFonts w:hint="eastAsia" w:ascii="宋体" w:hAnsi="宋体" w:eastAsia="宋体" w:cs="宋体"/>
                <w:bCs/>
                <w:color w:val="auto"/>
                <w:szCs w:val="21"/>
                <w:highlight w:val="none"/>
              </w:rPr>
              <w:t>1.2网格模型：模型完整度大于等于95%；模型精度≤0.20 mm</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平均点间距≤ 0.20 mm；最大点间距≤0.50 mm。</w:t>
            </w:r>
            <w:bookmarkStart w:id="20" w:name="OLE_LINK20"/>
            <w:bookmarkStart w:id="21" w:name="OLE_LINK17"/>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投标文件中需提供证明材料，证明材料包括但不限于产品官网截图或</w:t>
            </w:r>
            <w:r>
              <w:rPr>
                <w:rFonts w:hint="eastAsia" w:ascii="宋体" w:hAnsi="宋体" w:eastAsia="宋体" w:cs="宋体"/>
                <w:b/>
                <w:bCs/>
                <w:color w:val="auto"/>
                <w:szCs w:val="21"/>
                <w:highlight w:val="none"/>
                <w:lang w:val="en-US" w:eastAsia="zh-CN"/>
              </w:rPr>
              <w:t>产品使用说明书</w:t>
            </w:r>
            <w:r>
              <w:rPr>
                <w:rFonts w:hint="eastAsia" w:ascii="宋体" w:hAnsi="宋体" w:eastAsia="宋体" w:cs="宋体"/>
                <w:b/>
                <w:bCs/>
                <w:color w:val="auto"/>
                <w:szCs w:val="21"/>
                <w:highlight w:val="none"/>
              </w:rPr>
              <w:t>或第三方机构出具的具有CMA标识的检测报告）</w:t>
            </w:r>
            <w:bookmarkEnd w:id="20"/>
          </w:p>
          <w:bookmarkEnd w:id="21"/>
          <w:p w14:paraId="3E2CF5E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1.3贴图制作：多种不同贴图格式如JPG、PNG等。</w:t>
            </w:r>
          </w:p>
          <w:p w14:paraId="0EA3178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1.4贴图数量：合理分配在至少一张贴图以内。</w:t>
            </w:r>
          </w:p>
          <w:p w14:paraId="475FCBF8">
            <w:pPr>
              <w:wordWrap w:val="0"/>
              <w:spacing w:line="288" w:lineRule="auto"/>
              <w:rPr>
                <w:rFonts w:hint="eastAsia" w:ascii="宋体" w:hAnsi="宋体" w:eastAsia="宋体" w:cs="宋体"/>
                <w:bCs/>
                <w:color w:val="auto"/>
                <w:szCs w:val="21"/>
                <w:highlight w:val="none"/>
              </w:rPr>
            </w:pPr>
            <w:bookmarkStart w:id="22" w:name="OLE_LINK22"/>
            <w:r>
              <w:rPr>
                <w:rFonts w:hint="eastAsia" w:ascii="宋体" w:hAnsi="宋体" w:eastAsia="宋体" w:cs="宋体"/>
                <w:bCs/>
                <w:color w:val="auto"/>
                <w:szCs w:val="21"/>
                <w:highlight w:val="none"/>
              </w:rPr>
              <w:t>●</w:t>
            </w:r>
            <w:bookmarkEnd w:id="22"/>
            <w:r>
              <w:rPr>
                <w:rFonts w:hint="eastAsia" w:ascii="宋体" w:hAnsi="宋体" w:eastAsia="宋体" w:cs="宋体"/>
                <w:bCs/>
                <w:color w:val="auto"/>
                <w:szCs w:val="21"/>
                <w:highlight w:val="none"/>
              </w:rPr>
              <w:t>1.5纹理贴图：贴图分辨率大于等于 600 dpi</w:t>
            </w:r>
            <w:r>
              <w:rPr>
                <w:rFonts w:hint="eastAsia" w:ascii="宋体" w:hAnsi="宋体" w:eastAsia="宋体" w:cs="宋体"/>
                <w:bCs/>
                <w:color w:val="auto"/>
                <w:szCs w:val="21"/>
                <w:highlight w:val="none"/>
                <w:lang w:eastAsia="zh-CN"/>
              </w:rPr>
              <w:t>；</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投标文件中需提供证明材料，证明材料包括但不限于产品官网截图或</w:t>
            </w:r>
            <w:r>
              <w:rPr>
                <w:rFonts w:hint="eastAsia" w:ascii="宋体" w:hAnsi="宋体" w:eastAsia="宋体" w:cs="宋体"/>
                <w:b/>
                <w:bCs/>
                <w:color w:val="auto"/>
                <w:szCs w:val="21"/>
                <w:highlight w:val="none"/>
                <w:lang w:val="en-US" w:eastAsia="zh-CN"/>
              </w:rPr>
              <w:t>产品使用说明书</w:t>
            </w:r>
            <w:r>
              <w:rPr>
                <w:rFonts w:hint="eastAsia" w:ascii="宋体" w:hAnsi="宋体" w:eastAsia="宋体" w:cs="宋体"/>
                <w:b/>
                <w:bCs/>
                <w:color w:val="auto"/>
                <w:szCs w:val="21"/>
                <w:highlight w:val="none"/>
              </w:rPr>
              <w:t>或第三方机构出具的具有CMA标识的检测报告）</w:t>
            </w:r>
          </w:p>
          <w:p w14:paraId="231E79B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1.6</w:t>
            </w:r>
            <w:r>
              <w:rPr>
                <w:rFonts w:hint="eastAsia" w:ascii="宋体" w:hAnsi="宋体" w:eastAsia="宋体" w:cs="宋体"/>
                <w:bCs/>
                <w:color w:val="auto"/>
                <w:szCs w:val="21"/>
                <w:highlight w:val="none"/>
              </w:rPr>
              <w:t>CIEDE2000色差平均值小于等于3.5；</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投标文件中需提供证明材料，证明材料包括但不限于产品官网截图或</w:t>
            </w:r>
            <w:r>
              <w:rPr>
                <w:rFonts w:hint="eastAsia" w:ascii="宋体" w:hAnsi="宋体" w:eastAsia="宋体" w:cs="宋体"/>
                <w:b/>
                <w:bCs/>
                <w:color w:val="auto"/>
                <w:szCs w:val="21"/>
                <w:highlight w:val="none"/>
                <w:lang w:val="en-US" w:eastAsia="zh-CN"/>
              </w:rPr>
              <w:t>产品使用说明书</w:t>
            </w:r>
            <w:r>
              <w:rPr>
                <w:rFonts w:hint="eastAsia" w:ascii="宋体" w:hAnsi="宋体" w:eastAsia="宋体" w:cs="宋体"/>
                <w:b/>
                <w:bCs/>
                <w:color w:val="auto"/>
                <w:szCs w:val="21"/>
                <w:highlight w:val="none"/>
              </w:rPr>
              <w:t>或第三方机构出具的具有CMA标识的检测报告）</w:t>
            </w:r>
          </w:p>
          <w:p w14:paraId="201EF749">
            <w:pPr>
              <w:wordWrap w:val="0"/>
              <w:spacing w:line="288" w:lineRule="auto"/>
              <w:rPr>
                <w:rFonts w:hint="eastAsia" w:ascii="宋体" w:hAnsi="宋体" w:eastAsia="宋体" w:cs="宋体"/>
                <w:b/>
                <w:bCs/>
                <w:color w:val="auto"/>
                <w:szCs w:val="21"/>
                <w:highlight w:val="none"/>
              </w:rPr>
            </w:pPr>
            <w:bookmarkStart w:id="23" w:name="OLE_LINK37"/>
            <w:r>
              <w:rPr>
                <w:rFonts w:hint="eastAsia" w:ascii="宋体" w:hAnsi="宋体" w:eastAsia="宋体" w:cs="宋体"/>
                <w:bCs/>
                <w:color w:val="auto"/>
                <w:szCs w:val="21"/>
                <w:highlight w:val="none"/>
              </w:rPr>
              <w:t>●</w:t>
            </w:r>
            <w:bookmarkEnd w:id="23"/>
            <w:r>
              <w:rPr>
                <w:rFonts w:hint="eastAsia" w:ascii="宋体" w:hAnsi="宋体" w:eastAsia="宋体" w:cs="宋体"/>
                <w:bCs/>
                <w:color w:val="auto"/>
                <w:szCs w:val="21"/>
                <w:highlight w:val="none"/>
                <w:lang w:val="en-US" w:eastAsia="zh-CN"/>
              </w:rPr>
              <w:t>1.7</w:t>
            </w:r>
            <w:r>
              <w:rPr>
                <w:rFonts w:hint="eastAsia" w:ascii="宋体" w:hAnsi="宋体" w:eastAsia="宋体" w:cs="宋体"/>
                <w:bCs/>
                <w:color w:val="auto"/>
                <w:szCs w:val="21"/>
                <w:highlight w:val="none"/>
              </w:rPr>
              <w:t>与网格模型映射的位置误差小于等于 0.20 mm。</w:t>
            </w:r>
            <w:bookmarkStart w:id="24" w:name="OLE_LINK24"/>
            <w:bookmarkStart w:id="25" w:name="OLE_LINK6"/>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投标文件中需提供证明材料，证明材料包括但不限于产品官网截图或</w:t>
            </w:r>
            <w:r>
              <w:rPr>
                <w:rFonts w:hint="eastAsia" w:ascii="宋体" w:hAnsi="宋体" w:eastAsia="宋体" w:cs="宋体"/>
                <w:b/>
                <w:bCs/>
                <w:color w:val="auto"/>
                <w:szCs w:val="21"/>
                <w:highlight w:val="none"/>
                <w:lang w:val="en-US" w:eastAsia="zh-CN"/>
              </w:rPr>
              <w:t>产品使用说明书</w:t>
            </w:r>
            <w:r>
              <w:rPr>
                <w:rFonts w:hint="eastAsia" w:ascii="宋体" w:hAnsi="宋体" w:eastAsia="宋体" w:cs="宋体"/>
                <w:b/>
                <w:bCs/>
                <w:color w:val="auto"/>
                <w:szCs w:val="21"/>
                <w:highlight w:val="none"/>
              </w:rPr>
              <w:t>或第三方机构出具的具有CMA标识的检测报告）</w:t>
            </w:r>
            <w:bookmarkEnd w:id="24"/>
          </w:p>
          <w:bookmarkEnd w:id="25"/>
          <w:p w14:paraId="2319FB3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文件格式：支持obj等通用格式。</w:t>
            </w:r>
          </w:p>
          <w:p w14:paraId="33B6B621">
            <w:pPr>
              <w:wordWrap w:val="0"/>
              <w:spacing w:line="288" w:lineRule="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存档网格模型不包含除文物之外的多余部分；网格模型中无变形、叠面、交叉面、异常突出面；网格模型无接缝；纹理贴图无模糊、变形；纹理模型颜色与校色后摄影测量照片颜色一致。</w:t>
            </w:r>
            <w:bookmarkStart w:id="26" w:name="OLE_LINK19"/>
          </w:p>
          <w:bookmarkEnd w:id="26"/>
          <w:p w14:paraId="4DF86F6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2.高精度数据成果</w:t>
            </w:r>
          </w:p>
          <w:p w14:paraId="254E391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2.1单个文物高精度模型数据，保存文物真实、详实的三维模型数据，可用于数字化资源管理平台数据存储备份和文物的数字化保护、修复、研究等领域。</w:t>
            </w:r>
          </w:p>
          <w:p w14:paraId="3611B4F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2.2网格模型：网格面数为相应存档网格模型的50%，模型面数≥100万面，网格面数应小于等于1000万面；模型完整度为100%。</w:t>
            </w:r>
          </w:p>
          <w:p w14:paraId="0970173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2.3贴图制作：多种不同贴图格式如JPG、PNG等。</w:t>
            </w:r>
          </w:p>
          <w:p w14:paraId="754F700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2.4纹理贴图：贴图分辨率大于等于0.5倍存档纹理模型的纹理贴图分辨率，≥8192*8192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与网格模型映射的位置误差不超过存档纹理模型的纹理贴图与网格模型映射位置误差的2倍。</w:t>
            </w:r>
          </w:p>
          <w:p w14:paraId="7022DA0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2.5文件格式：支持obj等通用格式。</w:t>
            </w:r>
          </w:p>
          <w:p w14:paraId="4B755CE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2.6高网格面纹理模型的网格模型不包含除文物之外的多余部分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网格模型中无变形、叠面、交叉面、尖锐</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网格模型无接缝</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纹理贴图无模糊、变形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纹理模型颜色与校色后摄影测量照片颜色一致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网格模型和纹理贴图的修补区域应与摄影测量照片的视觉感官一致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低网格面纹理模型的相邻结构起伏变化≤2mm 的部分用法线贴图表现，法线贴图的法线方向和模拟的凹凸程度应与文物形态一致。</w:t>
            </w:r>
          </w:p>
          <w:p w14:paraId="4C01CF3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3.中精度数据成果</w:t>
            </w:r>
          </w:p>
          <w:p w14:paraId="7473010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3.1单个文物中等精度模型数据，保存文物真实、详实的三维模型数据，可用于数字化资源管理平台数据存储备份和文物的数字化保护、修复、研究等领域。</w:t>
            </w:r>
          </w:p>
          <w:p w14:paraId="33CACF5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3.2网格模型：网格面数为相应存档网格模型的50%，模型面数≥60万面；模型完整度为100%。</w:t>
            </w:r>
          </w:p>
          <w:p w14:paraId="1B91E13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3.3贴图制作：多种不同贴图格式如JPG、PNG等。</w:t>
            </w:r>
          </w:p>
          <w:p w14:paraId="33FCE79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3.4纹理贴图：贴图分辨率大于等于0.5倍存档纹理模型的纹理贴图分辨率，≥4096×4096；与网格模型映射的位置误差不超过存档纹理模型的纹理贴图与网格模型映射位置误差的2倍。</w:t>
            </w:r>
          </w:p>
          <w:p w14:paraId="17290DB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3.5文件格式：支持obj等通用格式。</w:t>
            </w:r>
          </w:p>
          <w:p w14:paraId="50742DD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3.6高网格面纹理模型的网格模型不包含除文物之外的多余部分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网格模型中无变形、叠面、交叉面、尖锐</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网格模型无接缝</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纹理贴图无模糊、变形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纹理模型颜色与校色后摄影测量照片颜色一致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网格模型和纹理贴图的修补区域应与摄影测量照片的视觉感官一致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低网格面纹理模型的相邻结构起伏变化≤2mm 的部分用法线贴图表现，法线贴图的法线方向和模拟的凹凸程度应与文物形态一致。</w:t>
            </w:r>
          </w:p>
          <w:p w14:paraId="6F7452E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4.低精度数据成果</w:t>
            </w:r>
          </w:p>
          <w:p w14:paraId="26005C7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4.1单个文物低精度三维展示模型数据，主要用于应用系统数据展示和开发。可用于文物展示、传播等领域。</w:t>
            </w:r>
          </w:p>
          <w:p w14:paraId="2D17BEB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4.2网格模型：网格面数10万面-30万面；模型完整度为 100%。</w:t>
            </w:r>
          </w:p>
          <w:p w14:paraId="3AF6CB0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4.3贴图制作：多种不同贴图格式如JPG、PNG等。</w:t>
            </w:r>
          </w:p>
          <w:p w14:paraId="21CE3BD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4.4纹理贴图：单张纹理贴图满足2048x2048像素。</w:t>
            </w:r>
          </w:p>
          <w:p w14:paraId="5603E77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4.5贴图数量：合理分配在至少一张贴图以内。</w:t>
            </w:r>
          </w:p>
          <w:p w14:paraId="67A598B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4.6文件格式：支持obj等通用格式。</w:t>
            </w:r>
          </w:p>
          <w:p w14:paraId="394AE4F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4.7低网格面纹理模型的网格模型不包含除文物之外的多余部分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网格模型中无变形、叠面、交叉面、尖锐</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网格模型无接缝</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纹理贴图无模糊、变形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纹理模型颜色与校色后摄影测量照片颜色一致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网格模型和纹理贴图的修补区域应与摄影测量照片的视觉感官一致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低网格面纹理模型的相邻结构起伏变化≤2mm 的部分用法线贴图表现，法线贴图的法线方向和模拟的凹凸程度应与文物形态一致。</w:t>
            </w:r>
          </w:p>
          <w:p w14:paraId="1DDBF7CE">
            <w:pPr>
              <w:wordWrap w:val="0"/>
              <w:spacing w:line="288"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六、成果提交要求</w:t>
            </w:r>
          </w:p>
          <w:p w14:paraId="6A9AA3A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按成果类型分类清晰，文件命名规范，文件命名及文件夹路径中不可带有非法字符。提交采集成果清单，清单包括文物名称、编号、文件格式、存储路径、文件大小等。</w:t>
            </w:r>
          </w:p>
          <w:p w14:paraId="62B24F3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所有项目成果数据提交形式为电子数据以硬盘形式提交。</w:t>
            </w:r>
          </w:p>
          <w:p w14:paraId="1DF458D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（一）成果整理</w:t>
            </w:r>
          </w:p>
          <w:p w14:paraId="52BA709B">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1.采集与加工工作完成后应按以下要求进行成果整理</w:t>
            </w:r>
            <w:r>
              <w:rPr>
                <w:rFonts w:hint="eastAsia" w:ascii="宋体" w:hAnsi="宋体" w:eastAsia="宋体" w:cs="宋体"/>
                <w:bCs/>
                <w:color w:val="auto"/>
                <w:szCs w:val="21"/>
                <w:highlight w:val="none"/>
                <w:lang w:eastAsia="zh-CN"/>
              </w:rPr>
              <w:t>：</w:t>
            </w:r>
          </w:p>
          <w:p w14:paraId="2A050BE5">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a)参照采集及加工成果组织表的成果类型分类整理,各项成果规范、完整</w:t>
            </w:r>
            <w:r>
              <w:rPr>
                <w:rFonts w:hint="eastAsia" w:ascii="宋体" w:hAnsi="宋体" w:eastAsia="宋体" w:cs="宋体"/>
                <w:bCs/>
                <w:color w:val="auto"/>
                <w:szCs w:val="21"/>
                <w:highlight w:val="none"/>
                <w:lang w:eastAsia="zh-CN"/>
              </w:rPr>
              <w:t>；</w:t>
            </w:r>
          </w:p>
          <w:p w14:paraId="7982C6B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b)采集成果包括三维扫描数据、色卡照片、摄影测量照片和控制测量结果数据；</w:t>
            </w:r>
          </w:p>
          <w:p w14:paraId="32AC5DC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c)加工成果包括存档数据和应用数据</w:t>
            </w:r>
            <w:r>
              <w:rPr>
                <w:rFonts w:hint="eastAsia" w:ascii="宋体" w:hAnsi="宋体" w:eastAsia="宋体" w:cs="宋体"/>
                <w:bCs/>
                <w:color w:val="auto"/>
                <w:szCs w:val="21"/>
                <w:highlight w:val="none"/>
                <w:lang w:eastAsia="zh-CN"/>
              </w:rPr>
              <w:t>；</w:t>
            </w:r>
          </w:p>
          <w:p w14:paraId="0E5678E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e)文档成果包括项目方案和项目报告。</w:t>
            </w:r>
          </w:p>
          <w:p w14:paraId="566734B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2.采集与加工成果整理完成后应编写项目报告,报告应包括以下内容</w:t>
            </w:r>
            <w:r>
              <w:rPr>
                <w:rFonts w:hint="eastAsia" w:ascii="宋体" w:hAnsi="宋体" w:eastAsia="宋体" w:cs="宋体"/>
                <w:bCs/>
                <w:color w:val="auto"/>
                <w:szCs w:val="21"/>
                <w:highlight w:val="none"/>
                <w:lang w:eastAsia="zh-CN"/>
              </w:rPr>
              <w:t>：</w:t>
            </w:r>
          </w:p>
          <w:p w14:paraId="3F8C9C40">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a)项目概况,包括背景、目的、要求、起止日期、实际工作量、实施依据等</w:t>
            </w:r>
            <w:r>
              <w:rPr>
                <w:rFonts w:hint="eastAsia" w:ascii="宋体" w:hAnsi="宋体" w:eastAsia="宋体" w:cs="宋体"/>
                <w:bCs/>
                <w:color w:val="auto"/>
                <w:szCs w:val="21"/>
                <w:highlight w:val="none"/>
                <w:lang w:eastAsia="zh-CN"/>
              </w:rPr>
              <w:t>；</w:t>
            </w:r>
          </w:p>
          <w:p w14:paraId="7AF320F7">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b)技术工作情况,包括技术路线、操作流程、仪器设备、技术方法、实施步骤等</w:t>
            </w:r>
            <w:r>
              <w:rPr>
                <w:rFonts w:hint="eastAsia" w:ascii="宋体" w:hAnsi="宋体" w:eastAsia="宋体" w:cs="宋体"/>
                <w:bCs/>
                <w:color w:val="auto"/>
                <w:szCs w:val="21"/>
                <w:highlight w:val="none"/>
                <w:lang w:eastAsia="zh-CN"/>
              </w:rPr>
              <w:t>；</w:t>
            </w:r>
          </w:p>
          <w:p w14:paraId="58797ADB">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c)质量管理情况,包括成果检查情况和检查结果等</w:t>
            </w:r>
            <w:r>
              <w:rPr>
                <w:rFonts w:hint="eastAsia" w:ascii="宋体" w:hAnsi="宋体" w:eastAsia="宋体" w:cs="宋体"/>
                <w:bCs/>
                <w:color w:val="auto"/>
                <w:szCs w:val="21"/>
                <w:highlight w:val="none"/>
                <w:lang w:eastAsia="zh-CN"/>
              </w:rPr>
              <w:t>；</w:t>
            </w:r>
          </w:p>
          <w:p w14:paraId="6059C1B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d)提交的成果</w:t>
            </w:r>
            <w:r>
              <w:rPr>
                <w:rFonts w:hint="eastAsia" w:ascii="宋体" w:hAnsi="宋体" w:eastAsia="宋体" w:cs="宋体"/>
                <w:bCs/>
                <w:color w:val="auto"/>
                <w:szCs w:val="21"/>
                <w:highlight w:val="none"/>
                <w:lang w:eastAsia="zh-CN"/>
              </w:rPr>
              <w:t>；</w:t>
            </w:r>
          </w:p>
          <w:p w14:paraId="1670D0C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e)结论与建议。</w:t>
            </w:r>
          </w:p>
          <w:p w14:paraId="1B30F1A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（二）成果存储</w:t>
            </w:r>
          </w:p>
          <w:p w14:paraId="59644C26">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采集与加工成果参照采集及加工成果组织表进行组织,建立相应的文件夹存储，在成果组织和存储时文件命名应符合以下要求</w:t>
            </w:r>
            <w:r>
              <w:rPr>
                <w:rFonts w:hint="eastAsia" w:ascii="宋体" w:hAnsi="宋体" w:eastAsia="宋体" w:cs="宋体"/>
                <w:bCs/>
                <w:color w:val="auto"/>
                <w:szCs w:val="21"/>
                <w:highlight w:val="none"/>
                <w:lang w:eastAsia="zh-CN"/>
              </w:rPr>
              <w:t>：</w:t>
            </w:r>
          </w:p>
          <w:p w14:paraId="35DF330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a)成果对应文物的,文件名包含文物编号；</w:t>
            </w:r>
          </w:p>
          <w:p w14:paraId="7B7839F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b)成果对应项目的,文件名包含项目编号；</w:t>
            </w:r>
          </w:p>
          <w:p w14:paraId="1D9A8BE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c)成果存储应有备份；</w:t>
            </w:r>
          </w:p>
          <w:p w14:paraId="10E2148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d)提交成果清单，清单包括文物名，编号，文件格式，存储路径，文件大小等。</w:t>
            </w:r>
          </w:p>
          <w:p w14:paraId="29B4E46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（三）采集及加工成果组织要求</w:t>
            </w:r>
          </w:p>
          <w:p w14:paraId="4AB8A65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1、采集成果</w:t>
            </w:r>
          </w:p>
          <w:p w14:paraId="0FDE7DC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三维扫描数据：点云</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PLY、XYZ；网格模型</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OBJ、STL；</w:t>
            </w:r>
          </w:p>
          <w:p w14:paraId="19DE225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色卡照片：JPG、RAW</w:t>
            </w:r>
          </w:p>
          <w:p w14:paraId="486F523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摄影测量照片：JPG、RAW</w:t>
            </w:r>
          </w:p>
          <w:p w14:paraId="5F3D266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摄影测量三维重建纹理模型：网格模型</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OBJ、STL；纹理贴图</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JPG、TIFF</w:t>
            </w:r>
          </w:p>
          <w:p w14:paraId="6772E73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2、加工成果</w:t>
            </w:r>
          </w:p>
          <w:p w14:paraId="0392D26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存档纹理模型：网格模型</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OBJ、STL；纹理贴图</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JPG、TIFF</w:t>
            </w:r>
          </w:p>
          <w:p w14:paraId="0F332E9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高网格面纹理模型：网格模型</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OBJ、ST；纹理贴图</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JPG、TIFF</w:t>
            </w:r>
          </w:p>
          <w:p w14:paraId="0F6709C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低网格面纹理模型：网格模型</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OBJ、STL；纹理贴图</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JPG、TIFF；法线贴图PNG、JPG</w:t>
            </w:r>
          </w:p>
          <w:p w14:paraId="27A4C39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3、文档成果</w:t>
            </w:r>
          </w:p>
          <w:p w14:paraId="71A5214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采集现场记录：PDF</w:t>
            </w:r>
          </w:p>
          <w:p w14:paraId="484F1AB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采集成果检查记录</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PDF</w:t>
            </w:r>
          </w:p>
          <w:p w14:paraId="2CFE16A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加工记录：PDF</w:t>
            </w:r>
          </w:p>
          <w:p w14:paraId="65BF978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加工成果检查记录：PDF</w:t>
            </w:r>
          </w:p>
          <w:p w14:paraId="39112B2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项目方案：PDF</w:t>
            </w:r>
          </w:p>
          <w:p w14:paraId="10DD79F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项目报告：PDF</w:t>
            </w:r>
          </w:p>
        </w:tc>
      </w:tr>
      <w:tr w14:paraId="5108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5A2843B1">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w:t>
            </w:r>
          </w:p>
        </w:tc>
        <w:tc>
          <w:tcPr>
            <w:tcW w:w="658" w:type="pct"/>
            <w:noWrap w:val="0"/>
            <w:vAlign w:val="center"/>
          </w:tcPr>
          <w:p w14:paraId="00CB20E7">
            <w:pPr>
              <w:wordWrap w:val="0"/>
              <w:spacing w:line="288" w:lineRule="auto"/>
              <w:jc w:val="center"/>
              <w:rPr>
                <w:rFonts w:hint="eastAsia" w:ascii="宋体" w:hAnsi="宋体" w:eastAsia="宋体" w:cs="宋体"/>
                <w:bCs/>
                <w:color w:val="auto"/>
                <w:szCs w:val="21"/>
                <w:highlight w:val="none"/>
              </w:rPr>
            </w:pPr>
            <w:bookmarkStart w:id="27" w:name="OLE_LINK27"/>
            <w:r>
              <w:rPr>
                <w:rFonts w:hint="eastAsia" w:ascii="宋体" w:hAnsi="宋体" w:eastAsia="宋体" w:cs="宋体"/>
                <w:bCs/>
                <w:color w:val="auto"/>
                <w:szCs w:val="21"/>
                <w:highlight w:val="none"/>
              </w:rPr>
              <w:t>石刻文物线图绘制</w:t>
            </w:r>
            <w:bookmarkEnd w:id="27"/>
          </w:p>
        </w:tc>
        <w:tc>
          <w:tcPr>
            <w:tcW w:w="3968" w:type="pct"/>
            <w:noWrap w:val="0"/>
            <w:vAlign w:val="center"/>
          </w:tcPr>
          <w:p w14:paraId="5A4CE8C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对172件套（335单件）具有重大历史与研究价值的精品石刻文物进行线图绘制，每通文物具有文字或图像的面均需制作线图。输出的线图绘制成果出tiff、dwg、JPEG、AI、PSD/PSB等通用格式。具体格式及数量为：</w:t>
            </w:r>
          </w:p>
          <w:p w14:paraId="191A9C35">
            <w:pPr>
              <w:wordWrap w:val="0"/>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1.矢量图格式（AI格式）格式，数量1套。</w:t>
            </w:r>
          </w:p>
          <w:p w14:paraId="51497B48">
            <w:pPr>
              <w:wordWrap w:val="0"/>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2.PSD/PSB/dwg格式文件，数量1套。</w:t>
            </w:r>
          </w:p>
          <w:p w14:paraId="0BC8BD00">
            <w:pPr>
              <w:wordWrap w:val="0"/>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●3.TIFF（带透明通道）、JPEG格式文件1套，分辨率为</w:t>
            </w:r>
            <w:bookmarkStart w:id="28" w:name="OLE_LINK32"/>
            <w:r>
              <w:rPr>
                <w:rFonts w:hint="eastAsia" w:ascii="宋体" w:hAnsi="宋体" w:eastAsia="宋体" w:cs="宋体"/>
                <w:bCs/>
                <w:color w:val="auto"/>
                <w:szCs w:val="21"/>
                <w:highlight w:val="none"/>
              </w:rPr>
              <w:t>≥</w:t>
            </w:r>
            <w:bookmarkEnd w:id="28"/>
            <w:r>
              <w:rPr>
                <w:rFonts w:hint="eastAsia" w:ascii="宋体" w:hAnsi="宋体" w:eastAsia="宋体" w:cs="宋体"/>
                <w:bCs/>
                <w:color w:val="auto"/>
                <w:szCs w:val="21"/>
                <w:highlight w:val="none"/>
              </w:rPr>
              <w:t>600dpi。</w:t>
            </w:r>
            <w:r>
              <w:rPr>
                <w:rFonts w:hint="eastAsia" w:ascii="宋体" w:hAnsi="宋体" w:eastAsia="宋体" w:cs="宋体"/>
                <w:b/>
                <w:color w:val="auto"/>
                <w:szCs w:val="21"/>
                <w:highlight w:val="none"/>
                <w:lang w:eastAsia="zh-CN"/>
              </w:rPr>
              <w:t>（投标文件中需提供证明材料，证明材料包括但不限于产品官网截图或产品使用说明书或第三方机构出具的具有CMA标识的检测报告）</w:t>
            </w:r>
          </w:p>
          <w:p w14:paraId="1C58FB67">
            <w:pPr>
              <w:wordWrap w:val="0"/>
              <w:spacing w:line="288"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4.线图成果应由专家进行校对和审核。</w:t>
            </w:r>
          </w:p>
        </w:tc>
      </w:tr>
      <w:tr w14:paraId="075D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1CFF4078">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w:t>
            </w:r>
          </w:p>
        </w:tc>
        <w:tc>
          <w:tcPr>
            <w:tcW w:w="658" w:type="pct"/>
            <w:noWrap w:val="0"/>
            <w:vAlign w:val="center"/>
          </w:tcPr>
          <w:p w14:paraId="022951FA">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石刻文物数字化拓片</w:t>
            </w:r>
          </w:p>
        </w:tc>
        <w:tc>
          <w:tcPr>
            <w:tcW w:w="3968" w:type="pct"/>
            <w:noWrap w:val="0"/>
            <w:vAlign w:val="center"/>
          </w:tcPr>
          <w:p w14:paraId="364A79C9">
            <w:pPr>
              <w:wordWrap w:val="0"/>
              <w:spacing w:line="288"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1.对于</w:t>
            </w:r>
            <w:r>
              <w:rPr>
                <w:rFonts w:hint="eastAsia" w:ascii="宋体" w:hAnsi="宋体" w:eastAsia="宋体" w:cs="宋体"/>
                <w:bCs/>
                <w:color w:val="auto"/>
                <w:szCs w:val="21"/>
                <w:highlight w:val="none"/>
                <w:lang w:val="zh-CN"/>
              </w:rPr>
              <w:t>本项目数字化的</w:t>
            </w:r>
            <w:r>
              <w:rPr>
                <w:rFonts w:hint="eastAsia" w:ascii="宋体" w:hAnsi="宋体" w:eastAsia="宋体" w:cs="宋体"/>
                <w:bCs/>
                <w:color w:val="auto"/>
                <w:szCs w:val="21"/>
                <w:highlight w:val="none"/>
              </w:rPr>
              <w:t>具</w:t>
            </w:r>
            <w:r>
              <w:rPr>
                <w:rFonts w:hint="eastAsia" w:ascii="宋体" w:hAnsi="宋体" w:eastAsia="宋体" w:cs="宋体"/>
                <w:bCs/>
                <w:color w:val="auto"/>
                <w:szCs w:val="21"/>
                <w:highlight w:val="none"/>
                <w:lang w:val="zh-CN"/>
              </w:rPr>
              <w:t>有文字信息的石刻文物，运用数字拓片生成制作符合要求的石刻文物数字拓片成果。</w:t>
            </w:r>
            <w:bookmarkStart w:id="29" w:name="OLE_LINK5"/>
            <w:r>
              <w:rPr>
                <w:rFonts w:hint="eastAsia" w:ascii="宋体" w:hAnsi="宋体" w:eastAsia="宋体" w:cs="宋体"/>
                <w:bCs/>
                <w:color w:val="auto"/>
                <w:szCs w:val="21"/>
                <w:highlight w:val="none"/>
              </w:rPr>
              <w:t>石刻文物数量</w:t>
            </w:r>
            <w:r>
              <w:rPr>
                <w:rFonts w:hint="eastAsia" w:ascii="宋体" w:hAnsi="宋体" w:eastAsia="宋体" w:cs="宋体"/>
                <w:bCs/>
                <w:color w:val="auto"/>
                <w:szCs w:val="21"/>
                <w:highlight w:val="none"/>
                <w:lang w:val="zh-CN"/>
              </w:rPr>
              <w:t>约223件</w:t>
            </w:r>
            <w:bookmarkEnd w:id="29"/>
            <w:r>
              <w:rPr>
                <w:rFonts w:hint="eastAsia" w:ascii="宋体" w:hAnsi="宋体" w:eastAsia="宋体" w:cs="宋体"/>
                <w:bCs/>
                <w:color w:val="auto"/>
                <w:szCs w:val="21"/>
                <w:highlight w:val="none"/>
                <w:lang w:val="zh-CN"/>
              </w:rPr>
              <w:t>，具体数量根据实际情况有所调整。</w:t>
            </w:r>
          </w:p>
          <w:p w14:paraId="7B0A958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文物数字拓片成果要求如下：</w:t>
            </w:r>
          </w:p>
          <w:p w14:paraId="433D988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1.1、比例尺正确，大小形状与原物一致；</w:t>
            </w:r>
          </w:p>
          <w:p w14:paraId="3F303DF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1.2、背景使用灰白色纸张纹理填充；</w:t>
            </w:r>
          </w:p>
          <w:p w14:paraId="565CA9C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1.3、对于平面类文字或图案目标，数字拓片字口或图案线条清晰，字口或图案边缘线条连续、平滑，无毛刺；</w:t>
            </w:r>
          </w:p>
          <w:p w14:paraId="38585323">
            <w:pPr>
              <w:wordWrap w:val="0"/>
              <w:spacing w:line="288" w:lineRule="auto"/>
              <w:rPr>
                <w:rFonts w:hint="eastAsia" w:ascii="宋体" w:hAnsi="宋体" w:eastAsia="宋体" w:cs="宋体"/>
                <w:bCs/>
                <w:color w:val="auto"/>
                <w:szCs w:val="21"/>
                <w:highlight w:val="none"/>
              </w:rPr>
            </w:pPr>
            <w:bookmarkStart w:id="30" w:name="OLE_LINK30"/>
            <w:r>
              <w:rPr>
                <w:rFonts w:hint="eastAsia" w:ascii="宋体" w:hAnsi="宋体" w:eastAsia="宋体" w:cs="宋体"/>
                <w:bCs/>
                <w:color w:val="auto"/>
                <w:szCs w:val="21"/>
                <w:highlight w:val="none"/>
              </w:rPr>
              <w:t>●</w:t>
            </w:r>
            <w:bookmarkEnd w:id="30"/>
            <w:r>
              <w:rPr>
                <w:rFonts w:hint="eastAsia" w:ascii="宋体" w:hAnsi="宋体" w:eastAsia="宋体" w:cs="宋体"/>
                <w:bCs/>
                <w:color w:val="auto"/>
                <w:szCs w:val="21"/>
                <w:highlight w:val="none"/>
              </w:rPr>
              <w:t>1.4、</w:t>
            </w:r>
            <w:r>
              <w:rPr>
                <w:rFonts w:hint="eastAsia" w:ascii="宋体" w:hAnsi="宋体" w:eastAsia="宋体" w:cs="宋体"/>
                <w:bCs/>
                <w:color w:val="auto"/>
                <w:szCs w:val="21"/>
                <w:highlight w:val="none"/>
                <w:lang w:val="en-US" w:eastAsia="zh-CN"/>
              </w:rPr>
              <w:t>数字化</w:t>
            </w:r>
            <w:r>
              <w:rPr>
                <w:rFonts w:hint="eastAsia" w:ascii="宋体" w:hAnsi="宋体" w:eastAsia="宋体" w:cs="宋体"/>
                <w:bCs/>
                <w:color w:val="auto"/>
                <w:szCs w:val="21"/>
                <w:highlight w:val="none"/>
              </w:rPr>
              <w:t>拓片分辨率≥600dpi，色彩模式为灰度，灰度级256级</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投标文件中需提供</w:t>
            </w:r>
            <w:r>
              <w:rPr>
                <w:rFonts w:hint="eastAsia" w:ascii="宋体" w:hAnsi="宋体" w:eastAsia="宋体" w:cs="宋体"/>
                <w:b/>
                <w:bCs/>
                <w:color w:val="auto"/>
                <w:szCs w:val="21"/>
                <w:highlight w:val="none"/>
                <w:lang w:val="en-US" w:eastAsia="zh-CN"/>
              </w:rPr>
              <w:t>承诺函，格式自拟、加盖公章</w:t>
            </w:r>
            <w:r>
              <w:rPr>
                <w:rFonts w:hint="eastAsia" w:ascii="宋体" w:hAnsi="宋体" w:eastAsia="宋体" w:cs="宋体"/>
                <w:b/>
                <w:bCs/>
                <w:color w:val="auto"/>
                <w:szCs w:val="21"/>
                <w:highlight w:val="none"/>
              </w:rPr>
              <w:t>）</w:t>
            </w:r>
            <w:r>
              <w:rPr>
                <w:rFonts w:hint="eastAsia" w:ascii="宋体" w:hAnsi="宋体" w:eastAsia="宋体" w:cs="宋体"/>
                <w:bCs/>
                <w:color w:val="auto"/>
                <w:szCs w:val="21"/>
                <w:highlight w:val="none"/>
              </w:rPr>
              <w:t>；</w:t>
            </w:r>
          </w:p>
          <w:p w14:paraId="2C25E66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1.5、拓片存储文件格式为raw、tiff。</w:t>
            </w:r>
          </w:p>
          <w:p w14:paraId="396C3C3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2.在国家文物局发布的《可移动文物二维数字化采集与加工》（WW/T 0114—2023）、《博物馆照明设计规范》（GB/T 23863-2024）等标准的指导下，本项目要求对本次采集的石刻文物原有的传统纸质拓片进行数字化采集，采集成果可以用于文物保护和公众展示，具体要求如下：</w:t>
            </w:r>
          </w:p>
          <w:p w14:paraId="7F7E11A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2.1、按原件尺寸的 100%比例进行扫描；</w:t>
            </w:r>
          </w:p>
          <w:p w14:paraId="6FBAA54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2.2、数字化拓片分辨率：不低于600dpi；</w:t>
            </w:r>
          </w:p>
          <w:p w14:paraId="38C3714F">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2.3、数字化拓片文件格式为：raw、tiff、jpeg格式</w:t>
            </w:r>
            <w:r>
              <w:rPr>
                <w:rFonts w:hint="eastAsia" w:ascii="宋体" w:hAnsi="宋体" w:eastAsia="宋体" w:cs="宋体"/>
                <w:bCs/>
                <w:color w:val="auto"/>
                <w:szCs w:val="21"/>
                <w:highlight w:val="none"/>
                <w:lang w:eastAsia="zh-CN"/>
              </w:rPr>
              <w:t>；</w:t>
            </w:r>
          </w:p>
          <w:p w14:paraId="26A46700">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2.4、对于获取的影像数据需根据原件进行修正（纠正歪斜的图像）、去痕（去除图像中由于原稿的问题所留下的污点、霉斑、刮痕等不属于藏品信息的缺陷，这些缺陷基本上存在于图像背景中，对于反映藏品信息部分的图像基本不做处理，以避免造成信息误差）</w:t>
            </w:r>
            <w:r>
              <w:rPr>
                <w:rFonts w:hint="eastAsia" w:ascii="宋体" w:hAnsi="宋体" w:eastAsia="宋体" w:cs="宋体"/>
                <w:bCs/>
                <w:color w:val="auto"/>
                <w:szCs w:val="21"/>
                <w:highlight w:val="none"/>
                <w:lang w:eastAsia="zh-CN"/>
              </w:rPr>
              <w:t>；</w:t>
            </w:r>
          </w:p>
          <w:p w14:paraId="2D749F8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2.5、加工完成的成果影像应根据影像用途输出,要求如下：</w:t>
            </w:r>
          </w:p>
          <w:p w14:paraId="21FF448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档案留存：格式TIFF，不小于60M、AdobeRGB</w:t>
            </w:r>
          </w:p>
          <w:p w14:paraId="60CFF65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文物图录：格式TIFF，不小于30M、AdobeRGB</w:t>
            </w:r>
          </w:p>
          <w:p w14:paraId="5B9F06C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论文配图：格式TIFF、JPEG，不小于15M、AdobeRGB</w:t>
            </w:r>
          </w:p>
          <w:p w14:paraId="1A6745EB">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网络宣传：格式JPEG，不小于2M，sRGB、≥1920×1080像素数</w:t>
            </w:r>
          </w:p>
          <w:p w14:paraId="3AB35F37">
            <w:pPr>
              <w:wordWrap w:val="0"/>
              <w:spacing w:line="288"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数字展示：JPEG，不小于5M，sRGB、适配展陈设备</w:t>
            </w:r>
            <w:r>
              <w:rPr>
                <w:rFonts w:hint="eastAsia" w:ascii="宋体" w:hAnsi="宋体" w:eastAsia="宋体" w:cs="宋体"/>
                <w:bCs/>
                <w:color w:val="auto"/>
                <w:szCs w:val="21"/>
                <w:highlight w:val="none"/>
                <w:lang w:eastAsia="zh-CN"/>
              </w:rPr>
              <w:t>。</w:t>
            </w:r>
          </w:p>
        </w:tc>
      </w:tr>
      <w:tr w14:paraId="653E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3C26A7C">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w:t>
            </w:r>
          </w:p>
        </w:tc>
        <w:tc>
          <w:tcPr>
            <w:tcW w:w="658" w:type="pct"/>
            <w:noWrap w:val="0"/>
            <w:vAlign w:val="center"/>
          </w:tcPr>
          <w:p w14:paraId="58342F8C">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石刻文字释读</w:t>
            </w:r>
          </w:p>
        </w:tc>
        <w:tc>
          <w:tcPr>
            <w:tcW w:w="3968" w:type="pct"/>
            <w:noWrap w:val="0"/>
            <w:vAlign w:val="center"/>
          </w:tcPr>
          <w:p w14:paraId="617DA61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对本次采集的223件精品石刻文物的碑文进行提取，需提取的碑文文字不少于2万字，具体数量以实际情况为准。</w:t>
            </w:r>
          </w:p>
          <w:p w14:paraId="2C015CF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1、使用OCR技术将文物数字拓片图像中的字符转换为文本格式，以便于后续的文本处理和分析。</w:t>
            </w:r>
          </w:p>
          <w:p w14:paraId="6F30DEC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2、对字符识别后的文本进行进一步处理，如去除空白字符、删除标点符号、统一字体和字号等。</w:t>
            </w:r>
          </w:p>
          <w:p w14:paraId="7C4DA06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3、将处理后的文本数据存储在数据库中，以便于后续的查询、分析和利用。</w:t>
            </w:r>
          </w:p>
          <w:p w14:paraId="7E0BA2F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4、对存储的文本数据进行标注，如添加标签、分类、注释等，以便于更好地理解和利用数据。</w:t>
            </w:r>
          </w:p>
          <w:p w14:paraId="7C0C09F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5、OCR识别结果应由专家进行校对和审核。</w:t>
            </w:r>
          </w:p>
        </w:tc>
      </w:tr>
      <w:tr w14:paraId="0F93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0779D072">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w:t>
            </w:r>
          </w:p>
        </w:tc>
        <w:tc>
          <w:tcPr>
            <w:tcW w:w="658" w:type="pct"/>
            <w:noWrap w:val="0"/>
            <w:vAlign w:val="center"/>
          </w:tcPr>
          <w:p w14:paraId="082762E1">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石刻文物数字化采集辅助设施</w:t>
            </w:r>
          </w:p>
        </w:tc>
        <w:tc>
          <w:tcPr>
            <w:tcW w:w="3968" w:type="pct"/>
            <w:noWrap w:val="0"/>
            <w:vAlign w:val="center"/>
          </w:tcPr>
          <w:p w14:paraId="48A702C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1、电动叉车1台：货叉外宽≥685mm；货叉长度≥1200mm；最大高度≥1300mm；升降范围：80-200mm；额定载重≥3000kg。用于辅助石刻文物的常规搬运。</w:t>
            </w:r>
          </w:p>
          <w:p w14:paraId="6E0C98E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2、电动升降平台1台：平台承重</w:t>
            </w:r>
            <w:bookmarkStart w:id="31" w:name="OLE_LINK23"/>
            <w:r>
              <w:rPr>
                <w:rFonts w:hint="eastAsia" w:ascii="宋体" w:hAnsi="宋体" w:eastAsia="宋体" w:cs="宋体"/>
                <w:bCs/>
                <w:color w:val="auto"/>
                <w:szCs w:val="21"/>
                <w:highlight w:val="none"/>
              </w:rPr>
              <w:t>≥</w:t>
            </w:r>
            <w:bookmarkEnd w:id="31"/>
            <w:r>
              <w:rPr>
                <w:rFonts w:hint="eastAsia" w:ascii="宋体" w:hAnsi="宋体" w:eastAsia="宋体" w:cs="宋体"/>
                <w:bCs/>
                <w:color w:val="auto"/>
                <w:szCs w:val="21"/>
                <w:highlight w:val="none"/>
              </w:rPr>
              <w:t>1000kg；升降高度≥1.5米；平台大小≥1200*600mm；离地最低高度≤510mm。用于辅助石刻文物的排架。</w:t>
            </w:r>
          </w:p>
          <w:p w14:paraId="1F51A74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bookmarkStart w:id="32" w:name="OLE_LINK2"/>
            <w:r>
              <w:rPr>
                <w:rFonts w:hint="eastAsia" w:ascii="宋体" w:hAnsi="宋体" w:eastAsia="宋体" w:cs="宋体"/>
                <w:bCs/>
                <w:color w:val="auto"/>
                <w:szCs w:val="21"/>
                <w:highlight w:val="none"/>
              </w:rPr>
              <w:t>数字化采集耗材1项：提供数字化采集耗材，至少包括色卡、手套、标尺、警戒线、防震垫、插排、数据存储管理终端等辅材。</w:t>
            </w:r>
          </w:p>
          <w:p w14:paraId="3BADFE86">
            <w:pPr>
              <w:wordWrap w:val="0"/>
              <w:spacing w:line="288" w:lineRule="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为满足现场三维数据采集的需要，应为本项目专门配置不少于2台的移动数据管理器，配置不低于≥13英寸图形显示装置，内核数≥14，总线程数≥20，内存≥32G，硬盘≥1TB SSD</w:t>
            </w:r>
            <w:bookmarkEnd w:id="32"/>
            <w:r>
              <w:rPr>
                <w:rFonts w:hint="eastAsia" w:ascii="宋体" w:hAnsi="宋体" w:eastAsia="宋体" w:cs="宋体"/>
                <w:bCs/>
                <w:color w:val="auto"/>
                <w:szCs w:val="21"/>
                <w:highlight w:val="none"/>
              </w:rPr>
              <w:t>。</w:t>
            </w:r>
          </w:p>
          <w:p w14:paraId="1832B09B">
            <w:pPr>
              <w:wordWrap w:val="0"/>
              <w:spacing w:line="288" w:lineRule="auto"/>
              <w:rPr>
                <w:rFonts w:hint="default" w:ascii="宋体" w:hAnsi="宋体" w:eastAsia="宋体" w:cs="宋体"/>
                <w:bCs/>
                <w:color w:val="auto"/>
                <w:szCs w:val="21"/>
                <w:highlight w:val="none"/>
                <w:lang w:val="en-US" w:eastAsia="zh-CN"/>
              </w:rPr>
            </w:pPr>
            <w:r>
              <w:rPr>
                <w:rFonts w:hint="eastAsia" w:ascii="宋体" w:hAnsi="宋体" w:eastAsia="宋体" w:cs="宋体"/>
                <w:b/>
                <w:bCs/>
                <w:color w:val="auto"/>
                <w:szCs w:val="21"/>
                <w:highlight w:val="none"/>
                <w:lang w:val="en-US" w:eastAsia="zh-CN"/>
              </w:rPr>
              <w:t>5.以上物品所有权归采购人。</w:t>
            </w:r>
          </w:p>
        </w:tc>
      </w:tr>
      <w:tr w14:paraId="606B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73" w:type="pct"/>
            <w:noWrap w:val="0"/>
            <w:vAlign w:val="center"/>
          </w:tcPr>
          <w:p w14:paraId="3869C64C">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w:t>
            </w:r>
          </w:p>
        </w:tc>
        <w:tc>
          <w:tcPr>
            <w:tcW w:w="658" w:type="pct"/>
            <w:noWrap w:val="0"/>
            <w:vAlign w:val="center"/>
          </w:tcPr>
          <w:p w14:paraId="373032F0">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文物资料整理与录入</w:t>
            </w:r>
          </w:p>
        </w:tc>
        <w:tc>
          <w:tcPr>
            <w:tcW w:w="3968" w:type="pct"/>
            <w:noWrap w:val="0"/>
            <w:vAlign w:val="center"/>
          </w:tcPr>
          <w:p w14:paraId="0D05E06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本次采集的安徽博物院石刻文物进行档案资料核对，整理未登记造册的石刻，完成档案编目等工作，并在一普的数据指标上，重新建立《石刻文物档案表》，并录入到博物院现有的藏品管理系统。主要内容包括：档案资料整理、建立、数据移交、数据录入。</w:t>
            </w:r>
          </w:p>
        </w:tc>
      </w:tr>
      <w:tr w14:paraId="3FD4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383FA58">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七</w:t>
            </w:r>
          </w:p>
        </w:tc>
        <w:tc>
          <w:tcPr>
            <w:tcW w:w="658" w:type="pct"/>
            <w:noWrap w:val="0"/>
            <w:vAlign w:val="center"/>
          </w:tcPr>
          <w:p w14:paraId="1302A46A">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石刻文物3D赏析系统</w:t>
            </w:r>
          </w:p>
        </w:tc>
        <w:tc>
          <w:tcPr>
            <w:tcW w:w="3968" w:type="pct"/>
            <w:noWrap w:val="0"/>
            <w:vAlign w:val="center"/>
          </w:tcPr>
          <w:p w14:paraId="0C09CA5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1.数据技术指标</w:t>
            </w:r>
          </w:p>
          <w:p w14:paraId="5EBC542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1.1.基于安徽博物院的石刻文物三维数据，开发1套石刻文物3D数据的HTML数据包。</w:t>
            </w:r>
          </w:p>
          <w:p w14:paraId="73D672F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1.2.石刻文物3D数据的HTML数据包能够在微信公众号发布，观众可通过微信公众号线上欣赏。</w:t>
            </w:r>
          </w:p>
          <w:p w14:paraId="3EB8A91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1.3.石刻文物3D HTML数据包中，每件模型需调试好材质效果，包含环境文件与参数。</w:t>
            </w:r>
          </w:p>
          <w:p w14:paraId="0DF7D0A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1.4.石刻文物3D HTML数据包中，除包含文物3D数据之外，还包含文物名称、年代、质地、尺寸、简述等基础信息，以及语音讲解等。</w:t>
            </w:r>
          </w:p>
          <w:p w14:paraId="67FACB9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1.5.在保持文石刻物本体在2K电脑屏幕和手机屏幕清晰查看的前提下，单个可移动文物数据包文件大小控制在≥10M。</w:t>
            </w:r>
          </w:p>
          <w:p w14:paraId="5FF8128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1.6.调试上线100件典型石刻文物的数字化成果，其中选择15件精品石刻进行深度活化解读界面定制。</w:t>
            </w:r>
          </w:p>
          <w:p w14:paraId="333E744D">
            <w:pPr>
              <w:spacing w:line="288"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1.7.系统开发时应利用数据编译工具，对线上展示的成果文件数据进行编译处理，保证其成果一般情况下不能被解析和反编译，以保证文物数字化展示数据的安全利用。</w:t>
            </w:r>
          </w:p>
          <w:p w14:paraId="6E237CD7">
            <w:pPr>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1.8.文物数字化数据成果应用于本项目开发的石刻文物3D赏析系统，系统上的文物数据经安徽博物院审核后方可上线。</w:t>
            </w:r>
          </w:p>
          <w:p w14:paraId="15F03E2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2.展示内容及功能设计</w:t>
            </w:r>
          </w:p>
          <w:p w14:paraId="45DE69F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将石刻核心数据化成果（照片、简介、名称、三维模型、拓片、解说音频、视频等）通过本系统进行线上多种形式展示，以吸引社会公众，扩大安徽博物院的影响力。移动端将对接到博物院微信公众号端口，网页端对接到博物院官网藏品端口。功能包括栏目新增、分类检索、碑文检索、墓志铭知识、画像石知识、文物简介、多媒体资源展示、三维交互、尺寸标注、相关文物推荐、社交互动、评论互动、二维码互动等。</w:t>
            </w:r>
          </w:p>
          <w:p w14:paraId="0150778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3.精品石刻活化利用</w:t>
            </w:r>
          </w:p>
          <w:p w14:paraId="1F694DF9">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为实现石刻文物的活化利用，遴选出15件院藏精品石刻进行数字化深度解读交互开发，石刻文物对象包括但不限于国家《第一批古代名碑名刻文物名录》石刻（宋朱晞颜墓志、北宋包拯墓志、北宋董氏墓志、北宋崔氏墓志）、清刘铭传御制碑、汉画像石若干等，具体文物清单由采购人根据实际情况选定。</w:t>
            </w:r>
          </w:p>
        </w:tc>
      </w:tr>
      <w:tr w14:paraId="68E8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746CF78C">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八</w:t>
            </w:r>
          </w:p>
        </w:tc>
        <w:tc>
          <w:tcPr>
            <w:tcW w:w="658" w:type="pct"/>
            <w:noWrap w:val="0"/>
            <w:vAlign w:val="center"/>
          </w:tcPr>
          <w:p w14:paraId="1494C576">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石刻文物中文讲解音频</w:t>
            </w:r>
          </w:p>
        </w:tc>
        <w:tc>
          <w:tcPr>
            <w:tcW w:w="3968" w:type="pct"/>
            <w:noWrap w:val="0"/>
            <w:vAlign w:val="center"/>
          </w:tcPr>
          <w:p w14:paraId="27F74BA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1.录制文本的编校工作，采取三审三校制，文本差错率的计算方法与图书编校质量相同；</w:t>
            </w:r>
          </w:p>
          <w:p w14:paraId="51BE047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2.语言特点简洁明快，生动自然，对原文本中过于拖沓及重复的内容应进行修改；</w:t>
            </w:r>
          </w:p>
          <w:p w14:paraId="2CF372A5">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3.语言应以普通话为表述准则，原文本中明显难以用普通话表述的方言，应改编为普通话的语言表述方式；</w:t>
            </w:r>
          </w:p>
          <w:p w14:paraId="1F607C9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4.音频格式采用WAV、MP3主流格式；</w:t>
            </w:r>
          </w:p>
          <w:p w14:paraId="522595E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5.音频交付物无背景噪音、无失真噪音、无杂音、无电流声；</w:t>
            </w:r>
          </w:p>
          <w:p w14:paraId="28E7A61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6.语速适中，声音清晰、饱满、圆润；</w:t>
            </w:r>
          </w:p>
          <w:p w14:paraId="7098256F">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7.音频要体现解说内容的特点及情感。</w:t>
            </w:r>
          </w:p>
        </w:tc>
      </w:tr>
      <w:tr w14:paraId="738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4AD90757">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九</w:t>
            </w:r>
          </w:p>
        </w:tc>
        <w:tc>
          <w:tcPr>
            <w:tcW w:w="658" w:type="pct"/>
            <w:noWrap w:val="0"/>
            <w:vAlign w:val="center"/>
          </w:tcPr>
          <w:p w14:paraId="6E31E87B">
            <w:pPr>
              <w:wordWrap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石刻文物科普动画</w:t>
            </w:r>
          </w:p>
        </w:tc>
        <w:tc>
          <w:tcPr>
            <w:tcW w:w="3968" w:type="pct"/>
            <w:noWrap w:val="0"/>
            <w:vAlign w:val="center"/>
          </w:tcPr>
          <w:p w14:paraId="28DB2F4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1.解说文物</w:t>
            </w:r>
          </w:p>
          <w:p w14:paraId="42E0015C">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计划选取院内宋朱晞颜墓志、北宋董氏墓志、北宋崔氏墓志、清刘铭传御制碑共计4件石刻进行科普动画制作，每件文物制作一部动画，每部动画总时长不超过60秒。后期，配合院方将动画二次加工用于院内的中国联通特展厅裸眼3D相关装置的展示，具体装置根据实际情况而定。</w:t>
            </w:r>
          </w:p>
          <w:p w14:paraId="0385922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2.技术指标</w:t>
            </w:r>
          </w:p>
          <w:p w14:paraId="356A3BC7">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2.1、能根据历史背景较好地写出剧本，剧本内容积极向上；</w:t>
            </w:r>
          </w:p>
          <w:p w14:paraId="5FA3F183">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2.2、整体概念设计合理，动画、场景、角色、整体动画风格能更好地宣传本地文化特色；</w:t>
            </w:r>
          </w:p>
          <w:p w14:paraId="3936AE4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2.3、根据剧本制作出分镜头，时间分配合理，表达流畅；</w:t>
            </w:r>
          </w:p>
          <w:p w14:paraId="0FDF0DC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2.4、动画以简单易懂、有趣的科普讲解，展现文物的内涵；</w:t>
            </w:r>
          </w:p>
          <w:p w14:paraId="2FCA1D6E">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2.5、动画成果指标</w:t>
            </w:r>
          </w:p>
          <w:p w14:paraId="6570596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1)动画分辨率不低于2K（1920*1080）；</w:t>
            </w:r>
          </w:p>
          <w:p w14:paraId="3ED859F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2)动画帧速率不低于25FPS；</w:t>
            </w:r>
          </w:p>
          <w:p w14:paraId="2D0F94ED">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3)音频压缩采用AAC（MPEG4Part3）格式；</w:t>
            </w:r>
          </w:p>
          <w:p w14:paraId="1C5BFF12">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4)音频码流率128Kbps（恒定）；</w:t>
            </w:r>
          </w:p>
          <w:p w14:paraId="177D81B0">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5)动画内容中的文字表现避免出现多字、少字、错字、别字、实心字、乱码等问题；</w:t>
            </w:r>
          </w:p>
          <w:p w14:paraId="614E92EA">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6)动画剪辑过程中，避免采用简单重复方式以增加动画播放时间；</w:t>
            </w:r>
          </w:p>
          <w:p w14:paraId="2C6ECD88">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7)动画场景丰富，远景、近景等齐全；</w:t>
            </w:r>
          </w:p>
          <w:p w14:paraId="379FF8F4">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8)动画背景音乐符合画面表现内容；</w:t>
            </w:r>
          </w:p>
          <w:p w14:paraId="64C99DB6">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9)动画在指定的播放环境下，无扭曲变形、质感通透细腻、图像层次丰富、色彩还原度高；</w:t>
            </w:r>
          </w:p>
          <w:p w14:paraId="2019A531">
            <w:pPr>
              <w:wordWrap w:val="0"/>
              <w:spacing w:line="288"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10)动画播放时，画面、音频、特效、字幕、标题等要达到精准同步，视频无卡帧现象；</w:t>
            </w:r>
          </w:p>
          <w:p w14:paraId="1138293D">
            <w:pPr>
              <w:wordWrap w:val="0"/>
              <w:spacing w:line="288"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11)动画格式为mp4。</w:t>
            </w:r>
          </w:p>
        </w:tc>
      </w:tr>
      <w:tr w14:paraId="6AA2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14:paraId="4C901B06">
            <w:pPr>
              <w:wordWrap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十</w:t>
            </w:r>
          </w:p>
        </w:tc>
        <w:tc>
          <w:tcPr>
            <w:tcW w:w="658" w:type="pct"/>
            <w:noWrap w:val="0"/>
            <w:vAlign w:val="center"/>
          </w:tcPr>
          <w:p w14:paraId="2B446609">
            <w:pPr>
              <w:spacing w:line="288" w:lineRule="auto"/>
              <w:jc w:val="center"/>
              <w:rPr>
                <w:rFonts w:hint="eastAsia" w:ascii="宋体" w:hAnsi="宋体" w:eastAsia="宋体" w:cs="宋体"/>
                <w:bCs/>
                <w:color w:val="auto"/>
                <w:szCs w:val="21"/>
                <w:highlight w:val="none"/>
              </w:rPr>
            </w:pPr>
            <w:r>
              <w:rPr>
                <w:rFonts w:hint="eastAsia" w:ascii="宋体" w:hAnsi="宋体" w:eastAsia="宋体"/>
                <w:b/>
                <w:color w:val="auto"/>
                <w:szCs w:val="21"/>
                <w:highlight w:val="none"/>
              </w:rPr>
              <w:t>其他服务要求</w:t>
            </w:r>
          </w:p>
        </w:tc>
        <w:tc>
          <w:tcPr>
            <w:tcW w:w="3968" w:type="pct"/>
            <w:noWrap w:val="0"/>
            <w:vAlign w:val="center"/>
          </w:tcPr>
          <w:p w14:paraId="44B15EAD">
            <w:pPr>
              <w:pStyle w:val="9"/>
              <w:adjustRightInd w:val="0"/>
              <w:snapToGrid w:val="0"/>
              <w:outlineLvl w:val="1"/>
              <w:rPr>
                <w:rFonts w:hint="eastAsia"/>
                <w:b/>
                <w:bCs w:val="0"/>
                <w:color w:val="auto"/>
                <w:sz w:val="21"/>
                <w:szCs w:val="21"/>
                <w:highlight w:val="none"/>
              </w:rPr>
            </w:pPr>
            <w:r>
              <w:rPr>
                <w:rFonts w:hint="eastAsia"/>
                <w:b/>
                <w:bCs w:val="0"/>
                <w:color w:val="auto"/>
                <w:sz w:val="21"/>
                <w:szCs w:val="21"/>
                <w:highlight w:val="none"/>
              </w:rPr>
              <w:t>（一）服务质量标准</w:t>
            </w:r>
          </w:p>
          <w:p w14:paraId="128A9996">
            <w:pPr>
              <w:pStyle w:val="9"/>
              <w:adjustRightInd w:val="0"/>
              <w:snapToGrid w:val="0"/>
              <w:rPr>
                <w:color w:val="auto"/>
                <w:sz w:val="21"/>
                <w:szCs w:val="21"/>
                <w:highlight w:val="none"/>
              </w:rPr>
            </w:pPr>
            <w:r>
              <w:rPr>
                <w:rFonts w:hint="eastAsia"/>
                <w:color w:val="auto"/>
                <w:sz w:val="21"/>
                <w:szCs w:val="21"/>
                <w:highlight w:val="none"/>
              </w:rPr>
              <w:t>遵循国家和行业颁布的相关技术标准、规范和指导性技术文件。</w:t>
            </w:r>
          </w:p>
          <w:p w14:paraId="5A93B606">
            <w:pPr>
              <w:pStyle w:val="9"/>
              <w:adjustRightInd w:val="0"/>
              <w:snapToGrid w:val="0"/>
              <w:outlineLvl w:val="1"/>
              <w:rPr>
                <w:rFonts w:hint="eastAsia"/>
                <w:b/>
                <w:bCs w:val="0"/>
                <w:color w:val="auto"/>
                <w:sz w:val="21"/>
                <w:szCs w:val="21"/>
                <w:highlight w:val="none"/>
              </w:rPr>
            </w:pPr>
            <w:r>
              <w:rPr>
                <w:rFonts w:hint="eastAsia"/>
                <w:b/>
                <w:bCs w:val="0"/>
                <w:color w:val="auto"/>
                <w:sz w:val="21"/>
                <w:szCs w:val="21"/>
                <w:highlight w:val="none"/>
              </w:rPr>
              <w:t>（二）项目实施要求</w:t>
            </w:r>
          </w:p>
          <w:p w14:paraId="4F2100FD">
            <w:pPr>
              <w:pStyle w:val="9"/>
              <w:adjustRightInd w:val="0"/>
              <w:snapToGrid w:val="0"/>
              <w:rPr>
                <w:color w:val="auto"/>
                <w:sz w:val="21"/>
                <w:szCs w:val="21"/>
                <w:highlight w:val="none"/>
              </w:rPr>
            </w:pPr>
            <w:r>
              <w:rPr>
                <w:rFonts w:hint="eastAsia"/>
                <w:color w:val="auto"/>
                <w:sz w:val="21"/>
                <w:szCs w:val="21"/>
                <w:highlight w:val="none"/>
              </w:rPr>
              <w:t>1.在实施过程中，应加强采集过程中的文物保护、文物搬运安全、文物数据安全，以及项目安全管理。所有文物数据采集工作均在安徽博物院进行。</w:t>
            </w:r>
          </w:p>
          <w:p w14:paraId="6E4AE897">
            <w:pPr>
              <w:pStyle w:val="9"/>
              <w:adjustRightInd w:val="0"/>
              <w:snapToGrid w:val="0"/>
              <w:rPr>
                <w:color w:val="auto"/>
                <w:sz w:val="21"/>
                <w:szCs w:val="21"/>
                <w:highlight w:val="none"/>
              </w:rPr>
            </w:pPr>
            <w:r>
              <w:rPr>
                <w:rFonts w:hint="eastAsia"/>
                <w:color w:val="auto"/>
                <w:sz w:val="21"/>
                <w:szCs w:val="21"/>
                <w:highlight w:val="none"/>
              </w:rPr>
              <w:t>2.本项目服务团队配置应不少于10人，包括</w:t>
            </w:r>
            <w:r>
              <w:rPr>
                <w:color w:val="auto"/>
                <w:sz w:val="21"/>
                <w:szCs w:val="21"/>
                <w:highlight w:val="none"/>
              </w:rPr>
              <w:t>项目</w:t>
            </w:r>
            <w:r>
              <w:rPr>
                <w:rFonts w:hint="eastAsia"/>
                <w:color w:val="auto"/>
                <w:sz w:val="21"/>
                <w:szCs w:val="21"/>
                <w:highlight w:val="none"/>
              </w:rPr>
              <w:t>负责人、文物数据采集、文物数据加工、动画设计、软件开发、信息安全保障、售后服务等人员，数据采集至少2个小组（每组：三维扫描1人，拍照2人，文物搬运2人）同时进行。</w:t>
            </w:r>
            <w:r>
              <w:rPr>
                <w:color w:val="auto"/>
                <w:sz w:val="21"/>
                <w:szCs w:val="21"/>
                <w:highlight w:val="none"/>
              </w:rPr>
              <w:t>项目实施团队人员需具有对应的专业技术能力，满足相应工作的开展，需要有博物馆</w:t>
            </w:r>
            <w:r>
              <w:rPr>
                <w:rFonts w:hint="eastAsia"/>
                <w:color w:val="auto"/>
                <w:sz w:val="21"/>
                <w:szCs w:val="21"/>
                <w:highlight w:val="none"/>
              </w:rPr>
              <w:t>相关</w:t>
            </w:r>
            <w:r>
              <w:rPr>
                <w:color w:val="auto"/>
                <w:sz w:val="21"/>
                <w:szCs w:val="21"/>
                <w:highlight w:val="none"/>
              </w:rPr>
              <w:t>专业</w:t>
            </w:r>
            <w:r>
              <w:rPr>
                <w:rFonts w:hint="eastAsia"/>
                <w:color w:val="auto"/>
                <w:sz w:val="21"/>
                <w:szCs w:val="21"/>
                <w:highlight w:val="none"/>
              </w:rPr>
              <w:t>知识的</w:t>
            </w:r>
            <w:r>
              <w:rPr>
                <w:color w:val="auto"/>
                <w:sz w:val="21"/>
                <w:szCs w:val="21"/>
                <w:highlight w:val="none"/>
              </w:rPr>
              <w:t>人员</w:t>
            </w:r>
            <w:r>
              <w:rPr>
                <w:rFonts w:hint="eastAsia"/>
                <w:color w:val="auto"/>
                <w:sz w:val="21"/>
                <w:szCs w:val="21"/>
                <w:highlight w:val="none"/>
              </w:rPr>
              <w:t>，</w:t>
            </w:r>
            <w:r>
              <w:rPr>
                <w:color w:val="auto"/>
                <w:sz w:val="21"/>
                <w:szCs w:val="21"/>
                <w:highlight w:val="none"/>
              </w:rPr>
              <w:t>具有计算机</w:t>
            </w:r>
            <w:r>
              <w:rPr>
                <w:rFonts w:hint="eastAsia"/>
                <w:color w:val="auto"/>
                <w:sz w:val="21"/>
                <w:szCs w:val="21"/>
                <w:highlight w:val="none"/>
              </w:rPr>
              <w:t>相关专业知识</w:t>
            </w:r>
            <w:r>
              <w:rPr>
                <w:color w:val="auto"/>
                <w:sz w:val="21"/>
                <w:szCs w:val="21"/>
                <w:highlight w:val="none"/>
              </w:rPr>
              <w:t>的人员进行软件系统的开发与部署，在数字内容的展示与处理方面需要有</w:t>
            </w:r>
            <w:r>
              <w:rPr>
                <w:rFonts w:hint="eastAsia"/>
                <w:color w:val="auto"/>
                <w:sz w:val="21"/>
                <w:szCs w:val="21"/>
                <w:highlight w:val="none"/>
              </w:rPr>
              <w:t>艺术相关</w:t>
            </w:r>
            <w:r>
              <w:rPr>
                <w:color w:val="auto"/>
                <w:sz w:val="21"/>
                <w:szCs w:val="21"/>
                <w:highlight w:val="none"/>
              </w:rPr>
              <w:t>专业</w:t>
            </w:r>
            <w:r>
              <w:rPr>
                <w:rFonts w:hint="eastAsia"/>
                <w:color w:val="auto"/>
                <w:sz w:val="21"/>
                <w:szCs w:val="21"/>
                <w:highlight w:val="none"/>
              </w:rPr>
              <w:t>知识</w:t>
            </w:r>
            <w:r>
              <w:rPr>
                <w:color w:val="auto"/>
                <w:sz w:val="21"/>
                <w:szCs w:val="21"/>
                <w:highlight w:val="none"/>
              </w:rPr>
              <w:t>的人员。</w:t>
            </w:r>
          </w:p>
          <w:p w14:paraId="38403538">
            <w:pPr>
              <w:pStyle w:val="9"/>
              <w:adjustRightInd w:val="0"/>
              <w:snapToGrid w:val="0"/>
              <w:rPr>
                <w:color w:val="auto"/>
                <w:sz w:val="21"/>
                <w:szCs w:val="21"/>
                <w:highlight w:val="none"/>
              </w:rPr>
            </w:pPr>
            <w:r>
              <w:rPr>
                <w:rFonts w:hint="eastAsia"/>
                <w:color w:val="auto"/>
                <w:sz w:val="21"/>
                <w:szCs w:val="21"/>
                <w:highlight w:val="none"/>
              </w:rPr>
              <w:t>3.应</w:t>
            </w:r>
            <w:r>
              <w:rPr>
                <w:color w:val="auto"/>
                <w:sz w:val="21"/>
                <w:szCs w:val="21"/>
                <w:highlight w:val="none"/>
              </w:rPr>
              <w:t>对参与本次项目的工作人员进行有针对性的安全、技能培训和保密教育，签订书面的保密协议</w:t>
            </w:r>
            <w:r>
              <w:rPr>
                <w:rFonts w:hint="eastAsia"/>
                <w:color w:val="auto"/>
                <w:sz w:val="21"/>
                <w:szCs w:val="21"/>
                <w:highlight w:val="none"/>
              </w:rPr>
              <w:t>，完成文物数据采集所必要的</w:t>
            </w:r>
            <w:r>
              <w:rPr>
                <w:color w:val="auto"/>
                <w:sz w:val="21"/>
                <w:szCs w:val="21"/>
                <w:highlight w:val="none"/>
              </w:rPr>
              <w:t>现场出入证或者临时工作手续办理等。</w:t>
            </w:r>
          </w:p>
          <w:p w14:paraId="0DD24FFD">
            <w:pPr>
              <w:pStyle w:val="9"/>
              <w:adjustRightInd w:val="0"/>
              <w:snapToGrid w:val="0"/>
              <w:rPr>
                <w:color w:val="auto"/>
                <w:sz w:val="21"/>
                <w:szCs w:val="21"/>
                <w:highlight w:val="none"/>
              </w:rPr>
            </w:pPr>
            <w:r>
              <w:rPr>
                <w:rFonts w:hint="eastAsia"/>
                <w:color w:val="auto"/>
                <w:sz w:val="21"/>
                <w:szCs w:val="21"/>
                <w:highlight w:val="none"/>
              </w:rPr>
              <w:t>4.应</w:t>
            </w:r>
            <w:r>
              <w:rPr>
                <w:color w:val="auto"/>
                <w:sz w:val="21"/>
                <w:szCs w:val="21"/>
                <w:highlight w:val="none"/>
              </w:rPr>
              <w:t>对文物所在库房、点交室和运输过程中的电梯、楼梯、台阶、门廊尺寸进行现场再勘察、测量，</w:t>
            </w:r>
            <w:r>
              <w:rPr>
                <w:rFonts w:hint="eastAsia"/>
                <w:color w:val="auto"/>
                <w:sz w:val="21"/>
                <w:szCs w:val="21"/>
                <w:highlight w:val="none"/>
              </w:rPr>
              <w:t>编制</w:t>
            </w:r>
            <w:r>
              <w:rPr>
                <w:color w:val="auto"/>
                <w:sz w:val="21"/>
                <w:szCs w:val="21"/>
                <w:highlight w:val="none"/>
              </w:rPr>
              <w:t>文物进出库、采集设备设施运输与安装实施方案。</w:t>
            </w:r>
          </w:p>
          <w:p w14:paraId="40F2E828">
            <w:pPr>
              <w:pStyle w:val="9"/>
              <w:adjustRightInd w:val="0"/>
              <w:snapToGrid w:val="0"/>
              <w:rPr>
                <w:rFonts w:hint="eastAsia" w:eastAsia="宋体"/>
                <w:color w:val="FF0000"/>
                <w:sz w:val="21"/>
                <w:szCs w:val="21"/>
                <w:highlight w:val="yellow"/>
                <w:lang w:eastAsia="zh-CN"/>
              </w:rPr>
            </w:pPr>
            <w:r>
              <w:rPr>
                <w:rFonts w:hint="eastAsia"/>
                <w:b/>
                <w:bCs w:val="0"/>
                <w:color w:val="FF0000"/>
                <w:sz w:val="21"/>
                <w:szCs w:val="21"/>
                <w:highlight w:val="yellow"/>
              </w:rPr>
              <w:t>注：上述“（二）项目实施要求”内容，投标人须在投标文件中提供书面承诺函（格式自拟、加盖公章），未提供投标无效</w:t>
            </w:r>
            <w:r>
              <w:rPr>
                <w:rFonts w:hint="eastAsia"/>
                <w:b/>
                <w:bCs w:val="0"/>
                <w:color w:val="FF0000"/>
                <w:sz w:val="21"/>
                <w:szCs w:val="21"/>
                <w:highlight w:val="yellow"/>
                <w:lang w:eastAsia="zh-CN"/>
              </w:rPr>
              <w:t>！</w:t>
            </w:r>
          </w:p>
          <w:p w14:paraId="792EF360">
            <w:pPr>
              <w:pStyle w:val="9"/>
              <w:adjustRightInd w:val="0"/>
              <w:snapToGrid w:val="0"/>
              <w:outlineLvl w:val="1"/>
              <w:rPr>
                <w:rFonts w:hint="eastAsia"/>
                <w:b/>
                <w:bCs w:val="0"/>
                <w:color w:val="auto"/>
                <w:sz w:val="21"/>
                <w:szCs w:val="21"/>
                <w:highlight w:val="none"/>
              </w:rPr>
            </w:pPr>
            <w:r>
              <w:rPr>
                <w:rFonts w:hint="eastAsia"/>
                <w:b/>
                <w:bCs w:val="0"/>
                <w:color w:val="auto"/>
                <w:sz w:val="21"/>
                <w:szCs w:val="21"/>
                <w:highlight w:val="none"/>
              </w:rPr>
              <w:t>（三）文物及数据安全要求</w:t>
            </w:r>
          </w:p>
          <w:p w14:paraId="66AD18DE">
            <w:pPr>
              <w:pStyle w:val="9"/>
              <w:adjustRightInd w:val="0"/>
              <w:snapToGrid w:val="0"/>
              <w:rPr>
                <w:rFonts w:hint="eastAsia"/>
                <w:color w:val="auto"/>
                <w:sz w:val="21"/>
                <w:szCs w:val="21"/>
                <w:highlight w:val="none"/>
              </w:rPr>
            </w:pPr>
            <w:r>
              <w:rPr>
                <w:rFonts w:hint="eastAsia"/>
                <w:color w:val="auto"/>
                <w:sz w:val="21"/>
                <w:szCs w:val="21"/>
                <w:highlight w:val="none"/>
              </w:rPr>
              <w:t>文物安全是文物保护工作的前提和重要基础。项目实施时应从人员、文物、场地等多维度细化措施，制定系统、科学的保障方案，筑牢文物安全防线。</w:t>
            </w:r>
          </w:p>
          <w:p w14:paraId="27114BCA">
            <w:pPr>
              <w:pStyle w:val="9"/>
              <w:adjustRightInd w:val="0"/>
              <w:snapToGrid w:val="0"/>
              <w:rPr>
                <w:rFonts w:hint="eastAsia"/>
                <w:color w:val="auto"/>
                <w:sz w:val="21"/>
                <w:szCs w:val="21"/>
                <w:highlight w:val="none"/>
              </w:rPr>
            </w:pPr>
            <w:r>
              <w:rPr>
                <w:rFonts w:hint="eastAsia"/>
                <w:color w:val="auto"/>
                <w:sz w:val="21"/>
                <w:szCs w:val="21"/>
                <w:highlight w:val="none"/>
              </w:rPr>
              <w:t>1.本项目所选用的采集技术对文物不贴点、不喷粉、不接触；采集过程中采用连续输出、高显色性，低热量散发的冷光源和具备紫外屏蔽装置的文物拍摄专用静物照明系统，确保文物绝对的安全。</w:t>
            </w:r>
          </w:p>
          <w:p w14:paraId="1C823054">
            <w:pPr>
              <w:pStyle w:val="9"/>
              <w:adjustRightInd w:val="0"/>
              <w:snapToGrid w:val="0"/>
              <w:rPr>
                <w:rFonts w:hint="eastAsia"/>
                <w:color w:val="auto"/>
                <w:sz w:val="21"/>
                <w:szCs w:val="21"/>
                <w:highlight w:val="none"/>
              </w:rPr>
            </w:pPr>
            <w:r>
              <w:rPr>
                <w:rFonts w:hint="eastAsia"/>
                <w:color w:val="auto"/>
                <w:sz w:val="21"/>
                <w:szCs w:val="21"/>
                <w:highlight w:val="none"/>
              </w:rPr>
              <w:t>2.文物数据采集所有工作应在安徽博物院指定的场地进行，原则上在文物库房进行。为满足采集工作的需要，采集场地应有足够的空间，原则上距离文物摆放的位置较近，以减少文物的运输过程。同时，设置必要的柜架以暂存文物。</w:t>
            </w:r>
          </w:p>
          <w:p w14:paraId="281D31E1">
            <w:pPr>
              <w:pStyle w:val="9"/>
              <w:adjustRightInd w:val="0"/>
              <w:snapToGrid w:val="0"/>
              <w:rPr>
                <w:rFonts w:hint="eastAsia"/>
                <w:color w:val="auto"/>
                <w:sz w:val="21"/>
                <w:szCs w:val="21"/>
                <w:highlight w:val="none"/>
              </w:rPr>
            </w:pPr>
            <w:r>
              <w:rPr>
                <w:rFonts w:hint="eastAsia"/>
                <w:color w:val="auto"/>
                <w:sz w:val="21"/>
                <w:szCs w:val="21"/>
                <w:highlight w:val="none"/>
              </w:rPr>
              <w:t>3.由于石刻文物体型较大、质量重，为保障文物安全，应聘请专业的文物搬运团队，在安徽博物院的指导下，根据数据采集的需要进行文物的摆放、翻动、搬运、排架等操作；数据采集过程中，相关人员须严格按照规范操作，确保文物安全。</w:t>
            </w:r>
          </w:p>
          <w:p w14:paraId="2191D905">
            <w:pPr>
              <w:pStyle w:val="9"/>
              <w:adjustRightInd w:val="0"/>
              <w:snapToGrid w:val="0"/>
              <w:rPr>
                <w:rFonts w:hint="eastAsia"/>
                <w:color w:val="auto"/>
                <w:sz w:val="21"/>
                <w:szCs w:val="21"/>
                <w:highlight w:val="none"/>
              </w:rPr>
            </w:pPr>
            <w:r>
              <w:rPr>
                <w:rFonts w:hint="eastAsia"/>
                <w:color w:val="auto"/>
                <w:sz w:val="21"/>
                <w:szCs w:val="21"/>
                <w:highlight w:val="none"/>
              </w:rPr>
              <w:t>3.1文物搬运、排架过程保险由中标人以不低于保额5000万元的标准购买，即全部搬运文物的“钉到钉”商业保险（全额、全险种、无免赔）。中标人应在签订合同后、数字化采集工作开展前出示保单原件并提交加盖公章的复印件。文物损坏经双方公认的第三方评估鉴定机构评估，损坏文物价值超过中标人投保保额标准的，由中标人全额赔偿。该项目搬运、排架等全程的文物安全工作由中标人负责。</w:t>
            </w:r>
          </w:p>
          <w:p w14:paraId="6206D9CA">
            <w:pPr>
              <w:pStyle w:val="9"/>
              <w:adjustRightInd w:val="0"/>
              <w:snapToGrid w:val="0"/>
              <w:rPr>
                <w:rFonts w:hint="eastAsia"/>
                <w:color w:val="auto"/>
                <w:sz w:val="21"/>
                <w:szCs w:val="21"/>
                <w:highlight w:val="none"/>
              </w:rPr>
            </w:pPr>
            <w:r>
              <w:rPr>
                <w:rFonts w:hint="eastAsia"/>
                <w:color w:val="auto"/>
                <w:sz w:val="21"/>
                <w:szCs w:val="21"/>
                <w:highlight w:val="none"/>
              </w:rPr>
              <w:t>3.2运输设备、专用工具、安全保护的相关材料应符合或优于国家、行业标准。</w:t>
            </w:r>
          </w:p>
          <w:p w14:paraId="53D7F2FB">
            <w:pPr>
              <w:pStyle w:val="9"/>
              <w:adjustRightInd w:val="0"/>
              <w:snapToGrid w:val="0"/>
              <w:rPr>
                <w:rFonts w:hint="eastAsia"/>
                <w:color w:val="auto"/>
                <w:sz w:val="21"/>
                <w:szCs w:val="21"/>
                <w:highlight w:val="none"/>
              </w:rPr>
            </w:pPr>
            <w:r>
              <w:rPr>
                <w:rFonts w:hint="eastAsia"/>
                <w:color w:val="auto"/>
                <w:sz w:val="21"/>
                <w:szCs w:val="21"/>
                <w:highlight w:val="none"/>
              </w:rPr>
              <w:t>4.注意水、电、消防等安全因素，不得违规操作。数码相机、照明设备、笔记本电脑等贵重采集设备应安全放置和规范操作。</w:t>
            </w:r>
          </w:p>
          <w:p w14:paraId="5F043138">
            <w:pPr>
              <w:pStyle w:val="9"/>
              <w:adjustRightInd w:val="0"/>
              <w:snapToGrid w:val="0"/>
              <w:rPr>
                <w:rFonts w:hint="eastAsia" w:eastAsia="宋体"/>
                <w:b/>
                <w:bCs w:val="0"/>
                <w:color w:val="FF0000"/>
                <w:sz w:val="21"/>
                <w:szCs w:val="21"/>
                <w:highlight w:val="yellow"/>
                <w:lang w:eastAsia="zh-CN"/>
              </w:rPr>
            </w:pPr>
            <w:r>
              <w:rPr>
                <w:rFonts w:hint="eastAsia"/>
                <w:b/>
                <w:bCs w:val="0"/>
                <w:color w:val="FF0000"/>
                <w:sz w:val="21"/>
                <w:szCs w:val="21"/>
                <w:highlight w:val="yellow"/>
              </w:rPr>
              <w:t>注：上述“（三）文物及数据安全要求”内容，投标人须在投标文件中提供书面承诺函（格式自拟、加盖公章），未提供投标无效</w:t>
            </w:r>
            <w:r>
              <w:rPr>
                <w:rFonts w:hint="eastAsia"/>
                <w:b/>
                <w:bCs w:val="0"/>
                <w:color w:val="FF0000"/>
                <w:sz w:val="21"/>
                <w:szCs w:val="21"/>
                <w:highlight w:val="yellow"/>
                <w:lang w:eastAsia="zh-CN"/>
              </w:rPr>
              <w:t>！</w:t>
            </w:r>
          </w:p>
          <w:p w14:paraId="5D42FE69">
            <w:pPr>
              <w:pStyle w:val="9"/>
              <w:adjustRightInd w:val="0"/>
              <w:snapToGrid w:val="0"/>
              <w:outlineLvl w:val="1"/>
              <w:rPr>
                <w:rFonts w:hint="eastAsia"/>
                <w:b/>
                <w:bCs w:val="0"/>
                <w:color w:val="auto"/>
                <w:sz w:val="21"/>
                <w:szCs w:val="21"/>
                <w:highlight w:val="none"/>
              </w:rPr>
            </w:pPr>
            <w:r>
              <w:rPr>
                <w:rFonts w:hint="eastAsia"/>
                <w:b/>
                <w:bCs w:val="0"/>
                <w:color w:val="auto"/>
                <w:sz w:val="21"/>
                <w:szCs w:val="21"/>
                <w:highlight w:val="none"/>
              </w:rPr>
              <w:t>（四）保密及知识产权</w:t>
            </w:r>
          </w:p>
          <w:p w14:paraId="7316777B">
            <w:pPr>
              <w:pStyle w:val="9"/>
              <w:adjustRightInd w:val="0"/>
              <w:snapToGrid w:val="0"/>
              <w:rPr>
                <w:rFonts w:hint="eastAsia" w:ascii="宋体" w:hAnsi="宋体" w:eastAsia="宋体"/>
                <w:b/>
                <w:bCs w:val="0"/>
                <w:color w:val="auto"/>
                <w:sz w:val="21"/>
                <w:szCs w:val="21"/>
                <w:highlight w:val="none"/>
              </w:rPr>
            </w:pPr>
            <w:r>
              <w:rPr>
                <w:rFonts w:hint="eastAsia" w:ascii="宋体" w:hAnsi="宋体" w:eastAsia="宋体"/>
                <w:b/>
                <w:bCs w:val="0"/>
                <w:color w:val="auto"/>
                <w:sz w:val="21"/>
                <w:szCs w:val="21"/>
                <w:highlight w:val="none"/>
              </w:rPr>
              <w:t>1.本项目涉及的所有文物资源及其数字化成果数据版权</w:t>
            </w:r>
            <w:r>
              <w:rPr>
                <w:rFonts w:hint="eastAsia" w:ascii="宋体" w:hAnsi="宋体" w:eastAsia="宋体"/>
                <w:b/>
                <w:bCs w:val="0"/>
                <w:color w:val="auto"/>
                <w:sz w:val="21"/>
                <w:szCs w:val="21"/>
                <w:highlight w:val="none"/>
                <w:lang w:eastAsia="zh-CN"/>
              </w:rPr>
              <w:t>、</w:t>
            </w:r>
            <w:r>
              <w:rPr>
                <w:rFonts w:hint="eastAsia" w:ascii="宋体" w:hAnsi="宋体" w:eastAsia="宋体"/>
                <w:b/>
                <w:bCs w:val="0"/>
                <w:color w:val="auto"/>
                <w:sz w:val="21"/>
                <w:szCs w:val="21"/>
                <w:highlight w:val="none"/>
                <w:lang w:val="en-US" w:eastAsia="zh-CN"/>
              </w:rPr>
              <w:t>服务的配套软硬件所有权</w:t>
            </w:r>
            <w:r>
              <w:rPr>
                <w:rFonts w:hint="eastAsia" w:ascii="宋体" w:hAnsi="宋体" w:eastAsia="宋体"/>
                <w:b/>
                <w:bCs w:val="0"/>
                <w:color w:val="auto"/>
                <w:sz w:val="21"/>
                <w:szCs w:val="21"/>
                <w:highlight w:val="none"/>
              </w:rPr>
              <w:t>全部归安徽博物院所有</w:t>
            </w:r>
            <w:r>
              <w:rPr>
                <w:rFonts w:hint="eastAsia" w:ascii="宋体" w:hAnsi="宋体" w:eastAsia="宋体"/>
                <w:b/>
                <w:bCs w:val="0"/>
                <w:color w:val="auto"/>
                <w:sz w:val="21"/>
                <w:szCs w:val="21"/>
                <w:highlight w:val="none"/>
                <w:lang w:eastAsia="zh-CN"/>
              </w:rPr>
              <w:t>，</w:t>
            </w:r>
            <w:r>
              <w:rPr>
                <w:rFonts w:hint="eastAsia" w:ascii="宋体" w:hAnsi="宋体" w:eastAsia="宋体"/>
                <w:b/>
                <w:bCs w:val="0"/>
                <w:color w:val="auto"/>
                <w:sz w:val="21"/>
                <w:szCs w:val="21"/>
                <w:highlight w:val="none"/>
                <w:lang w:val="en-US" w:eastAsia="zh-CN"/>
              </w:rPr>
              <w:t>并</w:t>
            </w:r>
            <w:r>
              <w:rPr>
                <w:rFonts w:hint="eastAsia" w:ascii="宋体" w:hAnsi="宋体" w:eastAsia="宋体"/>
                <w:b/>
                <w:bCs w:val="0"/>
                <w:color w:val="auto"/>
                <w:sz w:val="21"/>
                <w:szCs w:val="21"/>
                <w:highlight w:val="none"/>
              </w:rPr>
              <w:t>应严格按照国家和安徽博物院相关规定进行保密管理。</w:t>
            </w:r>
          </w:p>
          <w:p w14:paraId="0760032A">
            <w:pPr>
              <w:pStyle w:val="9"/>
              <w:adjustRightInd w:val="0"/>
              <w:snapToGrid w:val="0"/>
              <w:rPr>
                <w:rFonts w:hint="eastAsia"/>
                <w:color w:val="auto"/>
                <w:sz w:val="21"/>
                <w:szCs w:val="21"/>
                <w:highlight w:val="none"/>
              </w:rPr>
            </w:pPr>
            <w:r>
              <w:rPr>
                <w:rFonts w:hint="eastAsia"/>
                <w:color w:val="auto"/>
                <w:sz w:val="21"/>
                <w:szCs w:val="21"/>
                <w:highlight w:val="none"/>
              </w:rPr>
              <w:t>2.项目合同签订时，须与安徽博物院签订保密协议，明确双方的保密义务与权利；项目所有成果资料由专人负责，在项目实施中所有参与人员均负有保密责任，任何组织或个人均不得掌握完全资料。中标人对安徽博物馆有关情况应负有保密责任，与本项目有关的资料、数据等未经采购人允许，不得向任何第三方泄露。应建立完善的数据资料保密内部管理制度，严防失泄密事件发生。</w:t>
            </w:r>
          </w:p>
          <w:p w14:paraId="424334C1">
            <w:pPr>
              <w:pStyle w:val="9"/>
              <w:adjustRightInd w:val="0"/>
              <w:snapToGrid w:val="0"/>
              <w:rPr>
                <w:rFonts w:hint="eastAsia"/>
                <w:color w:val="auto"/>
                <w:sz w:val="21"/>
                <w:szCs w:val="21"/>
                <w:highlight w:val="none"/>
              </w:rPr>
            </w:pPr>
            <w:r>
              <w:rPr>
                <w:rFonts w:hint="eastAsia"/>
                <w:color w:val="auto"/>
                <w:sz w:val="21"/>
                <w:szCs w:val="21"/>
                <w:highlight w:val="none"/>
              </w:rPr>
              <w:t>3.所有与项目相关的成果数据、信息、文档或资料等不得对院方以外的组织或个人传播。如有违者，将追究法律责任。</w:t>
            </w:r>
          </w:p>
          <w:p w14:paraId="1BA2D4D6">
            <w:pPr>
              <w:pStyle w:val="9"/>
              <w:adjustRightInd w:val="0"/>
              <w:snapToGrid w:val="0"/>
              <w:outlineLvl w:val="1"/>
              <w:rPr>
                <w:rFonts w:hint="eastAsia"/>
                <w:b/>
                <w:bCs w:val="0"/>
                <w:color w:val="auto"/>
                <w:sz w:val="21"/>
                <w:szCs w:val="21"/>
                <w:highlight w:val="none"/>
              </w:rPr>
            </w:pPr>
            <w:r>
              <w:rPr>
                <w:rFonts w:hint="eastAsia"/>
                <w:b/>
                <w:bCs w:val="0"/>
                <w:color w:val="auto"/>
                <w:sz w:val="21"/>
                <w:szCs w:val="21"/>
                <w:highlight w:val="none"/>
              </w:rPr>
              <w:t>（五）质保及售后服务</w:t>
            </w:r>
          </w:p>
          <w:p w14:paraId="56C1D41B">
            <w:pPr>
              <w:pStyle w:val="9"/>
              <w:adjustRightInd w:val="0"/>
              <w:snapToGrid w:val="0"/>
              <w:rPr>
                <w:rFonts w:hint="eastAsia"/>
                <w:color w:val="auto"/>
                <w:sz w:val="21"/>
                <w:szCs w:val="21"/>
                <w:highlight w:val="none"/>
              </w:rPr>
            </w:pPr>
            <w:r>
              <w:rPr>
                <w:rFonts w:hint="eastAsia"/>
                <w:color w:val="auto"/>
                <w:sz w:val="21"/>
                <w:szCs w:val="21"/>
                <w:highlight w:val="none"/>
              </w:rPr>
              <w:t>1.售后服务年限</w:t>
            </w:r>
          </w:p>
          <w:p w14:paraId="013B0154">
            <w:pPr>
              <w:pStyle w:val="9"/>
              <w:adjustRightInd w:val="0"/>
              <w:snapToGrid w:val="0"/>
              <w:rPr>
                <w:rFonts w:hint="eastAsia"/>
                <w:color w:val="auto"/>
                <w:sz w:val="21"/>
                <w:szCs w:val="21"/>
                <w:highlight w:val="none"/>
              </w:rPr>
            </w:pPr>
            <w:r>
              <w:rPr>
                <w:rFonts w:hint="eastAsia"/>
                <w:color w:val="auto"/>
                <w:sz w:val="21"/>
                <w:szCs w:val="21"/>
                <w:highlight w:val="none"/>
              </w:rPr>
              <w:t>本项目免费售后服务期为项目通过验收后1年，包含对数据修改、系统平台、配套硬件等本项目采购的所有软硬件内容进行免费维护。</w:t>
            </w:r>
          </w:p>
          <w:p w14:paraId="7461A5C8">
            <w:pPr>
              <w:pStyle w:val="9"/>
              <w:adjustRightInd w:val="0"/>
              <w:snapToGrid w:val="0"/>
              <w:rPr>
                <w:rFonts w:hint="eastAsia"/>
                <w:color w:val="auto"/>
                <w:sz w:val="21"/>
                <w:szCs w:val="21"/>
                <w:highlight w:val="none"/>
              </w:rPr>
            </w:pPr>
            <w:r>
              <w:rPr>
                <w:rFonts w:hint="eastAsia"/>
                <w:color w:val="auto"/>
                <w:sz w:val="21"/>
                <w:szCs w:val="21"/>
                <w:highlight w:val="none"/>
              </w:rPr>
              <w:t>2.质保期内售后服务内容</w:t>
            </w:r>
          </w:p>
          <w:p w14:paraId="2F37AEE9">
            <w:pPr>
              <w:pStyle w:val="9"/>
              <w:adjustRightInd w:val="0"/>
              <w:snapToGrid w:val="0"/>
              <w:rPr>
                <w:rFonts w:hint="eastAsia"/>
                <w:color w:val="auto"/>
                <w:sz w:val="21"/>
                <w:szCs w:val="21"/>
                <w:highlight w:val="none"/>
              </w:rPr>
            </w:pPr>
            <w:r>
              <w:rPr>
                <w:rFonts w:hint="eastAsia"/>
                <w:color w:val="auto"/>
                <w:sz w:val="21"/>
                <w:szCs w:val="21"/>
                <w:highlight w:val="none"/>
              </w:rPr>
              <w:t>1)采购范围内的所有数据、软硬件设备；</w:t>
            </w:r>
          </w:p>
          <w:p w14:paraId="3AC6BAA6">
            <w:pPr>
              <w:pStyle w:val="9"/>
              <w:adjustRightInd w:val="0"/>
              <w:snapToGrid w:val="0"/>
              <w:rPr>
                <w:rFonts w:hint="eastAsia"/>
                <w:color w:val="auto"/>
                <w:sz w:val="21"/>
                <w:szCs w:val="21"/>
                <w:highlight w:val="none"/>
              </w:rPr>
            </w:pPr>
            <w:r>
              <w:rPr>
                <w:rFonts w:hint="eastAsia"/>
                <w:color w:val="auto"/>
                <w:sz w:val="21"/>
                <w:szCs w:val="21"/>
                <w:highlight w:val="none"/>
              </w:rPr>
              <w:t>2)项目中的硬件设备，在项目运维期限内，非人为造成的损坏，由中标人进行保修；</w:t>
            </w:r>
          </w:p>
          <w:p w14:paraId="1A93A3D8">
            <w:pPr>
              <w:pStyle w:val="9"/>
              <w:adjustRightInd w:val="0"/>
              <w:snapToGrid w:val="0"/>
              <w:rPr>
                <w:rFonts w:hint="eastAsia"/>
                <w:color w:val="auto"/>
                <w:sz w:val="21"/>
                <w:szCs w:val="21"/>
                <w:highlight w:val="none"/>
              </w:rPr>
            </w:pPr>
            <w:r>
              <w:rPr>
                <w:rFonts w:hint="eastAsia"/>
                <w:color w:val="auto"/>
                <w:sz w:val="21"/>
                <w:szCs w:val="21"/>
                <w:highlight w:val="none"/>
              </w:rPr>
              <w:t>3)因非中标人开发人员修改软件源代码所导致的系统故障将不在系统的免费保修范围之内。</w:t>
            </w:r>
          </w:p>
          <w:p w14:paraId="1FDA5DFB">
            <w:pPr>
              <w:pStyle w:val="9"/>
              <w:adjustRightInd w:val="0"/>
              <w:snapToGrid w:val="0"/>
              <w:rPr>
                <w:rFonts w:hint="eastAsia"/>
                <w:color w:val="auto"/>
                <w:sz w:val="21"/>
                <w:szCs w:val="21"/>
                <w:highlight w:val="none"/>
              </w:rPr>
            </w:pPr>
            <w:r>
              <w:rPr>
                <w:color w:val="auto"/>
                <w:sz w:val="21"/>
                <w:szCs w:val="21"/>
                <w:highlight w:val="none"/>
              </w:rPr>
              <w:t>3.</w:t>
            </w:r>
            <w:r>
              <w:rPr>
                <w:rFonts w:hint="eastAsia"/>
                <w:color w:val="auto"/>
                <w:sz w:val="21"/>
                <w:szCs w:val="21"/>
                <w:highlight w:val="none"/>
              </w:rPr>
              <w:t>质保期内售后服务要求</w:t>
            </w:r>
          </w:p>
          <w:p w14:paraId="2D4AAD64">
            <w:pPr>
              <w:pStyle w:val="9"/>
              <w:adjustRightInd w:val="0"/>
              <w:snapToGrid w:val="0"/>
              <w:rPr>
                <w:rFonts w:hint="eastAsia"/>
                <w:color w:val="auto"/>
                <w:sz w:val="21"/>
                <w:szCs w:val="21"/>
                <w:highlight w:val="none"/>
              </w:rPr>
            </w:pPr>
            <w:r>
              <w:rPr>
                <w:rFonts w:hint="eastAsia"/>
                <w:color w:val="auto"/>
                <w:sz w:val="21"/>
                <w:szCs w:val="21"/>
                <w:highlight w:val="none"/>
              </w:rPr>
              <w:t>在质保期内，除合同要求内容以外，中标人还将提供以下服务，相关费用包含在本项目投标报价中：</w:t>
            </w:r>
          </w:p>
          <w:p w14:paraId="16AECF26">
            <w:pPr>
              <w:pStyle w:val="9"/>
              <w:adjustRightInd w:val="0"/>
              <w:snapToGrid w:val="0"/>
              <w:rPr>
                <w:rFonts w:hint="eastAsia"/>
                <w:color w:val="auto"/>
                <w:sz w:val="21"/>
                <w:szCs w:val="21"/>
                <w:highlight w:val="none"/>
              </w:rPr>
            </w:pPr>
            <w:r>
              <w:rPr>
                <w:rFonts w:hint="eastAsia"/>
                <w:color w:val="auto"/>
                <w:sz w:val="21"/>
                <w:szCs w:val="21"/>
                <w:highlight w:val="none"/>
              </w:rPr>
              <w:t>1)提供每年不少于2次的现场巡检服务，对产品及系统做全面的检修维护，保证系统打开概率达到98%以上；</w:t>
            </w:r>
          </w:p>
          <w:p w14:paraId="31988BD9">
            <w:pPr>
              <w:pStyle w:val="9"/>
              <w:adjustRightInd w:val="0"/>
              <w:snapToGrid w:val="0"/>
              <w:rPr>
                <w:rFonts w:hint="eastAsia"/>
                <w:color w:val="auto"/>
                <w:sz w:val="21"/>
                <w:szCs w:val="21"/>
                <w:highlight w:val="none"/>
              </w:rPr>
            </w:pPr>
            <w:r>
              <w:rPr>
                <w:rFonts w:hint="eastAsia"/>
                <w:color w:val="auto"/>
                <w:sz w:val="21"/>
                <w:szCs w:val="21"/>
                <w:highlight w:val="none"/>
              </w:rPr>
              <w:t>2)参数、数据备份与恢复服务；</w:t>
            </w:r>
          </w:p>
          <w:p w14:paraId="0434910B">
            <w:pPr>
              <w:pStyle w:val="9"/>
              <w:adjustRightInd w:val="0"/>
              <w:snapToGrid w:val="0"/>
              <w:rPr>
                <w:rFonts w:hint="eastAsia"/>
                <w:color w:val="auto"/>
                <w:sz w:val="21"/>
                <w:szCs w:val="21"/>
                <w:highlight w:val="none"/>
              </w:rPr>
            </w:pPr>
            <w:r>
              <w:rPr>
                <w:rFonts w:hint="eastAsia"/>
                <w:color w:val="auto"/>
                <w:sz w:val="21"/>
                <w:szCs w:val="21"/>
                <w:highlight w:val="none"/>
              </w:rPr>
              <w:t>3)根据实际使用需求，完成系统改造的技术支持、维护服务等；</w:t>
            </w:r>
          </w:p>
          <w:p w14:paraId="7C3898D1">
            <w:pPr>
              <w:pStyle w:val="9"/>
              <w:adjustRightInd w:val="0"/>
              <w:snapToGrid w:val="0"/>
              <w:rPr>
                <w:rFonts w:hint="eastAsia"/>
                <w:color w:val="auto"/>
                <w:sz w:val="21"/>
                <w:szCs w:val="21"/>
                <w:highlight w:val="none"/>
              </w:rPr>
            </w:pPr>
            <w:r>
              <w:rPr>
                <w:rFonts w:hint="eastAsia"/>
                <w:color w:val="auto"/>
                <w:sz w:val="21"/>
                <w:szCs w:val="21"/>
                <w:highlight w:val="none"/>
              </w:rPr>
              <w:t>4)后期如果采购人需要对本项目进行二次开发，涉及接口问题，中标人须向采购人开放软件接口、协议接口等，并提供相关技术支持。相关费用包含在本项目投标报价中。</w:t>
            </w:r>
          </w:p>
          <w:p w14:paraId="4BFD60DC">
            <w:pPr>
              <w:pStyle w:val="9"/>
              <w:adjustRightInd w:val="0"/>
              <w:snapToGrid w:val="0"/>
              <w:rPr>
                <w:rFonts w:hint="eastAsia"/>
                <w:color w:val="auto"/>
                <w:sz w:val="21"/>
                <w:szCs w:val="21"/>
                <w:highlight w:val="none"/>
              </w:rPr>
            </w:pPr>
            <w:r>
              <w:rPr>
                <w:rFonts w:hint="eastAsia"/>
                <w:color w:val="auto"/>
                <w:sz w:val="21"/>
                <w:szCs w:val="21"/>
                <w:highlight w:val="none"/>
              </w:rPr>
              <w:t>4.质保期内响应时间</w:t>
            </w:r>
          </w:p>
          <w:p w14:paraId="50AC93BD">
            <w:pPr>
              <w:pStyle w:val="9"/>
              <w:adjustRightInd w:val="0"/>
              <w:snapToGrid w:val="0"/>
              <w:rPr>
                <w:rFonts w:hint="eastAsia"/>
                <w:color w:val="auto"/>
                <w:sz w:val="21"/>
                <w:szCs w:val="21"/>
                <w:highlight w:val="none"/>
              </w:rPr>
            </w:pPr>
            <w:r>
              <w:rPr>
                <w:rFonts w:hint="eastAsia"/>
                <w:color w:val="auto"/>
                <w:sz w:val="21"/>
                <w:szCs w:val="21"/>
                <w:highlight w:val="none"/>
              </w:rPr>
              <w:t>在免费售后服务期内，如采购人在使用中发现问题，应派人及时到现场进行修正，费用包含在本项目投标报价中。中标人应24小时内到达现场，并最迟在第1个工作日内排除错误，1个工作日不能解决的，必须采取临时应急等措施，以保证正常使用。无论在免费售后服务期内还是期满后，中标人负责对其实施的项目提供7×24小时不间断技术支持服务，提供电话、传真、电子邮件、现场多种方式技术支持服务，全方位响应需求。</w:t>
            </w:r>
          </w:p>
          <w:p w14:paraId="3A4A4796">
            <w:pPr>
              <w:pStyle w:val="9"/>
              <w:adjustRightInd w:val="0"/>
              <w:snapToGrid w:val="0"/>
              <w:rPr>
                <w:rFonts w:hint="eastAsia"/>
                <w:color w:val="auto"/>
                <w:sz w:val="21"/>
                <w:szCs w:val="21"/>
                <w:highlight w:val="none"/>
              </w:rPr>
            </w:pPr>
            <w:r>
              <w:rPr>
                <w:rFonts w:hint="eastAsia"/>
                <w:color w:val="auto"/>
                <w:sz w:val="21"/>
                <w:szCs w:val="21"/>
                <w:highlight w:val="none"/>
              </w:rPr>
              <w:t>5.质保期外服务</w:t>
            </w:r>
          </w:p>
          <w:p w14:paraId="4CA43F74">
            <w:pPr>
              <w:pStyle w:val="9"/>
              <w:adjustRightInd w:val="0"/>
              <w:snapToGrid w:val="0"/>
              <w:rPr>
                <w:rFonts w:hint="eastAsia"/>
                <w:color w:val="auto"/>
                <w:sz w:val="21"/>
                <w:szCs w:val="21"/>
                <w:highlight w:val="none"/>
              </w:rPr>
            </w:pPr>
            <w:r>
              <w:rPr>
                <w:rFonts w:hint="eastAsia"/>
                <w:color w:val="auto"/>
                <w:sz w:val="21"/>
                <w:szCs w:val="21"/>
                <w:highlight w:val="none"/>
              </w:rPr>
              <w:t>1)质保期外可另行签订或重新采购相关售后服务合同，采取年保方式；</w:t>
            </w:r>
          </w:p>
          <w:p w14:paraId="0F18A79E">
            <w:pPr>
              <w:pStyle w:val="9"/>
              <w:adjustRightInd w:val="0"/>
              <w:snapToGrid w:val="0"/>
              <w:rPr>
                <w:rFonts w:hint="eastAsia"/>
                <w:color w:val="auto"/>
                <w:sz w:val="21"/>
                <w:szCs w:val="21"/>
                <w:highlight w:val="none"/>
              </w:rPr>
            </w:pPr>
            <w:r>
              <w:rPr>
                <w:rFonts w:hint="eastAsia"/>
                <w:color w:val="auto"/>
                <w:sz w:val="21"/>
                <w:szCs w:val="21"/>
                <w:highlight w:val="none"/>
              </w:rPr>
              <w:t>2)年保服务合同签订后响应时间同质保期内响应时间。</w:t>
            </w:r>
          </w:p>
          <w:p w14:paraId="683A9421">
            <w:pPr>
              <w:pStyle w:val="9"/>
              <w:adjustRightInd w:val="0"/>
              <w:snapToGrid w:val="0"/>
              <w:outlineLvl w:val="1"/>
              <w:rPr>
                <w:rFonts w:hint="eastAsia"/>
                <w:b/>
                <w:bCs w:val="0"/>
                <w:color w:val="auto"/>
                <w:sz w:val="21"/>
                <w:szCs w:val="21"/>
                <w:highlight w:val="none"/>
              </w:rPr>
            </w:pPr>
            <w:r>
              <w:rPr>
                <w:rFonts w:hint="eastAsia"/>
                <w:b/>
                <w:bCs w:val="0"/>
                <w:color w:val="auto"/>
                <w:sz w:val="21"/>
                <w:szCs w:val="21"/>
                <w:highlight w:val="none"/>
              </w:rPr>
              <w:t>（六）技术培训</w:t>
            </w:r>
          </w:p>
          <w:p w14:paraId="260A5D50">
            <w:pPr>
              <w:pStyle w:val="9"/>
              <w:adjustRightInd w:val="0"/>
              <w:snapToGrid w:val="0"/>
              <w:rPr>
                <w:rFonts w:hint="eastAsia"/>
                <w:color w:val="auto"/>
                <w:sz w:val="21"/>
                <w:szCs w:val="21"/>
                <w:highlight w:val="none"/>
              </w:rPr>
            </w:pPr>
            <w:r>
              <w:rPr>
                <w:rFonts w:hint="eastAsia"/>
                <w:color w:val="auto"/>
                <w:sz w:val="21"/>
                <w:szCs w:val="21"/>
                <w:highlight w:val="none"/>
              </w:rPr>
              <w:t>为了使本项目所涉及的采购人维护人员能全面地了解文物数据、软硬件的操作规范、日常维护、功能介绍等知识，增强文物数字化保护相关的技能，中标人除了向采购人提供技术说明、操作说明和相关的文档之外，还应负责组织对现场具体管理和维护人员进行全面高质量的培训，使其掌握相关安全操作常识。相关费用包含在本项目投标报价中。</w:t>
            </w:r>
          </w:p>
          <w:p w14:paraId="6608524A">
            <w:pPr>
              <w:pStyle w:val="9"/>
              <w:adjustRightInd w:val="0"/>
              <w:snapToGrid w:val="0"/>
              <w:rPr>
                <w:rFonts w:hint="eastAsia" w:cs="宋体"/>
                <w:bCs w:val="0"/>
                <w:color w:val="auto"/>
                <w:szCs w:val="21"/>
                <w:highlight w:val="none"/>
              </w:rPr>
            </w:pPr>
            <w:r>
              <w:rPr>
                <w:rFonts w:hint="eastAsia"/>
                <w:color w:val="auto"/>
                <w:sz w:val="21"/>
                <w:szCs w:val="21"/>
                <w:highlight w:val="none"/>
              </w:rPr>
              <w:t>提供现场培训，人数不限。通过在使用现场集中讲解与操作，确保受训人员对文物数字化操作规范、文物采集数据、系统管理维护等方面获得全面了解和掌握，使其能够胜任数据、设备、系统的全部运行、操作、故障分析处理、维修和保养等工作。相关费用包含在本项目投标报价中。</w:t>
            </w:r>
          </w:p>
        </w:tc>
      </w:tr>
    </w:tbl>
    <w:p w14:paraId="6E24B831">
      <w:pPr>
        <w:pStyle w:val="2"/>
        <w:ind w:left="1260"/>
        <w:rPr>
          <w:rFonts w:hint="eastAsia"/>
          <w:color w:val="auto"/>
          <w:highlight w:val="none"/>
        </w:rPr>
      </w:pPr>
    </w:p>
    <w:p w14:paraId="35597A09">
      <w:pPr>
        <w:adjustRightInd w:val="0"/>
        <w:snapToGrid w:val="0"/>
        <w:spacing w:line="360" w:lineRule="auto"/>
        <w:ind w:firstLine="422" w:firstLineChars="200"/>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四、报价要求</w:t>
      </w:r>
    </w:p>
    <w:p w14:paraId="6838A772">
      <w:pPr>
        <w:pStyle w:val="9"/>
        <w:adjustRightInd w:val="0"/>
        <w:snapToGrid w:val="0"/>
        <w:ind w:firstLine="420" w:firstLineChars="200"/>
        <w:rPr>
          <w:rFonts w:hint="eastAsia"/>
          <w:color w:val="auto"/>
          <w:sz w:val="21"/>
          <w:szCs w:val="21"/>
          <w:highlight w:val="none"/>
        </w:rPr>
      </w:pPr>
      <w:r>
        <w:rPr>
          <w:rFonts w:hint="eastAsia"/>
          <w:color w:val="auto"/>
          <w:sz w:val="21"/>
          <w:szCs w:val="21"/>
          <w:highlight w:val="none"/>
        </w:rPr>
        <w:t>1、本项目报总价，投标人的投标报价包含完成本项目的所有费用，采购人后期不予增加任何费用，投标人须自行考虑投标风险。</w:t>
      </w:r>
    </w:p>
    <w:p w14:paraId="5C882800">
      <w:r>
        <w:rPr>
          <w:rFonts w:hint="eastAsia" w:ascii="宋体" w:hAnsi="宋体" w:eastAsia="宋体"/>
          <w:color w:val="auto"/>
          <w:szCs w:val="21"/>
          <w:highlight w:val="none"/>
        </w:rPr>
        <w:t>2、投标人的投标报价只允许有一个方案、一个报价。</w:t>
      </w:r>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FD3BC"/>
    <w:multiLevelType w:val="singleLevel"/>
    <w:tmpl w:val="ADFFD3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3DCA"/>
    <w:rsid w:val="3796606A"/>
    <w:rsid w:val="7EDA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ascii="Calibri" w:hAnsi="Calibri"/>
    </w:rPr>
  </w:style>
  <w:style w:type="paragraph" w:styleId="3">
    <w:name w:val="annotation text"/>
    <w:basedOn w:val="4"/>
    <w:uiPriority w:val="0"/>
    <w:pPr>
      <w:jc w:val="left"/>
    </w:pPr>
    <w:rPr>
      <w:rFonts w:ascii="Arial Unicode MS" w:hAnsi="Arial Unicode MS" w:eastAsia="宋体"/>
    </w:rPr>
  </w:style>
  <w:style w:type="paragraph" w:styleId="4">
    <w:name w:val="Block Text"/>
    <w:basedOn w:val="1"/>
    <w:uiPriority w:val="0"/>
    <w:pPr>
      <w:spacing w:after="120" w:afterLines="0" w:afterAutospacing="0"/>
      <w:ind w:left="1440" w:leftChars="700" w:rightChars="70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8">
    <w:name w:val="D&amp;L"/>
    <w:basedOn w:val="5"/>
    <w:qFormat/>
    <w:uiPriority w:val="0"/>
    <w:pPr>
      <w:pBdr>
        <w:bottom w:val="none" w:color="auto" w:sz="0" w:space="0"/>
      </w:pBdr>
      <w:adjustRightInd w:val="0"/>
      <w:spacing w:line="300" w:lineRule="auto"/>
    </w:pPr>
    <w:rPr>
      <w:rFonts w:ascii="宋体" w:hAnsi="宋体" w:eastAsia="宋体"/>
      <w:bCs/>
      <w:sz w:val="21"/>
      <w:szCs w:val="21"/>
    </w:rPr>
  </w:style>
  <w:style w:type="paragraph" w:customStyle="1" w:styleId="9">
    <w:name w:val="xl31"/>
    <w:basedOn w:val="1"/>
    <w:qFormat/>
    <w:uiPriority w:val="0"/>
    <w:pPr>
      <w:spacing w:line="360" w:lineRule="auto"/>
    </w:pPr>
    <w:rPr>
      <w:rFonts w:ascii="宋体" w:hAnsi="宋体" w:eastAsia="宋体"/>
      <w:bCs/>
      <w:kern w:val="0"/>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2025-07-22T11:56:00Z</dcterms:created>
  <dc:creator>初审-程龙</dc:creator>
  <cp:lastModifiedBy>初审-程龙</cp:lastModifiedBy>
  <dcterms:modified xsi:type="dcterms:W3CDTF">2025-07-22T11:56:25Z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014D39B29079476784FFAD2AA385CA95_11</vt:lpwstr>
  </property>
  <property fmtid="{D5CDD505-2E9C-101B-9397-08002B2CF9AE}" pid="4" name="KSOTemplateDocerSaveRecord">
    <vt:lpwstr>eyJoZGlkIjoiN2FhM2IxZmNjZTZhZTMzZGUyNGM1MjIyNmM1NzQ0YWQiLCJ1c2VySWQiOiIzMjQ4MTEwODkifQ==</vt:lpwstr>
  </property>
</Properties>
</file>