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6F954">
      <w:pPr>
        <w:spacing w:line="360" w:lineRule="auto"/>
        <w:jc w:val="center"/>
        <w:outlineLvl w:val="0"/>
        <w:rPr>
          <w:rFonts w:hint="default" w:ascii="宋体" w:hAnsi="宋体" w:eastAsia="宋体" w:cs="Times New Roman"/>
          <w:b/>
          <w:bCs w:val="0"/>
          <w:kern w:val="0"/>
          <w:sz w:val="28"/>
        </w:rPr>
      </w:pPr>
      <w:bookmarkStart w:id="0" w:name="_Toc13066"/>
      <w:r>
        <w:rPr>
          <w:rFonts w:hint="eastAsia" w:ascii="宋体" w:hAnsi="宋体" w:eastAsia="宋体" w:cs="Times New Roman"/>
          <w:b/>
          <w:bCs w:val="0"/>
          <w:kern w:val="0"/>
          <w:sz w:val="28"/>
        </w:rPr>
        <w:t>第三章  采购需求</w:t>
      </w:r>
      <w:bookmarkEnd w:id="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1674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753F0AC">
            <w:pPr>
              <w:spacing w:line="360" w:lineRule="auto"/>
              <w:jc w:val="center"/>
              <w:rPr>
                <w:rFonts w:hint="default" w:ascii="宋体" w:hAnsi="宋体" w:eastAsia="宋体" w:cs="宋体"/>
                <w:b/>
                <w:bCs w:val="0"/>
                <w:kern w:val="2"/>
                <w:sz w:val="24"/>
                <w:szCs w:val="22"/>
              </w:rPr>
            </w:pPr>
            <w:r>
              <w:rPr>
                <w:rFonts w:hint="eastAsia" w:ascii="宋体" w:hAnsi="宋体" w:eastAsia="宋体" w:cs="宋体"/>
                <w:b/>
                <w:bCs w:val="0"/>
                <w:kern w:val="2"/>
                <w:sz w:val="24"/>
                <w:szCs w:val="22"/>
              </w:rPr>
              <w:t>序号</w:t>
            </w:r>
          </w:p>
        </w:tc>
        <w:tc>
          <w:tcPr>
            <w:tcW w:w="1277" w:type="dxa"/>
            <w:vAlign w:val="center"/>
          </w:tcPr>
          <w:p w14:paraId="703A0CAD">
            <w:pPr>
              <w:spacing w:line="360" w:lineRule="auto"/>
              <w:ind w:firstLine="435"/>
              <w:jc w:val="center"/>
              <w:rPr>
                <w:rFonts w:hint="default" w:ascii="宋体" w:hAnsi="宋体" w:eastAsia="宋体" w:cs="宋体"/>
                <w:b/>
                <w:bCs w:val="0"/>
                <w:kern w:val="2"/>
                <w:sz w:val="24"/>
                <w:szCs w:val="22"/>
              </w:rPr>
            </w:pPr>
            <w:r>
              <w:rPr>
                <w:rFonts w:hint="eastAsia" w:ascii="宋体" w:hAnsi="宋体" w:eastAsia="宋体" w:cs="宋体"/>
                <w:b/>
                <w:bCs w:val="0"/>
                <w:kern w:val="2"/>
                <w:sz w:val="24"/>
                <w:szCs w:val="22"/>
              </w:rPr>
              <w:t>内容</w:t>
            </w:r>
          </w:p>
        </w:tc>
        <w:tc>
          <w:tcPr>
            <w:tcW w:w="6287" w:type="dxa"/>
            <w:vAlign w:val="center"/>
          </w:tcPr>
          <w:p w14:paraId="085752DD">
            <w:pPr>
              <w:spacing w:line="360" w:lineRule="auto"/>
              <w:ind w:firstLine="435"/>
              <w:jc w:val="center"/>
              <w:rPr>
                <w:rFonts w:hint="default" w:ascii="宋体" w:hAnsi="宋体" w:eastAsia="宋体" w:cs="宋体"/>
                <w:b/>
                <w:bCs w:val="0"/>
                <w:kern w:val="2"/>
                <w:sz w:val="24"/>
                <w:szCs w:val="22"/>
              </w:rPr>
            </w:pPr>
            <w:r>
              <w:rPr>
                <w:rFonts w:hint="eastAsia" w:ascii="宋体" w:hAnsi="宋体" w:eastAsia="宋体" w:cs="宋体"/>
                <w:b/>
                <w:bCs w:val="0"/>
                <w:kern w:val="2"/>
                <w:sz w:val="24"/>
                <w:szCs w:val="22"/>
              </w:rPr>
              <w:t>说明和要求</w:t>
            </w:r>
          </w:p>
        </w:tc>
      </w:tr>
      <w:tr w14:paraId="4CD0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C5FEB6A">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1</w:t>
            </w:r>
          </w:p>
        </w:tc>
        <w:tc>
          <w:tcPr>
            <w:tcW w:w="1277" w:type="dxa"/>
            <w:vAlign w:val="center"/>
          </w:tcPr>
          <w:p w14:paraId="3F2A2CCD">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人员到岗及履约要求</w:t>
            </w:r>
          </w:p>
        </w:tc>
        <w:tc>
          <w:tcPr>
            <w:tcW w:w="6287" w:type="dxa"/>
            <w:vAlign w:val="center"/>
          </w:tcPr>
          <w:p w14:paraId="07193CFE">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1）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7B398AE0">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2）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3970CA7C">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3）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2432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B0CBFF4">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2</w:t>
            </w:r>
          </w:p>
        </w:tc>
        <w:tc>
          <w:tcPr>
            <w:tcW w:w="1277" w:type="dxa"/>
            <w:vAlign w:val="center"/>
          </w:tcPr>
          <w:p w14:paraId="78060C9F">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材料要求</w:t>
            </w:r>
          </w:p>
        </w:tc>
        <w:tc>
          <w:tcPr>
            <w:tcW w:w="6287" w:type="dxa"/>
            <w:vAlign w:val="center"/>
          </w:tcPr>
          <w:p w14:paraId="64455353">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4807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BF88921">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3</w:t>
            </w:r>
          </w:p>
        </w:tc>
        <w:tc>
          <w:tcPr>
            <w:tcW w:w="1277" w:type="dxa"/>
            <w:vAlign w:val="center"/>
          </w:tcPr>
          <w:p w14:paraId="66F288E2">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工程施工重点难点</w:t>
            </w:r>
          </w:p>
        </w:tc>
        <w:tc>
          <w:tcPr>
            <w:tcW w:w="6287" w:type="dxa"/>
            <w:vAlign w:val="center"/>
          </w:tcPr>
          <w:p w14:paraId="0EE5127B">
            <w:pPr>
              <w:spacing w:line="360" w:lineRule="auto"/>
              <w:rPr>
                <w:rFonts w:hint="eastAsia" w:ascii="宋体" w:hAnsi="宋体" w:eastAsia="宋体" w:cs="宋体"/>
                <w:b w:val="0"/>
                <w:bCs w:val="0"/>
                <w:kern w:val="2"/>
                <w:sz w:val="24"/>
                <w:szCs w:val="22"/>
                <w:lang w:eastAsia="zh-CN"/>
              </w:rPr>
            </w:pPr>
            <w:r>
              <w:rPr>
                <w:rFonts w:hint="eastAsia" w:ascii="宋体" w:hAnsi="宋体" w:eastAsia="宋体" w:cs="宋体"/>
                <w:b w:val="0"/>
                <w:bCs w:val="0"/>
                <w:color w:val="auto"/>
                <w:kern w:val="2"/>
                <w:sz w:val="24"/>
                <w:szCs w:val="22"/>
              </w:rPr>
              <w:t>工期紧，施工环境相对复杂</w:t>
            </w:r>
            <w:r>
              <w:rPr>
                <w:rFonts w:hint="eastAsia" w:ascii="宋体" w:hAnsi="宋体" w:eastAsia="宋体" w:cs="宋体"/>
                <w:b w:val="0"/>
                <w:bCs w:val="0"/>
                <w:color w:val="auto"/>
                <w:kern w:val="2"/>
                <w:sz w:val="24"/>
                <w:szCs w:val="22"/>
                <w:lang w:eastAsia="zh-CN"/>
              </w:rPr>
              <w:t>。</w:t>
            </w:r>
          </w:p>
        </w:tc>
      </w:tr>
      <w:tr w14:paraId="1253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F2BEECC">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4</w:t>
            </w:r>
          </w:p>
        </w:tc>
        <w:tc>
          <w:tcPr>
            <w:tcW w:w="1277" w:type="dxa"/>
            <w:vAlign w:val="center"/>
          </w:tcPr>
          <w:p w14:paraId="46DCE79F">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报价须知</w:t>
            </w:r>
          </w:p>
        </w:tc>
        <w:tc>
          <w:tcPr>
            <w:tcW w:w="6287" w:type="dxa"/>
            <w:vAlign w:val="center"/>
          </w:tcPr>
          <w:p w14:paraId="1337AFD1">
            <w:pPr>
              <w:spacing w:line="360" w:lineRule="auto"/>
              <w:rPr>
                <w:rFonts w:hint="default" w:ascii="宋体" w:hAnsi="宋体" w:eastAsia="宋体" w:cs="宋体"/>
                <w:b w:val="0"/>
                <w:bCs w:val="0"/>
                <w:kern w:val="2"/>
                <w:sz w:val="21"/>
                <w:szCs w:val="22"/>
              </w:rPr>
            </w:pPr>
            <w:r>
              <w:rPr>
                <w:rFonts w:hint="eastAsia" w:ascii="宋体" w:hAnsi="宋体" w:eastAsia="宋体" w:cs="宋体"/>
                <w:b w:val="0"/>
                <w:bCs w:val="0"/>
                <w:kern w:val="2"/>
                <w:sz w:val="24"/>
                <w:szCs w:val="22"/>
              </w:rPr>
              <w:t>供应商最后报价均不得高于磋商文件（公告）列明的项目预算、最高限价，否则其响应文件将被认定为响应无效。</w:t>
            </w:r>
          </w:p>
        </w:tc>
      </w:tr>
      <w:tr w14:paraId="0101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12A46357">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5</w:t>
            </w:r>
          </w:p>
        </w:tc>
        <w:tc>
          <w:tcPr>
            <w:tcW w:w="1277" w:type="dxa"/>
            <w:vAlign w:val="center"/>
          </w:tcPr>
          <w:p w14:paraId="229A8C91">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重要说明</w:t>
            </w:r>
          </w:p>
        </w:tc>
        <w:tc>
          <w:tcPr>
            <w:tcW w:w="6287" w:type="dxa"/>
            <w:vAlign w:val="center"/>
          </w:tcPr>
          <w:p w14:paraId="5FC99548">
            <w:pPr>
              <w:spacing w:line="360" w:lineRule="auto"/>
              <w:rPr>
                <w:rFonts w:hint="default" w:ascii="宋体" w:hAnsi="宋体" w:eastAsia="宋体" w:cs="宋体"/>
                <w:b w:val="0"/>
                <w:bCs w:val="0"/>
                <w:kern w:val="2"/>
                <w:sz w:val="24"/>
                <w:szCs w:val="18"/>
              </w:rPr>
            </w:pPr>
            <w:bookmarkStart w:id="1" w:name="OLE_LINK3"/>
            <w:r>
              <w:rPr>
                <w:rFonts w:hint="eastAsia" w:ascii="宋体" w:hAnsi="宋体" w:eastAsia="宋体" w:cs="宋体"/>
                <w:b w:val="0"/>
                <w:bCs w:val="0"/>
                <w:kern w:val="2"/>
                <w:sz w:val="24"/>
                <w:szCs w:val="24"/>
              </w:rPr>
              <w:t>政府采购政策（包括但不限于下列具体政策要求）</w:t>
            </w:r>
            <w:r>
              <w:rPr>
                <w:rFonts w:hint="eastAsia" w:ascii="宋体" w:hAnsi="宋体" w:eastAsia="宋体" w:cs="宋体"/>
                <w:b w:val="0"/>
                <w:bCs w:val="0"/>
                <w:kern w:val="2"/>
                <w:sz w:val="24"/>
                <w:szCs w:val="18"/>
              </w:rPr>
              <w:t>：</w:t>
            </w:r>
          </w:p>
          <w:p w14:paraId="02E16191">
            <w:pPr>
              <w:spacing w:line="360" w:lineRule="auto"/>
              <w:rPr>
                <w:rFonts w:hint="default" w:ascii="宋体" w:hAnsi="宋体" w:eastAsia="宋体" w:cs="宋体"/>
                <w:b w:val="0"/>
                <w:bCs w:val="0"/>
                <w:kern w:val="2"/>
                <w:sz w:val="24"/>
                <w:szCs w:val="24"/>
              </w:rPr>
            </w:pPr>
            <w:r>
              <w:rPr>
                <w:rFonts w:hint="eastAsia" w:ascii="宋体" w:hAnsi="宋体" w:eastAsia="宋体" w:cs="宋体"/>
                <w:b w:val="0"/>
                <w:bCs w:val="0"/>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54A1923">
            <w:pPr>
              <w:spacing w:line="360" w:lineRule="auto"/>
              <w:rPr>
                <w:rFonts w:hint="default" w:ascii="宋体" w:hAnsi="宋体" w:eastAsia="宋体" w:cs="宋体"/>
                <w:b w:val="0"/>
                <w:bCs w:val="0"/>
                <w:kern w:val="2"/>
                <w:sz w:val="24"/>
                <w:szCs w:val="24"/>
              </w:rPr>
            </w:pPr>
            <w:r>
              <w:rPr>
                <w:rFonts w:hint="eastAsia" w:ascii="宋体" w:hAnsi="宋体" w:eastAsia="宋体" w:cs="宋体"/>
                <w:b w:val="0"/>
                <w:bCs w:val="0"/>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A06A9DC">
            <w:pPr>
              <w:spacing w:line="360" w:lineRule="auto"/>
              <w:rPr>
                <w:rFonts w:hint="default" w:ascii="宋体" w:hAnsi="宋体" w:eastAsia="宋体" w:cs="宋体"/>
                <w:b w:val="0"/>
                <w:bCs w:val="0"/>
                <w:kern w:val="2"/>
                <w:sz w:val="24"/>
                <w:szCs w:val="22"/>
              </w:rPr>
            </w:pPr>
            <w:bookmarkStart w:id="2" w:name="OLE_LINK5"/>
            <w:r>
              <w:rPr>
                <w:rFonts w:hint="eastAsia" w:ascii="宋体" w:hAnsi="宋体" w:eastAsia="宋体" w:cs="宋体"/>
                <w:b w:val="0"/>
                <w:bCs w:val="0"/>
                <w:kern w:val="2"/>
                <w:sz w:val="24"/>
                <w:szCs w:val="24"/>
              </w:rPr>
              <w:t>（3）</w:t>
            </w:r>
            <w:r>
              <w:rPr>
                <w:rFonts w:hint="eastAsia" w:ascii="宋体" w:hAnsi="宋体" w:eastAsia="宋体" w:cs="宋体"/>
                <w:b w:val="0"/>
                <w:bCs w:val="0"/>
                <w:kern w:val="2"/>
                <w:sz w:val="24"/>
                <w:szCs w:val="22"/>
              </w:rPr>
              <w:t>根据《关于进一步做好政府采购支持绿色建材促进建筑品质提升相关工作的通知》（合财购〔2025〕167号）、《合肥市政府采购支持绿色建材促进建筑品质提升试点实施方案》，属于实施范围内的政府采购工程项目，应按照财政部、住建部、工信部联合印发的《绿色建筑和绿色建材政府采购需求标准》和《政府采购支持绿色建材促进建筑品质提升政策项目实施指南》应用绿色建筑和绿色建材</w:t>
            </w:r>
            <w:r>
              <w:rPr>
                <w:rFonts w:hint="eastAsia" w:ascii="宋体" w:hAnsi="宋体" w:eastAsia="宋体" w:cs="宋体"/>
                <w:b w:val="0"/>
                <w:bCs w:val="0"/>
                <w:kern w:val="2"/>
                <w:sz w:val="24"/>
                <w:szCs w:val="24"/>
              </w:rPr>
              <w:t>。</w:t>
            </w:r>
            <w:bookmarkEnd w:id="1"/>
            <w:bookmarkEnd w:id="2"/>
          </w:p>
        </w:tc>
      </w:tr>
      <w:tr w14:paraId="5E42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5EBBF2B">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6</w:t>
            </w:r>
          </w:p>
        </w:tc>
        <w:tc>
          <w:tcPr>
            <w:tcW w:w="1277" w:type="dxa"/>
            <w:vAlign w:val="center"/>
          </w:tcPr>
          <w:p w14:paraId="670C8685">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项目经理</w:t>
            </w:r>
          </w:p>
        </w:tc>
        <w:tc>
          <w:tcPr>
            <w:tcW w:w="6287" w:type="dxa"/>
            <w:vAlign w:val="center"/>
          </w:tcPr>
          <w:p w14:paraId="351EC7BD">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（1）符合竞争性磋商公告中“项目经理资格要求”，</w:t>
            </w:r>
            <w:r>
              <w:rPr>
                <w:rFonts w:hint="eastAsia" w:ascii="Times New Roman" w:hAnsi="Times New Roman" w:eastAsia="宋体" w:cs="楷体"/>
                <w:b w:val="0"/>
                <w:bCs/>
                <w:snapToGrid w:val="0"/>
                <w:color w:val="000000"/>
                <w:kern w:val="0"/>
                <w:sz w:val="24"/>
                <w:szCs w:val="24"/>
              </w:rPr>
              <w:t>且必须是本单位人员（</w:t>
            </w:r>
            <w:r>
              <w:rPr>
                <w:rFonts w:hint="eastAsia" w:ascii="宋体" w:hAnsi="宋体" w:eastAsia="宋体" w:cs="宋体"/>
                <w:b w:val="0"/>
                <w:bCs w:val="0"/>
                <w:kern w:val="2"/>
                <w:sz w:val="24"/>
                <w:szCs w:val="22"/>
              </w:rPr>
              <w:t>竞争性磋商公告</w:t>
            </w:r>
            <w:r>
              <w:rPr>
                <w:rFonts w:hint="eastAsia" w:ascii="Times New Roman" w:hAnsi="Times New Roman" w:eastAsia="宋体" w:cs="楷体"/>
                <w:b w:val="0"/>
                <w:bCs/>
                <w:snapToGrid w:val="0"/>
                <w:color w:val="000000"/>
                <w:kern w:val="0"/>
                <w:sz w:val="24"/>
                <w:szCs w:val="24"/>
              </w:rPr>
              <w:t>中要求的注册证书注册单位应当与供应商名称一致）</w:t>
            </w:r>
            <w:r>
              <w:rPr>
                <w:rFonts w:hint="eastAsia" w:ascii="宋体" w:hAnsi="宋体" w:eastAsia="宋体" w:cs="宋体"/>
                <w:b w:val="0"/>
                <w:bCs w:val="0"/>
                <w:kern w:val="2"/>
                <w:sz w:val="24"/>
                <w:szCs w:val="22"/>
              </w:rPr>
              <w:t>。</w:t>
            </w:r>
          </w:p>
          <w:p w14:paraId="7A28E565">
            <w:pPr>
              <w:spacing w:line="360" w:lineRule="auto"/>
              <w:rPr>
                <w:rFonts w:hint="default" w:ascii="宋体" w:hAnsi="宋体" w:eastAsia="宋体" w:cs="宋体"/>
                <w:b w:val="0"/>
                <w:bCs w:val="0"/>
                <w:kern w:val="2"/>
                <w:sz w:val="24"/>
                <w:szCs w:val="22"/>
              </w:rPr>
            </w:pPr>
            <w:bookmarkStart w:id="3" w:name="OLE_LINK10"/>
            <w:bookmarkStart w:id="4" w:name="OLE_LINK9"/>
            <w:r>
              <w:rPr>
                <w:rFonts w:hint="eastAsia" w:ascii="宋体" w:hAnsi="宋体" w:eastAsia="宋体" w:cs="宋体"/>
                <w:b w:val="0"/>
                <w:bCs w:val="0"/>
                <w:kern w:val="2"/>
                <w:sz w:val="24"/>
                <w:szCs w:val="22"/>
              </w:rPr>
              <w:t>（2）项目经理不得同时担任两个及以上建设工程施工项目经理，以下情形除外：</w:t>
            </w:r>
          </w:p>
          <w:p w14:paraId="218F6794">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（1）法定情形；</w:t>
            </w:r>
          </w:p>
          <w:p w14:paraId="2231AB71">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（2）虽在其他项目上担任项目经理岗位，但承诺在本项目成交后合同签订前能够从其他项目变更至本项目并全面履约。</w:t>
            </w:r>
            <w:bookmarkEnd w:id="3"/>
            <w:bookmarkEnd w:id="4"/>
          </w:p>
        </w:tc>
      </w:tr>
      <w:tr w14:paraId="490E8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9419F28">
            <w:pPr>
              <w:spacing w:line="360" w:lineRule="auto"/>
              <w:jc w:val="center"/>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7</w:t>
            </w:r>
          </w:p>
        </w:tc>
        <w:tc>
          <w:tcPr>
            <w:tcW w:w="1277" w:type="dxa"/>
            <w:vAlign w:val="center"/>
          </w:tcPr>
          <w:p w14:paraId="40CFFD99">
            <w:pPr>
              <w:widowControl w:val="0"/>
              <w:spacing w:before="0" w:beforeAutospacing="0" w:after="0" w:afterAutospacing="0" w:line="360" w:lineRule="auto"/>
              <w:jc w:val="center"/>
              <w:rPr>
                <w:rFonts w:ascii="宋体" w:hAnsi="宋体" w:eastAsia="宋体" w:cs="宋体"/>
                <w:b/>
                <w:bCs/>
                <w:kern w:val="2"/>
                <w:sz w:val="24"/>
                <w:szCs w:val="28"/>
                <w:lang w:val="en-US" w:eastAsia="zh-CN" w:bidi="ar-SA"/>
              </w:rPr>
            </w:pPr>
            <w:r>
              <w:rPr>
                <w:rFonts w:hint="eastAsia" w:ascii="宋体" w:hAnsi="宋体" w:eastAsia="宋体" w:cs="宋体"/>
                <w:b w:val="0"/>
                <w:bCs/>
                <w:kern w:val="2"/>
                <w:sz w:val="24"/>
                <w:szCs w:val="28"/>
                <w:lang w:val="en-US" w:eastAsia="zh-CN" w:bidi="ar-SA"/>
              </w:rPr>
              <w:t>本项目采购标的名称及所属行业</w:t>
            </w:r>
          </w:p>
        </w:tc>
        <w:tc>
          <w:tcPr>
            <w:tcW w:w="6287" w:type="dxa"/>
            <w:vAlign w:val="center"/>
          </w:tcPr>
          <w:p w14:paraId="58367910">
            <w:pPr>
              <w:spacing w:line="360" w:lineRule="auto"/>
              <w:jc w:val="left"/>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标的名称：</w:t>
            </w:r>
            <w:r>
              <w:rPr>
                <w:rFonts w:hint="eastAsia" w:ascii="宋体" w:hAnsi="宋体" w:eastAsia="宋体" w:cs="宋体"/>
                <w:b w:val="0"/>
                <w:bCs w:val="0"/>
                <w:kern w:val="2"/>
                <w:sz w:val="24"/>
                <w:szCs w:val="18"/>
              </w:rPr>
              <w:t>安徽省农业科学院水稻研究所肥西试验基地田间围栏工程</w:t>
            </w:r>
          </w:p>
          <w:p w14:paraId="5E2221E1">
            <w:pPr>
              <w:spacing w:line="360" w:lineRule="auto"/>
              <w:rPr>
                <w:rFonts w:hint="default" w:ascii="宋体" w:hAnsi="宋体" w:eastAsia="宋体" w:cs="宋体"/>
                <w:b w:val="0"/>
                <w:bCs w:val="0"/>
                <w:kern w:val="2"/>
                <w:sz w:val="24"/>
                <w:szCs w:val="22"/>
              </w:rPr>
            </w:pPr>
            <w:r>
              <w:rPr>
                <w:rFonts w:hint="eastAsia" w:ascii="宋体" w:hAnsi="宋体" w:eastAsia="宋体" w:cs="宋体"/>
                <w:b w:val="0"/>
                <w:bCs w:val="0"/>
                <w:kern w:val="2"/>
                <w:sz w:val="24"/>
                <w:szCs w:val="22"/>
              </w:rPr>
              <w:t>所属行业：建筑业</w:t>
            </w:r>
          </w:p>
        </w:tc>
      </w:tr>
    </w:tbl>
    <w:p w14:paraId="77D98B07">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5" w:name="_Toc15645"/>
      <w:bookmarkStart w:id="6" w:name="_Toc23730"/>
      <w:r>
        <w:rPr>
          <w:rFonts w:hint="eastAsia" w:ascii="宋体" w:hAnsi="宋体" w:eastAsia="宋体" w:cs="宋体"/>
          <w:b/>
          <w:bCs/>
          <w:kern w:val="2"/>
          <w:sz w:val="24"/>
          <w:szCs w:val="24"/>
          <w:lang w:val="en-US" w:eastAsia="zh-CN" w:bidi="ar-SA"/>
        </w:rPr>
        <w:t>一、</w:t>
      </w:r>
      <w:r>
        <w:rPr>
          <w:rFonts w:hint="eastAsia" w:ascii="宋体" w:hAnsi="宋体" w:eastAsia="宋体" w:cs="宋体"/>
          <w:b/>
          <w:bCs/>
          <w:kern w:val="2"/>
          <w:sz w:val="24"/>
          <w:szCs w:val="24"/>
          <w:lang w:val="zh-CN" w:eastAsia="zh-CN" w:bidi="ar-SA"/>
        </w:rPr>
        <w:t>项目概况及总体要求</w:t>
      </w:r>
      <w:bookmarkEnd w:id="5"/>
      <w:bookmarkEnd w:id="6"/>
    </w:p>
    <w:p w14:paraId="0604DAB5">
      <w:pPr>
        <w:spacing w:line="360" w:lineRule="auto"/>
        <w:ind w:firstLine="480" w:firstLineChars="200"/>
        <w:textAlignment w:val="baseline"/>
        <w:rPr>
          <w:rFonts w:hint="default" w:ascii="宋体" w:hAnsi="宋体" w:eastAsia="宋体" w:cs="宋体"/>
          <w:b/>
          <w:bCs/>
          <w:color w:val="auto"/>
          <w:kern w:val="0"/>
          <w:sz w:val="24"/>
          <w:szCs w:val="24"/>
        </w:rPr>
      </w:pPr>
      <w:r>
        <w:rPr>
          <w:rFonts w:hint="eastAsia" w:ascii="宋体" w:hAnsi="宋体" w:eastAsia="宋体" w:cs="宋体"/>
          <w:b w:val="0"/>
          <w:bCs w:val="0"/>
          <w:color w:val="auto"/>
          <w:kern w:val="0"/>
          <w:sz w:val="24"/>
          <w:szCs w:val="24"/>
        </w:rPr>
        <w:t>安徽省农业科学院水稻研究所肥西试验基地田间围栏工程，拟在基地试验田外围建设标准化围栏约5700米等，作为增强基地生物安全防护能力、维护良好科研秩序的重要基础设施，本次采购涵盖材料的供货、运输、现场制作与安装、土地平整以及后续维护等全部内容，具体详见图纸、清单及答疑。</w:t>
      </w:r>
    </w:p>
    <w:p w14:paraId="23D9B980">
      <w:pPr>
        <w:widowControl/>
        <w:spacing w:line="360" w:lineRule="auto"/>
        <w:jc w:val="both"/>
        <w:outlineLvl w:val="1"/>
        <w:rPr>
          <w:rFonts w:ascii="宋体" w:hAnsi="宋体" w:eastAsia="宋体" w:cs="宋体"/>
          <w:sz w:val="24"/>
          <w:szCs w:val="24"/>
          <w:lang w:val="en-US" w:eastAsia="zh-CN" w:bidi="ar-SA"/>
        </w:rPr>
      </w:pPr>
      <w:bookmarkStart w:id="7" w:name="_Toc455587091"/>
      <w:bookmarkStart w:id="8" w:name="_Toc445554749"/>
      <w:bookmarkStart w:id="9" w:name="_Toc18199"/>
      <w:bookmarkStart w:id="10" w:name="_Toc466024558"/>
      <w:bookmarkStart w:id="11" w:name="_Toc12271"/>
      <w:bookmarkStart w:id="12" w:name="_Toc455587275"/>
      <w:r>
        <w:rPr>
          <w:rFonts w:hint="eastAsia" w:ascii="宋体" w:hAnsi="宋体" w:eastAsia="黑体" w:cs="宋体"/>
          <w:b/>
          <w:bCs/>
          <w:kern w:val="2"/>
          <w:sz w:val="24"/>
          <w:szCs w:val="24"/>
          <w:lang w:val="en-US" w:eastAsia="zh-CN" w:bidi="ar-SA"/>
        </w:rPr>
        <w:t>二、</w:t>
      </w:r>
      <w:r>
        <w:rPr>
          <w:rFonts w:hint="eastAsia" w:ascii="宋体" w:hAnsi="宋体" w:eastAsia="宋体" w:cs="宋体"/>
          <w:b/>
          <w:bCs/>
          <w:kern w:val="2"/>
          <w:sz w:val="24"/>
          <w:szCs w:val="24"/>
          <w:lang w:val="en-US" w:eastAsia="zh-CN" w:bidi="ar-SA"/>
        </w:rPr>
        <w:t>技术要求</w:t>
      </w:r>
      <w:bookmarkEnd w:id="7"/>
      <w:bookmarkEnd w:id="8"/>
      <w:bookmarkEnd w:id="9"/>
      <w:bookmarkEnd w:id="10"/>
      <w:bookmarkEnd w:id="11"/>
      <w:bookmarkEnd w:id="12"/>
    </w:p>
    <w:p w14:paraId="7295AC7F">
      <w:pPr>
        <w:widowControl/>
        <w:spacing w:line="360" w:lineRule="auto"/>
        <w:ind w:firstLine="480" w:firstLineChars="20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按照图纸、工程量清单要求及最新国家相关标准、规范要求执行。</w:t>
      </w:r>
    </w:p>
    <w:p w14:paraId="0A53C00E">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3" w:name="_Toc29071"/>
      <w:bookmarkStart w:id="14" w:name="_Toc8900"/>
      <w:bookmarkStart w:id="15" w:name="OLE_LINK7"/>
      <w:r>
        <w:rPr>
          <w:rFonts w:hint="eastAsia" w:ascii="宋体" w:hAnsi="宋体" w:eastAsia="宋体" w:cs="宋体"/>
          <w:b/>
          <w:bCs/>
          <w:kern w:val="2"/>
          <w:sz w:val="24"/>
          <w:szCs w:val="24"/>
          <w:lang w:val="en-US" w:eastAsia="zh-CN" w:bidi="ar-SA"/>
        </w:rPr>
        <w:t>三、</w:t>
      </w:r>
      <w:r>
        <w:rPr>
          <w:rFonts w:hint="eastAsia" w:ascii="宋体" w:hAnsi="宋体" w:eastAsia="宋体" w:cs="宋体"/>
          <w:b/>
          <w:bCs/>
          <w:kern w:val="2"/>
          <w:sz w:val="24"/>
          <w:szCs w:val="24"/>
          <w:lang w:val="zh-CN" w:eastAsia="zh-CN" w:bidi="ar-SA"/>
        </w:rPr>
        <w:t>报价要求</w:t>
      </w:r>
      <w:bookmarkEnd w:id="13"/>
      <w:bookmarkEnd w:id="14"/>
    </w:p>
    <w:p w14:paraId="687520F8">
      <w:pPr>
        <w:keepNext/>
        <w:keepLines/>
        <w:spacing w:line="360" w:lineRule="auto"/>
        <w:outlineLvl w:val="1"/>
        <w:rPr>
          <w:rFonts w:hint="default" w:ascii="宋体" w:hAnsi="宋体" w:eastAsia="宋体" w:cs="宋体"/>
          <w:b/>
          <w:bCs/>
          <w:color w:val="000000"/>
          <w:kern w:val="0"/>
          <w:sz w:val="24"/>
          <w:szCs w:val="24"/>
        </w:rPr>
      </w:pPr>
      <w:bookmarkStart w:id="16" w:name="_Toc22767"/>
      <w:bookmarkStart w:id="17" w:name="_Toc28825"/>
      <w:bookmarkStart w:id="18" w:name="_Toc11545"/>
      <w:r>
        <w:rPr>
          <w:rFonts w:hint="eastAsia" w:ascii="宋体" w:hAnsi="宋体" w:eastAsia="宋体" w:cs="宋体"/>
          <w:b/>
          <w:bCs/>
          <w:color w:val="000000"/>
          <w:kern w:val="0"/>
          <w:sz w:val="24"/>
          <w:szCs w:val="24"/>
        </w:rPr>
        <w:t>3.1计价依据</w:t>
      </w:r>
      <w:bookmarkEnd w:id="16"/>
      <w:bookmarkEnd w:id="17"/>
      <w:bookmarkEnd w:id="18"/>
    </w:p>
    <w:p w14:paraId="2A0B5CF7">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3.1.1 计价依据的确定符合国家法律法规、现行有关标准与规范，工程所在地的省、市工程定额和工程造价的规定以及工程造价信息要求。</w:t>
      </w:r>
    </w:p>
    <w:p w14:paraId="585DCA87">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3.1.2 </w:t>
      </w:r>
      <w:bookmarkStart w:id="19" w:name="OLE_LINK6"/>
      <w:r>
        <w:rPr>
          <w:rFonts w:hint="eastAsia" w:ascii="宋体" w:hAnsi="宋体" w:eastAsia="宋体" w:cs="宋体"/>
          <w:b w:val="0"/>
          <w:bCs w:val="0"/>
          <w:color w:val="000000"/>
          <w:kern w:val="0"/>
          <w:sz w:val="24"/>
          <w:szCs w:val="24"/>
        </w:rPr>
        <w:t>安全文明施工费</w:t>
      </w:r>
      <w:bookmarkEnd w:id="19"/>
      <w:r>
        <w:rPr>
          <w:rFonts w:hint="eastAsia" w:ascii="宋体" w:hAnsi="宋体" w:eastAsia="宋体" w:cs="宋体"/>
          <w:b w:val="0"/>
          <w:bCs w:val="0"/>
          <w:color w:val="000000"/>
          <w:kern w:val="0"/>
          <w:sz w:val="24"/>
          <w:szCs w:val="24"/>
        </w:rPr>
        <w:t>：详见最高限价中安全文明施工费。</w:t>
      </w:r>
    </w:p>
    <w:p w14:paraId="3425E002">
      <w:pPr>
        <w:keepNext/>
        <w:keepLines/>
        <w:spacing w:line="360" w:lineRule="auto"/>
        <w:outlineLvl w:val="1"/>
        <w:rPr>
          <w:rFonts w:hint="default" w:ascii="宋体" w:hAnsi="宋体" w:eastAsia="宋体" w:cs="宋体"/>
          <w:b/>
          <w:bCs/>
          <w:color w:val="000000"/>
          <w:kern w:val="0"/>
          <w:sz w:val="24"/>
          <w:szCs w:val="24"/>
        </w:rPr>
      </w:pPr>
      <w:bookmarkStart w:id="20" w:name="_Toc4564"/>
      <w:bookmarkStart w:id="21" w:name="_Toc22414"/>
      <w:bookmarkStart w:id="22" w:name="_Toc22790"/>
      <w:r>
        <w:rPr>
          <w:rFonts w:hint="eastAsia" w:ascii="宋体" w:hAnsi="宋体" w:eastAsia="宋体" w:cs="宋体"/>
          <w:b/>
          <w:bCs/>
          <w:color w:val="000000"/>
          <w:kern w:val="0"/>
          <w:sz w:val="24"/>
          <w:szCs w:val="24"/>
        </w:rPr>
        <w:t>3.2响应报价参考编制要求</w:t>
      </w:r>
      <w:bookmarkEnd w:id="20"/>
      <w:bookmarkEnd w:id="21"/>
      <w:bookmarkEnd w:id="22"/>
    </w:p>
    <w:p w14:paraId="12A6C15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kern w:val="0"/>
          <w:sz w:val="24"/>
          <w:szCs w:val="24"/>
        </w:rPr>
        <w:t>3.2.1 响应报价编制参考依据：</w:t>
      </w:r>
      <w:r>
        <w:rPr>
          <w:rFonts w:hint="eastAsia" w:ascii="宋体" w:hAnsi="宋体" w:eastAsia="宋体" w:cs="宋体"/>
          <w:b w:val="0"/>
          <w:bCs w:val="0"/>
          <w:color w:val="000000"/>
          <w:kern w:val="0"/>
          <w:sz w:val="24"/>
          <w:szCs w:val="24"/>
        </w:rPr>
        <w:t>详见清单编制说明（如有）。</w:t>
      </w:r>
    </w:p>
    <w:p w14:paraId="32F2E84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3.2.2供应商应仔细阅读采购文件，了解全部工程内容。供应商的响应报价应是采购文件所确定的采购范围内全部工程内容的价格体现，但其响应报价不得低于供应商个别成本价。</w:t>
      </w:r>
    </w:p>
    <w:p w14:paraId="7956461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3.2.3供应商应按采购人提供的工程量清单填报综合单价和合价，未填报的综合单价和合价，视为此项费用已合在工程量清单的其他综合单价和合价中。</w:t>
      </w:r>
    </w:p>
    <w:p w14:paraId="3CFFCFAB">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7E953FB2">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3.2.5措施项目费依据第3.2.1项编制依据确定。</w:t>
      </w:r>
    </w:p>
    <w:p w14:paraId="7A1425C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3.2.6不可竞争费（含安全文明施工费、环境保护税）根据工程量清单不可竞争项目，结合第3.2.1项编制依据确定，安全文明施工费费率不得调整。</w:t>
      </w:r>
    </w:p>
    <w:p w14:paraId="589A09AD">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3.2.7其他项目费用应按照下列规定计价：</w:t>
      </w:r>
    </w:p>
    <w:p w14:paraId="58EA5551">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（1）暂列金额按工程量清单中列出的金额填写，不得更改；</w:t>
      </w:r>
    </w:p>
    <w:p w14:paraId="003C6324">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（2）专业工程暂估价按工程量清单中列出的金额填写，不得更改；</w:t>
      </w:r>
    </w:p>
    <w:p w14:paraId="362A9F7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（3）计日工按采购人列出项目和数量，结合第3.2.1项编制依据的要求确定综合单价并计算费用； </w:t>
      </w:r>
    </w:p>
    <w:p w14:paraId="34D95908">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（4）总承包服务费根据采购文件列出的内容和要求计算。</w:t>
      </w:r>
    </w:p>
    <w:p w14:paraId="58983F0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3.2.8税金（增值税）按税金项目清单，结合第3.2.1项编制依据的要求编制，不得调整。</w:t>
      </w:r>
    </w:p>
    <w:p w14:paraId="1F818E31">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3.2.9 响应报价编制注意事项</w:t>
      </w:r>
    </w:p>
    <w:p w14:paraId="31119751">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对于受施工现场场地限制，如需要另外寻找场地解决临时住宿、材料及设备堆放，由此所产生的费用应包含在响应报价范围内，采购人不再承担该费用</w:t>
      </w:r>
      <w:r>
        <w:rPr>
          <w:rFonts w:hint="eastAsia" w:ascii="宋体" w:hAnsi="宋体" w:eastAsia="宋体" w:cs="宋体"/>
          <w:b w:val="0"/>
          <w:bCs/>
          <w:kern w:val="0"/>
          <w:sz w:val="24"/>
          <w:szCs w:val="24"/>
        </w:rPr>
        <w:t>。</w:t>
      </w:r>
    </w:p>
    <w:bookmarkEnd w:id="15"/>
    <w:p w14:paraId="51418F3F">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23" w:name="_Toc26113"/>
      <w:bookmarkStart w:id="24" w:name="_Toc25124"/>
      <w:bookmarkStart w:id="25" w:name="_Toc527541657"/>
      <w:r>
        <w:rPr>
          <w:rFonts w:hint="eastAsia" w:ascii="宋体" w:hAnsi="宋体" w:eastAsia="宋体" w:cs="宋体"/>
          <w:b/>
          <w:bCs/>
          <w:kern w:val="2"/>
          <w:sz w:val="24"/>
          <w:szCs w:val="24"/>
          <w:lang w:val="en-US" w:eastAsia="zh-CN" w:bidi="ar-SA"/>
        </w:rPr>
        <w:t>四、</w:t>
      </w:r>
      <w:r>
        <w:rPr>
          <w:rFonts w:hint="eastAsia" w:ascii="宋体" w:hAnsi="宋体" w:eastAsia="宋体" w:cs="宋体"/>
          <w:b/>
          <w:bCs/>
          <w:kern w:val="2"/>
          <w:sz w:val="24"/>
          <w:szCs w:val="24"/>
          <w:lang w:val="zh-CN" w:eastAsia="zh-CN" w:bidi="ar-SA"/>
        </w:rPr>
        <w:t>工程量清单</w:t>
      </w:r>
      <w:bookmarkEnd w:id="23"/>
      <w:bookmarkEnd w:id="24"/>
    </w:p>
    <w:bookmarkEnd w:id="25"/>
    <w:p w14:paraId="7DE9767E">
      <w:pPr>
        <w:widowControl w:val="0"/>
        <w:adjustRightInd/>
        <w:snapToGrid/>
        <w:spacing w:line="360" w:lineRule="auto"/>
        <w:ind w:firstLine="482" w:firstLineChars="200"/>
        <w:jc w:val="both"/>
        <w:textAlignment w:val="baseline"/>
        <w:rPr>
          <w:rFonts w:ascii="宋体" w:hAnsi="宋体" w:eastAsia="宋体" w:cs="宋体"/>
          <w:b/>
          <w:color w:val="auto"/>
          <w:sz w:val="24"/>
          <w:szCs w:val="24"/>
          <w:lang w:val="en-US" w:eastAsia="zh-CN" w:bidi="ar-SA"/>
        </w:rPr>
      </w:pPr>
      <w:r>
        <w:rPr>
          <w:rFonts w:hint="eastAsia" w:ascii="宋体" w:hAnsi="宋体" w:eastAsia="宋体" w:cs="宋体"/>
          <w:b/>
          <w:color w:val="auto"/>
          <w:sz w:val="24"/>
          <w:szCs w:val="24"/>
          <w:lang w:val="en-US" w:eastAsia="zh-CN" w:bidi="ar-SA"/>
        </w:rPr>
        <w:t>另行发放。如工程量清单中涉及证明材料，供应商无须提供。如工程量清单中出现特定性、唯一性品牌的表述，该品牌仅作为参考，施工过程中不具有限定性。</w:t>
      </w:r>
    </w:p>
    <w:p w14:paraId="3C5037A0">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26" w:name="_Toc4770"/>
      <w:bookmarkStart w:id="27" w:name="_Hlk165186373"/>
      <w:bookmarkStart w:id="28" w:name="_Toc527541659"/>
      <w:bookmarkStart w:id="29" w:name="_Toc31135"/>
      <w:r>
        <w:rPr>
          <w:rFonts w:hint="eastAsia" w:ascii="宋体" w:hAnsi="宋体" w:eastAsia="宋体" w:cs="宋体"/>
          <w:b/>
          <w:bCs/>
          <w:kern w:val="2"/>
          <w:sz w:val="24"/>
          <w:szCs w:val="24"/>
          <w:lang w:val="en-US" w:eastAsia="zh-CN" w:bidi="ar-SA"/>
        </w:rPr>
        <w:t>五、</w:t>
      </w:r>
      <w:r>
        <w:rPr>
          <w:rFonts w:hint="eastAsia" w:ascii="宋体" w:hAnsi="宋体" w:eastAsia="宋体" w:cs="宋体"/>
          <w:b/>
          <w:bCs/>
          <w:kern w:val="2"/>
          <w:sz w:val="24"/>
          <w:szCs w:val="24"/>
          <w:lang w:val="zh-CN" w:eastAsia="zh-CN" w:bidi="ar-SA"/>
        </w:rPr>
        <w:t>图纸</w:t>
      </w:r>
      <w:bookmarkEnd w:id="26"/>
      <w:bookmarkEnd w:id="27"/>
      <w:bookmarkEnd w:id="28"/>
      <w:bookmarkEnd w:id="29"/>
    </w:p>
    <w:p w14:paraId="478BD6CA">
      <w:pPr>
        <w:spacing w:line="360" w:lineRule="auto"/>
        <w:ind w:firstLine="482" w:firstLineChars="200"/>
        <w:rPr>
          <w:rFonts w:hint="default" w:ascii="宋体" w:hAnsi="宋体" w:eastAsia="宋体" w:cs="宋体"/>
          <w:b/>
          <w:bCs/>
          <w:kern w:val="0"/>
          <w:sz w:val="24"/>
          <w:szCs w:val="24"/>
        </w:rPr>
      </w:pPr>
      <w:r>
        <w:rPr>
          <w:rFonts w:hint="eastAsia" w:ascii="宋体" w:hAnsi="宋体" w:eastAsia="宋体" w:cs="宋体"/>
          <w:b/>
          <w:bCs/>
          <w:kern w:val="0"/>
          <w:sz w:val="24"/>
          <w:szCs w:val="24"/>
        </w:rPr>
        <w:t>另行发放。如图纸中涉及证明材料，供应商无须提供。如图纸中出现特定性、唯一性品牌的表述，该品牌仅作为参考，施工过程中不具有限定性。</w:t>
      </w:r>
    </w:p>
    <w:p w14:paraId="08C2B541">
      <w:pPr>
        <w:spacing w:line="360" w:lineRule="auto"/>
        <w:rPr>
          <w:rFonts w:hint="default" w:ascii="Times New Roman" w:hAnsi="Times New Roman" w:eastAsia="黑体" w:cs="黑体"/>
          <w:b w:val="0"/>
          <w:bCs/>
          <w:color w:val="000000"/>
          <w:kern w:val="0"/>
          <w:sz w:val="24"/>
          <w:szCs w:val="24"/>
        </w:rPr>
      </w:pPr>
      <w:r>
        <w:rPr>
          <w:rFonts w:hint="eastAsia" w:ascii="宋体" w:hAnsi="宋体" w:eastAsia="宋体" w:cs="宋体"/>
          <w:b/>
          <w:bCs/>
          <w:kern w:val="0"/>
          <w:sz w:val="24"/>
          <w:szCs w:val="24"/>
        </w:rPr>
        <w:t>六、</w:t>
      </w:r>
      <w:bookmarkStart w:id="30" w:name="_Toc460226994"/>
      <w:bookmarkStart w:id="31" w:name="_Toc460226725"/>
      <w:bookmarkStart w:id="32" w:name="_Toc460660067"/>
      <w:r>
        <w:rPr>
          <w:rFonts w:hint="eastAsia" w:ascii="宋体" w:hAnsi="宋体" w:eastAsia="宋体" w:cs="宋体"/>
          <w:b/>
          <w:bCs/>
          <w:kern w:val="0"/>
          <w:sz w:val="24"/>
          <w:szCs w:val="24"/>
        </w:rPr>
        <w:t>其他主要管理人员和技术人员最低要求</w:t>
      </w:r>
    </w:p>
    <w:tbl>
      <w:tblPr>
        <w:tblStyle w:val="2"/>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1034"/>
        <w:gridCol w:w="5533"/>
      </w:tblGrid>
      <w:tr w14:paraId="0987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0F135079">
            <w:pPr>
              <w:adjustRightInd w:val="0"/>
              <w:snapToGrid w:val="0"/>
              <w:spacing w:line="360" w:lineRule="auto"/>
              <w:jc w:val="center"/>
              <w:rPr>
                <w:rFonts w:hint="default"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人员岗位</w:t>
            </w:r>
          </w:p>
        </w:tc>
        <w:tc>
          <w:tcPr>
            <w:tcW w:w="1034" w:type="dxa"/>
            <w:tcBorders>
              <w:top w:val="single" w:color="auto" w:sz="4" w:space="0"/>
              <w:left w:val="single" w:color="auto" w:sz="4" w:space="0"/>
              <w:bottom w:val="single" w:color="auto" w:sz="4" w:space="0"/>
              <w:right w:val="single" w:color="auto" w:sz="4" w:space="0"/>
            </w:tcBorders>
            <w:vAlign w:val="center"/>
          </w:tcPr>
          <w:p w14:paraId="5912A62C">
            <w:pPr>
              <w:adjustRightInd w:val="0"/>
              <w:snapToGrid w:val="0"/>
              <w:spacing w:line="360" w:lineRule="auto"/>
              <w:jc w:val="center"/>
              <w:rPr>
                <w:rFonts w:hint="default"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数量</w:t>
            </w:r>
          </w:p>
        </w:tc>
        <w:tc>
          <w:tcPr>
            <w:tcW w:w="5533" w:type="dxa"/>
            <w:tcBorders>
              <w:top w:val="single" w:color="auto" w:sz="4" w:space="0"/>
              <w:left w:val="single" w:color="auto" w:sz="4" w:space="0"/>
              <w:bottom w:val="single" w:color="auto" w:sz="4" w:space="0"/>
              <w:right w:val="single" w:color="auto" w:sz="4" w:space="0"/>
            </w:tcBorders>
            <w:vAlign w:val="center"/>
          </w:tcPr>
          <w:p w14:paraId="11440E49">
            <w:pPr>
              <w:adjustRightInd w:val="0"/>
              <w:snapToGrid w:val="0"/>
              <w:spacing w:line="360" w:lineRule="auto"/>
              <w:jc w:val="center"/>
              <w:rPr>
                <w:rFonts w:hint="default"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资格要求</w:t>
            </w:r>
          </w:p>
        </w:tc>
      </w:tr>
      <w:tr w14:paraId="5DCF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6DDD879F">
            <w:pPr>
              <w:autoSpaceDE w:val="0"/>
              <w:autoSpaceDN w:val="0"/>
              <w:adjustRightIn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技术负责人</w:t>
            </w:r>
          </w:p>
        </w:tc>
        <w:tc>
          <w:tcPr>
            <w:tcW w:w="1034" w:type="dxa"/>
            <w:tcBorders>
              <w:top w:val="single" w:color="auto" w:sz="4" w:space="0"/>
              <w:left w:val="single" w:color="auto" w:sz="4" w:space="0"/>
              <w:bottom w:val="single" w:color="auto" w:sz="4" w:space="0"/>
              <w:right w:val="single" w:color="auto" w:sz="4" w:space="0"/>
            </w:tcBorders>
            <w:vAlign w:val="center"/>
          </w:tcPr>
          <w:p w14:paraId="6ECF51C7">
            <w:pPr>
              <w:widowControl/>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1人</w:t>
            </w:r>
          </w:p>
        </w:tc>
        <w:tc>
          <w:tcPr>
            <w:tcW w:w="5533" w:type="dxa"/>
            <w:tcBorders>
              <w:top w:val="single" w:color="auto" w:sz="4" w:space="0"/>
              <w:left w:val="single" w:color="auto" w:sz="4" w:space="0"/>
              <w:right w:val="single" w:color="auto" w:sz="4" w:space="0"/>
            </w:tcBorders>
          </w:tcPr>
          <w:p w14:paraId="44DC1D91">
            <w:pPr>
              <w:spacing w:line="360" w:lineRule="auto"/>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详见评审方法和标准中“综合评分”要求</w:t>
            </w:r>
          </w:p>
        </w:tc>
      </w:tr>
      <w:tr w14:paraId="4374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4278887C">
            <w:pPr>
              <w:autoSpaceDE w:val="0"/>
              <w:autoSpaceDN w:val="0"/>
              <w:adjustRightIn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施工员</w:t>
            </w:r>
          </w:p>
        </w:tc>
        <w:tc>
          <w:tcPr>
            <w:tcW w:w="1034" w:type="dxa"/>
            <w:tcBorders>
              <w:top w:val="single" w:color="auto" w:sz="4" w:space="0"/>
              <w:left w:val="single" w:color="auto" w:sz="4" w:space="0"/>
              <w:bottom w:val="single" w:color="auto" w:sz="4" w:space="0"/>
              <w:right w:val="single" w:color="auto" w:sz="4" w:space="0"/>
            </w:tcBorders>
            <w:vAlign w:val="center"/>
          </w:tcPr>
          <w:p w14:paraId="75CDEEDC">
            <w:pPr>
              <w:widowControl/>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1人</w:t>
            </w:r>
          </w:p>
        </w:tc>
        <w:tc>
          <w:tcPr>
            <w:tcW w:w="5533" w:type="dxa"/>
            <w:tcBorders>
              <w:top w:val="single" w:color="auto" w:sz="4" w:space="0"/>
              <w:left w:val="single" w:color="auto" w:sz="4" w:space="0"/>
              <w:right w:val="single" w:color="auto" w:sz="4" w:space="0"/>
            </w:tcBorders>
          </w:tcPr>
          <w:p w14:paraId="2D9F8B5E">
            <w:pPr>
              <w:spacing w:line="360" w:lineRule="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w:t>
            </w:r>
          </w:p>
        </w:tc>
      </w:tr>
      <w:tr w14:paraId="1945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5E90F2A0">
            <w:pPr>
              <w:autoSpaceDE w:val="0"/>
              <w:autoSpaceDN w:val="0"/>
              <w:adjustRightIn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质量员/质检员</w:t>
            </w:r>
          </w:p>
        </w:tc>
        <w:tc>
          <w:tcPr>
            <w:tcW w:w="1034" w:type="dxa"/>
            <w:tcBorders>
              <w:top w:val="single" w:color="auto" w:sz="4" w:space="0"/>
              <w:left w:val="single" w:color="auto" w:sz="4" w:space="0"/>
              <w:bottom w:val="single" w:color="auto" w:sz="4" w:space="0"/>
              <w:right w:val="single" w:color="auto" w:sz="4" w:space="0"/>
            </w:tcBorders>
            <w:vAlign w:val="center"/>
          </w:tcPr>
          <w:p w14:paraId="78A4BEB4">
            <w:pPr>
              <w:adjustRightInd w:val="0"/>
              <w:snapToGri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1人</w:t>
            </w:r>
          </w:p>
        </w:tc>
        <w:tc>
          <w:tcPr>
            <w:tcW w:w="5533" w:type="dxa"/>
            <w:tcBorders>
              <w:left w:val="single" w:color="auto" w:sz="4" w:space="0"/>
              <w:right w:val="single" w:color="auto" w:sz="4" w:space="0"/>
            </w:tcBorders>
            <w:vAlign w:val="center"/>
          </w:tcPr>
          <w:p w14:paraId="709825E5">
            <w:pPr>
              <w:spacing w:line="360" w:lineRule="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w:t>
            </w:r>
          </w:p>
        </w:tc>
      </w:tr>
      <w:tr w14:paraId="51D1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40AF3CD0">
            <w:pPr>
              <w:autoSpaceDE w:val="0"/>
              <w:autoSpaceDN w:val="0"/>
              <w:adjustRightIn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安全员</w:t>
            </w:r>
          </w:p>
        </w:tc>
        <w:tc>
          <w:tcPr>
            <w:tcW w:w="1034" w:type="dxa"/>
            <w:tcBorders>
              <w:top w:val="single" w:color="auto" w:sz="4" w:space="0"/>
              <w:left w:val="single" w:color="auto" w:sz="4" w:space="0"/>
              <w:bottom w:val="single" w:color="auto" w:sz="4" w:space="0"/>
              <w:right w:val="single" w:color="auto" w:sz="4" w:space="0"/>
            </w:tcBorders>
            <w:vAlign w:val="center"/>
          </w:tcPr>
          <w:p w14:paraId="129F5E14">
            <w:pPr>
              <w:adjustRightInd w:val="0"/>
              <w:snapToGri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1人</w:t>
            </w:r>
          </w:p>
        </w:tc>
        <w:tc>
          <w:tcPr>
            <w:tcW w:w="5533" w:type="dxa"/>
            <w:tcBorders>
              <w:left w:val="single" w:color="auto" w:sz="4" w:space="0"/>
              <w:right w:val="single" w:color="auto" w:sz="4" w:space="0"/>
            </w:tcBorders>
            <w:vAlign w:val="center"/>
          </w:tcPr>
          <w:p w14:paraId="6EE5F862">
            <w:pPr>
              <w:spacing w:line="360" w:lineRule="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w:t>
            </w:r>
          </w:p>
        </w:tc>
      </w:tr>
      <w:tr w14:paraId="3002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949" w:type="dxa"/>
            <w:tcBorders>
              <w:top w:val="single" w:color="auto" w:sz="4" w:space="0"/>
              <w:left w:val="single" w:color="auto" w:sz="4" w:space="0"/>
              <w:bottom w:val="single" w:color="auto" w:sz="4" w:space="0"/>
              <w:right w:val="single" w:color="auto" w:sz="4" w:space="0"/>
            </w:tcBorders>
            <w:vAlign w:val="center"/>
          </w:tcPr>
          <w:p w14:paraId="48F3B368">
            <w:pPr>
              <w:autoSpaceDE w:val="0"/>
              <w:autoSpaceDN w:val="0"/>
              <w:adjustRightIn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资料员</w:t>
            </w:r>
          </w:p>
        </w:tc>
        <w:tc>
          <w:tcPr>
            <w:tcW w:w="1034" w:type="dxa"/>
            <w:tcBorders>
              <w:top w:val="single" w:color="auto" w:sz="4" w:space="0"/>
              <w:left w:val="single" w:color="auto" w:sz="4" w:space="0"/>
              <w:bottom w:val="single" w:color="auto" w:sz="4" w:space="0"/>
              <w:right w:val="single" w:color="auto" w:sz="4" w:space="0"/>
            </w:tcBorders>
            <w:vAlign w:val="center"/>
          </w:tcPr>
          <w:p w14:paraId="710506B2">
            <w:pPr>
              <w:adjustRightInd w:val="0"/>
              <w:snapToGrid w:val="0"/>
              <w:spacing w:line="360" w:lineRule="auto"/>
              <w:jc w:val="center"/>
              <w:rPr>
                <w:rFonts w:hint="default"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1人</w:t>
            </w:r>
          </w:p>
        </w:tc>
        <w:tc>
          <w:tcPr>
            <w:tcW w:w="5533" w:type="dxa"/>
            <w:tcBorders>
              <w:left w:val="single" w:color="auto" w:sz="4" w:space="0"/>
              <w:right w:val="single" w:color="auto" w:sz="4" w:space="0"/>
            </w:tcBorders>
            <w:vAlign w:val="center"/>
          </w:tcPr>
          <w:p w14:paraId="3328E1A9">
            <w:pPr>
              <w:spacing w:line="360" w:lineRule="auto"/>
              <w:rPr>
                <w:rFonts w:hint="eastAsia" w:ascii="宋体" w:hAnsi="宋体" w:eastAsia="宋体" w:cs="宋体"/>
                <w:b w:val="0"/>
                <w:bCs/>
                <w:color w:val="000000"/>
                <w:kern w:val="0"/>
                <w:sz w:val="24"/>
                <w:szCs w:val="24"/>
                <w:lang w:val="en-US" w:eastAsia="zh-CN"/>
              </w:rPr>
            </w:pPr>
            <w:r>
              <w:rPr>
                <w:rFonts w:hint="eastAsia" w:ascii="宋体" w:hAnsi="宋体" w:eastAsia="宋体" w:cs="宋体"/>
                <w:b w:val="0"/>
                <w:bCs/>
                <w:color w:val="000000"/>
                <w:kern w:val="0"/>
                <w:sz w:val="24"/>
                <w:szCs w:val="24"/>
                <w:lang w:val="en-US" w:eastAsia="zh-CN"/>
              </w:rPr>
              <w:t>/</w:t>
            </w:r>
            <w:bookmarkStart w:id="33" w:name="_GoBack"/>
            <w:bookmarkEnd w:id="33"/>
          </w:p>
        </w:tc>
      </w:tr>
      <w:bookmarkEnd w:id="30"/>
      <w:bookmarkEnd w:id="31"/>
      <w:bookmarkEnd w:id="32"/>
    </w:tbl>
    <w:p w14:paraId="3A6353F2">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注：</w:t>
      </w:r>
    </w:p>
    <w:p w14:paraId="6B185F4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1.本表中“施工员”、“质量员/质检员”、“安全员”、“资料员”为采购人按照相关规定要求供应商成交后需要配备其他主要管理人员和技术人员数量的最低要求。</w:t>
      </w:r>
    </w:p>
    <w:p w14:paraId="12C2216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2.除评审方法和标准另有要求外，项目实施时，成交供应商和采购人在签订合同时应按照不低于本表人员配置的要求填写承包人主要施工管理人员表，并作为合同的附件之一。</w:t>
      </w:r>
    </w:p>
    <w:p w14:paraId="3A3D1D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02964"/>
    <w:rsid w:val="10394623"/>
    <w:rsid w:val="1AF42245"/>
    <w:rsid w:val="1D50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eastAsia="仿宋" w:asciiTheme="minorHAnsi" w:hAnsiTheme="minorHAnsi" w:cstheme="minorBidi"/>
      <w:b/>
      <w:bCs/>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2026-03-30T02:07:00Z</dcterms:created>
  <dc:creator>admin</dc:creator>
  <cp:lastModifiedBy>admin</cp:lastModifiedBy>
  <dcterms:modified xsi:type="dcterms:W3CDTF">2026-03-30T07:18:47Z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A4303D3BAC814D718EA8359F555357C1_11</vt:lpwstr>
  </property>
  <property fmtid="{D5CDD505-2E9C-101B-9397-08002B2CF9AE}" pid="4" name="KSOTemplateDocerSaveRecord">
    <vt:lpwstr>eyJoZGlkIjoiNGMwMTQ4YTY5ZjhmMzQyYzc0YTE3NTkyOGVmODk0MTIiLCJ1c2VySWQiOiI5Nzc2NjYwNjkifQ==</vt:lpwstr>
  </property>
</Properties>
</file>