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53A0A">
      <w:pPr>
        <w:keepNext/>
        <w:keepLines/>
        <w:pageBreakBefore w:val="0"/>
        <w:widowControl w:val="0"/>
        <w:wordWrap w:val="0"/>
        <w:topLinePunct w:val="0"/>
        <w:bidi w:val="0"/>
        <w:spacing w:line="360" w:lineRule="auto"/>
        <w:jc w:val="center"/>
        <w:outlineLvl w:val="0"/>
        <w:rPr>
          <w:rFonts w:hint="eastAsia" w:ascii="方正小标宋_GBK" w:hAnsi="方正小标宋_GBK" w:eastAsia="华文中宋" w:cs="方正小标宋_GBK"/>
          <w:bCs/>
          <w:color w:val="auto"/>
          <w:kern w:val="44"/>
          <w:sz w:val="44"/>
          <w:szCs w:val="44"/>
          <w:highlight w:val="none"/>
          <w:lang w:val="en-US" w:eastAsia="zh-CN" w:bidi="ar-SA"/>
        </w:rPr>
      </w:pPr>
      <w:r>
        <w:rPr>
          <w:rFonts w:hint="eastAsia" w:ascii="方正小标宋_GBK" w:hAnsi="方正小标宋_GBK" w:eastAsia="华文中宋" w:cs="方正小标宋_GBK"/>
          <w:bCs/>
          <w:color w:val="auto"/>
          <w:kern w:val="44"/>
          <w:sz w:val="44"/>
          <w:szCs w:val="44"/>
          <w:highlight w:val="none"/>
          <w:lang w:val="en-US" w:eastAsia="zh-CN" w:bidi="ar-SA"/>
        </w:rPr>
        <w:t>采购需求</w:t>
      </w:r>
    </w:p>
    <w:p w14:paraId="6B5E2EF8">
      <w:pPr>
        <w:pageBreakBefore w:val="0"/>
        <w:wordWrap w:val="0"/>
        <w:topLinePunct w:val="0"/>
        <w:bidi w:val="0"/>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08BCE3C4">
      <w:pPr>
        <w:pageBreakBefore w:val="0"/>
        <w:wordWrap w:val="0"/>
        <w:topLinePunct w:val="0"/>
        <w:bidi w:val="0"/>
        <w:spacing w:line="360" w:lineRule="auto"/>
        <w:ind w:firstLine="480" w:firstLineChars="200"/>
        <w:rPr>
          <w:rFonts w:hint="eastAsia" w:ascii="宋体" w:hAnsi="宋体" w:eastAsia="宋体" w:cs="宋体"/>
          <w:color w:val="auto"/>
          <w:sz w:val="24"/>
          <w:szCs w:val="18"/>
          <w:highlight w:val="none"/>
        </w:rPr>
      </w:pPr>
      <w:bookmarkStart w:id="0"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69418150">
      <w:pPr>
        <w:pageBreakBefore w:val="0"/>
        <w:wordWrap w:val="0"/>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6DBC8621">
      <w:pPr>
        <w:pageBreakBefore w:val="0"/>
        <w:wordWrap w:val="0"/>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D71731B">
      <w:pPr>
        <w:pageBreakBefore w:val="0"/>
        <w:wordWrap w:val="0"/>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5E786F">
      <w:pPr>
        <w:pageBreakBefore w:val="0"/>
        <w:wordWrap w:val="0"/>
        <w:topLinePunct w:val="0"/>
        <w:bidi w:val="0"/>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281855AF">
      <w:pPr>
        <w:keepNext/>
        <w:keepLines/>
        <w:pageBreakBefore w:val="0"/>
        <w:widowControl w:val="0"/>
        <w:wordWrap w:val="0"/>
        <w:topLinePunct w:val="0"/>
        <w:bidi w:val="0"/>
        <w:spacing w:before="240" w:line="360" w:lineRule="auto"/>
        <w:ind w:firstLine="0" w:firstLineChars="0"/>
        <w:jc w:val="left"/>
        <w:outlineLvl w:val="1"/>
        <w:rPr>
          <w:rFonts w:ascii="Arial" w:hAnsi="Arial" w:eastAsia="黑体" w:cs="Times New Roman"/>
          <w:bCs/>
          <w:color w:val="auto"/>
          <w:kern w:val="0"/>
          <w:sz w:val="28"/>
          <w:szCs w:val="32"/>
          <w:highlight w:val="none"/>
          <w:lang w:val="en-US" w:eastAsia="zh-CN" w:bidi="ar-SA"/>
        </w:rPr>
      </w:pPr>
      <w:bookmarkStart w:id="1" w:name="_Toc337877615"/>
      <w:bookmarkStart w:id="2" w:name="_Toc1437377518_WPSOffice_Level2"/>
      <w:bookmarkStart w:id="3" w:name="_Toc1899401549"/>
      <w:bookmarkStart w:id="4" w:name="_Toc292361325"/>
      <w:bookmarkStart w:id="5" w:name="_Toc1064185329"/>
      <w:bookmarkStart w:id="6" w:name="_Toc1452677390"/>
      <w:bookmarkStart w:id="7" w:name="_Toc2025078090"/>
      <w:bookmarkStart w:id="8" w:name="_Toc382548620"/>
      <w:r>
        <w:rPr>
          <w:rFonts w:hint="eastAsia" w:ascii="Arial" w:hAnsi="Arial" w:eastAsia="黑体" w:cs="Times New Roman"/>
          <w:bCs/>
          <w:color w:val="auto"/>
          <w:kern w:val="0"/>
          <w:sz w:val="28"/>
          <w:szCs w:val="32"/>
          <w:highlight w:val="none"/>
          <w:lang w:val="en-US" w:eastAsia="zh-CN" w:bidi="ar-SA"/>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1AB5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F8D821A">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color w:val="auto"/>
                <w:kern w:val="2"/>
                <w:sz w:val="24"/>
                <w:szCs w:val="20"/>
                <w:highlight w:val="none"/>
                <w:lang w:val="en-US" w:eastAsia="zh-CN" w:bidi="ar-SA"/>
              </w:rPr>
              <w:t>序号</w:t>
            </w:r>
          </w:p>
        </w:tc>
        <w:tc>
          <w:tcPr>
            <w:tcW w:w="2054" w:type="dxa"/>
            <w:noWrap w:val="0"/>
            <w:vAlign w:val="center"/>
          </w:tcPr>
          <w:p w14:paraId="0A419531">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条款名称</w:t>
            </w:r>
          </w:p>
        </w:tc>
        <w:tc>
          <w:tcPr>
            <w:tcW w:w="5544" w:type="dxa"/>
            <w:noWrap w:val="0"/>
            <w:vAlign w:val="center"/>
          </w:tcPr>
          <w:p w14:paraId="042A749A">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内容、说明与要求</w:t>
            </w:r>
          </w:p>
        </w:tc>
      </w:tr>
      <w:tr w14:paraId="6F01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1B1CEE9">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1</w:t>
            </w:r>
          </w:p>
        </w:tc>
        <w:tc>
          <w:tcPr>
            <w:tcW w:w="2054" w:type="dxa"/>
            <w:noWrap w:val="0"/>
            <w:vAlign w:val="center"/>
          </w:tcPr>
          <w:p w14:paraId="5CAE7F9B">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付款方式</w:t>
            </w:r>
          </w:p>
        </w:tc>
        <w:tc>
          <w:tcPr>
            <w:tcW w:w="5544" w:type="dxa"/>
            <w:noWrap w:val="0"/>
            <w:vAlign w:val="center"/>
          </w:tcPr>
          <w:p w14:paraId="3D9C0E6D">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1、合同签订并收到中标人提供的等额预付款保函或其他担保措施后，采购人支付合同价款的40%；</w:t>
            </w:r>
          </w:p>
          <w:p w14:paraId="7ED930FF">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2、货物运送到学校后，采购人支付合同价款的30%；</w:t>
            </w:r>
          </w:p>
          <w:p w14:paraId="16DA97C9">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3、所有设备安装调试完毕且经过验收合格正常使用后一次性付清剩余合同价款。</w:t>
            </w:r>
          </w:p>
          <w:p w14:paraId="20E01951">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备注：</w:t>
            </w:r>
          </w:p>
          <w:p w14:paraId="39FB6AB8">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（1）本项目要求中标人提供预付款保函或其他担保措施。</w:t>
            </w:r>
          </w:p>
          <w:p w14:paraId="3FE38365">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（2）付款前中标人须按要求开具有效的发票。</w:t>
            </w:r>
          </w:p>
          <w:p w14:paraId="62C1EC49">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（3）预付款保函形式：银行保函、担保机构担保。</w:t>
            </w:r>
          </w:p>
          <w:p w14:paraId="38BE49E1">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266A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021052A4">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2</w:t>
            </w:r>
          </w:p>
        </w:tc>
        <w:tc>
          <w:tcPr>
            <w:tcW w:w="2054" w:type="dxa"/>
            <w:noWrap w:val="0"/>
            <w:vAlign w:val="center"/>
          </w:tcPr>
          <w:p w14:paraId="003A1813">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供货及安装地点</w:t>
            </w:r>
          </w:p>
        </w:tc>
        <w:tc>
          <w:tcPr>
            <w:tcW w:w="5544" w:type="dxa"/>
            <w:noWrap w:val="0"/>
            <w:vAlign w:val="center"/>
          </w:tcPr>
          <w:p w14:paraId="0EB73F66">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安徽农业大学，具体按采购人指定。</w:t>
            </w:r>
          </w:p>
        </w:tc>
      </w:tr>
      <w:tr w14:paraId="6D1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383BAE76">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3</w:t>
            </w:r>
          </w:p>
        </w:tc>
        <w:tc>
          <w:tcPr>
            <w:tcW w:w="2054" w:type="dxa"/>
            <w:noWrap w:val="0"/>
            <w:vAlign w:val="center"/>
          </w:tcPr>
          <w:p w14:paraId="7D47F5ED">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供货及安装期限</w:t>
            </w:r>
          </w:p>
        </w:tc>
        <w:tc>
          <w:tcPr>
            <w:tcW w:w="5544" w:type="dxa"/>
            <w:noWrap w:val="0"/>
            <w:vAlign w:val="center"/>
          </w:tcPr>
          <w:p w14:paraId="199924E5">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合同生效后，60个日历日内完成供货、安装、调试、培训等所有工作内容，采购需求中另有规定的，按采购需求执行。</w:t>
            </w:r>
          </w:p>
        </w:tc>
      </w:tr>
      <w:tr w14:paraId="18C7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0C50970">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4</w:t>
            </w:r>
          </w:p>
        </w:tc>
        <w:tc>
          <w:tcPr>
            <w:tcW w:w="2054" w:type="dxa"/>
            <w:noWrap w:val="0"/>
            <w:vAlign w:val="center"/>
          </w:tcPr>
          <w:p w14:paraId="51497CB9">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免费质保期</w:t>
            </w:r>
          </w:p>
        </w:tc>
        <w:tc>
          <w:tcPr>
            <w:tcW w:w="5544" w:type="dxa"/>
            <w:noWrap w:val="0"/>
            <w:vAlign w:val="center"/>
          </w:tcPr>
          <w:p w14:paraId="76A9FE86">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自验收合格后1年。</w:t>
            </w:r>
          </w:p>
          <w:p w14:paraId="3D9ED6B8">
            <w:pPr>
              <w:pageBreakBefore w:val="0"/>
              <w:widowControl w:val="0"/>
              <w:wordWrap w:val="0"/>
              <w:topLinePunct w:val="0"/>
              <w:bidi w:val="0"/>
              <w:spacing w:before="0" w:beforeAutospacing="0" w:after="0" w:afterAutospacing="0" w:line="360" w:lineRule="auto"/>
              <w:jc w:val="left"/>
              <w:rPr>
                <w:rFonts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注：免费质保期从验收合格之日起开始计算。</w:t>
            </w:r>
          </w:p>
        </w:tc>
      </w:tr>
    </w:tbl>
    <w:p w14:paraId="19A14D2C">
      <w:pPr>
        <w:keepNext/>
        <w:keepLines/>
        <w:pageBreakBefore w:val="0"/>
        <w:widowControl w:val="0"/>
        <w:wordWrap w:val="0"/>
        <w:topLinePunct w:val="0"/>
        <w:bidi w:val="0"/>
        <w:spacing w:before="240" w:line="360" w:lineRule="auto"/>
        <w:ind w:firstLine="0" w:firstLineChars="0"/>
        <w:jc w:val="left"/>
        <w:outlineLvl w:val="1"/>
        <w:rPr>
          <w:rFonts w:hint="eastAsia" w:ascii="Arial" w:hAnsi="Arial" w:eastAsia="黑体" w:cs="Times New Roman"/>
          <w:bCs/>
          <w:color w:val="auto"/>
          <w:kern w:val="0"/>
          <w:sz w:val="28"/>
          <w:szCs w:val="32"/>
          <w:highlight w:val="none"/>
          <w:lang w:val="en-US" w:eastAsia="zh-CN" w:bidi="ar-SA"/>
        </w:rPr>
      </w:pPr>
      <w:bookmarkStart w:id="9" w:name="_Toc1693477008"/>
      <w:bookmarkStart w:id="10" w:name="_Toc58935147"/>
      <w:bookmarkStart w:id="11" w:name="_Toc626387511"/>
      <w:bookmarkStart w:id="12" w:name="_Toc717369146"/>
      <w:bookmarkStart w:id="13" w:name="_Toc1191965283_WPSOffice_Level2"/>
      <w:bookmarkStart w:id="14" w:name="_Toc369119811"/>
      <w:bookmarkStart w:id="15" w:name="_Toc302804901"/>
      <w:bookmarkStart w:id="16" w:name="_Toc1715351726"/>
      <w:r>
        <w:rPr>
          <w:rFonts w:hint="eastAsia" w:ascii="Arial" w:hAnsi="Arial" w:eastAsia="黑体" w:cs="Times New Roman"/>
          <w:bCs/>
          <w:color w:val="auto"/>
          <w:kern w:val="0"/>
          <w:sz w:val="28"/>
          <w:szCs w:val="32"/>
          <w:highlight w:val="none"/>
          <w:lang w:val="en-US" w:eastAsia="zh-CN" w:bidi="ar-SA"/>
        </w:rPr>
        <w:t>二、货物需求</w:t>
      </w:r>
      <w:bookmarkEnd w:id="9"/>
      <w:bookmarkEnd w:id="10"/>
      <w:bookmarkEnd w:id="11"/>
      <w:bookmarkEnd w:id="12"/>
      <w:bookmarkEnd w:id="13"/>
      <w:bookmarkEnd w:id="14"/>
      <w:bookmarkEnd w:id="15"/>
      <w:bookmarkEnd w:id="16"/>
    </w:p>
    <w:p w14:paraId="11864C4C">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1343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498A2C79">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需求内容类别</w:t>
            </w:r>
          </w:p>
        </w:tc>
        <w:tc>
          <w:tcPr>
            <w:tcW w:w="1277" w:type="dxa"/>
            <w:noWrap w:val="0"/>
            <w:vAlign w:val="top"/>
          </w:tcPr>
          <w:p w14:paraId="2B7DF728">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标识符号</w:t>
            </w:r>
          </w:p>
        </w:tc>
        <w:tc>
          <w:tcPr>
            <w:tcW w:w="5692" w:type="dxa"/>
            <w:noWrap w:val="0"/>
            <w:vAlign w:val="top"/>
          </w:tcPr>
          <w:p w14:paraId="50FA9E33">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投标要求</w:t>
            </w:r>
          </w:p>
        </w:tc>
      </w:tr>
      <w:tr w14:paraId="2607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5E7DEAA5">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重要指标项</w:t>
            </w:r>
          </w:p>
        </w:tc>
        <w:tc>
          <w:tcPr>
            <w:tcW w:w="1277" w:type="dxa"/>
            <w:noWrap w:val="0"/>
            <w:vAlign w:val="center"/>
          </w:tcPr>
          <w:p w14:paraId="52616C45">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1F0691AB">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评分项，详见“第四章评标方法和标准”中评分细则。</w:t>
            </w:r>
          </w:p>
        </w:tc>
      </w:tr>
      <w:tr w14:paraId="11F5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noWrap w:val="0"/>
            <w:vAlign w:val="center"/>
          </w:tcPr>
          <w:p w14:paraId="205D77F8">
            <w:pPr>
              <w:pageBreakBefore w:val="0"/>
              <w:widowControl w:val="0"/>
              <w:wordWrap w:val="0"/>
              <w:topLinePunct w:val="0"/>
              <w:bidi w:val="0"/>
              <w:spacing w:line="5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w:t>
            </w:r>
          </w:p>
        </w:tc>
        <w:tc>
          <w:tcPr>
            <w:tcW w:w="1277" w:type="dxa"/>
            <w:noWrap w:val="0"/>
            <w:vAlign w:val="center"/>
          </w:tcPr>
          <w:p w14:paraId="5B5EF47D">
            <w:pPr>
              <w:pageBreakBefore w:val="0"/>
              <w:widowControl w:val="0"/>
              <w:kinsoku/>
              <w:wordWrap w:val="0"/>
              <w:overflowPunct/>
              <w:topLinePunct w:val="0"/>
              <w:bidi w:val="0"/>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5E8CADBA">
            <w:pPr>
              <w:pageBreakBefore w:val="0"/>
              <w:widowControl w:val="0"/>
              <w:kinsoku/>
              <w:wordWrap w:val="0"/>
              <w:overflowPunct/>
              <w:topLinePunct w:val="0"/>
              <w:bidi w:val="0"/>
              <w:spacing w:line="50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符合性审查项，该指标项负偏离或未响应，将导致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68B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2C77F606">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无标识项</w:t>
            </w:r>
          </w:p>
        </w:tc>
        <w:tc>
          <w:tcPr>
            <w:tcW w:w="1277" w:type="dxa"/>
            <w:noWrap w:val="0"/>
            <w:vAlign w:val="center"/>
          </w:tcPr>
          <w:p w14:paraId="2B0A5910">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p>
        </w:tc>
        <w:tc>
          <w:tcPr>
            <w:tcW w:w="5692" w:type="dxa"/>
            <w:noWrap w:val="0"/>
            <w:vAlign w:val="center"/>
          </w:tcPr>
          <w:p w14:paraId="0FFE9DDF">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符合性审查项，5项以上（不含5项）负偏离或未响应，将导致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20E1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434A29C5">
            <w:pPr>
              <w:pageBreakBefore w:val="0"/>
              <w:widowControl w:val="0"/>
              <w:wordWrap w:val="0"/>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32F3C1FD">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.如某项标识中包含多条技术参数或要求，则该项标识所含内容均需满足或优于招标文件要求，否则不予认可。</w:t>
            </w:r>
          </w:p>
          <w:p w14:paraId="73E98A8C">
            <w:pPr>
              <w:pageBreakBefore w:val="0"/>
              <w:widowControl w:val="0"/>
              <w:wordWrap w:val="0"/>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ascii="宋体" w:hAnsi="宋体" w:eastAsia="宋体" w:cs="宋体"/>
                <w:color w:val="auto"/>
                <w:kern w:val="2"/>
                <w:sz w:val="24"/>
                <w:szCs w:val="24"/>
                <w:highlight w:val="none"/>
                <w:lang w:val="en-US" w:eastAsia="zh-CN" w:bidi="ar-SA"/>
              </w:rPr>
              <w:t>.“所属行业”栏标注为“/”的项为所投产品配套的工程或服务，无需在《中小企业声明函》中列明。</w:t>
            </w:r>
          </w:p>
        </w:tc>
      </w:tr>
    </w:tbl>
    <w:p w14:paraId="18289C75">
      <w:pPr>
        <w:pageBreakBefore w:val="0"/>
        <w:widowControl w:val="0"/>
        <w:wordWrap w:val="0"/>
        <w:topLinePunct w:val="0"/>
        <w:bidi w:val="0"/>
        <w:ind w:left="0" w:firstLine="0" w:firstLineChars="0"/>
        <w:jc w:val="both"/>
        <w:rPr>
          <w:rFonts w:hint="eastAsia" w:ascii="宋体" w:hAnsi="宋体" w:eastAsia="宋体" w:cs="宋体"/>
          <w:b/>
          <w:bCs/>
          <w:color w:val="auto"/>
          <w:kern w:val="2"/>
          <w:sz w:val="24"/>
          <w:szCs w:val="24"/>
          <w:highlight w:val="none"/>
          <w:lang w:val="en-US" w:eastAsia="zh-CN" w:bidi="ar-SA"/>
        </w:rPr>
      </w:pPr>
    </w:p>
    <w:p w14:paraId="224A454C">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（二）货物需求清单</w:t>
      </w:r>
    </w:p>
    <w:p w14:paraId="50049CAB">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FF0000"/>
          <w:kern w:val="2"/>
          <w:sz w:val="24"/>
          <w:szCs w:val="24"/>
          <w:highlight w:val="none"/>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29352E7B">
      <w:pPr>
        <w:widowControl w:val="0"/>
        <w:ind w:left="200" w:hanging="482" w:hangingChars="200"/>
        <w:contextualSpacing/>
        <w:jc w:val="both"/>
        <w:rPr>
          <w:rFonts w:hint="eastAsia" w:ascii="宋体" w:hAnsi="宋体" w:eastAsia="宋体" w:cs="宋体"/>
          <w:b/>
          <w:bCs/>
          <w:color w:val="auto"/>
          <w:kern w:val="2"/>
          <w:sz w:val="24"/>
          <w:szCs w:val="24"/>
          <w:highlight w:val="none"/>
          <w:lang w:val="en-US" w:eastAsia="zh-CN" w:bidi="ar-SA"/>
        </w:rPr>
      </w:pPr>
    </w:p>
    <w:tbl>
      <w:tblPr>
        <w:tblStyle w:val="9"/>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70"/>
        <w:gridCol w:w="5249"/>
        <w:gridCol w:w="846"/>
        <w:gridCol w:w="718"/>
        <w:gridCol w:w="820"/>
      </w:tblGrid>
      <w:tr w14:paraId="17BD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5020DC0">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ADDIN CNKISM.UserStyle</w:instrTex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48ED6FAC">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5249" w:type="dxa"/>
            <w:tcBorders>
              <w:top w:val="single" w:color="auto" w:sz="4" w:space="0"/>
              <w:left w:val="single" w:color="auto" w:sz="4" w:space="0"/>
              <w:bottom w:val="single" w:color="auto" w:sz="4" w:space="0"/>
              <w:right w:val="single" w:color="auto" w:sz="4" w:space="0"/>
            </w:tcBorders>
            <w:vAlign w:val="center"/>
          </w:tcPr>
          <w:p w14:paraId="7BC4B57E">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技术参数及要求</w:t>
            </w:r>
          </w:p>
        </w:tc>
        <w:tc>
          <w:tcPr>
            <w:tcW w:w="846" w:type="dxa"/>
            <w:tcBorders>
              <w:top w:val="single" w:color="auto" w:sz="4" w:space="0"/>
              <w:left w:val="single" w:color="auto" w:sz="4" w:space="0"/>
              <w:bottom w:val="single" w:color="auto" w:sz="4" w:space="0"/>
              <w:right w:val="single" w:color="auto" w:sz="4" w:space="0"/>
            </w:tcBorders>
            <w:vAlign w:val="center"/>
          </w:tcPr>
          <w:p w14:paraId="4DFF17F2">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p w14:paraId="51B36531">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（台/套）</w:t>
            </w:r>
          </w:p>
        </w:tc>
        <w:tc>
          <w:tcPr>
            <w:tcW w:w="718" w:type="dxa"/>
            <w:tcBorders>
              <w:top w:val="single" w:color="auto" w:sz="4" w:space="0"/>
              <w:left w:val="single" w:color="auto" w:sz="4" w:space="0"/>
              <w:bottom w:val="single" w:color="auto" w:sz="4" w:space="0"/>
              <w:right w:val="single" w:color="auto" w:sz="4" w:space="0"/>
            </w:tcBorders>
            <w:vAlign w:val="center"/>
          </w:tcPr>
          <w:p w14:paraId="7268A691">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所属行业</w:t>
            </w:r>
          </w:p>
        </w:tc>
        <w:tc>
          <w:tcPr>
            <w:tcW w:w="820" w:type="dxa"/>
            <w:tcBorders>
              <w:top w:val="single" w:color="auto" w:sz="4" w:space="0"/>
              <w:left w:val="single" w:color="auto" w:sz="4" w:space="0"/>
              <w:bottom w:val="single" w:color="auto" w:sz="4" w:space="0"/>
              <w:right w:val="single" w:color="auto" w:sz="4" w:space="0"/>
            </w:tcBorders>
            <w:vAlign w:val="center"/>
          </w:tcPr>
          <w:p w14:paraId="5DA8F82B">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备注（进口或强制节能）</w:t>
            </w:r>
          </w:p>
        </w:tc>
      </w:tr>
      <w:tr w14:paraId="3D36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E08926D">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270" w:type="dxa"/>
            <w:tcBorders>
              <w:top w:val="single" w:color="auto" w:sz="4" w:space="0"/>
              <w:left w:val="single" w:color="auto" w:sz="4" w:space="0"/>
              <w:bottom w:val="single" w:color="auto" w:sz="4" w:space="0"/>
              <w:right w:val="single" w:color="auto" w:sz="4" w:space="0"/>
            </w:tcBorders>
            <w:vAlign w:val="center"/>
          </w:tcPr>
          <w:p w14:paraId="36F59CF1">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高效液相色谱仪</w:t>
            </w:r>
          </w:p>
        </w:tc>
        <w:tc>
          <w:tcPr>
            <w:tcW w:w="5249" w:type="dxa"/>
            <w:tcBorders>
              <w:top w:val="single" w:color="auto" w:sz="4" w:space="0"/>
              <w:left w:val="single" w:color="auto" w:sz="4" w:space="0"/>
              <w:bottom w:val="single" w:color="auto" w:sz="4" w:space="0"/>
              <w:right w:val="single" w:color="auto" w:sz="4" w:space="0"/>
            </w:tcBorders>
            <w:vAlign w:val="center"/>
          </w:tcPr>
          <w:p w14:paraId="5109FA0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一、工作条件：</w:t>
            </w:r>
          </w:p>
          <w:p w14:paraId="069F7BD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工作电压：220V±10%，50Hz。</w:t>
            </w:r>
          </w:p>
          <w:p w14:paraId="702745D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温度：4.0~40.0℃（39.2~104.0°F）。</w:t>
            </w:r>
          </w:p>
          <w:p w14:paraId="50397CA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湿度：20%~80%，无冷凝。</w:t>
            </w:r>
          </w:p>
          <w:p w14:paraId="3976F5C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二、技术指标：</w:t>
            </w:r>
          </w:p>
          <w:p w14:paraId="2AA99C6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1.1四元溶剂管理系统</w:t>
            </w:r>
          </w:p>
          <w:p w14:paraId="0284B7C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★1.1.1色谱泵：一体式独立柱塞，数控直线驱动色谱泵技术，双压力传感器反馈回路，无需阻尼器。压缩补偿方式：自动、连续。</w:t>
            </w:r>
            <w:r>
              <w:rPr>
                <w:rFonts w:hint="eastAsia" w:ascii="宋体" w:hAnsi="宋体" w:eastAsia="宋体" w:cs="宋体"/>
                <w:b/>
                <w:color w:val="auto"/>
                <w:sz w:val="24"/>
                <w:szCs w:val="24"/>
                <w:highlight w:val="none"/>
              </w:rPr>
              <w:t>（投标文件中提供证明材料）</w:t>
            </w:r>
            <w:r>
              <w:rPr>
                <w:rFonts w:hint="eastAsia" w:ascii="宋体" w:hAnsi="宋体" w:eastAsia="宋体" w:cs="宋体"/>
                <w:bCs/>
                <w:color w:val="auto"/>
                <w:sz w:val="24"/>
                <w:szCs w:val="24"/>
                <w:highlight w:val="none"/>
              </w:rPr>
              <w:t>；</w:t>
            </w:r>
          </w:p>
          <w:p w14:paraId="263E6E8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 pH范围：1~12。</w:t>
            </w:r>
          </w:p>
          <w:p w14:paraId="409499D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1.1.3泵压力传感器反馈回路：≥2路。</w:t>
            </w:r>
          </w:p>
          <w:p w14:paraId="36F2554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1.1.4 智能梯度起始模式：≥3（进样前，进样后，进样同步），以模拟任意HPLC系统体积。</w:t>
            </w:r>
          </w:p>
          <w:p w14:paraId="7841DEA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1.1.5梯度模式：低压混合，四元梯度，1~4路溶剂任意混合，可升级扩展到9路溶剂。</w:t>
            </w:r>
          </w:p>
          <w:p w14:paraId="18D61DF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1.1.6流量范围：≤5.000mL/min，增量为0.001mL。</w:t>
            </w:r>
          </w:p>
          <w:p w14:paraId="609595D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脱气：集成式真空脱气，至少4个排气仓。</w:t>
            </w:r>
          </w:p>
          <w:p w14:paraId="48E86A7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1.1.7最大操作压力：≥9500psi（全流量范围）。</w:t>
            </w:r>
          </w:p>
          <w:p w14:paraId="1B7C5C0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梯度延迟体积：＜1000μL，不随反压变化。</w:t>
            </w:r>
          </w:p>
          <w:p w14:paraId="17A89A3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1.1.8柱塞清洗：自动，可编辑。</w:t>
            </w:r>
          </w:p>
          <w:p w14:paraId="0A36649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1.1.9流速准确度：流速为0.5、3.0和5.0mL/min时，准确度为±1.0%。</w:t>
            </w:r>
          </w:p>
          <w:p w14:paraId="28AB95B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1.1.10混合准确度：±0.5%，5%~95%范围内；0.5∼5.0mL/min，不随反压变化。</w:t>
            </w:r>
          </w:p>
          <w:p w14:paraId="255D633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1.1.11混合精度：±0.15% RSD或0.04 min SD（取较大者），基于6次重复进样的结果，不随反压变化。</w:t>
            </w:r>
          </w:p>
          <w:p w14:paraId="580780D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1.1.12混合波动（基线噪音）：≤0.5mAU。</w:t>
            </w:r>
          </w:p>
          <w:p w14:paraId="7BA2091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★1.1.13梯度变化模式：预编≥11种梯度曲线，至少分为1线性、2步进、4凹线、4凸线四种类型，由色谱软件实现准确控制。</w:t>
            </w:r>
            <w:r>
              <w:rPr>
                <w:rFonts w:hint="eastAsia" w:ascii="宋体" w:hAnsi="宋体" w:eastAsia="宋体" w:cs="宋体"/>
                <w:b/>
                <w:color w:val="auto"/>
                <w:sz w:val="24"/>
                <w:szCs w:val="24"/>
                <w:highlight w:val="none"/>
              </w:rPr>
              <w:t>（投标文件中提供证明材料）</w:t>
            </w:r>
          </w:p>
          <w:p w14:paraId="06DBC4B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★1.1.14内置自动缓冲盐配置功能：可实现自动配置缓冲盐浓度和pH值梯度变化，增量为0.1。</w:t>
            </w:r>
          </w:p>
          <w:p w14:paraId="662F8F4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内置缓冲盐配置体系数量：≥8；梯度种类：至少3种（流动相组成变化，流速变化，pH值变化）</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（投标文件中提供证明材料）</w:t>
            </w:r>
          </w:p>
          <w:p w14:paraId="74B6E67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2.自动进样器管理系统</w:t>
            </w:r>
          </w:p>
          <w:p w14:paraId="45DA7AE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2.1流通针式进样模式。</w:t>
            </w:r>
          </w:p>
          <w:p w14:paraId="0207922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2.2定量同步：泵和进样器之间可实现进样同步，提高保留时间重现性。</w:t>
            </w:r>
          </w:p>
          <w:p w14:paraId="4698532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2.3样品容量：≥95位（2mL样品瓶架）。</w:t>
            </w:r>
          </w:p>
          <w:p w14:paraId="3371456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2.4进样精度：＜0.26% RSD。</w:t>
            </w:r>
          </w:p>
          <w:p w14:paraId="396748E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2.5进样准确度：±0.2μL。</w:t>
            </w:r>
          </w:p>
          <w:p w14:paraId="440EFDC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2.6样品交叉污染/样品残留：＜0.002%（咖啡因），UV条件下。</w:t>
            </w:r>
          </w:p>
          <w:p w14:paraId="2417C62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2.7进样针清洗：集成、主动、可设置。</w:t>
            </w:r>
          </w:p>
          <w:p w14:paraId="7BC62E2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2.8进样体积：0.1~50μL，增量：0.1μL；可使用扩展定量环最大扩到1000.0μL。</w:t>
            </w:r>
          </w:p>
          <w:p w14:paraId="15C6BBE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2.9最小样品量需求：≤3μL，使用2mL全回收样品瓶；</w:t>
            </w:r>
          </w:p>
          <w:p w14:paraId="17074FE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进样线性度：＞0.999，0.2~50.0μL；</w:t>
            </w:r>
          </w:p>
          <w:p w14:paraId="08CDF10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进样精度：</w:t>
            </w:r>
          </w:p>
          <w:p w14:paraId="2632C94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 RSD，0.5~0.9μL；</w:t>
            </w:r>
          </w:p>
          <w:p w14:paraId="5A73A34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 RSD，1.0~4.9μL；</w:t>
            </w:r>
          </w:p>
          <w:p w14:paraId="0428928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 RSD，5.0~1000.0μL；</w:t>
            </w:r>
          </w:p>
          <w:p w14:paraId="131FBB2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2.10自动进样循环时间：＜30s（进样之间）。</w:t>
            </w:r>
          </w:p>
          <w:p w14:paraId="60B40C0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2.11样品室温度范围：4℃~40℃，增量：0.1℃。</w:t>
            </w:r>
          </w:p>
          <w:p w14:paraId="5D943E1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2.12温度准确度：传感器处为±0.5℃。</w:t>
            </w:r>
          </w:p>
          <w:p w14:paraId="0242F4E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2.13稳定稳定性：传感器处为±1.0℃。</w:t>
            </w:r>
          </w:p>
          <w:p w14:paraId="271FB87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2.14进样次数：每个样品1~99次进样。</w:t>
            </w:r>
          </w:p>
          <w:p w14:paraId="4B2CE5F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3.色谱柱管理器</w:t>
            </w:r>
          </w:p>
          <w:p w14:paraId="0A6C28E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3.1色谱柱容量：单根色谱柱，内径≥7.8mm；最长≥300mm（带过滤器或保护柱）。</w:t>
            </w:r>
          </w:p>
          <w:p w14:paraId="2F8A167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3.2温度范围：20.0℃（或者高于环境温度5.0℃，取大值）~65.0℃。</w:t>
            </w:r>
          </w:p>
          <w:p w14:paraId="12D5B37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3.3温度准确度：±0.5℃。加热模式：空气循环。</w:t>
            </w:r>
          </w:p>
          <w:p w14:paraId="7FF8DC5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4.检测器</w:t>
            </w:r>
          </w:p>
          <w:p w14:paraId="65A1B43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4.1二极管阵列检测器。</w:t>
            </w:r>
          </w:p>
          <w:p w14:paraId="4AE38A2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★4.2波长范围：190~800nm。二极管数：≤512，带宽：≤1.2nm。单一光源：氘灯，不需要额外使用其他光源。流通池：梯形狭缝池，消除示差折光效应。</w:t>
            </w:r>
            <w:r>
              <w:rPr>
                <w:rFonts w:hint="eastAsia" w:ascii="宋体" w:hAnsi="宋体" w:eastAsia="宋体" w:cs="宋体"/>
                <w:b/>
                <w:color w:val="auto"/>
                <w:sz w:val="24"/>
                <w:szCs w:val="24"/>
                <w:highlight w:val="none"/>
              </w:rPr>
              <w:t>（投标文件中提供证明材料）</w:t>
            </w:r>
          </w:p>
          <w:p w14:paraId="7707CA5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4.3波长准确度：±1nm（使用铒过滤器）。</w:t>
            </w:r>
          </w:p>
          <w:p w14:paraId="5D43DE5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4.4数字分辨率：≤1.2nm/像素。</w:t>
            </w:r>
          </w:p>
          <w:p w14:paraId="7BEAB5D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4.5采样频率：≥70Hz。</w:t>
            </w:r>
          </w:p>
          <w:p w14:paraId="159D09D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4.6基线噪音：≤10.0×10</w:t>
            </w:r>
            <w:r>
              <w:rPr>
                <w:rFonts w:hint="eastAsia" w:ascii="宋体" w:hAnsi="宋体" w:eastAsia="宋体" w:cs="宋体"/>
                <w:bCs/>
                <w:color w:val="auto"/>
                <w:sz w:val="24"/>
                <w:szCs w:val="24"/>
                <w:highlight w:val="none"/>
                <w:vertAlign w:val="superscript"/>
              </w:rPr>
              <w:t>-6</w:t>
            </w:r>
            <w:r>
              <w:rPr>
                <w:rFonts w:hint="eastAsia" w:ascii="宋体" w:hAnsi="宋体" w:eastAsia="宋体" w:cs="宋体"/>
                <w:bCs/>
                <w:color w:val="auto"/>
                <w:sz w:val="24"/>
                <w:szCs w:val="24"/>
                <w:highlight w:val="none"/>
              </w:rPr>
              <w:t xml:space="preserve"> AU。</w:t>
            </w:r>
          </w:p>
          <w:p w14:paraId="22359B6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4.7漂移:≤1.0×10</w:t>
            </w:r>
            <w:r>
              <w:rPr>
                <w:rFonts w:hint="eastAsia" w:ascii="宋体" w:hAnsi="宋体" w:eastAsia="宋体" w:cs="宋体"/>
                <w:bCs/>
                <w:color w:val="auto"/>
                <w:sz w:val="24"/>
                <w:szCs w:val="24"/>
                <w:highlight w:val="none"/>
                <w:vertAlign w:val="superscript"/>
              </w:rPr>
              <w:t>-3</w:t>
            </w:r>
            <w:r>
              <w:rPr>
                <w:rFonts w:hint="eastAsia" w:ascii="宋体" w:hAnsi="宋体" w:eastAsia="宋体" w:cs="宋体"/>
                <w:bCs/>
                <w:color w:val="auto"/>
                <w:sz w:val="24"/>
                <w:szCs w:val="24"/>
                <w:highlight w:val="none"/>
              </w:rPr>
              <w:t xml:space="preserve"> AU/hr。</w:t>
            </w:r>
          </w:p>
          <w:p w14:paraId="0AA2F64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4.8线性范围：≤5%（2.5AU），对羟基苯甲酸丙酯，257nm。</w:t>
            </w:r>
          </w:p>
          <w:p w14:paraId="7E312B6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4.9吸收范围：0.0001~4.0000 AU。</w:t>
            </w:r>
          </w:p>
          <w:p w14:paraId="78CAE31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4.10内置灯优化软件：减少可见光波长噪音，补偿等损耗能量。</w:t>
            </w:r>
          </w:p>
          <w:p w14:paraId="53AC496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4.11固定狭缝：保持线性和光谱分辨率。</w:t>
            </w:r>
          </w:p>
          <w:p w14:paraId="73F5151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4.12可将所有组分的最大吸收波长值整合成一张色谱图，无需逐个设置波长来寻找每个组分的最大吸收波长值。</w:t>
            </w:r>
          </w:p>
          <w:p w14:paraId="2732B6F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4.13具备建立标准物质光谱库功能。</w:t>
            </w:r>
          </w:p>
          <w:p w14:paraId="509853C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5.色谱数据管理系统</w:t>
            </w:r>
          </w:p>
          <w:p w14:paraId="1FC971D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5.1在中文版操作系统下编写和测试。</w:t>
            </w:r>
          </w:p>
          <w:p w14:paraId="55D7737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5.2原厂源代码级全中文版。</w:t>
            </w:r>
          </w:p>
          <w:p w14:paraId="7041177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5.3内置图文数据库。为保证数据库的稳定性，安装的一致性和可靠性，软件安装的时候数据库同时安装。数据库和软件不得分开安装。具有数据安全性：符合cGMP/GLP和21 CFR Part 11法规的要求，具有电子记录，电子签名之功能。具有分配用户使用权限的功能。</w:t>
            </w:r>
          </w:p>
          <w:p w14:paraId="279670F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5.4登录时输入用户名和密码，每个使用者可以使用各自的用户名，密码和权限，相互之间的数据互相独立，互不干扰。</w:t>
            </w:r>
          </w:p>
          <w:p w14:paraId="5AFD183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5.5操作向导模式和在线帮助功能：只需按照指南要求进行操作即可执行相应的功能。</w:t>
            </w:r>
          </w:p>
          <w:p w14:paraId="77A3AA1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5.6具有≥16种校正拟合定量计算方式，适应不同分析及不同检测器应用。</w:t>
            </w:r>
          </w:p>
          <w:p w14:paraId="0780C0B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5.7具有数据检索模式≥10种；报告格式的编辑和排版：结果可以有单个报告和综合报告。</w:t>
            </w:r>
          </w:p>
          <w:p w14:paraId="2D786E9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5.8原始数据和结果可通过多种方式输出到其它软件中（如Excel）。</w:t>
            </w:r>
          </w:p>
          <w:p w14:paraId="1680C46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5.9用溶剂角及噪音角计算色谱峰一致性，对色谱峰进行纯度分析以判断是否有共流出物（PDA检测器）。</w:t>
            </w:r>
          </w:p>
          <w:p w14:paraId="7AD3BC7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★5.10用户可自定义样品信息和编辑计算公式实现特殊的计算：样品信息类型≥6；数据类型≥6。</w:t>
            </w:r>
            <w:r>
              <w:rPr>
                <w:rFonts w:hint="eastAsia" w:ascii="宋体" w:hAnsi="宋体" w:eastAsia="宋体" w:cs="宋体"/>
                <w:b/>
                <w:color w:val="auto"/>
                <w:sz w:val="24"/>
                <w:szCs w:val="24"/>
                <w:highlight w:val="none"/>
              </w:rPr>
              <w:t>（投标文件中提供证明材料）</w:t>
            </w:r>
          </w:p>
          <w:p w14:paraId="4BEA67A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5.11积分模式：传统积分和ApexTrack峰尖寻迹拟和积分，可提供准确的肩峰、负峰和拖尾峰的积分。</w:t>
            </w:r>
          </w:p>
          <w:p w14:paraId="0DAE1C9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6.数据处理系统 1套：</w:t>
            </w:r>
          </w:p>
          <w:p w14:paraId="51C8CD4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6.7.1硬件要求不低于：CPU</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4核8线程，12G内存，500G硬盘，独立显卡、21英寸显示屏，DVD-RW，配置输出设备（激光黑白A4，可双面输出）。</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在投标响应表中列出</w:t>
            </w:r>
            <w:r>
              <w:rPr>
                <w:rFonts w:hint="eastAsia" w:ascii="宋体" w:hAnsi="宋体" w:eastAsia="宋体" w:cs="宋体"/>
                <w:b/>
                <w:bCs w:val="0"/>
                <w:color w:val="auto"/>
                <w:sz w:val="24"/>
                <w:szCs w:val="24"/>
                <w:highlight w:val="none"/>
                <w:lang w:val="en-US" w:eastAsia="zh-CN"/>
              </w:rPr>
              <w:t>所投</w:t>
            </w:r>
            <w:r>
              <w:rPr>
                <w:rFonts w:hint="eastAsia" w:ascii="宋体" w:hAnsi="宋体" w:eastAsia="宋体" w:cs="宋体"/>
                <w:b/>
                <w:bCs w:val="0"/>
                <w:color w:val="auto"/>
                <w:sz w:val="24"/>
                <w:szCs w:val="24"/>
                <w:highlight w:val="none"/>
              </w:rPr>
              <w:t>产品品牌和型号，否则视为本条参数不响应）</w:t>
            </w:r>
          </w:p>
          <w:p w14:paraId="2D3CC0C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6.7.2中英文软件：包括仪器控制、数据处理等软件；定量分析软件；整体控制液相色谱及检测器的软件和相应接口。</w:t>
            </w:r>
          </w:p>
          <w:p w14:paraId="2FD8F25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■7.配置清单：</w:t>
            </w:r>
          </w:p>
          <w:p w14:paraId="55DA0D5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7.1高效液相色谱四元泵 1台。</w:t>
            </w:r>
          </w:p>
          <w:p w14:paraId="6F4BB06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7.2自动进样器 1台。</w:t>
            </w:r>
          </w:p>
          <w:p w14:paraId="206BE76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7.3柱温箱 1台。</w:t>
            </w:r>
          </w:p>
          <w:p w14:paraId="5D5377E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7.4二极管阵列检测器 2台。</w:t>
            </w:r>
          </w:p>
          <w:p w14:paraId="4865EA9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7.7数据处理系统 1套；</w:t>
            </w:r>
          </w:p>
          <w:p w14:paraId="05130C6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7.8色谱柱（5μm，4.6*250mm C18 2根）。</w:t>
            </w:r>
          </w:p>
        </w:tc>
        <w:tc>
          <w:tcPr>
            <w:tcW w:w="846" w:type="dxa"/>
            <w:tcBorders>
              <w:top w:val="single" w:color="auto" w:sz="4" w:space="0"/>
              <w:left w:val="single" w:color="auto" w:sz="4" w:space="0"/>
              <w:bottom w:val="single" w:color="auto" w:sz="4" w:space="0"/>
              <w:right w:val="single" w:color="auto" w:sz="4" w:space="0"/>
            </w:tcBorders>
            <w:vAlign w:val="center"/>
          </w:tcPr>
          <w:p w14:paraId="3091800F">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4ACD5E77">
            <w:pPr>
              <w:adjustRightInd w:val="0"/>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76F372C9">
            <w:pP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p>
        </w:tc>
      </w:tr>
      <w:tr w14:paraId="3AEE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49714EC">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270" w:type="dxa"/>
            <w:tcBorders>
              <w:top w:val="single" w:color="auto" w:sz="4" w:space="0"/>
              <w:left w:val="single" w:color="auto" w:sz="4" w:space="0"/>
              <w:bottom w:val="single" w:color="auto" w:sz="4" w:space="0"/>
              <w:right w:val="single" w:color="auto" w:sz="4" w:space="0"/>
            </w:tcBorders>
            <w:vAlign w:val="center"/>
          </w:tcPr>
          <w:p w14:paraId="7E01A564">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快速色谱仪（中低压制备色谱）</w:t>
            </w:r>
          </w:p>
        </w:tc>
        <w:tc>
          <w:tcPr>
            <w:tcW w:w="5249" w:type="dxa"/>
            <w:tcBorders>
              <w:top w:val="single" w:color="auto" w:sz="4" w:space="0"/>
              <w:left w:val="single" w:color="auto" w:sz="4" w:space="0"/>
              <w:bottom w:val="single" w:color="auto" w:sz="4" w:space="0"/>
              <w:right w:val="single" w:color="auto" w:sz="4" w:space="0"/>
            </w:tcBorders>
            <w:vAlign w:val="center"/>
          </w:tcPr>
          <w:p w14:paraId="4269122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功能：具备分析功能和大体积制备功能。</w:t>
            </w:r>
          </w:p>
          <w:p w14:paraId="1A275E9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1.输液泵</w:t>
            </w:r>
          </w:p>
          <w:p w14:paraId="6C7CC57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★1.1泵类型：采用浮动柱塞支持结构，并联双柱塞泵送液方式</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（投标文件中提供证明材料）</w:t>
            </w:r>
          </w:p>
          <w:p w14:paraId="0B1FEAA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1.2采用脉动补偿和流量补偿等各种补偿方法，采用并联双柱塞的送液方式。保证低、中、高流量送液时的准确度和精密度，确保目标组分保留时间的重现性。</w:t>
            </w:r>
          </w:p>
          <w:p w14:paraId="4441B69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★1.3单个泵流量设定范围：0.001mL/min～25.00mL/min。</w:t>
            </w:r>
          </w:p>
          <w:p w14:paraId="449B43E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1.4流量准确度：±1%（1mL/min,8MPa）</w:t>
            </w:r>
          </w:p>
          <w:p w14:paraId="793B6E2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1.5流量精密度：≤0.08%RSD或0.02min。</w:t>
            </w:r>
          </w:p>
          <w:p w14:paraId="29AEF3B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★1.6最大输出压力：≥35MPa（0.001mL/min~5.000mL/min）、≥22MPa（5.001mL/min~25.000mL/min）。</w:t>
            </w:r>
            <w:r>
              <w:rPr>
                <w:rFonts w:hint="eastAsia" w:ascii="宋体" w:hAnsi="宋体" w:eastAsia="宋体" w:cs="宋体"/>
                <w:b/>
                <w:color w:val="auto"/>
                <w:sz w:val="24"/>
                <w:szCs w:val="24"/>
                <w:highlight w:val="none"/>
              </w:rPr>
              <w:t>（投标文件中提供证明材料）</w:t>
            </w:r>
          </w:p>
          <w:p w14:paraId="2C4DBDD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 制备混合器：≥14ml</w:t>
            </w:r>
            <w:r>
              <w:rPr>
                <w:rFonts w:hint="eastAsia" w:ascii="宋体" w:hAnsi="宋体" w:eastAsia="宋体" w:cs="宋体"/>
                <w:color w:val="auto"/>
                <w:sz w:val="24"/>
                <w:szCs w:val="24"/>
                <w:highlight w:val="none"/>
              </w:rPr>
              <w:t>。</w:t>
            </w:r>
          </w:p>
          <w:p w14:paraId="0EC35D3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 具备时间程序、漏液传感器等。</w:t>
            </w:r>
          </w:p>
          <w:p w14:paraId="4E80021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2.紫外检测器</w:t>
            </w:r>
          </w:p>
          <w:p w14:paraId="66A8280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2.1高灵敏度的紫外可见双波长检测器：四种测定方式（双波长检测、比例色谱、波长时间程序和停泵扫描）可对应各种测定需求。</w:t>
            </w:r>
          </w:p>
          <w:p w14:paraId="138E72F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2.2波长范围：190－695nm或者更宽。</w:t>
            </w:r>
          </w:p>
          <w:p w14:paraId="4B8F140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2.3带宽：≤8nm。</w:t>
            </w:r>
          </w:p>
          <w:p w14:paraId="724391D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2.4波长准确度：±1nm。</w:t>
            </w:r>
          </w:p>
          <w:p w14:paraId="2D8496B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2.5波长重现性：±0.1nm。</w:t>
            </w:r>
          </w:p>
          <w:p w14:paraId="0D42F70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2.6光源：氘灯。</w:t>
            </w:r>
          </w:p>
          <w:p w14:paraId="61BC512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★2.7噪声：≤±0.26×10</w:t>
            </w:r>
            <w:r>
              <w:rPr>
                <w:rFonts w:hint="eastAsia" w:ascii="宋体" w:hAnsi="宋体" w:eastAsia="宋体" w:cs="宋体"/>
                <w:bCs/>
                <w:color w:val="auto"/>
                <w:sz w:val="24"/>
                <w:szCs w:val="24"/>
                <w:highlight w:val="none"/>
                <w:vertAlign w:val="superscript"/>
              </w:rPr>
              <w:t>-5</w:t>
            </w:r>
            <w:r>
              <w:rPr>
                <w:rFonts w:hint="eastAsia" w:ascii="宋体" w:hAnsi="宋体" w:eastAsia="宋体" w:cs="宋体"/>
                <w:bCs/>
                <w:color w:val="auto"/>
                <w:sz w:val="24"/>
                <w:szCs w:val="24"/>
                <w:highlight w:val="none"/>
              </w:rPr>
              <w:t xml:space="preserve"> AU；</w:t>
            </w:r>
          </w:p>
          <w:p w14:paraId="7C4EAC9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2.8漂移：≤1.2×10</w:t>
            </w:r>
            <w:r>
              <w:rPr>
                <w:rFonts w:hint="eastAsia" w:ascii="宋体" w:hAnsi="宋体" w:eastAsia="宋体" w:cs="宋体"/>
                <w:bCs/>
                <w:color w:val="auto"/>
                <w:sz w:val="24"/>
                <w:szCs w:val="24"/>
                <w:highlight w:val="none"/>
                <w:vertAlign w:val="superscript"/>
              </w:rPr>
              <w:t>-4</w:t>
            </w:r>
            <w:r>
              <w:rPr>
                <w:rFonts w:hint="eastAsia" w:ascii="宋体" w:hAnsi="宋体" w:eastAsia="宋体" w:cs="宋体"/>
                <w:bCs/>
                <w:color w:val="auto"/>
                <w:sz w:val="24"/>
                <w:szCs w:val="24"/>
                <w:highlight w:val="none"/>
              </w:rPr>
              <w:t xml:space="preserve"> AU/h 。</w:t>
            </w:r>
          </w:p>
          <w:p w14:paraId="0F198BB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2.9线性范围：2.5AU(ASTM)。</w:t>
            </w:r>
          </w:p>
          <w:p w14:paraId="0AA4D48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2.10两波长通道：从190-370或371-600任意两波长。</w:t>
            </w:r>
          </w:p>
          <w:p w14:paraId="1BC070F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2.11信号输出：两通道。</w:t>
            </w:r>
          </w:p>
          <w:p w14:paraId="23FFE05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★2.12检测器功能：双波长检测、比例色谱（峰纯度）输出、停泵波长（UV）扫描、时间程序。</w:t>
            </w:r>
          </w:p>
          <w:p w14:paraId="2A63C63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3.系统为双泵组成的二元高压梯度制备系统，由两个高性能的并联双柱塞输液泵，输液泵具备VP功能，可协助用户自检，也可通过软件系统检查，对消耗品的使用情况等进行整体管理。</w:t>
            </w:r>
          </w:p>
          <w:p w14:paraId="53A59E6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4.配置流动相自动循环切换装置：可实现流动相自动回到储液瓶。可支持高含量检测物再分离功能，增加色谱柱柱效。</w:t>
            </w:r>
          </w:p>
          <w:p w14:paraId="2CF49A9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5.配置自动柱切换系统，无需拆卸，可实现色谱柱切换。</w:t>
            </w:r>
          </w:p>
          <w:p w14:paraId="71C1EAE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6.软件操作系统：软件结构：32位三维软件，支持鼠标右键功能，长文件名及拖放功能，具有数据审计追踪能力，符合cGMP标准。</w:t>
            </w:r>
          </w:p>
          <w:p w14:paraId="29FF6C2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7.组分收集装置</w:t>
            </w:r>
          </w:p>
          <w:p w14:paraId="480425E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7.1驱动方式：悬臂移动（X－Y）方式。</w:t>
            </w:r>
          </w:p>
          <w:p w14:paraId="4CDA14C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7.2最大分割数：16～144。</w:t>
            </w:r>
          </w:p>
          <w:p w14:paraId="6A482B9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7.3收集方法：电磁阀（附阀馏分收集头）。</w:t>
            </w:r>
          </w:p>
          <w:p w14:paraId="4428B28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7.4分流方法：基本方式和时间程序（≥14种参数）组合设定。</w:t>
            </w:r>
          </w:p>
          <w:p w14:paraId="43A897D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7.5收集容器：20ml玻璃试管*100个。</w:t>
            </w:r>
          </w:p>
          <w:p w14:paraId="346841E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7.6具有试样冷却功能。</w:t>
            </w:r>
          </w:p>
          <w:p w14:paraId="36F668A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8.柱支架</w:t>
            </w:r>
          </w:p>
          <w:p w14:paraId="4C74008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8.1容量：PREP可安装2根内径20mm～50mm制备柱、1根内径5mm分析柱。</w:t>
            </w:r>
          </w:p>
          <w:p w14:paraId="40C83B4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8.2混合器:可安装制备混合器、分析混合器各一个。</w:t>
            </w:r>
          </w:p>
          <w:p w14:paraId="07272F5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9.自动进样器</w:t>
            </w:r>
          </w:p>
          <w:p w14:paraId="7399212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9.1进样方式：外置式注射器和高压阀进样，进样量可变式。</w:t>
            </w:r>
          </w:p>
          <w:p w14:paraId="569CFB2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★9.2进样量：1μL～5000μL（可选1μL～400μL，1μL～2000μL）。</w:t>
            </w:r>
          </w:p>
          <w:p w14:paraId="2C8A47F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9.3重现性：0.5%RSD(咖啡因，进样1mL时）。</w:t>
            </w:r>
          </w:p>
          <w:p w14:paraId="31407F3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9.4残留量：0.05%。</w:t>
            </w:r>
          </w:p>
          <w:p w14:paraId="69CAC57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9.5进样针清洗：进样前后任意设定。</w:t>
            </w:r>
          </w:p>
          <w:p w14:paraId="47600CF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9.6使用pH范围：pH1～9。</w:t>
            </w:r>
          </w:p>
          <w:p w14:paraId="74685BE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9.7样品架：配备搭载15mL样品瓶*28位。</w:t>
            </w:r>
          </w:p>
          <w:p w14:paraId="4245227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9.8耐压：≥35MPa。</w:t>
            </w:r>
          </w:p>
          <w:p w14:paraId="25DEA98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9.9具有样品预处理功能。</w:t>
            </w:r>
          </w:p>
          <w:p w14:paraId="5ADF8B5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9.10具有漏液传感器。</w:t>
            </w:r>
          </w:p>
          <w:p w14:paraId="76D2CE9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10.整套设备可扩展在手机、pad等移动客户端远程操作，实时了解仪器工作进展。</w:t>
            </w:r>
          </w:p>
          <w:p w14:paraId="0225F70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11.搭配循环组件和操作软件，用户可实现自动循环分离，提升分离效果。</w:t>
            </w:r>
          </w:p>
          <w:p w14:paraId="2D97BB2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12.可设置循环开始时间、循环结束时间、以及自动制备的开始。循环阀可在循环开始、结束时自动切换。</w:t>
            </w:r>
          </w:p>
          <w:p w14:paraId="58DE4D9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软件可根据设置的内容进行循环制备，可以在监测色谱图的同时控制馏分收集器执行循环制备。进行手动制备时，用户可以选择“记录操作”，将操作阀切换的时间点等信息直接保存为方法文件，并可在以后的自动循环制备时直接调取使用。</w:t>
            </w:r>
          </w:p>
          <w:p w14:paraId="707C120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★14.仪器主要单元中，输液泵、柱温箱、紫外检测器有清楚可见的LED指示灯，可以体现仪器是否处于正常。</w:t>
            </w:r>
            <w:r>
              <w:rPr>
                <w:rFonts w:hint="eastAsia" w:ascii="宋体" w:hAnsi="宋体" w:eastAsia="宋体" w:cs="宋体"/>
                <w:b/>
                <w:color w:val="auto"/>
                <w:sz w:val="24"/>
                <w:szCs w:val="24"/>
                <w:highlight w:val="none"/>
              </w:rPr>
              <w:t>（投标文件中提供证明材料）</w:t>
            </w:r>
          </w:p>
          <w:p w14:paraId="064370D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■15.配置清单</w:t>
            </w:r>
          </w:p>
          <w:p w14:paraId="06BE8C0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15.1二元高压制备液相色谱仪主机1台；</w:t>
            </w:r>
          </w:p>
          <w:p w14:paraId="5970286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15.2输液泵 2套；</w:t>
            </w:r>
          </w:p>
          <w:p w14:paraId="399FF4F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15.3紫外检测器 1套；</w:t>
            </w:r>
          </w:p>
          <w:p w14:paraId="2BF2B16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15.4自动进样器 1套；</w:t>
            </w:r>
          </w:p>
          <w:p w14:paraId="2A21B69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15.5组分收集装置 1套；</w:t>
            </w:r>
          </w:p>
          <w:p w14:paraId="5C5D84F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15.6分析软件 1套；</w:t>
            </w:r>
          </w:p>
          <w:p w14:paraId="5EDD731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15.7数据处理终端 1套，配置：非组装，硬件要求不低于：CPU</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4核8线程，12G内存，500G硬盘，独立显卡、21英寸显示屏，DVD-RW。</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在投标响应表中列出</w:t>
            </w:r>
            <w:r>
              <w:rPr>
                <w:rFonts w:hint="eastAsia" w:ascii="宋体" w:hAnsi="宋体" w:eastAsia="宋体" w:cs="宋体"/>
                <w:b/>
                <w:bCs w:val="0"/>
                <w:color w:val="auto"/>
                <w:sz w:val="24"/>
                <w:szCs w:val="24"/>
                <w:highlight w:val="none"/>
                <w:lang w:val="en-US" w:eastAsia="zh-CN"/>
              </w:rPr>
              <w:t>所投</w:t>
            </w:r>
            <w:r>
              <w:rPr>
                <w:rFonts w:hint="eastAsia" w:ascii="宋体" w:hAnsi="宋体" w:eastAsia="宋体" w:cs="宋体"/>
                <w:b/>
                <w:bCs w:val="0"/>
                <w:color w:val="auto"/>
                <w:sz w:val="24"/>
                <w:szCs w:val="24"/>
                <w:highlight w:val="none"/>
              </w:rPr>
              <w:t>产品品牌和型号，否则视为本条参数不响应）</w:t>
            </w:r>
          </w:p>
        </w:tc>
        <w:tc>
          <w:tcPr>
            <w:tcW w:w="846" w:type="dxa"/>
            <w:tcBorders>
              <w:top w:val="single" w:color="auto" w:sz="4" w:space="0"/>
              <w:left w:val="single" w:color="auto" w:sz="4" w:space="0"/>
              <w:bottom w:val="single" w:color="auto" w:sz="4" w:space="0"/>
              <w:right w:val="single" w:color="auto" w:sz="4" w:space="0"/>
            </w:tcBorders>
            <w:vAlign w:val="center"/>
          </w:tcPr>
          <w:p w14:paraId="6665EAAE">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1129AB0E">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4275747E">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w:t>
            </w:r>
          </w:p>
        </w:tc>
      </w:tr>
      <w:tr w14:paraId="4164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5A3D73D">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270" w:type="dxa"/>
            <w:tcBorders>
              <w:top w:val="single" w:color="auto" w:sz="4" w:space="0"/>
              <w:left w:val="single" w:color="auto" w:sz="4" w:space="0"/>
              <w:bottom w:val="single" w:color="auto" w:sz="4" w:space="0"/>
              <w:right w:val="single" w:color="auto" w:sz="4" w:space="0"/>
            </w:tcBorders>
            <w:vAlign w:val="center"/>
          </w:tcPr>
          <w:p w14:paraId="5D608AF3">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液相色谱仪</w:t>
            </w:r>
          </w:p>
        </w:tc>
        <w:tc>
          <w:tcPr>
            <w:tcW w:w="5249" w:type="dxa"/>
            <w:tcBorders>
              <w:top w:val="single" w:color="auto" w:sz="4" w:space="0"/>
              <w:left w:val="single" w:color="auto" w:sz="4" w:space="0"/>
              <w:bottom w:val="single" w:color="auto" w:sz="4" w:space="0"/>
              <w:right w:val="single" w:color="auto" w:sz="4" w:space="0"/>
            </w:tcBorders>
            <w:vAlign w:val="center"/>
          </w:tcPr>
          <w:p w14:paraId="34BF6AB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1.工作条件：</w:t>
            </w:r>
          </w:p>
          <w:p w14:paraId="7DBE901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1.1工作电压：220V±10%，50Hz。</w:t>
            </w:r>
          </w:p>
          <w:p w14:paraId="54CCF73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1.2温度：4.0～40.0℃（39.2～104.0°F）。</w:t>
            </w:r>
          </w:p>
          <w:p w14:paraId="2D11261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1.3湿度：20%～80%，无冷凝。</w:t>
            </w:r>
          </w:p>
          <w:p w14:paraId="03D327C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2.技术指标：</w:t>
            </w:r>
          </w:p>
          <w:p w14:paraId="1A49CC3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2.1四元溶剂管理系统：</w:t>
            </w:r>
          </w:p>
          <w:p w14:paraId="1E89424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★2.1.1色谱泵：一体式独立柱塞，数控直线驱动色谱泵技术，双压力传感器反馈回路，无需阻尼器。压缩补偿：自动、连续。</w:t>
            </w:r>
            <w:r>
              <w:rPr>
                <w:rFonts w:hint="eastAsia" w:ascii="宋体" w:hAnsi="宋体" w:eastAsia="宋体" w:cs="宋体"/>
                <w:b/>
                <w:color w:val="auto"/>
                <w:sz w:val="24"/>
                <w:szCs w:val="24"/>
                <w:highlight w:val="none"/>
              </w:rPr>
              <w:t>（投标文件中提供证明材料）</w:t>
            </w:r>
          </w:p>
          <w:p w14:paraId="0DFACF3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2.1.2集成式漏液管理：配置漏液传感器与安全漏液处理。</w:t>
            </w:r>
          </w:p>
          <w:p w14:paraId="650B5F7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 pH范围：1～12.5；梯度模式：低压混合，四元梯度，1~4路溶剂任意混合。</w:t>
            </w:r>
          </w:p>
          <w:p w14:paraId="5BFF281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2.1.4流量范围：＜5.000mL/min，增量为0.001mL。</w:t>
            </w:r>
          </w:p>
          <w:p w14:paraId="4683750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2.1.5脱气：集成式真空脱气，至少4个排气仓。</w:t>
            </w:r>
          </w:p>
          <w:p w14:paraId="63F9CDF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2.1.6最大操作压力：≥9500psi（全流量范围），梯度延迟体积：＜1000μL，不随反压变化。梯度变化模式：预编≥11种梯度曲线，至少分为1线性、2步进、4凹线、4凸线四种类型，由色谱软件实现准确控制。</w:t>
            </w:r>
          </w:p>
          <w:p w14:paraId="53D7A66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2.1.7柱塞清洗：自动，可编辑。</w:t>
            </w:r>
          </w:p>
          <w:p w14:paraId="16E0BD5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2.1.8流速准确度：流速为0.5、3.0和5.0 mL/min时，准确度为±1.0%。</w:t>
            </w:r>
          </w:p>
          <w:p w14:paraId="7EF0709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2.1.9混合准确度：±0.5%，5%～95%范围内；0.5∼5.0mL/min，不随反压变化。</w:t>
            </w:r>
          </w:p>
          <w:p w14:paraId="7ED3832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2.1.10混合精度：±0.15% RSD或0.04minSD（取较大者），基于6次重复进样的结果，不随反压变化。</w:t>
            </w:r>
          </w:p>
          <w:p w14:paraId="4484274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2.1.11混合波动（基线噪音）：≤0.5mAU。</w:t>
            </w:r>
          </w:p>
          <w:p w14:paraId="5EDA001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★2.1.12内置自动缓冲盐配置功能：可实现自动配置缓冲盐浓度和pH值梯度变化，增量为0.1；内置缓冲盐配置体系数量：≥8；梯度种类：至少3种（流动相组成变化，流速变化，pH值变化）。</w:t>
            </w:r>
            <w:r>
              <w:rPr>
                <w:rFonts w:hint="eastAsia" w:ascii="宋体" w:hAnsi="宋体" w:eastAsia="宋体" w:cs="宋体"/>
                <w:b/>
                <w:color w:val="auto"/>
                <w:sz w:val="24"/>
                <w:szCs w:val="24"/>
                <w:highlight w:val="none"/>
              </w:rPr>
              <w:t>（投标文件中提供证明材料）</w:t>
            </w:r>
          </w:p>
          <w:p w14:paraId="7B145EA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2.1.13智能梯度起始模式：≥3（进样前，进样后，进样同步），以模拟任意HPLC系统体积。</w:t>
            </w:r>
          </w:p>
          <w:p w14:paraId="355EBAE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2.2自动进样器管理系统</w:t>
            </w:r>
          </w:p>
          <w:p w14:paraId="3A86F28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2.2.1流通针式进样模式。</w:t>
            </w:r>
          </w:p>
          <w:p w14:paraId="54F510A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2.2.2定量同步：泵和进样器之间可实现进样同步，提高保留时间重现性。</w:t>
            </w:r>
          </w:p>
          <w:p w14:paraId="6341B7E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2.2.3样品容量：≥96位（2mL样品瓶架）。</w:t>
            </w:r>
          </w:p>
          <w:p w14:paraId="6AC0CF1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2.2.4样品交叉污染/样品残留：＜0.002%（咖啡因），UV条件下。</w:t>
            </w:r>
          </w:p>
          <w:p w14:paraId="7EB6077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2.2.5进样针清洗：集成、主动、可设置。</w:t>
            </w:r>
          </w:p>
          <w:p w14:paraId="440CFAF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2.2.6进样体积：0.1~50μL，增量：0.1μL；可使用扩展定量环最大扩到1000.0μL。</w:t>
            </w:r>
          </w:p>
          <w:p w14:paraId="10B592B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2.2.7最小样品量需求：≤3μL，使用2mL全回收样品瓶。</w:t>
            </w:r>
          </w:p>
          <w:p w14:paraId="2979849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2.2.8进样线性度：＞0.999，0.2～50.0μL。</w:t>
            </w:r>
          </w:p>
          <w:p w14:paraId="1F5FB3E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2.2.9进样精度：＜1.0% RSD，0.5～0.9μL；＜0.5% RSD，1.0～4.9μL；＜0.25% RSD，5.0～1000.0μL。</w:t>
            </w:r>
          </w:p>
          <w:p w14:paraId="11DE339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2.2.10准确度（吸取）：</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0.2μL。</w:t>
            </w:r>
          </w:p>
          <w:p w14:paraId="01A2C78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2.2.11自动进样循环时间：＜30s（进样之间）。</w:t>
            </w:r>
          </w:p>
          <w:p w14:paraId="530F3D8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2.2.12样品室温度范围：4℃～40℃，增量：0.1℃。</w:t>
            </w:r>
          </w:p>
          <w:p w14:paraId="32439E9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2.2.13温度准确度：传感器处为</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0.5℃。</w:t>
            </w:r>
          </w:p>
          <w:p w14:paraId="3547960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稳定稳定性：传感器处为</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1.0℃。</w:t>
            </w:r>
          </w:p>
          <w:p w14:paraId="433884A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2.2.14进样次数：每个样品1～99次进样。</w:t>
            </w:r>
          </w:p>
          <w:p w14:paraId="5E8A6C5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2.3色谱柱管理器</w:t>
            </w:r>
          </w:p>
          <w:p w14:paraId="5D6BA8A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2.3.1温度范围：30cm：室温～65.0℃。</w:t>
            </w:r>
          </w:p>
          <w:p w14:paraId="73519E2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二极管阵列检测器</w:t>
            </w:r>
          </w:p>
          <w:p w14:paraId="6279D7D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★2.4.1波长范围：190~800nm。二极管数：≤512，带宽：≤1.2nm。流通池：梯形狭缝池，消除示差折光效应。单一光源：氘灯，不需要额外使用其他光源。</w:t>
            </w:r>
            <w:r>
              <w:rPr>
                <w:rFonts w:hint="eastAsia" w:ascii="宋体" w:hAnsi="宋体" w:eastAsia="宋体" w:cs="宋体"/>
                <w:b/>
                <w:color w:val="auto"/>
                <w:sz w:val="24"/>
                <w:szCs w:val="24"/>
                <w:highlight w:val="none"/>
              </w:rPr>
              <w:t>（投标文件中提供证明材料）</w:t>
            </w:r>
          </w:p>
          <w:p w14:paraId="0DF17B8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2.4.2波长准确度：±1nm（使用铒过滤器）。</w:t>
            </w:r>
          </w:p>
          <w:p w14:paraId="12DE564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2.4.3数字分辨率：1.2nm/像素。</w:t>
            </w:r>
          </w:p>
          <w:p w14:paraId="0FF8A36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2.4.4采样频率：≥70Hz。</w:t>
            </w:r>
          </w:p>
          <w:p w14:paraId="169742B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2.4.5基线噪音：≤10.0×10</w:t>
            </w:r>
            <w:r>
              <w:rPr>
                <w:rFonts w:hint="eastAsia" w:ascii="宋体" w:hAnsi="宋体" w:eastAsia="宋体" w:cs="宋体"/>
                <w:bCs/>
                <w:color w:val="auto"/>
                <w:sz w:val="24"/>
                <w:szCs w:val="24"/>
                <w:highlight w:val="none"/>
                <w:vertAlign w:val="superscript"/>
              </w:rPr>
              <w:t>-6</w:t>
            </w:r>
            <w:r>
              <w:rPr>
                <w:rFonts w:hint="eastAsia" w:ascii="宋体" w:hAnsi="宋体" w:eastAsia="宋体" w:cs="宋体"/>
                <w:bCs/>
                <w:color w:val="auto"/>
                <w:sz w:val="24"/>
                <w:szCs w:val="24"/>
                <w:highlight w:val="none"/>
              </w:rPr>
              <w:t xml:space="preserve"> AU。</w:t>
            </w:r>
          </w:p>
          <w:p w14:paraId="1634314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2.4.6漂移:≤1.0×10</w:t>
            </w:r>
            <w:r>
              <w:rPr>
                <w:rFonts w:hint="eastAsia" w:ascii="宋体" w:hAnsi="宋体" w:eastAsia="宋体" w:cs="宋体"/>
                <w:bCs/>
                <w:color w:val="auto"/>
                <w:sz w:val="24"/>
                <w:szCs w:val="24"/>
                <w:highlight w:val="none"/>
                <w:vertAlign w:val="superscript"/>
              </w:rPr>
              <w:t>-3</w:t>
            </w:r>
            <w:r>
              <w:rPr>
                <w:rFonts w:hint="eastAsia" w:ascii="宋体" w:hAnsi="宋体" w:eastAsia="宋体" w:cs="宋体"/>
                <w:bCs/>
                <w:color w:val="auto"/>
                <w:sz w:val="24"/>
                <w:szCs w:val="24"/>
                <w:highlight w:val="none"/>
              </w:rPr>
              <w:t xml:space="preserve"> AU/hr。</w:t>
            </w:r>
          </w:p>
          <w:p w14:paraId="5435510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2.4.7线性范围：≤5%（2.5AU），对羟基苯甲酸丙酯，257nm。</w:t>
            </w:r>
          </w:p>
          <w:p w14:paraId="7907A9A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2.4.8吸收范围：0.0001~4.0000AU。</w:t>
            </w:r>
          </w:p>
          <w:p w14:paraId="7702974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2.4.9内置灯优化软件：减少可见光波长噪音，补偿等损耗能量。</w:t>
            </w:r>
          </w:p>
          <w:p w14:paraId="5E67154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2.4.10流通池耐压：≥1000psi（分析池）。</w:t>
            </w:r>
          </w:p>
          <w:p w14:paraId="52ADEE3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2.4.11固定狭缝：保持线性和光谱分辨率。</w:t>
            </w:r>
          </w:p>
          <w:p w14:paraId="6253DA6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2.4.12可将所有组分的最大吸收波长值整合成一张色谱图，无需逐个设置波长来寻找每个组分的最大吸收波长值。</w:t>
            </w:r>
          </w:p>
          <w:p w14:paraId="5FD45C0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2.4.13具备建立标准物质光谱库功能。</w:t>
            </w:r>
          </w:p>
          <w:p w14:paraId="515E83D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3.色谱数据管理系统</w:t>
            </w:r>
          </w:p>
          <w:p w14:paraId="0733DAB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3.1中文版操作系统下编写和测试。</w:t>
            </w:r>
          </w:p>
          <w:p w14:paraId="6177FA4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3.2原厂源代码级全中文版。</w:t>
            </w:r>
          </w:p>
          <w:p w14:paraId="63215FA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3.3登录时输入用户名和密码，每个使用者可以使用各自的用户名，密码和权限，相互之间的数据互相独立，互不干扰。</w:t>
            </w:r>
          </w:p>
          <w:p w14:paraId="49DFE90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3.4具有操作向导模式和在线帮助功能。</w:t>
            </w:r>
          </w:p>
          <w:p w14:paraId="094F156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3.5具有数据安全性：符合cGMP/GLP和21CFR Part11法规的要求，具有电子记录，电子签名之功能。具有分配用户使用权限之功能。</w:t>
            </w:r>
          </w:p>
          <w:p w14:paraId="0320980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3.6≥16种校正拟合定量计算方式，适应不同分析及不同检测器应用。</w:t>
            </w:r>
          </w:p>
          <w:p w14:paraId="302CFDFE">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★3.7数据检索模式≥10种。用户可自定义样品信息和编辑计算公式实现特殊的计算：样品信息类型≥6；数据类型≥6。</w:t>
            </w:r>
            <w:r>
              <w:rPr>
                <w:rFonts w:hint="eastAsia" w:ascii="宋体" w:hAnsi="宋体" w:eastAsia="宋体" w:cs="宋体"/>
                <w:b/>
                <w:color w:val="auto"/>
                <w:sz w:val="24"/>
                <w:szCs w:val="24"/>
                <w:highlight w:val="none"/>
              </w:rPr>
              <w:t>（投标文件中提供证明材料）</w:t>
            </w:r>
          </w:p>
          <w:p w14:paraId="147A36E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4.数据处理系统：1套</w:t>
            </w:r>
          </w:p>
          <w:p w14:paraId="32C1301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rPr>
              <w:t>硬件要求不低于：</w:t>
            </w:r>
            <w:r>
              <w:rPr>
                <w:rFonts w:hint="eastAsia" w:ascii="宋体" w:hAnsi="宋体" w:eastAsia="宋体" w:cs="宋体"/>
                <w:bCs/>
                <w:color w:val="auto"/>
                <w:sz w:val="24"/>
                <w:szCs w:val="24"/>
                <w:highlight w:val="none"/>
                <w:lang w:val="en-US" w:eastAsia="zh-CN"/>
              </w:rPr>
              <w:t>CPU</w:t>
            </w:r>
            <w:r>
              <w:rPr>
                <w:rFonts w:hint="eastAsia" w:ascii="宋体" w:hAnsi="宋体" w:eastAsia="宋体" w:cs="宋体"/>
                <w:bCs/>
                <w:color w:val="auto"/>
                <w:sz w:val="24"/>
                <w:szCs w:val="24"/>
                <w:highlight w:val="none"/>
              </w:rPr>
              <w:t xml:space="preserve"> 四核八线程，≥8G内存，≥500G固态硬盘，独立显卡、不小于21英寸显示屏，DVD-RW；</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在投标响应表中列出</w:t>
            </w:r>
            <w:r>
              <w:rPr>
                <w:rFonts w:hint="eastAsia" w:ascii="宋体" w:hAnsi="宋体" w:eastAsia="宋体" w:cs="宋体"/>
                <w:b/>
                <w:bCs w:val="0"/>
                <w:color w:val="auto"/>
                <w:sz w:val="24"/>
                <w:szCs w:val="24"/>
                <w:highlight w:val="none"/>
                <w:lang w:val="en-US" w:eastAsia="zh-CN"/>
              </w:rPr>
              <w:t>所投</w:t>
            </w:r>
            <w:r>
              <w:rPr>
                <w:rFonts w:hint="eastAsia" w:ascii="宋体" w:hAnsi="宋体" w:eastAsia="宋体" w:cs="宋体"/>
                <w:b/>
                <w:bCs w:val="0"/>
                <w:color w:val="auto"/>
                <w:sz w:val="24"/>
                <w:szCs w:val="24"/>
                <w:highlight w:val="none"/>
              </w:rPr>
              <w:t>产品品牌和型号，否则视为本条参数不响应）</w:t>
            </w:r>
          </w:p>
          <w:p w14:paraId="1CA63EED">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rPr>
              <w:t>中英文软件：包括仪器控制、数据处理等软件；定量分析软件；整体控制液相色谱及检测器的软件和相应接口。</w:t>
            </w:r>
          </w:p>
          <w:p w14:paraId="1841029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■5.配置清单：</w:t>
            </w:r>
          </w:p>
          <w:p w14:paraId="272A115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5.1高效液相色谱四元泵 1台。</w:t>
            </w:r>
          </w:p>
          <w:p w14:paraId="2575CBB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5.2在线脱气机 1个。</w:t>
            </w:r>
          </w:p>
          <w:p w14:paraId="6451BFA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5.3自动进样器 1台。</w:t>
            </w:r>
          </w:p>
          <w:p w14:paraId="0B77177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5.4柱温箱 1台。</w:t>
            </w:r>
          </w:p>
          <w:p w14:paraId="1D2891E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5.5样品冷却装置 1个。</w:t>
            </w:r>
          </w:p>
          <w:p w14:paraId="6E7E6AC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5.6检测器（1台）。</w:t>
            </w:r>
          </w:p>
          <w:p w14:paraId="4243426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5.7数据处理系统：1套。</w:t>
            </w:r>
          </w:p>
        </w:tc>
        <w:tc>
          <w:tcPr>
            <w:tcW w:w="846" w:type="dxa"/>
            <w:tcBorders>
              <w:top w:val="single" w:color="auto" w:sz="4" w:space="0"/>
              <w:left w:val="single" w:color="auto" w:sz="4" w:space="0"/>
              <w:bottom w:val="single" w:color="auto" w:sz="4" w:space="0"/>
              <w:right w:val="single" w:color="auto" w:sz="4" w:space="0"/>
            </w:tcBorders>
            <w:vAlign w:val="center"/>
          </w:tcPr>
          <w:p w14:paraId="1242CC1F">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4373D95D">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515E819E">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w:t>
            </w:r>
          </w:p>
        </w:tc>
      </w:tr>
      <w:tr w14:paraId="5E39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32502027">
            <w:pPr>
              <w:spacing w:line="32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270" w:type="dxa"/>
            <w:tcBorders>
              <w:top w:val="single" w:color="auto" w:sz="4" w:space="0"/>
              <w:left w:val="single" w:color="auto" w:sz="4" w:space="0"/>
              <w:bottom w:val="single" w:color="auto" w:sz="4" w:space="0"/>
              <w:right w:val="single" w:color="auto" w:sz="4" w:space="0"/>
            </w:tcBorders>
            <w:vAlign w:val="center"/>
          </w:tcPr>
          <w:p w14:paraId="52BD2374">
            <w:pPr>
              <w:spacing w:line="32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超高效液相色谱仪</w:t>
            </w:r>
          </w:p>
        </w:tc>
        <w:tc>
          <w:tcPr>
            <w:tcW w:w="5249" w:type="dxa"/>
            <w:tcBorders>
              <w:top w:val="single" w:color="auto" w:sz="4" w:space="0"/>
              <w:left w:val="single" w:color="auto" w:sz="4" w:space="0"/>
              <w:bottom w:val="single" w:color="auto" w:sz="4" w:space="0"/>
              <w:right w:val="single" w:color="auto" w:sz="4" w:space="0"/>
            </w:tcBorders>
          </w:tcPr>
          <w:p w14:paraId="645853D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1.工作条件：</w:t>
            </w:r>
          </w:p>
          <w:p w14:paraId="107D03C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1.1工作电压：220V±10%，50Hz。</w:t>
            </w:r>
          </w:p>
          <w:p w14:paraId="736C1EC0">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1.2温度：4.0~40.0℃（39.2~104.0°F）。</w:t>
            </w:r>
          </w:p>
          <w:p w14:paraId="5BF80D9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湿度：20%~80%，无冷凝。</w:t>
            </w:r>
          </w:p>
          <w:p w14:paraId="4FB889E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2.技术指标：</w:t>
            </w:r>
          </w:p>
          <w:p w14:paraId="2030ADF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2.1四元溶剂管理系统</w:t>
            </w:r>
          </w:p>
          <w:p w14:paraId="62BBE4E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★2.1.1色谱泵：一体式独立柱塞，数控直线驱动色谱泵技术，双压力传感器反馈回路，无需阻尼器。流量范围：≤5.000 mL/min，增量为0.001 mL。压缩补偿：自动、连续。</w:t>
            </w:r>
            <w:r>
              <w:rPr>
                <w:rFonts w:hint="eastAsia" w:ascii="宋体" w:hAnsi="宋体" w:eastAsia="宋体" w:cs="宋体"/>
                <w:b/>
                <w:bCs/>
                <w:color w:val="auto"/>
                <w:kern w:val="2"/>
                <w:sz w:val="24"/>
                <w:szCs w:val="24"/>
                <w:highlight w:val="none"/>
                <w:lang w:val="en-US" w:eastAsia="zh-CN" w:bidi="ar-SA"/>
              </w:rPr>
              <w:t>（投标文件中提供证明材料）</w:t>
            </w:r>
          </w:p>
          <w:p w14:paraId="11D26F7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2.1.2集成式漏液管理：配置漏液传感器与安全漏液处理。</w:t>
            </w:r>
          </w:p>
          <w:p w14:paraId="5670FFA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2.1.3 pH范围：1~12。</w:t>
            </w:r>
          </w:p>
          <w:p w14:paraId="7BD534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2.1.4泵压力传感器反馈回路：</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2路。</w:t>
            </w:r>
          </w:p>
          <w:p w14:paraId="2B76B1E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2.1.5梯度模式：低压混合，四元梯度，1~4路溶剂任意混合，可升级扩展到9路溶剂。</w:t>
            </w:r>
          </w:p>
          <w:p w14:paraId="26EC0D3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2.1.6脱气：集成式真空脱气，</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4个排气仓。</w:t>
            </w:r>
          </w:p>
          <w:p w14:paraId="287893F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2.1.7最大操作压力：≥9500psi（全流量范围）。</w:t>
            </w:r>
          </w:p>
          <w:p w14:paraId="10C61A0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2.1.8梯度延迟体积：≤1000μL，不随反压变化。</w:t>
            </w:r>
          </w:p>
          <w:p w14:paraId="5C0A5C4B">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2.1.9柱塞清洗：自动，可编辑。</w:t>
            </w:r>
          </w:p>
          <w:p w14:paraId="2264E05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2.1.10流速准确度：流速为0.5、3.0和5.0 mL/min时，准确度为±1.0%。</w:t>
            </w:r>
          </w:p>
          <w:p w14:paraId="60840A0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2.1.11混合准确度：±0.5%，5%~95%范围内；0.5∼5.0mL/min，不随反压变化。</w:t>
            </w:r>
          </w:p>
          <w:p w14:paraId="2481B81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2.1.12混合精度：±0.15%RSD或0.04min SD（取较大者），基于6次重复进样的结果，不随反压变化。</w:t>
            </w:r>
          </w:p>
          <w:p w14:paraId="0AD32E1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2.1.13混合波动（基线噪音）：≤0.5mAU。</w:t>
            </w:r>
          </w:p>
          <w:p w14:paraId="0F4DFEB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2.1.14梯度变化模式：预编≥11种梯度曲线，至少分为1线性、2步进、4凹线、4凸线四种类型，由色谱软件实现准确控制。</w:t>
            </w:r>
          </w:p>
          <w:p w14:paraId="63998CC5">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★2.1.15内置自动缓冲盐配置功能：可实现自动配置缓冲盐浓度和pH值梯度变化，增量为0.1。内置缓冲盐配置体系数量：≥8。梯度种类：至少3种（流动相组成变化，流速变化，pH值变化）。</w:t>
            </w:r>
            <w:r>
              <w:rPr>
                <w:rFonts w:hint="eastAsia" w:ascii="宋体" w:hAnsi="宋体" w:eastAsia="宋体" w:cs="宋体"/>
                <w:b/>
                <w:bCs/>
                <w:color w:val="auto"/>
                <w:kern w:val="2"/>
                <w:sz w:val="24"/>
                <w:szCs w:val="24"/>
                <w:highlight w:val="none"/>
                <w:lang w:val="en-US" w:eastAsia="zh-CN" w:bidi="ar-SA"/>
              </w:rPr>
              <w:t>（投标文件中提供证明材料）</w:t>
            </w:r>
          </w:p>
          <w:p w14:paraId="1743EE5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2.1.16智能梯度起始模式：≥3（进样前，进样后，进样同步），以模拟任意HPLC系统体积。</w:t>
            </w:r>
          </w:p>
          <w:p w14:paraId="65211587">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2.2自动进样器管理系统</w:t>
            </w:r>
          </w:p>
          <w:p w14:paraId="0EB60ED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2.2.1流通针式进样模式。</w:t>
            </w:r>
          </w:p>
          <w:p w14:paraId="25273F1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2.2.2定量同步：泵和进样器之间可实现进样同步，提高保留时间重现性。</w:t>
            </w:r>
          </w:p>
          <w:p w14:paraId="30023FF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2.2.3样品容量：≥95</w:t>
            </w:r>
            <w:r>
              <w:rPr>
                <w:rFonts w:hint="eastAsia" w:ascii="宋体" w:hAnsi="宋体" w:eastAsia="宋体" w:cs="宋体"/>
                <w:color w:val="auto"/>
                <w:kern w:val="2"/>
                <w:sz w:val="24"/>
                <w:szCs w:val="24"/>
                <w:highlight w:val="none"/>
                <w:lang w:val="en-US" w:eastAsia="zh-CN" w:bidi="ar-SA"/>
              </w:rPr>
              <w:t>位</w:t>
            </w:r>
            <w:r>
              <w:rPr>
                <w:rFonts w:hint="eastAsia" w:ascii="宋体" w:hAnsi="宋体" w:eastAsia="宋体" w:cs="宋体"/>
                <w:bCs/>
                <w:color w:val="auto"/>
                <w:kern w:val="2"/>
                <w:sz w:val="24"/>
                <w:szCs w:val="24"/>
                <w:highlight w:val="none"/>
                <w:lang w:val="en-US" w:eastAsia="zh-CN" w:bidi="ar-SA"/>
              </w:rPr>
              <w:t>（2mL样品瓶架）。</w:t>
            </w:r>
          </w:p>
          <w:p w14:paraId="1ACA399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2.2.4进样精度：＜0.26%RSD。</w:t>
            </w:r>
          </w:p>
          <w:p w14:paraId="6EBB066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2.2.5进样准确度：±0.2μL。</w:t>
            </w:r>
          </w:p>
          <w:p w14:paraId="6B61A55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2.2.6样品交叉污染/样品残留：＜0.002%（咖啡因），UV条件下。</w:t>
            </w:r>
          </w:p>
          <w:p w14:paraId="3CCE6477">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2.2.7进样针清洗：集成、主动、可设置。</w:t>
            </w:r>
          </w:p>
          <w:p w14:paraId="1B77D62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2.2.8进样体积：0.1~50μL，增量：0.1μL；可使用扩展定量环最大扩到1000.0μL。</w:t>
            </w:r>
          </w:p>
          <w:p w14:paraId="60F1B9E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2.2.9最小样品量需求：≤3μL，使用2mL全回收样品瓶。</w:t>
            </w:r>
          </w:p>
          <w:p w14:paraId="3BD99F31">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2.2.10进样线性度：＞0.999，0.2~50.0μL。</w:t>
            </w:r>
          </w:p>
          <w:p w14:paraId="27E779F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2.2.11进样精度：</w:t>
            </w:r>
          </w:p>
          <w:p w14:paraId="5FEE091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＜1.0% RSD，0.5~0.9μL；</w:t>
            </w:r>
          </w:p>
          <w:p w14:paraId="3CFDD9A7">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＜0.5% RSD，1.0~4.9μL；</w:t>
            </w:r>
          </w:p>
          <w:p w14:paraId="19D8BC3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＜0.25% RSD，5.0~1000.0μL；</w:t>
            </w:r>
          </w:p>
          <w:p w14:paraId="76CA3AC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2.2.12准确度（吸取）：</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0.2μL。</w:t>
            </w:r>
          </w:p>
          <w:p w14:paraId="40D0F8F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2.2.13自动进样循环时间：＜30s（进样之间）。</w:t>
            </w:r>
          </w:p>
          <w:p w14:paraId="4D7C66E0">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2.2.14样品室温度范围：4℃~40℃，增量：0.1℃；</w:t>
            </w:r>
          </w:p>
          <w:p w14:paraId="13F81221">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温度准确度：传感器处为</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0.5℃；</w:t>
            </w:r>
          </w:p>
          <w:p w14:paraId="0E09B5D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稳定稳定性：传感器处为</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1.0℃；</w:t>
            </w:r>
          </w:p>
          <w:p w14:paraId="6ED71B6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2.2.15进样次数：每个样品1~99次进样。</w:t>
            </w:r>
          </w:p>
          <w:p w14:paraId="7EA401C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2.3色谱柱管理器</w:t>
            </w:r>
          </w:p>
          <w:p w14:paraId="3AAC649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2.3.1色谱柱容量：</w:t>
            </w:r>
          </w:p>
          <w:p w14:paraId="71A1A73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单根色谱柱，最大内径≥7.8mm；最长≥300mm（带过滤器或保护柱）。</w:t>
            </w:r>
          </w:p>
          <w:p w14:paraId="0DF3523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2.3.2温度范围：</w:t>
            </w:r>
          </w:p>
          <w:p w14:paraId="45E37042">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30cm：20.0℃（或者高于环境温度5.0℃，取大值）~65.0℃。</w:t>
            </w:r>
          </w:p>
          <w:p w14:paraId="0106A901">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2.3.3加热模式：空气循环。</w:t>
            </w:r>
          </w:p>
          <w:p w14:paraId="0926B1D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2.4紫外/可见光检测器</w:t>
            </w:r>
          </w:p>
          <w:p w14:paraId="08FE5A60">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2.4.1波长范围：190~700nm。</w:t>
            </w:r>
          </w:p>
          <w:p w14:paraId="1C6A69A1">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2.4.2带宽：≤5nm。</w:t>
            </w:r>
          </w:p>
          <w:p w14:paraId="51E5EFF3">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2.4.3波长准确度：±1nm（使用铒过滤器）。</w:t>
            </w:r>
          </w:p>
          <w:p w14:paraId="0BD865A1">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2.4.4波长重现性：±0.1nm。</w:t>
            </w:r>
          </w:p>
          <w:p w14:paraId="03A8041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2.4.5测量范围：0.0001~4.0000AU。</w:t>
            </w:r>
          </w:p>
          <w:p w14:paraId="20F2D3E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2.4.6检测通道：≥2个。</w:t>
            </w:r>
          </w:p>
          <w:p w14:paraId="030F2E9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2.4.7基线噪音 单通道：＜5.0×10</w:t>
            </w:r>
            <w:r>
              <w:rPr>
                <w:rFonts w:hint="eastAsia" w:ascii="宋体" w:hAnsi="宋体" w:eastAsia="宋体" w:cs="宋体"/>
                <w:bCs/>
                <w:color w:val="auto"/>
                <w:kern w:val="2"/>
                <w:sz w:val="24"/>
                <w:szCs w:val="24"/>
                <w:highlight w:val="none"/>
                <w:vertAlign w:val="superscript"/>
                <w:lang w:val="en-US" w:eastAsia="zh-CN" w:bidi="ar-SA"/>
              </w:rPr>
              <w:t>-6</w:t>
            </w:r>
            <w:r>
              <w:rPr>
                <w:rFonts w:hint="eastAsia" w:ascii="宋体" w:hAnsi="宋体" w:eastAsia="宋体" w:cs="宋体"/>
                <w:bCs/>
                <w:color w:val="auto"/>
                <w:kern w:val="2"/>
                <w:sz w:val="24"/>
                <w:szCs w:val="24"/>
                <w:highlight w:val="none"/>
                <w:lang w:val="en-US" w:eastAsia="zh-CN" w:bidi="ar-SA"/>
              </w:rPr>
              <w:t>AU。</w:t>
            </w:r>
          </w:p>
          <w:p w14:paraId="3A8008D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基线噪音 双通道：＜35×10</w:t>
            </w:r>
            <w:r>
              <w:rPr>
                <w:rFonts w:hint="eastAsia" w:ascii="宋体" w:hAnsi="宋体" w:eastAsia="宋体" w:cs="宋体"/>
                <w:bCs/>
                <w:color w:val="auto"/>
                <w:kern w:val="2"/>
                <w:sz w:val="24"/>
                <w:szCs w:val="24"/>
                <w:highlight w:val="none"/>
                <w:vertAlign w:val="superscript"/>
                <w:lang w:val="en-US" w:eastAsia="zh-CN" w:bidi="ar-SA"/>
              </w:rPr>
              <w:t>-6</w:t>
            </w:r>
            <w:r>
              <w:rPr>
                <w:rFonts w:hint="eastAsia" w:ascii="宋体" w:hAnsi="宋体" w:eastAsia="宋体" w:cs="宋体"/>
                <w:bCs/>
                <w:color w:val="auto"/>
                <w:kern w:val="2"/>
                <w:sz w:val="24"/>
                <w:szCs w:val="24"/>
                <w:highlight w:val="none"/>
                <w:lang w:val="en-US" w:eastAsia="zh-CN" w:bidi="ar-SA"/>
              </w:rPr>
              <w:t>AU。</w:t>
            </w:r>
          </w:p>
          <w:p w14:paraId="4CD51EC7">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2.4.8漂移:≤1.0x10</w:t>
            </w:r>
            <w:r>
              <w:rPr>
                <w:rFonts w:hint="eastAsia" w:ascii="宋体" w:hAnsi="宋体" w:eastAsia="宋体" w:cs="宋体"/>
                <w:bCs/>
                <w:color w:val="auto"/>
                <w:kern w:val="2"/>
                <w:sz w:val="24"/>
                <w:szCs w:val="24"/>
                <w:highlight w:val="none"/>
                <w:vertAlign w:val="superscript"/>
                <w:lang w:val="en-US" w:eastAsia="zh-CN" w:bidi="ar-SA"/>
              </w:rPr>
              <w:t>-4</w:t>
            </w:r>
            <w:r>
              <w:rPr>
                <w:rFonts w:hint="eastAsia" w:ascii="宋体" w:hAnsi="宋体" w:eastAsia="宋体" w:cs="宋体"/>
                <w:bCs/>
                <w:color w:val="auto"/>
                <w:kern w:val="2"/>
                <w:sz w:val="24"/>
                <w:szCs w:val="24"/>
                <w:highlight w:val="none"/>
                <w:lang w:val="en-US" w:eastAsia="zh-CN" w:bidi="ar-SA"/>
              </w:rPr>
              <w:t>AU/hr。</w:t>
            </w:r>
          </w:p>
          <w:p w14:paraId="3BE19B2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2.4.9线性范围：≤5%（2.5AU），对羟基苯甲酸丙酯，257nm。</w:t>
            </w:r>
          </w:p>
          <w:p w14:paraId="09A4773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2.4.10吸收范围：0.0001~4.0000AU。</w:t>
            </w:r>
          </w:p>
          <w:p w14:paraId="7713FDC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★2.4.11光源：氘灯，无需使用其他光源。流通池：梯形狭缝池，消除示差折光效应。</w:t>
            </w:r>
          </w:p>
          <w:p w14:paraId="16A3F2D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2.4.12内置灯优化软件：减少可见光波长噪音，补偿等损耗能量。</w:t>
            </w:r>
          </w:p>
          <w:p w14:paraId="5D3D01C2">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2.4.13采样频率：≥70Hz。</w:t>
            </w:r>
          </w:p>
          <w:p w14:paraId="17BC92A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2.4.14内置比色池，实现紫外光谱扫描功能。</w:t>
            </w:r>
          </w:p>
          <w:p w14:paraId="7F6EC4B5">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2.4.15池长：≥10mm（分析池）；池体积：≥16.3µL（分析池）。</w:t>
            </w:r>
          </w:p>
          <w:p w14:paraId="79F741C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2.4.16流通池耐压：≥1000psi（分析池）。</w:t>
            </w:r>
          </w:p>
          <w:p w14:paraId="6E4D1F0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2.4.17固定狭缝：保持线性和光谱分辨率。</w:t>
            </w:r>
          </w:p>
          <w:p w14:paraId="7B32FC6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2.5荧光检测器</w:t>
            </w:r>
          </w:p>
          <w:p w14:paraId="135CFE8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2.5.1激发波长：200~890nm。</w:t>
            </w:r>
          </w:p>
          <w:p w14:paraId="6EF2237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2.5.2发射波长：210~900nm。</w:t>
            </w:r>
          </w:p>
          <w:p w14:paraId="7F11B48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2.5.3发射波长与激发波长设置差值：10nm。</w:t>
            </w:r>
          </w:p>
          <w:p w14:paraId="0A0FF2C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2.5.4灵敏度：S/N＞1000（水测量信号的拉曼光谱）。</w:t>
            </w:r>
          </w:p>
          <w:p w14:paraId="01452303">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2.5.5测量范围：0.001~10,000.000 发射单位（默认）。</w:t>
            </w:r>
          </w:p>
          <w:p w14:paraId="5B3E73E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2.5.6流通池：＜13μl，长轴向设计。</w:t>
            </w:r>
          </w:p>
          <w:p w14:paraId="32D581E3">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2.5.7光源：氙灯，150W，寿命≥2000小时或1年（以先到者为准）。</w:t>
            </w:r>
          </w:p>
          <w:p w14:paraId="2C98AB1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2.5.8采样频率：单（波长）模式最高≥20Hz；3D模式为≥1Hz。</w:t>
            </w:r>
          </w:p>
          <w:p w14:paraId="1B84E17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3.色谱数据管理系统</w:t>
            </w:r>
          </w:p>
          <w:p w14:paraId="284E1C0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3.1中文版操作系统下编写和测试；</w:t>
            </w:r>
          </w:p>
          <w:p w14:paraId="2AC1958B">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3.2原厂源代码级全中文版。</w:t>
            </w:r>
          </w:p>
          <w:p w14:paraId="3117EB8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3.3内置图文数据库。为保证数据库的稳定性，安装的一致性和可靠性，软件安装的时候数据库同时安装。数据库和软件不得分开安装。具有数据安全性：符合cGMP/GLP和21 CFR Part 11法规的要求，具有电子记录，电子签名之功能。具有分配用户使用权限之功能。</w:t>
            </w:r>
          </w:p>
          <w:p w14:paraId="0E820B2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3.4登录时输入用户名和密码，每个使用者可以使用各自的用户名，密码和权限，相互之间的数据互相独立，互不干扰。</w:t>
            </w:r>
          </w:p>
          <w:p w14:paraId="04AE874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3.5操作向导模式和在线帮助功能：只需按照指南要求进行操作即可执行相应的功能。</w:t>
            </w:r>
          </w:p>
          <w:p w14:paraId="55FCE13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3.6≥16种校正拟合定量计算方式，适应不同分析及不同检测器应用。</w:t>
            </w:r>
          </w:p>
          <w:p w14:paraId="5452ED5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3.7积分模式：传统积分和ApexTrack峰尖寻迹拟和积分，可提供准确的肩峰、负峰和拖尾峰的积分。</w:t>
            </w:r>
          </w:p>
          <w:p w14:paraId="3093E04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3.8报告格式的编辑和排版：结果可以有单个报告和综合报告。</w:t>
            </w:r>
          </w:p>
          <w:p w14:paraId="16E3ACE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3.9原始数据和结果可通过多种方式输出到其它软件中（如Excel）。</w:t>
            </w:r>
          </w:p>
          <w:p w14:paraId="37062495">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3.10带有系统适用性软件，可以计算美国药典（USP）、欧洲药典（EP）和日本药典（JP）的柱效、拖尾因子、分离度等色谱适用性参数。</w:t>
            </w:r>
          </w:p>
          <w:p w14:paraId="6773335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★3.11用户可自定义样品信息和编辑计算公式实现特殊的计算：样品信息类型≥6；数据类型≥6。数据检索模式≥10种。</w:t>
            </w:r>
            <w:r>
              <w:rPr>
                <w:rFonts w:hint="eastAsia" w:ascii="宋体" w:hAnsi="宋体" w:eastAsia="宋体" w:cs="宋体"/>
                <w:b/>
                <w:bCs/>
                <w:color w:val="auto"/>
                <w:kern w:val="2"/>
                <w:sz w:val="24"/>
                <w:szCs w:val="24"/>
                <w:highlight w:val="none"/>
                <w:lang w:val="en-US" w:eastAsia="zh-CN" w:bidi="ar-SA"/>
              </w:rPr>
              <w:t>（投标文件中提供证明材料）</w:t>
            </w:r>
          </w:p>
          <w:p w14:paraId="214C381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Cs/>
                <w:color w:val="auto"/>
                <w:kern w:val="2"/>
                <w:sz w:val="24"/>
                <w:szCs w:val="24"/>
                <w:highlight w:val="none"/>
                <w:lang w:val="en-US" w:eastAsia="zh-CN" w:bidi="ar-SA"/>
              </w:rPr>
              <w:t>数据处理系统1套：</w:t>
            </w:r>
          </w:p>
          <w:p w14:paraId="3BD81FD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4.7.1硬件要求不低于：CPU四核八线程，12G内存，500G 硬盘，独立显卡、21英寸显示屏，DVD-RW，配置输出设备（激光黑白A4，可双面输出）；</w:t>
            </w:r>
            <w:r>
              <w:rPr>
                <w:rFonts w:hint="eastAsia" w:ascii="宋体" w:hAnsi="宋体" w:eastAsia="宋体" w:cs="宋体"/>
                <w:b/>
                <w:bCs w:val="0"/>
                <w:color w:val="auto"/>
                <w:kern w:val="2"/>
                <w:sz w:val="24"/>
                <w:szCs w:val="24"/>
                <w:highlight w:val="none"/>
                <w:lang w:val="en-US" w:eastAsia="zh-CN" w:bidi="ar-SA"/>
              </w:rPr>
              <w:t>（投标人在投标响应表中列出所投产品品牌和型号，否则视为本条参数不响应）</w:t>
            </w:r>
          </w:p>
          <w:p w14:paraId="6688838C">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4.7.2中英文软件：包括仪器控制、数据处理等软件；定量分析软件；整体控制液相色谱及检测器的软件和相应接口；</w:t>
            </w:r>
          </w:p>
          <w:p w14:paraId="5E26C78B">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■5.配置清单：</w:t>
            </w:r>
          </w:p>
          <w:p w14:paraId="1BC90D9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5.1高效液相色谱四元泵1台。</w:t>
            </w:r>
          </w:p>
          <w:p w14:paraId="542001B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5.2在线脱气机 1个。</w:t>
            </w:r>
          </w:p>
          <w:p w14:paraId="58EC024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5.3自动进样器 1台 。</w:t>
            </w:r>
          </w:p>
          <w:p w14:paraId="48E54FF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5.4柱温箱1台。</w:t>
            </w:r>
          </w:p>
          <w:p w14:paraId="4182A83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5.5样品冷却装置1个。</w:t>
            </w:r>
          </w:p>
          <w:p w14:paraId="789D0EF8">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5.6检测器1台。</w:t>
            </w:r>
          </w:p>
          <w:p w14:paraId="30E5776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5.7数据处理系统1套：</w:t>
            </w:r>
          </w:p>
          <w:p w14:paraId="23ADEA3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5.8色谱柱（5μm，1根）。</w:t>
            </w:r>
          </w:p>
        </w:tc>
        <w:tc>
          <w:tcPr>
            <w:tcW w:w="846" w:type="dxa"/>
            <w:tcBorders>
              <w:top w:val="single" w:color="auto" w:sz="4" w:space="0"/>
              <w:left w:val="single" w:color="auto" w:sz="4" w:space="0"/>
              <w:bottom w:val="single" w:color="auto" w:sz="4" w:space="0"/>
              <w:right w:val="single" w:color="auto" w:sz="4" w:space="0"/>
            </w:tcBorders>
            <w:vAlign w:val="center"/>
          </w:tcPr>
          <w:p w14:paraId="0A18579B">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31DABABA">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2F44592A">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w:t>
            </w:r>
          </w:p>
        </w:tc>
      </w:tr>
      <w:tr w14:paraId="24FB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382FA595">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270" w:type="dxa"/>
            <w:tcBorders>
              <w:top w:val="single" w:color="auto" w:sz="4" w:space="0"/>
              <w:left w:val="single" w:color="auto" w:sz="4" w:space="0"/>
              <w:bottom w:val="single" w:color="auto" w:sz="4" w:space="0"/>
              <w:right w:val="single" w:color="auto" w:sz="4" w:space="0"/>
            </w:tcBorders>
            <w:vAlign w:val="center"/>
          </w:tcPr>
          <w:p w14:paraId="5CBDB526">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高效液相色谱仪</w:t>
            </w:r>
          </w:p>
        </w:tc>
        <w:tc>
          <w:tcPr>
            <w:tcW w:w="5249" w:type="dxa"/>
            <w:tcBorders>
              <w:top w:val="single" w:color="auto" w:sz="4" w:space="0"/>
              <w:left w:val="single" w:color="auto" w:sz="4" w:space="0"/>
              <w:bottom w:val="single" w:color="auto" w:sz="4" w:space="0"/>
              <w:right w:val="single" w:color="auto" w:sz="4" w:space="0"/>
            </w:tcBorders>
            <w:vAlign w:val="center"/>
          </w:tcPr>
          <w:p w14:paraId="74DDCEF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1.工作条件：</w:t>
            </w:r>
          </w:p>
          <w:p w14:paraId="4B57972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1.1工作电压：220V±10%，50Hz。</w:t>
            </w:r>
          </w:p>
          <w:p w14:paraId="5B74B34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1.2温度：4.0~40.0℃（39.2~104.0°F）。</w:t>
            </w:r>
          </w:p>
          <w:p w14:paraId="73F81AC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1.3湿度：20%~80%，无冷凝。</w:t>
            </w:r>
            <w:bookmarkStart w:id="38" w:name="_GoBack"/>
            <w:bookmarkEnd w:id="38"/>
          </w:p>
          <w:p w14:paraId="1620DB3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2.技术指标：</w:t>
            </w:r>
          </w:p>
          <w:p w14:paraId="41F7F72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四元溶剂管理系统</w:t>
            </w:r>
          </w:p>
          <w:p w14:paraId="130627C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★2.1.1色谱泵：一体式独立柱塞，数控直线驱动色谱泵技术，双压力传感器反馈回路，无需阻尼器。压缩补偿：自动、连续。流量范围：≤5.000 mL/min，增量为0.001 mL。</w:t>
            </w:r>
            <w:r>
              <w:rPr>
                <w:rFonts w:hint="eastAsia" w:ascii="宋体" w:hAnsi="宋体" w:eastAsia="宋体" w:cs="宋体"/>
                <w:b/>
                <w:bCs/>
                <w:color w:val="auto"/>
                <w:sz w:val="24"/>
                <w:szCs w:val="24"/>
                <w:highlight w:val="none"/>
              </w:rPr>
              <w:t>（投标文件中提供证明材料）</w:t>
            </w:r>
          </w:p>
          <w:p w14:paraId="1D36AC1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2.1.2集成式漏液管理：配置漏液传感器与安全漏液处理。</w:t>
            </w:r>
          </w:p>
          <w:p w14:paraId="61706BD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2.1.3pH范围：1~12。</w:t>
            </w:r>
          </w:p>
          <w:p w14:paraId="2B48B7C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2.1.4泵压力传感器反馈回路：≥2路。</w:t>
            </w:r>
          </w:p>
          <w:p w14:paraId="300EDBC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2.1.5流量范围：≤5.000 mL/min，增量为0.001 mL。</w:t>
            </w:r>
          </w:p>
          <w:p w14:paraId="73F564D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2.1.6梯度模式：低压混合，四元梯度，1~4路溶剂任意混合，可升级扩展到9路溶剂。</w:t>
            </w:r>
          </w:p>
          <w:p w14:paraId="05D2906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2.1.7脱气：集成式真空脱气，≥4个排气仓。</w:t>
            </w:r>
          </w:p>
          <w:p w14:paraId="092D546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2.1.8最大操作压力：≥9500 psi（全流量范围）。</w:t>
            </w:r>
          </w:p>
          <w:p w14:paraId="54D5534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2.1.9梯度延迟体积：＜1000μL，不随反压变化。</w:t>
            </w:r>
          </w:p>
          <w:p w14:paraId="3EF68EC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2.1.10柱塞清洗：自动，可编辑。</w:t>
            </w:r>
          </w:p>
          <w:p w14:paraId="5353562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2.1.11流速准确度：流速为0.5、3.0和5.0 mL/min时，准确度为±1.0%。</w:t>
            </w:r>
          </w:p>
          <w:p w14:paraId="5C7B14E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2.1.12混合准确度：± 0.5%，5%~95%范围内；0.5∼5.0 mL/min，不随反压变化。</w:t>
            </w:r>
          </w:p>
          <w:p w14:paraId="2E0F892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2.1.13混合精度：±0.15% RSD或0.04 min SD（取较大者），基于6次重复进样的结果，不随反压变化。</w:t>
            </w:r>
          </w:p>
          <w:p w14:paraId="3D2CCC4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2.1.14混合波动（基线噪音）：≤ 0.5 mAU。</w:t>
            </w:r>
          </w:p>
          <w:p w14:paraId="0062F00C">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2.1.15梯度变化模式：预编≥11种梯度曲线，至少分为1线性、2步进、4凹线、4凸线四种类型，由色谱软件实现准确控制。</w:t>
            </w:r>
          </w:p>
          <w:p w14:paraId="03F2249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★2.1.16内置自动缓冲盐配置功能：可实现自动配置缓冲盐浓度和pH值梯度变化，增量为0.1。</w:t>
            </w:r>
          </w:p>
          <w:p w14:paraId="56E0F70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内置缓冲盐配置体系数量：≥8。梯度种类：至少3种（流动相组成变化，流速变化，pH值变化）。</w:t>
            </w:r>
            <w:r>
              <w:rPr>
                <w:rFonts w:hint="eastAsia" w:ascii="宋体" w:hAnsi="宋体" w:eastAsia="宋体" w:cs="宋体"/>
                <w:b/>
                <w:color w:val="auto"/>
                <w:sz w:val="24"/>
                <w:szCs w:val="24"/>
                <w:highlight w:val="none"/>
              </w:rPr>
              <w:t>（投标文件中提供证明材料）</w:t>
            </w:r>
          </w:p>
          <w:p w14:paraId="110AE33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自动进样器管理系统</w:t>
            </w:r>
          </w:p>
          <w:p w14:paraId="59651E5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流通针式进样模式。</w:t>
            </w:r>
          </w:p>
          <w:p w14:paraId="68E9F4E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 定量同步：泵和进样器之间可实现进样同步，提高保留时间重现性。</w:t>
            </w:r>
          </w:p>
          <w:p w14:paraId="3FEC707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 样品容量：≥95</w:t>
            </w:r>
            <w:r>
              <w:rPr>
                <w:rFonts w:hint="eastAsia" w:ascii="宋体" w:hAnsi="宋体" w:eastAsia="宋体" w:cs="宋体"/>
                <w:color w:val="auto"/>
                <w:sz w:val="24"/>
                <w:szCs w:val="24"/>
                <w:highlight w:val="none"/>
              </w:rPr>
              <w:t>位</w:t>
            </w:r>
            <w:r>
              <w:rPr>
                <w:rFonts w:hint="eastAsia" w:ascii="宋体" w:hAnsi="宋体" w:eastAsia="宋体" w:cs="宋体"/>
                <w:bCs/>
                <w:color w:val="auto"/>
                <w:sz w:val="24"/>
                <w:szCs w:val="24"/>
                <w:highlight w:val="none"/>
              </w:rPr>
              <w:t>（2 mL样品瓶架）。</w:t>
            </w:r>
          </w:p>
          <w:p w14:paraId="378D289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2.2.4 进样精度：＜0.26% RSD。</w:t>
            </w:r>
          </w:p>
          <w:p w14:paraId="28E081A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2.2.5 进样准确度：±0.2 μL。</w:t>
            </w:r>
          </w:p>
          <w:p w14:paraId="7C558B0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2.2.6样品交叉污染/样品残留：＜0.002%（咖啡因），UV条件下。</w:t>
            </w:r>
          </w:p>
          <w:p w14:paraId="787C6DE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2.2.7进样针清洗：集成、主动、可设置。</w:t>
            </w:r>
          </w:p>
          <w:p w14:paraId="3E8AA74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2.2.8进样体积：0.1~50 μL，增量：0.1μL；可使用扩展定量环最大扩到1000.0μL。</w:t>
            </w:r>
          </w:p>
          <w:p w14:paraId="1557B33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2.2.9最小样品量需求：</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3μL，使用2mL全回收样品瓶。</w:t>
            </w:r>
          </w:p>
          <w:p w14:paraId="7AB2017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2.2.10进样线性度：＞0.999，0.2~50.0μL。</w:t>
            </w:r>
          </w:p>
          <w:p w14:paraId="00BAEF4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2.2.11进样精度：</w:t>
            </w:r>
          </w:p>
          <w:p w14:paraId="3CD3940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 RSD，0.5~0.9μL；</w:t>
            </w:r>
          </w:p>
          <w:p w14:paraId="2482A5C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 RSD，1.0~4.9μL；</w:t>
            </w:r>
          </w:p>
          <w:p w14:paraId="52FC51D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 RSD，5.0~1000.0μL；</w:t>
            </w:r>
          </w:p>
          <w:p w14:paraId="27DAB17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2.2.12准确度（吸取）：</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0.2μL。</w:t>
            </w:r>
          </w:p>
          <w:p w14:paraId="6A414F6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色谱柱管理器</w:t>
            </w:r>
          </w:p>
          <w:p w14:paraId="55CEEEA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 色谱柱容量：</w:t>
            </w:r>
          </w:p>
          <w:p w14:paraId="4D2A487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单根色谱柱，最大内径≥7.8mm；最长≥300mm（带过滤器或保护柱）。</w:t>
            </w:r>
          </w:p>
          <w:p w14:paraId="2F15528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 温度范围：</w:t>
            </w:r>
          </w:p>
          <w:p w14:paraId="2447B70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30cm：20.0℃（或者高于环境温度5.0℃，取大值）~65.0℃。</w:t>
            </w:r>
          </w:p>
          <w:p w14:paraId="62935DC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 加热模式：空气循环。</w:t>
            </w:r>
          </w:p>
          <w:p w14:paraId="0590EE9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二极管阵列检测器</w:t>
            </w:r>
          </w:p>
          <w:p w14:paraId="0338F11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★2.4.1波长范围：190~800nm。二极管数：≤512，带宽：1.2nm。单一光源：氘灯,不需要额外使用其他光源。流通池：梯形狭缝池，消除示差折光效应。</w:t>
            </w:r>
            <w:r>
              <w:rPr>
                <w:rFonts w:hint="eastAsia" w:ascii="宋体" w:hAnsi="宋体" w:eastAsia="宋体" w:cs="宋体"/>
                <w:b/>
                <w:color w:val="auto"/>
                <w:sz w:val="24"/>
                <w:szCs w:val="24"/>
                <w:highlight w:val="none"/>
              </w:rPr>
              <w:t>（投标文件中提供证明材料）；</w:t>
            </w:r>
          </w:p>
          <w:p w14:paraId="6D600C3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2.4.2波长准确度：±1nm（使用铒过滤器）。</w:t>
            </w:r>
          </w:p>
          <w:p w14:paraId="6157AD6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2.4.3数字分辨率：1.2nm/像素。</w:t>
            </w:r>
          </w:p>
          <w:p w14:paraId="1D4537F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2.4.4具备建立标准物质光谱库功能。</w:t>
            </w:r>
          </w:p>
          <w:p w14:paraId="4E453C67">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2.4.5采样频率：≥70Hz。</w:t>
            </w:r>
          </w:p>
          <w:p w14:paraId="5ECBAEC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2.4.6基线噪音：≤10.0×10</w:t>
            </w:r>
            <w:r>
              <w:rPr>
                <w:rFonts w:hint="eastAsia" w:ascii="宋体" w:hAnsi="宋体" w:eastAsia="宋体" w:cs="宋体"/>
                <w:bCs/>
                <w:color w:val="auto"/>
                <w:sz w:val="24"/>
                <w:szCs w:val="24"/>
                <w:highlight w:val="none"/>
                <w:vertAlign w:val="superscript"/>
              </w:rPr>
              <w:t>-6</w:t>
            </w:r>
            <w:r>
              <w:rPr>
                <w:rFonts w:hint="eastAsia" w:ascii="宋体" w:hAnsi="宋体" w:eastAsia="宋体" w:cs="宋体"/>
                <w:bCs/>
                <w:color w:val="auto"/>
                <w:sz w:val="24"/>
                <w:szCs w:val="24"/>
                <w:highlight w:val="none"/>
              </w:rPr>
              <w:t xml:space="preserve"> AU。</w:t>
            </w:r>
          </w:p>
          <w:p w14:paraId="5FB128D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2.4.7漂移: ≤1.0×10</w:t>
            </w:r>
            <w:r>
              <w:rPr>
                <w:rFonts w:hint="eastAsia" w:ascii="宋体" w:hAnsi="宋体" w:eastAsia="宋体" w:cs="宋体"/>
                <w:bCs/>
                <w:color w:val="auto"/>
                <w:sz w:val="24"/>
                <w:szCs w:val="24"/>
                <w:highlight w:val="none"/>
                <w:vertAlign w:val="superscript"/>
              </w:rPr>
              <w:t>-3</w:t>
            </w:r>
            <w:r>
              <w:rPr>
                <w:rFonts w:hint="eastAsia" w:ascii="宋体" w:hAnsi="宋体" w:eastAsia="宋体" w:cs="宋体"/>
                <w:bCs/>
                <w:color w:val="auto"/>
                <w:sz w:val="24"/>
                <w:szCs w:val="24"/>
                <w:highlight w:val="none"/>
              </w:rPr>
              <w:t xml:space="preserve"> AU/hr。</w:t>
            </w:r>
          </w:p>
          <w:p w14:paraId="33474B5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2.4.8线性范围：≤5%（2.5AU），对羟基苯甲酸丙酯，257nm。</w:t>
            </w:r>
          </w:p>
          <w:p w14:paraId="2B00D57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2.4.9吸收范围：0.0001~4.0000AU。</w:t>
            </w:r>
          </w:p>
          <w:p w14:paraId="250F698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2.4.10可将所有组分的最大吸收波长值整合成一张色谱图，无需逐个设置波长来寻找每个组分的最大吸收波长值。</w:t>
            </w:r>
          </w:p>
          <w:p w14:paraId="3583BF5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2.4.11内置灯优化软件：减少可见光波长噪音，补偿等损耗能量。</w:t>
            </w:r>
          </w:p>
          <w:p w14:paraId="20B7107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2.4.12流通池耐压：≥1000psi（分析池）。</w:t>
            </w:r>
          </w:p>
          <w:p w14:paraId="72911F1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2.4.13固定狭缝：保持线性和光谱分辨率。</w:t>
            </w:r>
          </w:p>
          <w:p w14:paraId="34EEAC98">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2.5蒸发光散射检测器。</w:t>
            </w:r>
          </w:p>
          <w:p w14:paraId="2EB1C61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2.5.1 雾化器：前面板预装配，卡口式设计。</w:t>
            </w:r>
          </w:p>
          <w:p w14:paraId="76BDAE4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2.5.2漂移管温度：5~100℃，0.1℃增量。</w:t>
            </w:r>
          </w:p>
          <w:p w14:paraId="5D9BA98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2.5.3雾化器三种温度控制模式：加热、常温、冷却。</w:t>
            </w:r>
          </w:p>
          <w:p w14:paraId="0C8B303E">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雾化器气体种类：氮气、空气。</w:t>
            </w:r>
          </w:p>
          <w:p w14:paraId="720809A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2.5.4雾化器压力：20~60psi。</w:t>
            </w:r>
          </w:p>
          <w:p w14:paraId="46A3218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雾化器气流量：300~3000μl/min。</w:t>
            </w:r>
          </w:p>
          <w:p w14:paraId="0AD72D8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2.5.5兼容液体流量：3.000mL/min，100%水。</w:t>
            </w:r>
          </w:p>
          <w:p w14:paraId="01FF081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2.5.6信号范围：0.1~2000光散射单位。</w:t>
            </w:r>
          </w:p>
          <w:p w14:paraId="615E6A4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2.5.7光源：卤钨灯，寿命≥2000小时。</w:t>
            </w:r>
          </w:p>
          <w:p w14:paraId="49C2C286">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2.5.8采样频率：80Hz。</w:t>
            </w:r>
          </w:p>
          <w:p w14:paraId="6B51A0BF">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3.色谱数据管理系统。</w:t>
            </w:r>
          </w:p>
          <w:p w14:paraId="7318958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3.1中文版操作系统下编写和测试。。</w:t>
            </w:r>
          </w:p>
          <w:p w14:paraId="3A5FF92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3.2原厂源代码级全中文版。</w:t>
            </w:r>
          </w:p>
          <w:p w14:paraId="419A5233">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内置图文数据库。为保证数据库的稳定性，安装的一致性和可靠性，软件安装的时候数据库同时安装。操作向导模式和在线帮助功能：只需按照指南要求进行操作即可执行相应的功能。3.4≥16种校正拟合定量计算方式，适应不同分析及不同检测器应用。</w:t>
            </w:r>
          </w:p>
          <w:p w14:paraId="0C3CC445">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3.5用溶剂角及噪音角计算色谱峰一致性，对色谱峰进行纯度分析以判断是否有共流出物（PDA检测器）。</w:t>
            </w:r>
          </w:p>
          <w:p w14:paraId="391B9042">
            <w:pPr>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★3.6用户可自定义样品信息和编辑计算公式实现特殊的计算：样品信息类型≥6；数据类型≥6。数据检索模式≥10种。</w:t>
            </w:r>
            <w:r>
              <w:rPr>
                <w:rFonts w:hint="eastAsia" w:ascii="宋体" w:hAnsi="宋体" w:eastAsia="宋体" w:cs="宋体"/>
                <w:b/>
                <w:color w:val="auto"/>
                <w:sz w:val="24"/>
                <w:szCs w:val="24"/>
                <w:highlight w:val="none"/>
              </w:rPr>
              <w:t>（投标文件中提供证明材料）</w:t>
            </w:r>
          </w:p>
          <w:p w14:paraId="568A451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Cs/>
                <w:color w:val="auto"/>
                <w:sz w:val="24"/>
                <w:szCs w:val="24"/>
                <w:highlight w:val="none"/>
              </w:rPr>
              <w:t>数据处理系统：1套</w:t>
            </w:r>
          </w:p>
          <w:p w14:paraId="3C4DE8B2">
            <w:pPr>
              <w:adjustRightInd w:val="0"/>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4.7.1硬件要求不低于：</w:t>
            </w:r>
            <w:r>
              <w:rPr>
                <w:rFonts w:hint="eastAsia" w:ascii="宋体" w:hAnsi="宋体" w:eastAsia="宋体" w:cs="宋体"/>
                <w:bCs/>
                <w:color w:val="auto"/>
                <w:sz w:val="24"/>
                <w:szCs w:val="24"/>
                <w:highlight w:val="none"/>
                <w:lang w:val="en-US" w:eastAsia="zh-CN"/>
              </w:rPr>
              <w:t>CPU</w:t>
            </w:r>
            <w:r>
              <w:rPr>
                <w:rFonts w:hint="eastAsia" w:ascii="宋体" w:hAnsi="宋体" w:eastAsia="宋体" w:cs="宋体"/>
                <w:bCs/>
                <w:color w:val="auto"/>
                <w:sz w:val="24"/>
                <w:szCs w:val="24"/>
                <w:highlight w:val="none"/>
              </w:rPr>
              <w:t>四核八线程，12G内存，500G硬盘，独立显卡、21英寸显示屏，DVD-RW，配置输出设备（激光黑白A4，可双面输出）</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在投标响应表中列出</w:t>
            </w:r>
            <w:r>
              <w:rPr>
                <w:rFonts w:hint="eastAsia" w:ascii="宋体" w:hAnsi="宋体" w:eastAsia="宋体" w:cs="宋体"/>
                <w:b/>
                <w:bCs w:val="0"/>
                <w:color w:val="auto"/>
                <w:sz w:val="24"/>
                <w:szCs w:val="24"/>
                <w:highlight w:val="none"/>
                <w:lang w:val="en-US" w:eastAsia="zh-CN"/>
              </w:rPr>
              <w:t>所投</w:t>
            </w:r>
            <w:r>
              <w:rPr>
                <w:rFonts w:hint="eastAsia" w:ascii="宋体" w:hAnsi="宋体" w:eastAsia="宋体" w:cs="宋体"/>
                <w:b/>
                <w:bCs w:val="0"/>
                <w:color w:val="auto"/>
                <w:sz w:val="24"/>
                <w:szCs w:val="24"/>
                <w:highlight w:val="none"/>
              </w:rPr>
              <w:t>产品品牌和型号，否则视为本条参数不响应）</w:t>
            </w:r>
          </w:p>
          <w:p w14:paraId="679BAB09">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4.7.2中英文软件：包括仪器控制、数据处理等软件；定量分析软件；整体控制液相色谱及检测器的软件和相应接口。</w:t>
            </w:r>
          </w:p>
          <w:p w14:paraId="553C8F6A">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■5.配置清单：</w:t>
            </w:r>
          </w:p>
          <w:p w14:paraId="74CD176D">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5.1高效液相色谱四元泵 1台。</w:t>
            </w:r>
          </w:p>
          <w:p w14:paraId="67D1DADB">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5.2在线脱气机 1个。</w:t>
            </w:r>
          </w:p>
          <w:p w14:paraId="56BAE9C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5.3自动进样器1台。</w:t>
            </w:r>
          </w:p>
          <w:p w14:paraId="7FA9E571">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5.4柱温箱1台。</w:t>
            </w:r>
          </w:p>
          <w:p w14:paraId="376EE2E4">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5.5样品冷却装置1个。</w:t>
            </w:r>
          </w:p>
          <w:p w14:paraId="19E5DAE0">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5.6检测器2个。</w:t>
            </w:r>
          </w:p>
          <w:p w14:paraId="30D737EC">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5.7数据处理系统：1套</w:t>
            </w:r>
          </w:p>
          <w:p w14:paraId="0FDC13D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5.8色谱柱（5μm，1根）。</w:t>
            </w:r>
          </w:p>
        </w:tc>
        <w:tc>
          <w:tcPr>
            <w:tcW w:w="846" w:type="dxa"/>
            <w:tcBorders>
              <w:top w:val="single" w:color="auto" w:sz="4" w:space="0"/>
              <w:left w:val="single" w:color="auto" w:sz="4" w:space="0"/>
              <w:bottom w:val="single" w:color="auto" w:sz="4" w:space="0"/>
              <w:right w:val="single" w:color="auto" w:sz="4" w:space="0"/>
            </w:tcBorders>
            <w:vAlign w:val="center"/>
          </w:tcPr>
          <w:p w14:paraId="65428E1A">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7641FA4B">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21312AB0">
            <w:pP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w:t>
            </w:r>
          </w:p>
        </w:tc>
      </w:tr>
    </w:tbl>
    <w:p w14:paraId="082362A1">
      <w:pPr>
        <w:widowControl w:val="0"/>
        <w:ind w:left="200" w:hanging="482" w:hangingChars="200"/>
        <w:contextualSpacing/>
        <w:jc w:val="both"/>
        <w:rPr>
          <w:rFonts w:hint="eastAsia" w:ascii="宋体" w:hAnsi="宋体" w:eastAsia="宋体" w:cs="宋体"/>
          <w:b/>
          <w:bCs/>
          <w:color w:val="auto"/>
          <w:kern w:val="2"/>
          <w:sz w:val="24"/>
          <w:szCs w:val="24"/>
          <w:highlight w:val="none"/>
          <w:lang w:val="en-US" w:eastAsia="zh-CN" w:bidi="ar-SA"/>
        </w:rPr>
      </w:pPr>
    </w:p>
    <w:p w14:paraId="0DC1717B">
      <w:pPr>
        <w:pageBreakBefore w:val="0"/>
        <w:widowControl w:val="0"/>
        <w:wordWrap w:val="0"/>
        <w:topLinePunct w:val="0"/>
        <w:bidi w:val="0"/>
        <w:spacing w:before="156" w:beforeLines="50" w:after="156" w:afterLines="50"/>
        <w:ind w:left="0" w:firstLine="640" w:firstLineChars="200"/>
        <w:jc w:val="both"/>
        <w:rPr>
          <w:rFonts w:hint="eastAsia" w:ascii="Times New Roman" w:hAnsi="@仿宋_GB2312" w:eastAsia="黑体" w:cs="Times New Roman"/>
          <w:color w:val="auto"/>
          <w:kern w:val="2"/>
          <w:sz w:val="32"/>
          <w:szCs w:val="20"/>
          <w:highlight w:val="none"/>
          <w:lang w:val="en-US" w:eastAsia="zh-CN" w:bidi="ar-SA"/>
        </w:rPr>
      </w:pPr>
      <w:bookmarkStart w:id="17" w:name="_Toc902728931"/>
      <w:bookmarkStart w:id="18" w:name="_Toc1520309192"/>
      <w:bookmarkStart w:id="19" w:name="_Toc1814319857"/>
      <w:bookmarkStart w:id="20" w:name="_Toc13384869"/>
      <w:bookmarkStart w:id="21" w:name="_Toc49042126"/>
      <w:bookmarkStart w:id="22" w:name="_Toc1101062245"/>
      <w:bookmarkStart w:id="23" w:name="_Toc1900587714"/>
      <w:bookmarkStart w:id="24" w:name="_Toc1061105159_WPSOffice_Level2"/>
      <w:r>
        <w:rPr>
          <w:rFonts w:hint="eastAsia" w:ascii="Times New Roman" w:hAnsi="@仿宋_GB2312" w:eastAsia="黑体" w:cs="Times New Roman"/>
          <w:color w:val="auto"/>
          <w:kern w:val="2"/>
          <w:sz w:val="32"/>
          <w:szCs w:val="20"/>
          <w:highlight w:val="none"/>
          <w:lang w:val="en-US" w:eastAsia="zh-CN" w:bidi="ar-SA"/>
        </w:rPr>
        <w:t>三、报价要求</w:t>
      </w:r>
      <w:bookmarkEnd w:id="17"/>
      <w:bookmarkEnd w:id="18"/>
      <w:bookmarkEnd w:id="19"/>
      <w:bookmarkEnd w:id="20"/>
      <w:bookmarkEnd w:id="21"/>
      <w:bookmarkEnd w:id="22"/>
      <w:bookmarkEnd w:id="23"/>
      <w:bookmarkEnd w:id="24"/>
    </w:p>
    <w:p w14:paraId="214100E4">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395D5E19">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r>
        <w:rPr>
          <w:rFonts w:ascii="Arial" w:hAnsi="Arial" w:eastAsia="黑体" w:cs="Times New Roman"/>
          <w:bCs/>
          <w:color w:val="auto"/>
          <w:kern w:val="0"/>
          <w:sz w:val="28"/>
          <w:szCs w:val="32"/>
          <w:highlight w:val="none"/>
          <w:lang w:val="en-US" w:eastAsia="zh-CN" w:bidi="ar-SA"/>
        </w:rPr>
        <w:t>四、备品备件及专用工具</w:t>
      </w:r>
    </w:p>
    <w:p w14:paraId="3462D190">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bookmarkStart w:id="25" w:name="_Toc455587093"/>
      <w:bookmarkStart w:id="26" w:name="_Toc455587277"/>
      <w:bookmarkStart w:id="27" w:name="_Toc445554752"/>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101A571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25"/>
    <w:bookmarkEnd w:id="26"/>
    <w:bookmarkEnd w:id="27"/>
    <w:p w14:paraId="3217B776">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28" w:name="_Toc532199625"/>
      <w:bookmarkStart w:id="29" w:name="_Toc445554753"/>
      <w:bookmarkStart w:id="30" w:name="_Toc455587094"/>
      <w:bookmarkStart w:id="31" w:name="_Toc455587278"/>
      <w:r>
        <w:rPr>
          <w:rFonts w:hint="eastAsia" w:ascii="Arial" w:hAnsi="Arial" w:eastAsia="黑体" w:cs="Times New Roman"/>
          <w:bCs/>
          <w:color w:val="auto"/>
          <w:kern w:val="0"/>
          <w:sz w:val="28"/>
          <w:szCs w:val="32"/>
          <w:highlight w:val="none"/>
          <w:lang w:val="en-US" w:eastAsia="zh-CN" w:bidi="ar-SA"/>
        </w:rPr>
        <w:t>五</w:t>
      </w:r>
      <w:r>
        <w:rPr>
          <w:rFonts w:ascii="Arial" w:hAnsi="Arial" w:eastAsia="黑体" w:cs="Times New Roman"/>
          <w:bCs/>
          <w:color w:val="auto"/>
          <w:kern w:val="0"/>
          <w:sz w:val="28"/>
          <w:szCs w:val="32"/>
          <w:highlight w:val="none"/>
          <w:lang w:val="en-US" w:eastAsia="zh-CN" w:bidi="ar-SA"/>
        </w:rPr>
        <w:t>、安装调试、验收试验及质量保证</w:t>
      </w:r>
      <w:bookmarkEnd w:id="28"/>
    </w:p>
    <w:p w14:paraId="5489F574">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5698AA74">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062BE5BA">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57F3532B">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F3E5F8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2636EB53">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5BE8B67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53D166B6">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42F5131F">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2" w:name="_Toc532199626"/>
      <w:r>
        <w:rPr>
          <w:rFonts w:ascii="Arial" w:hAnsi="Arial" w:eastAsia="黑体" w:cs="Times New Roman"/>
          <w:bCs/>
          <w:color w:val="auto"/>
          <w:kern w:val="0"/>
          <w:sz w:val="28"/>
          <w:szCs w:val="32"/>
          <w:highlight w:val="none"/>
          <w:lang w:val="en-US" w:eastAsia="zh-CN" w:bidi="ar-SA"/>
        </w:rPr>
        <w:t>六、包装运输</w:t>
      </w:r>
      <w:bookmarkEnd w:id="29"/>
      <w:bookmarkEnd w:id="30"/>
      <w:bookmarkEnd w:id="31"/>
      <w:bookmarkEnd w:id="32"/>
    </w:p>
    <w:p w14:paraId="1860B888">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bookmarkStart w:id="33" w:name="_Toc455587279"/>
      <w:bookmarkStart w:id="34" w:name="_Toc455587095"/>
      <w:bookmarkStart w:id="35" w:name="_Toc445554754"/>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671235CF">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284597AB">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00A4860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006B5583">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2F606F7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771D9CFD">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4B27DFD1">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6" w:name="_Toc532199627"/>
      <w:r>
        <w:rPr>
          <w:rFonts w:hint="eastAsia" w:ascii="Arial" w:hAnsi="Arial" w:eastAsia="黑体" w:cs="Times New Roman"/>
          <w:bCs/>
          <w:color w:val="auto"/>
          <w:kern w:val="0"/>
          <w:sz w:val="28"/>
          <w:szCs w:val="32"/>
          <w:highlight w:val="none"/>
          <w:lang w:val="en-US" w:eastAsia="zh-CN" w:bidi="ar-SA"/>
        </w:rPr>
        <w:t>七</w:t>
      </w:r>
      <w:r>
        <w:rPr>
          <w:rFonts w:ascii="Arial" w:hAnsi="Arial" w:eastAsia="黑体" w:cs="Times New Roman"/>
          <w:bCs/>
          <w:color w:val="auto"/>
          <w:kern w:val="0"/>
          <w:sz w:val="28"/>
          <w:szCs w:val="32"/>
          <w:highlight w:val="none"/>
          <w:lang w:val="en-US" w:eastAsia="zh-CN" w:bidi="ar-SA"/>
        </w:rPr>
        <w:t>、技术培训</w:t>
      </w:r>
      <w:bookmarkEnd w:id="33"/>
      <w:bookmarkEnd w:id="34"/>
      <w:bookmarkEnd w:id="35"/>
      <w:bookmarkEnd w:id="36"/>
    </w:p>
    <w:p w14:paraId="265BBE7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2B1B334A">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47368E73">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7" w:name="_Toc532199628"/>
      <w:r>
        <w:rPr>
          <w:rFonts w:hint="eastAsia" w:ascii="Arial" w:hAnsi="Arial" w:eastAsia="黑体" w:cs="Times New Roman"/>
          <w:bCs/>
          <w:color w:val="auto"/>
          <w:kern w:val="0"/>
          <w:sz w:val="28"/>
          <w:szCs w:val="32"/>
          <w:highlight w:val="none"/>
          <w:lang w:val="en-US" w:eastAsia="zh-CN" w:bidi="ar-SA"/>
        </w:rPr>
        <w:t>八</w:t>
      </w:r>
      <w:r>
        <w:rPr>
          <w:rFonts w:ascii="Arial" w:hAnsi="Arial" w:eastAsia="黑体" w:cs="Times New Roman"/>
          <w:bCs/>
          <w:color w:val="auto"/>
          <w:kern w:val="0"/>
          <w:sz w:val="28"/>
          <w:szCs w:val="32"/>
          <w:highlight w:val="none"/>
          <w:lang w:val="en-US" w:eastAsia="zh-CN" w:bidi="ar-SA"/>
        </w:rPr>
        <w:t>、质保及售后服务</w:t>
      </w:r>
    </w:p>
    <w:p w14:paraId="231E3232">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241A82EC">
      <w:pPr>
        <w:pageBreakBefore w:val="0"/>
        <w:wordWrap w:val="0"/>
        <w:topLinePunct w:val="0"/>
        <w:bidi w:val="0"/>
        <w:spacing w:line="360" w:lineRule="auto"/>
        <w:ind w:firstLine="480" w:firstLineChars="200"/>
        <w:jc w:val="left"/>
        <w:rPr>
          <w:rFonts w:ascii="宋体" w:hAnsi="宋体" w:eastAsia="宋体"/>
          <w:b/>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1B3826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Arial Unicode MS"/>
    <w:panose1 w:val="0201060001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E3147"/>
    <w:rsid w:val="02CE3147"/>
    <w:rsid w:val="0359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next w:val="7"/>
    <w:unhideWhenUsed/>
    <w:qFormat/>
    <w:uiPriority w:val="99"/>
    <w:pPr>
      <w:ind w:left="420" w:firstLine="420" w:firstLineChars="200"/>
    </w:pPr>
    <w:rPr>
      <w:rFonts w:ascii="Times New Roman" w:cs="Times New Roman"/>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2025-11-27T14:36:00Z</dcterms:created>
  <dc:creator>xmy</dc:creator>
  <cp:lastModifiedBy>xmy</cp:lastModifiedBy>
  <dcterms:modified xsi:type="dcterms:W3CDTF">2025-11-27T14:38:55Z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E1C45C264DC447678F14921DD87299F0_11</vt:lpwstr>
  </property>
  <property fmtid="{D5CDD505-2E9C-101B-9397-08002B2CF9AE}" pid="4" name="KSOTemplateDocerSaveRecord">
    <vt:lpwstr>eyJoZGlkIjoiYTEzMTk0ODc3MzUxMjkxNzJjNTRlMjA5ZGNkZDA2ZWMiLCJ1c2VySWQiOiIzMjQ4MTEwODkifQ==</vt:lpwstr>
  </property>
</Properties>
</file>