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eastAsia="宋体" w:cs="Times New Roman"/>
          <w:b/>
          <w:kern w:val="0"/>
          <w:sz w:val="28"/>
          <w:szCs w:val="20"/>
        </w:rPr>
      </w:pPr>
      <w:bookmarkStart w:id="0" w:name="_Toc13066"/>
      <w:r>
        <w:rPr>
          <w:rFonts w:hint="eastAsia" w:ascii="宋体" w:hAnsi="宋体" w:eastAsia="宋体" w:cs="Times New Roman"/>
          <w:b/>
          <w:kern w:val="0"/>
          <w:sz w:val="28"/>
          <w:szCs w:val="20"/>
        </w:rPr>
        <w:t>第三章  采购需求</w:t>
      </w:r>
      <w:bookmarkEnd w:id="0"/>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Align w:val="center"/>
          </w:tcPr>
          <w:p>
            <w:pPr>
              <w:spacing w:line="360" w:lineRule="auto"/>
              <w:jc w:val="center"/>
              <w:rPr>
                <w:rFonts w:hint="eastAsia" w:ascii="宋体" w:hAnsi="宋体" w:eastAsia="宋体" w:cs="宋体"/>
                <w:b/>
                <w:kern w:val="2"/>
                <w:sz w:val="24"/>
                <w:szCs w:val="22"/>
              </w:rPr>
            </w:pPr>
            <w:r>
              <w:rPr>
                <w:rFonts w:hint="eastAsia" w:ascii="宋体" w:hAnsi="宋体" w:eastAsia="宋体" w:cs="宋体"/>
                <w:b/>
                <w:kern w:val="2"/>
                <w:sz w:val="24"/>
                <w:szCs w:val="22"/>
              </w:rPr>
              <w:t>序号</w:t>
            </w:r>
          </w:p>
        </w:tc>
        <w:tc>
          <w:tcPr>
            <w:tcW w:w="1277" w:type="dxa"/>
            <w:vAlign w:val="center"/>
          </w:tcPr>
          <w:p>
            <w:pPr>
              <w:spacing w:line="360" w:lineRule="auto"/>
              <w:ind w:firstLine="435"/>
              <w:jc w:val="center"/>
              <w:rPr>
                <w:rFonts w:hint="eastAsia" w:ascii="宋体" w:hAnsi="宋体" w:eastAsia="宋体" w:cs="宋体"/>
                <w:b/>
                <w:kern w:val="2"/>
                <w:sz w:val="24"/>
                <w:szCs w:val="22"/>
              </w:rPr>
            </w:pPr>
            <w:r>
              <w:rPr>
                <w:rFonts w:hint="eastAsia" w:ascii="宋体" w:hAnsi="宋体" w:eastAsia="宋体" w:cs="宋体"/>
                <w:b/>
                <w:kern w:val="2"/>
                <w:sz w:val="24"/>
                <w:szCs w:val="22"/>
              </w:rPr>
              <w:t>内容</w:t>
            </w:r>
          </w:p>
        </w:tc>
        <w:tc>
          <w:tcPr>
            <w:tcW w:w="6287" w:type="dxa"/>
            <w:vAlign w:val="center"/>
          </w:tcPr>
          <w:p>
            <w:pPr>
              <w:spacing w:line="360" w:lineRule="auto"/>
              <w:ind w:firstLine="435"/>
              <w:jc w:val="center"/>
              <w:rPr>
                <w:rFonts w:hint="eastAsia" w:ascii="宋体" w:hAnsi="宋体" w:eastAsia="宋体" w:cs="宋体"/>
                <w:b/>
                <w:kern w:val="2"/>
                <w:sz w:val="24"/>
                <w:szCs w:val="22"/>
              </w:rPr>
            </w:pPr>
            <w:r>
              <w:rPr>
                <w:rFonts w:hint="eastAsia" w:ascii="宋体" w:hAnsi="宋体" w:eastAsia="宋体" w:cs="宋体"/>
                <w:b/>
                <w:kern w:val="2"/>
                <w:sz w:val="24"/>
                <w:szCs w:val="22"/>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Align w:val="center"/>
          </w:tcPr>
          <w:p>
            <w:pPr>
              <w:spacing w:line="360" w:lineRule="auto"/>
              <w:jc w:val="center"/>
              <w:rPr>
                <w:rFonts w:hint="eastAsia" w:ascii="宋体" w:hAnsi="宋体" w:eastAsia="宋体" w:cs="宋体"/>
                <w:kern w:val="2"/>
                <w:sz w:val="24"/>
                <w:szCs w:val="22"/>
              </w:rPr>
            </w:pPr>
            <w:r>
              <w:rPr>
                <w:rFonts w:hint="eastAsia" w:ascii="宋体" w:hAnsi="宋体" w:eastAsia="宋体" w:cs="宋体"/>
                <w:kern w:val="2"/>
                <w:sz w:val="24"/>
                <w:szCs w:val="22"/>
              </w:rPr>
              <w:t>1</w:t>
            </w:r>
          </w:p>
        </w:tc>
        <w:tc>
          <w:tcPr>
            <w:tcW w:w="1277" w:type="dxa"/>
            <w:vAlign w:val="center"/>
          </w:tcPr>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t>人员到岗及履约要求</w:t>
            </w:r>
          </w:p>
        </w:tc>
        <w:tc>
          <w:tcPr>
            <w:tcW w:w="6287" w:type="dxa"/>
            <w:vAlign w:val="center"/>
          </w:tcPr>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t>（1）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t>（3）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Align w:val="center"/>
          </w:tcPr>
          <w:p>
            <w:pPr>
              <w:spacing w:line="360" w:lineRule="auto"/>
              <w:jc w:val="center"/>
              <w:rPr>
                <w:rFonts w:hint="eastAsia" w:ascii="宋体" w:hAnsi="宋体" w:eastAsia="宋体" w:cs="宋体"/>
                <w:kern w:val="2"/>
                <w:sz w:val="24"/>
                <w:szCs w:val="22"/>
              </w:rPr>
            </w:pPr>
            <w:r>
              <w:rPr>
                <w:rFonts w:hint="eastAsia" w:ascii="宋体" w:hAnsi="宋体" w:eastAsia="宋体" w:cs="宋体"/>
                <w:kern w:val="2"/>
                <w:sz w:val="24"/>
                <w:szCs w:val="22"/>
              </w:rPr>
              <w:t>2</w:t>
            </w:r>
          </w:p>
        </w:tc>
        <w:tc>
          <w:tcPr>
            <w:tcW w:w="1277" w:type="dxa"/>
            <w:vAlign w:val="center"/>
          </w:tcPr>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t>材料要求</w:t>
            </w:r>
          </w:p>
        </w:tc>
        <w:tc>
          <w:tcPr>
            <w:tcW w:w="6287" w:type="dxa"/>
            <w:vAlign w:val="center"/>
          </w:tcPr>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Align w:val="center"/>
          </w:tcPr>
          <w:p>
            <w:pPr>
              <w:spacing w:line="360" w:lineRule="auto"/>
              <w:jc w:val="center"/>
              <w:rPr>
                <w:rFonts w:hint="eastAsia" w:ascii="宋体" w:hAnsi="宋体" w:eastAsia="宋体" w:cs="宋体"/>
                <w:kern w:val="2"/>
                <w:sz w:val="24"/>
                <w:szCs w:val="22"/>
              </w:rPr>
            </w:pPr>
            <w:r>
              <w:rPr>
                <w:rFonts w:hint="eastAsia" w:ascii="宋体" w:hAnsi="宋体" w:eastAsia="宋体" w:cs="宋体"/>
                <w:kern w:val="2"/>
                <w:sz w:val="24"/>
                <w:szCs w:val="22"/>
              </w:rPr>
              <w:t>3</w:t>
            </w:r>
          </w:p>
        </w:tc>
        <w:tc>
          <w:tcPr>
            <w:tcW w:w="1277" w:type="dxa"/>
            <w:vAlign w:val="center"/>
          </w:tcPr>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t>工程施工重点难点</w:t>
            </w:r>
          </w:p>
        </w:tc>
        <w:tc>
          <w:tcPr>
            <w:tcW w:w="6287" w:type="dxa"/>
            <w:vAlign w:val="center"/>
          </w:tcPr>
          <w:p>
            <w:pPr>
              <w:spacing w:line="360" w:lineRule="auto"/>
              <w:rPr>
                <w:rFonts w:hint="eastAsia" w:ascii="宋体" w:hAnsi="宋体" w:eastAsia="宋体" w:cs="宋体"/>
                <w:kern w:val="2"/>
                <w:sz w:val="24"/>
                <w:szCs w:val="22"/>
                <w:lang w:eastAsia="zh-CN"/>
              </w:rPr>
            </w:pPr>
            <w:r>
              <w:rPr>
                <w:rFonts w:hint="eastAsia" w:ascii="宋体" w:hAnsi="宋体" w:eastAsia="宋体" w:cs="宋体"/>
                <w:kern w:val="2"/>
                <w:sz w:val="24"/>
                <w:szCs w:val="22"/>
                <w:lang w:eastAsia="zh-CN"/>
              </w:rPr>
              <w:t>（1）施工期间不得影响办公楼正常办公和小区住户休息，严禁在办公时间、夜间开展高噪音作业。</w:t>
            </w:r>
          </w:p>
          <w:p>
            <w:pPr>
              <w:spacing w:line="360" w:lineRule="auto"/>
              <w:rPr>
                <w:rFonts w:hint="eastAsia" w:ascii="宋体" w:hAnsi="宋体" w:eastAsia="宋体" w:cs="宋体"/>
                <w:kern w:val="2"/>
                <w:sz w:val="24"/>
                <w:szCs w:val="22"/>
                <w:lang w:eastAsia="zh-CN"/>
              </w:rPr>
            </w:pPr>
            <w:r>
              <w:rPr>
                <w:rFonts w:hint="eastAsia" w:ascii="宋体" w:hAnsi="宋体" w:eastAsia="宋体" w:cs="宋体"/>
                <w:kern w:val="2"/>
                <w:sz w:val="24"/>
                <w:szCs w:val="22"/>
                <w:lang w:eastAsia="zh-CN"/>
              </w:rPr>
              <w:t>（2）办公区、生活区内强电、弱电、消防、给排水、智能化系统密集，管线走向复杂，拆改风险高，极易误断线路及管道，维修前需全面排查管线，制定合理方案，专人现场监护，严禁盲目施工。</w:t>
            </w:r>
          </w:p>
          <w:p>
            <w:pPr>
              <w:spacing w:line="360" w:lineRule="auto"/>
              <w:rPr>
                <w:rFonts w:hint="eastAsia" w:ascii="宋体" w:hAnsi="宋体" w:eastAsia="宋体" w:cs="宋体"/>
                <w:kern w:val="2"/>
                <w:sz w:val="24"/>
                <w:szCs w:val="22"/>
                <w:lang w:eastAsia="zh-CN"/>
              </w:rPr>
            </w:pPr>
            <w:r>
              <w:rPr>
                <w:rFonts w:hint="eastAsia" w:ascii="宋体" w:hAnsi="宋体" w:eastAsia="宋体" w:cs="宋体"/>
                <w:kern w:val="2"/>
                <w:sz w:val="24"/>
                <w:szCs w:val="22"/>
                <w:lang w:eastAsia="zh-CN"/>
              </w:rPr>
              <w:t>（3）办公区、生活区对施工噪音、粉尘、卫生等要求严格；材料运输、垃圾清运需避开高峰时段、密闭处理；现场设置规范围挡，采取降尘降噪措施，保持环境整洁，做好现场管理组织协调。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Align w:val="center"/>
          </w:tcPr>
          <w:p>
            <w:pPr>
              <w:spacing w:line="360" w:lineRule="auto"/>
              <w:jc w:val="center"/>
              <w:rPr>
                <w:rFonts w:hint="eastAsia" w:ascii="宋体" w:hAnsi="宋体" w:eastAsia="宋体" w:cs="宋体"/>
                <w:kern w:val="2"/>
                <w:sz w:val="24"/>
                <w:szCs w:val="22"/>
              </w:rPr>
            </w:pPr>
            <w:r>
              <w:rPr>
                <w:rFonts w:hint="eastAsia" w:ascii="宋体" w:hAnsi="宋体" w:eastAsia="宋体" w:cs="宋体"/>
                <w:kern w:val="2"/>
                <w:sz w:val="24"/>
                <w:szCs w:val="22"/>
              </w:rPr>
              <w:t>4</w:t>
            </w:r>
          </w:p>
        </w:tc>
        <w:tc>
          <w:tcPr>
            <w:tcW w:w="1277" w:type="dxa"/>
            <w:vAlign w:val="center"/>
          </w:tcPr>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t>报价须知</w:t>
            </w:r>
          </w:p>
        </w:tc>
        <w:tc>
          <w:tcPr>
            <w:tcW w:w="6287" w:type="dxa"/>
            <w:vAlign w:val="center"/>
          </w:tcPr>
          <w:p>
            <w:pPr>
              <w:spacing w:line="360" w:lineRule="auto"/>
              <w:rPr>
                <w:rFonts w:hint="eastAsia" w:ascii="宋体" w:hAnsi="宋体" w:eastAsia="宋体" w:cs="宋体"/>
                <w:kern w:val="2"/>
                <w:sz w:val="21"/>
                <w:szCs w:val="22"/>
              </w:rPr>
            </w:pPr>
            <w:r>
              <w:rPr>
                <w:rFonts w:hint="eastAsia" w:ascii="宋体" w:hAnsi="宋体" w:eastAsia="宋体" w:cs="宋体"/>
                <w:kern w:val="2"/>
                <w:sz w:val="24"/>
                <w:szCs w:val="22"/>
              </w:rPr>
              <w:t>供应商最后报价均不得高于磋商文件（公告）列明的项目预算、最高限价，否则其响应文件将被认定为响应无效。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Align w:val="center"/>
          </w:tcPr>
          <w:p>
            <w:pPr>
              <w:spacing w:line="360" w:lineRule="auto"/>
              <w:jc w:val="center"/>
              <w:rPr>
                <w:rFonts w:hint="eastAsia" w:ascii="宋体" w:hAnsi="宋体" w:eastAsia="宋体" w:cs="宋体"/>
                <w:kern w:val="2"/>
                <w:sz w:val="24"/>
                <w:szCs w:val="22"/>
              </w:rPr>
            </w:pPr>
            <w:r>
              <w:rPr>
                <w:rFonts w:hint="eastAsia" w:ascii="宋体" w:hAnsi="宋体" w:eastAsia="宋体" w:cs="宋体"/>
                <w:kern w:val="2"/>
                <w:sz w:val="24"/>
                <w:szCs w:val="22"/>
              </w:rPr>
              <w:t>5</w:t>
            </w:r>
          </w:p>
        </w:tc>
        <w:tc>
          <w:tcPr>
            <w:tcW w:w="1277" w:type="dxa"/>
            <w:vAlign w:val="center"/>
          </w:tcPr>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t>重要说明</w:t>
            </w:r>
          </w:p>
        </w:tc>
        <w:tc>
          <w:tcPr>
            <w:tcW w:w="6287" w:type="dxa"/>
            <w:vAlign w:val="center"/>
          </w:tcPr>
          <w:p>
            <w:pPr>
              <w:spacing w:line="360" w:lineRule="auto"/>
              <w:rPr>
                <w:rFonts w:hint="eastAsia" w:ascii="宋体" w:hAnsi="宋体" w:eastAsia="宋体" w:cs="宋体"/>
                <w:kern w:val="2"/>
                <w:sz w:val="24"/>
                <w:szCs w:val="18"/>
              </w:rPr>
            </w:pPr>
            <w:bookmarkStart w:id="1" w:name="OLE_LINK3"/>
            <w:r>
              <w:rPr>
                <w:rFonts w:hint="eastAsia" w:ascii="宋体" w:hAnsi="宋体" w:eastAsia="宋体" w:cs="宋体"/>
                <w:kern w:val="2"/>
                <w:sz w:val="24"/>
                <w:szCs w:val="24"/>
              </w:rPr>
              <w:t>政府采购政策（包括但不限于下列具体政策要求）</w:t>
            </w:r>
            <w:r>
              <w:rPr>
                <w:rFonts w:hint="eastAsia" w:ascii="宋体" w:hAnsi="宋体" w:eastAsia="宋体" w:cs="宋体"/>
                <w:kern w:val="2"/>
                <w:sz w:val="24"/>
                <w:szCs w:val="18"/>
              </w:rPr>
              <w:t>：</w:t>
            </w:r>
          </w:p>
          <w:p>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rPr>
                <w:rFonts w:hint="eastAsia" w:ascii="宋体" w:hAnsi="宋体" w:eastAsia="宋体" w:cs="宋体"/>
                <w:kern w:val="2"/>
                <w:sz w:val="24"/>
                <w:szCs w:val="22"/>
                <w:lang w:val="en-US" w:eastAsia="zh-CN"/>
              </w:rPr>
            </w:pPr>
            <w:bookmarkStart w:id="2" w:name="OLE_LINK5"/>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lang w:eastAsia="zh-CN"/>
              </w:rPr>
              <w:t>）</w:t>
            </w:r>
            <w:r>
              <w:rPr>
                <w:rFonts w:hint="eastAsia" w:ascii="宋体" w:hAnsi="宋体" w:eastAsia="宋体" w:cs="宋体"/>
                <w:kern w:val="2"/>
                <w:sz w:val="24"/>
                <w:szCs w:val="22"/>
                <w:lang w:val="en-US"/>
              </w:rPr>
              <w:t>根据《关于进一步做好政府采购支持绿色建材促进建筑品质提升相关工作的通知》（</w:t>
            </w:r>
            <w:r>
              <w:rPr>
                <w:rFonts w:hint="eastAsia" w:ascii="宋体" w:hAnsi="宋体" w:eastAsia="宋体" w:cs="宋体"/>
                <w:kern w:val="2"/>
                <w:sz w:val="24"/>
                <w:szCs w:val="22"/>
              </w:rPr>
              <w:t>合财购〔2025〕167号</w:t>
            </w:r>
            <w:r>
              <w:rPr>
                <w:rFonts w:hint="eastAsia" w:ascii="宋体" w:hAnsi="宋体" w:eastAsia="宋体" w:cs="宋体"/>
                <w:kern w:val="2"/>
                <w:sz w:val="24"/>
                <w:szCs w:val="22"/>
                <w:lang w:val="en-US"/>
              </w:rPr>
              <w:t>）、《</w:t>
            </w:r>
            <w:r>
              <w:rPr>
                <w:rFonts w:hint="eastAsia" w:ascii="宋体" w:hAnsi="宋体" w:eastAsia="宋体" w:cs="宋体"/>
                <w:kern w:val="2"/>
                <w:sz w:val="24"/>
                <w:szCs w:val="22"/>
              </w:rPr>
              <w:t>合肥市政府采购支持绿色建材促进建筑品质提升试点实施方案</w:t>
            </w:r>
            <w:r>
              <w:rPr>
                <w:rFonts w:hint="eastAsia" w:ascii="宋体" w:hAnsi="宋体" w:eastAsia="宋体" w:cs="宋体"/>
                <w:kern w:val="2"/>
                <w:sz w:val="24"/>
                <w:szCs w:val="22"/>
                <w:lang w:val="en-US"/>
              </w:rPr>
              <w:t>》，属于实施范围内的政府采购工程项目，</w:t>
            </w:r>
            <w:r>
              <w:rPr>
                <w:rFonts w:hint="eastAsia" w:ascii="宋体" w:hAnsi="宋体" w:eastAsia="宋体" w:cs="宋体"/>
                <w:kern w:val="2"/>
                <w:sz w:val="24"/>
                <w:szCs w:val="22"/>
              </w:rPr>
              <w:t>应</w:t>
            </w:r>
            <w:r>
              <w:rPr>
                <w:rFonts w:hint="eastAsia" w:ascii="宋体" w:hAnsi="宋体" w:eastAsia="宋体" w:cs="宋体"/>
                <w:kern w:val="2"/>
                <w:sz w:val="24"/>
                <w:szCs w:val="22"/>
                <w:lang w:val="en-US"/>
              </w:rPr>
              <w:t>按照</w:t>
            </w:r>
            <w:r>
              <w:rPr>
                <w:rFonts w:hint="eastAsia" w:ascii="宋体" w:hAnsi="宋体" w:eastAsia="宋体" w:cs="宋体"/>
                <w:kern w:val="2"/>
                <w:sz w:val="24"/>
                <w:szCs w:val="22"/>
              </w:rPr>
              <w:t>财政部、住建部、工信部联合印发的《绿色建筑和绿色建材政府采购需求标准》</w:t>
            </w:r>
            <w:r>
              <w:rPr>
                <w:rFonts w:hint="eastAsia" w:ascii="宋体" w:hAnsi="宋体" w:eastAsia="宋体" w:cs="宋体"/>
                <w:kern w:val="2"/>
                <w:sz w:val="24"/>
                <w:szCs w:val="22"/>
                <w:lang w:val="en-US"/>
              </w:rPr>
              <w:t>和</w:t>
            </w:r>
            <w:r>
              <w:rPr>
                <w:rFonts w:hint="eastAsia" w:ascii="宋体" w:hAnsi="宋体" w:eastAsia="宋体" w:cs="宋体"/>
                <w:kern w:val="2"/>
                <w:sz w:val="24"/>
                <w:szCs w:val="22"/>
              </w:rPr>
              <w:t>《政府采购支持绿色建材促进建筑品质提升政策项目实施指南》</w:t>
            </w:r>
            <w:r>
              <w:rPr>
                <w:rFonts w:hint="eastAsia" w:ascii="宋体" w:hAnsi="宋体" w:eastAsia="宋体" w:cs="宋体"/>
                <w:kern w:val="2"/>
                <w:sz w:val="24"/>
                <w:szCs w:val="22"/>
                <w:lang w:val="en-US"/>
              </w:rPr>
              <w:t>应</w:t>
            </w:r>
            <w:r>
              <w:rPr>
                <w:rFonts w:hint="eastAsia" w:ascii="宋体" w:hAnsi="宋体" w:eastAsia="宋体" w:cs="宋体"/>
                <w:kern w:val="2"/>
                <w:sz w:val="24"/>
                <w:szCs w:val="22"/>
              </w:rPr>
              <w:t>用绿色建筑和绿色建材</w:t>
            </w:r>
            <w:r>
              <w:rPr>
                <w:rFonts w:hint="eastAsia" w:ascii="宋体" w:hAnsi="宋体" w:eastAsia="宋体" w:cs="宋体"/>
                <w:kern w:val="2"/>
                <w:sz w:val="24"/>
                <w:szCs w:val="24"/>
                <w:lang w:val="en-US" w:eastAsia="zh-CN"/>
              </w:rPr>
              <w:t>。</w:t>
            </w:r>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Align w:val="center"/>
          </w:tcPr>
          <w:p>
            <w:pPr>
              <w:spacing w:line="360" w:lineRule="auto"/>
              <w:jc w:val="center"/>
              <w:rPr>
                <w:rFonts w:hint="eastAsia" w:ascii="宋体" w:hAnsi="宋体" w:eastAsia="宋体" w:cs="宋体"/>
                <w:kern w:val="2"/>
                <w:sz w:val="24"/>
                <w:szCs w:val="22"/>
              </w:rPr>
            </w:pPr>
            <w:r>
              <w:rPr>
                <w:rFonts w:hint="eastAsia" w:ascii="宋体" w:hAnsi="宋体" w:eastAsia="宋体" w:cs="宋体"/>
                <w:kern w:val="2"/>
                <w:sz w:val="24"/>
                <w:szCs w:val="22"/>
              </w:rPr>
              <w:t>6</w:t>
            </w:r>
          </w:p>
        </w:tc>
        <w:tc>
          <w:tcPr>
            <w:tcW w:w="1277" w:type="dxa"/>
            <w:vAlign w:val="center"/>
          </w:tcPr>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t>项目经理</w:t>
            </w:r>
          </w:p>
        </w:tc>
        <w:tc>
          <w:tcPr>
            <w:tcW w:w="6287" w:type="dxa"/>
            <w:vAlign w:val="center"/>
          </w:tcPr>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lang w:eastAsia="zh-CN"/>
              </w:rPr>
              <w:t>（</w:t>
            </w:r>
            <w:r>
              <w:rPr>
                <w:rFonts w:hint="eastAsia" w:ascii="宋体" w:hAnsi="宋体" w:eastAsia="宋体" w:cs="宋体"/>
                <w:kern w:val="2"/>
                <w:sz w:val="24"/>
                <w:szCs w:val="22"/>
                <w:lang w:val="en-US" w:eastAsia="zh-CN"/>
              </w:rPr>
              <w:t>1</w:t>
            </w:r>
            <w:r>
              <w:rPr>
                <w:rFonts w:hint="eastAsia" w:ascii="宋体" w:hAnsi="宋体" w:eastAsia="宋体" w:cs="宋体"/>
                <w:kern w:val="2"/>
                <w:sz w:val="24"/>
                <w:szCs w:val="22"/>
                <w:lang w:eastAsia="zh-CN"/>
              </w:rPr>
              <w:t>）</w:t>
            </w:r>
            <w:r>
              <w:rPr>
                <w:rFonts w:hint="eastAsia" w:ascii="宋体" w:hAnsi="宋体" w:eastAsia="宋体" w:cs="宋体"/>
                <w:kern w:val="2"/>
                <w:sz w:val="24"/>
                <w:szCs w:val="22"/>
              </w:rPr>
              <w:t>符合竞争性磋商公告中“项目经理资格要求”</w:t>
            </w:r>
            <w:r>
              <w:rPr>
                <w:rFonts w:hint="eastAsia" w:ascii="宋体" w:hAnsi="宋体" w:eastAsia="宋体" w:cs="宋体"/>
                <w:kern w:val="2"/>
                <w:sz w:val="24"/>
                <w:szCs w:val="22"/>
                <w:lang w:eastAsia="zh-CN"/>
              </w:rPr>
              <w:t>，</w:t>
            </w:r>
            <w:r>
              <w:rPr>
                <w:rFonts w:hint="eastAsia" w:ascii="Times New Roman" w:hAnsi="Times New Roman" w:eastAsia="宋体" w:cs="楷体"/>
                <w:bCs/>
                <w:snapToGrid w:val="0"/>
                <w:color w:val="000000"/>
                <w:kern w:val="0"/>
                <w:sz w:val="24"/>
                <w:szCs w:val="24"/>
              </w:rPr>
              <w:t>且必须是本单位人员（</w:t>
            </w:r>
            <w:r>
              <w:rPr>
                <w:rFonts w:hint="eastAsia" w:ascii="宋体" w:hAnsi="宋体" w:eastAsia="宋体" w:cs="宋体"/>
                <w:kern w:val="2"/>
                <w:sz w:val="24"/>
                <w:szCs w:val="22"/>
              </w:rPr>
              <w:t>竞争性磋商公告</w:t>
            </w:r>
            <w:r>
              <w:rPr>
                <w:rFonts w:hint="eastAsia" w:ascii="Times New Roman" w:hAnsi="Times New Roman" w:eastAsia="宋体" w:cs="楷体"/>
                <w:bCs/>
                <w:snapToGrid w:val="0"/>
                <w:color w:val="000000"/>
                <w:kern w:val="0"/>
                <w:sz w:val="24"/>
                <w:szCs w:val="24"/>
              </w:rPr>
              <w:t>中要求的注册证书注册单位应当与</w:t>
            </w:r>
            <w:r>
              <w:rPr>
                <w:rFonts w:hint="eastAsia" w:ascii="Times New Roman" w:hAnsi="Times New Roman" w:eastAsia="宋体" w:cs="楷体"/>
                <w:bCs/>
                <w:snapToGrid w:val="0"/>
                <w:color w:val="000000"/>
                <w:kern w:val="0"/>
                <w:sz w:val="24"/>
                <w:szCs w:val="24"/>
                <w:lang w:val="en-US" w:eastAsia="zh-CN"/>
              </w:rPr>
              <w:t>供应商</w:t>
            </w:r>
            <w:r>
              <w:rPr>
                <w:rFonts w:hint="eastAsia" w:ascii="Times New Roman" w:hAnsi="Times New Roman" w:eastAsia="宋体" w:cs="楷体"/>
                <w:bCs/>
                <w:snapToGrid w:val="0"/>
                <w:color w:val="000000"/>
                <w:kern w:val="0"/>
                <w:sz w:val="24"/>
                <w:szCs w:val="24"/>
              </w:rPr>
              <w:t>名称一致）</w:t>
            </w:r>
            <w:r>
              <w:rPr>
                <w:rFonts w:hint="eastAsia" w:ascii="宋体" w:hAnsi="宋体" w:eastAsia="宋体" w:cs="宋体"/>
                <w:kern w:val="2"/>
                <w:sz w:val="24"/>
                <w:szCs w:val="22"/>
              </w:rPr>
              <w:t>。</w:t>
            </w:r>
          </w:p>
          <w:p>
            <w:pPr>
              <w:spacing w:line="360" w:lineRule="auto"/>
              <w:rPr>
                <w:rFonts w:hint="eastAsia" w:ascii="宋体" w:hAnsi="宋体" w:eastAsia="宋体" w:cs="宋体"/>
                <w:kern w:val="2"/>
                <w:sz w:val="24"/>
                <w:szCs w:val="22"/>
              </w:rPr>
            </w:pPr>
            <w:bookmarkStart w:id="3" w:name="OLE_LINK9"/>
            <w:bookmarkStart w:id="4" w:name="OLE_LINK10"/>
            <w:r>
              <w:rPr>
                <w:rFonts w:hint="eastAsia" w:ascii="宋体" w:hAnsi="宋体" w:eastAsia="宋体" w:cs="宋体"/>
                <w:kern w:val="2"/>
                <w:sz w:val="24"/>
                <w:szCs w:val="22"/>
                <w:lang w:eastAsia="zh-CN"/>
              </w:rPr>
              <w:t>（</w:t>
            </w:r>
            <w:r>
              <w:rPr>
                <w:rFonts w:hint="eastAsia" w:ascii="宋体" w:hAnsi="宋体" w:eastAsia="宋体" w:cs="宋体"/>
                <w:kern w:val="2"/>
                <w:sz w:val="24"/>
                <w:szCs w:val="22"/>
                <w:lang w:val="en-US" w:eastAsia="zh-CN"/>
              </w:rPr>
              <w:t>2</w:t>
            </w:r>
            <w:r>
              <w:rPr>
                <w:rFonts w:hint="eastAsia" w:ascii="宋体" w:hAnsi="宋体" w:eastAsia="宋体" w:cs="宋体"/>
                <w:kern w:val="2"/>
                <w:sz w:val="24"/>
                <w:szCs w:val="22"/>
                <w:lang w:eastAsia="zh-CN"/>
              </w:rPr>
              <w:t>）</w:t>
            </w:r>
            <w:r>
              <w:rPr>
                <w:rFonts w:hint="eastAsia" w:ascii="宋体" w:hAnsi="宋体" w:eastAsia="宋体" w:cs="宋体"/>
                <w:kern w:val="2"/>
                <w:sz w:val="24"/>
                <w:szCs w:val="22"/>
              </w:rPr>
              <w:t>项目经理不得同时担任两个及以上建设工程施工项目经理，以下情形除外：</w:t>
            </w:r>
          </w:p>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fldChar w:fldCharType="begin"/>
            </w:r>
            <w:r>
              <w:rPr>
                <w:rFonts w:hint="eastAsia" w:ascii="宋体" w:hAnsi="宋体" w:eastAsia="宋体" w:cs="宋体"/>
                <w:kern w:val="2"/>
                <w:sz w:val="24"/>
                <w:szCs w:val="22"/>
              </w:rPr>
              <w:instrText xml:space="preserve"> = 1 \* GB3 \* MERGEFORMAT </w:instrText>
            </w:r>
            <w:r>
              <w:rPr>
                <w:rFonts w:hint="eastAsia" w:ascii="宋体" w:hAnsi="宋体" w:eastAsia="宋体" w:cs="宋体"/>
                <w:kern w:val="2"/>
                <w:sz w:val="24"/>
                <w:szCs w:val="22"/>
              </w:rPr>
              <w:fldChar w:fldCharType="separate"/>
            </w:r>
            <w:r>
              <w:rPr>
                <w:rFonts w:hint="eastAsia" w:ascii="宋体" w:hAnsi="宋体" w:eastAsia="宋体" w:cs="宋体"/>
                <w:kern w:val="2"/>
                <w:sz w:val="24"/>
                <w:szCs w:val="22"/>
              </w:rPr>
              <w:t>①</w:t>
            </w:r>
            <w:r>
              <w:rPr>
                <w:rFonts w:hint="eastAsia" w:ascii="宋体" w:hAnsi="宋体" w:eastAsia="宋体" w:cs="宋体"/>
                <w:kern w:val="2"/>
                <w:sz w:val="24"/>
                <w:szCs w:val="22"/>
              </w:rPr>
              <w:fldChar w:fldCharType="end"/>
            </w:r>
            <w:r>
              <w:rPr>
                <w:rFonts w:hint="eastAsia" w:ascii="宋体" w:hAnsi="宋体" w:eastAsia="宋体" w:cs="宋体"/>
                <w:kern w:val="2"/>
                <w:sz w:val="24"/>
                <w:szCs w:val="22"/>
              </w:rPr>
              <w:t>法定情形；</w:t>
            </w:r>
          </w:p>
          <w:p>
            <w:pPr>
              <w:spacing w:line="360" w:lineRule="auto"/>
              <w:rPr>
                <w:rFonts w:hint="eastAsia" w:ascii="宋体" w:hAnsi="宋体" w:eastAsia="宋体" w:cs="宋体"/>
                <w:kern w:val="2"/>
                <w:sz w:val="24"/>
                <w:szCs w:val="22"/>
              </w:rPr>
            </w:pPr>
            <w:r>
              <w:rPr>
                <w:rFonts w:hint="eastAsia" w:ascii="宋体" w:hAnsi="宋体" w:eastAsia="宋体" w:cs="宋体"/>
                <w:kern w:val="2"/>
                <w:sz w:val="24"/>
                <w:szCs w:val="22"/>
              </w:rPr>
              <w:fldChar w:fldCharType="begin"/>
            </w:r>
            <w:r>
              <w:rPr>
                <w:rFonts w:hint="eastAsia" w:ascii="宋体" w:hAnsi="宋体" w:eastAsia="宋体" w:cs="宋体"/>
                <w:kern w:val="2"/>
                <w:sz w:val="24"/>
                <w:szCs w:val="22"/>
              </w:rPr>
              <w:instrText xml:space="preserve"> = 2 \* GB3 \* MERGEFORMAT </w:instrText>
            </w:r>
            <w:r>
              <w:rPr>
                <w:rFonts w:hint="eastAsia" w:ascii="宋体" w:hAnsi="宋体" w:eastAsia="宋体" w:cs="宋体"/>
                <w:kern w:val="2"/>
                <w:sz w:val="24"/>
                <w:szCs w:val="22"/>
              </w:rPr>
              <w:fldChar w:fldCharType="separate"/>
            </w:r>
            <w:r>
              <w:rPr>
                <w:rFonts w:hint="eastAsia" w:ascii="宋体" w:hAnsi="宋体" w:eastAsia="宋体" w:cs="宋体"/>
                <w:kern w:val="2"/>
                <w:sz w:val="24"/>
                <w:szCs w:val="22"/>
              </w:rPr>
              <w:t>②</w:t>
            </w:r>
            <w:r>
              <w:rPr>
                <w:rFonts w:hint="eastAsia" w:ascii="宋体" w:hAnsi="宋体" w:eastAsia="宋体" w:cs="宋体"/>
                <w:kern w:val="2"/>
                <w:sz w:val="24"/>
                <w:szCs w:val="22"/>
              </w:rPr>
              <w:fldChar w:fldCharType="end"/>
            </w:r>
            <w:r>
              <w:rPr>
                <w:rFonts w:hint="eastAsia" w:ascii="宋体" w:hAnsi="宋体" w:eastAsia="宋体" w:cs="宋体"/>
                <w:kern w:val="2"/>
                <w:sz w:val="24"/>
                <w:szCs w:val="22"/>
              </w:rPr>
              <w:t>虽在其他项目上担任项目经理岗位，但承诺在本项目成交后合同签订前能够从其他项目变更至本项目并全面履约。</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Align w:val="center"/>
          </w:tcPr>
          <w:p>
            <w:pPr>
              <w:spacing w:line="360" w:lineRule="auto"/>
              <w:jc w:val="center"/>
              <w:rPr>
                <w:rFonts w:hint="eastAsia" w:ascii="宋体" w:hAnsi="宋体" w:eastAsia="宋体" w:cs="宋体"/>
                <w:kern w:val="2"/>
                <w:sz w:val="24"/>
                <w:szCs w:val="22"/>
              </w:rPr>
            </w:pPr>
            <w:r>
              <w:rPr>
                <w:rFonts w:hint="eastAsia" w:ascii="宋体" w:hAnsi="宋体" w:eastAsia="宋体" w:cs="宋体"/>
                <w:kern w:val="2"/>
                <w:sz w:val="24"/>
                <w:szCs w:val="22"/>
              </w:rPr>
              <w:t>7</w:t>
            </w:r>
          </w:p>
        </w:tc>
        <w:tc>
          <w:tcPr>
            <w:tcW w:w="1277" w:type="dxa"/>
            <w:vAlign w:val="center"/>
          </w:tcPr>
          <w:p>
            <w:pPr>
              <w:widowControl w:val="0"/>
              <w:spacing w:before="0" w:beforeAutospacing="0" w:after="0" w:afterAutospacing="0" w:line="360" w:lineRule="auto"/>
              <w:jc w:val="center"/>
              <w:rPr>
                <w:rFonts w:hint="eastAsia" w:ascii="宋体" w:hAnsi="宋体" w:eastAsia="宋体" w:cs="宋体"/>
                <w:b/>
                <w:bCs/>
                <w:kern w:val="2"/>
                <w:sz w:val="24"/>
                <w:szCs w:val="28"/>
                <w:lang w:val="en-US" w:eastAsia="zh-CN" w:bidi="ar-SA"/>
              </w:rPr>
            </w:pPr>
            <w:r>
              <w:rPr>
                <w:rFonts w:hint="eastAsia" w:ascii="宋体" w:hAnsi="宋体" w:eastAsia="宋体" w:cs="宋体"/>
                <w:b w:val="0"/>
                <w:bCs/>
                <w:kern w:val="2"/>
                <w:sz w:val="24"/>
                <w:szCs w:val="28"/>
                <w:lang w:val="en-US" w:eastAsia="zh-CN" w:bidi="ar-SA"/>
              </w:rPr>
              <w:t>本项目采购标的名称及所属行业</w:t>
            </w:r>
          </w:p>
        </w:tc>
        <w:tc>
          <w:tcPr>
            <w:tcW w:w="6287" w:type="dxa"/>
            <w:vAlign w:val="center"/>
          </w:tcPr>
          <w:p>
            <w:pPr>
              <w:spacing w:line="360" w:lineRule="auto"/>
              <w:jc w:val="left"/>
              <w:rPr>
                <w:rFonts w:hint="eastAsia" w:ascii="宋体" w:hAnsi="宋体" w:eastAsia="宋体" w:cs="宋体"/>
                <w:kern w:val="2"/>
                <w:sz w:val="24"/>
                <w:szCs w:val="22"/>
                <w:lang w:eastAsia="zh-CN"/>
              </w:rPr>
            </w:pPr>
            <w:r>
              <w:rPr>
                <w:rFonts w:hint="eastAsia" w:ascii="宋体" w:hAnsi="宋体" w:eastAsia="宋体" w:cs="宋体"/>
                <w:kern w:val="2"/>
                <w:sz w:val="24"/>
                <w:szCs w:val="22"/>
              </w:rPr>
              <w:t>标的名称：</w:t>
            </w:r>
            <w:r>
              <w:rPr>
                <w:rFonts w:hint="eastAsia" w:ascii="宋体" w:hAnsi="宋体" w:eastAsia="宋体" w:cs="宋体"/>
                <w:kern w:val="2"/>
                <w:sz w:val="24"/>
                <w:szCs w:val="18"/>
                <w:lang w:eastAsia="zh-CN"/>
              </w:rPr>
              <w:t>2026年省管局零星应急维修项目</w:t>
            </w:r>
          </w:p>
          <w:p>
            <w:pPr>
              <w:rPr>
                <w:rFonts w:hint="eastAsia" w:ascii="宋体" w:hAnsi="宋体" w:eastAsia="宋体" w:cs="宋体"/>
                <w:kern w:val="2"/>
                <w:sz w:val="24"/>
                <w:szCs w:val="22"/>
              </w:rPr>
            </w:pPr>
            <w:r>
              <w:rPr>
                <w:rFonts w:hint="eastAsia" w:ascii="宋体" w:hAnsi="宋体" w:eastAsia="宋体" w:cs="宋体"/>
                <w:kern w:val="2"/>
                <w:sz w:val="24"/>
                <w:szCs w:val="22"/>
              </w:rPr>
              <w:t>所属行业：建筑业</w:t>
            </w:r>
          </w:p>
        </w:tc>
      </w:tr>
    </w:tbl>
    <w:p>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5" w:name="_Toc15645"/>
      <w:bookmarkStart w:id="6" w:name="_Toc23730"/>
      <w:r>
        <w:rPr>
          <w:rFonts w:hint="eastAsia" w:ascii="宋体" w:hAnsi="宋体" w:eastAsia="宋体" w:cs="宋体"/>
          <w:b/>
          <w:bCs/>
          <w:kern w:val="2"/>
          <w:sz w:val="24"/>
          <w:szCs w:val="24"/>
          <w:lang w:val="en-US" w:eastAsia="zh-CN" w:bidi="ar-SA"/>
        </w:rPr>
        <w:t>一、</w:t>
      </w:r>
      <w:r>
        <w:rPr>
          <w:rFonts w:hint="eastAsia" w:ascii="宋体" w:hAnsi="宋体" w:eastAsia="宋体" w:cs="宋体"/>
          <w:b/>
          <w:bCs/>
          <w:kern w:val="2"/>
          <w:sz w:val="24"/>
          <w:szCs w:val="24"/>
          <w:lang w:val="zh-CN" w:eastAsia="zh-CN" w:bidi="ar-SA"/>
        </w:rPr>
        <w:t>项目概况及总体要求</w:t>
      </w:r>
      <w:bookmarkEnd w:id="5"/>
      <w:bookmarkEnd w:id="6"/>
    </w:p>
    <w:p>
      <w:pPr>
        <w:widowControl/>
        <w:spacing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2026年省管局零星应急维修项目，对省管局及局属单位办公用房、生活小区及其他房产进行日常零星应急维修。包括但不限于土建修缮、装饰装修、水电安装、绿化突发维修维护、屋面防水、化粪池及雨污水管道清理等各类建筑物、地面构筑物及附属设施维修、服务等。</w:t>
      </w:r>
    </w:p>
    <w:p>
      <w:pPr>
        <w:widowControl/>
        <w:spacing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2026年局属单位零星应急维修项目共涉及5家单位，项目预算124.59万元。分别为：曙光新村管理处（预算47万元）、省政务大厦管理中心（预算4万元）、省直房管中心（预算39.59万元）、省直房管所（预算28万元）、生活服务处（预算6万元）。</w:t>
      </w:r>
    </w:p>
    <w:p>
      <w:pPr>
        <w:widowControl/>
        <w:spacing w:line="360" w:lineRule="auto"/>
        <w:jc w:val="both"/>
        <w:outlineLvl w:val="1"/>
        <w:rPr>
          <w:rFonts w:ascii="宋体" w:hAnsi="宋体" w:eastAsia="宋体" w:cs="宋体"/>
          <w:sz w:val="24"/>
          <w:szCs w:val="24"/>
          <w:lang w:val="en-US" w:eastAsia="zh-CN" w:bidi="ar-SA"/>
        </w:rPr>
      </w:pPr>
      <w:bookmarkStart w:id="7" w:name="_Toc455587091"/>
      <w:bookmarkStart w:id="8" w:name="_Toc466024558"/>
      <w:bookmarkStart w:id="9" w:name="_Toc455587275"/>
      <w:bookmarkStart w:id="10" w:name="_Toc12271"/>
      <w:bookmarkStart w:id="11" w:name="_Toc445554749"/>
      <w:bookmarkStart w:id="12" w:name="_Toc18199"/>
      <w:r>
        <w:rPr>
          <w:rFonts w:hint="eastAsia" w:ascii="宋体" w:hAnsi="宋体" w:eastAsia="黑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技术要求</w:t>
      </w:r>
      <w:bookmarkEnd w:id="7"/>
      <w:bookmarkEnd w:id="8"/>
      <w:bookmarkEnd w:id="9"/>
      <w:bookmarkEnd w:id="10"/>
      <w:bookmarkEnd w:id="11"/>
      <w:bookmarkEnd w:id="12"/>
    </w:p>
    <w:p>
      <w:pPr>
        <w:widowControl/>
        <w:spacing w:line="360" w:lineRule="auto"/>
        <w:ind w:firstLine="480" w:firstLineChars="200"/>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按照最新国家相关标准、规范要求执行。</w:t>
      </w:r>
    </w:p>
    <w:p>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13" w:name="_Toc29071"/>
      <w:bookmarkStart w:id="14" w:name="_Toc8900"/>
      <w:bookmarkStart w:id="15" w:name="OLE_LINK7"/>
      <w:r>
        <w:rPr>
          <w:rFonts w:hint="eastAsia" w:ascii="宋体" w:hAnsi="宋体" w:eastAsia="宋体" w:cs="宋体"/>
          <w:b/>
          <w:bCs/>
          <w:kern w:val="2"/>
          <w:sz w:val="24"/>
          <w:szCs w:val="24"/>
          <w:lang w:val="en-US" w:eastAsia="zh-CN" w:bidi="ar-SA"/>
        </w:rPr>
        <w:t>三、</w:t>
      </w:r>
      <w:r>
        <w:rPr>
          <w:rFonts w:hint="eastAsia" w:ascii="宋体" w:hAnsi="宋体" w:eastAsia="宋体" w:cs="宋体"/>
          <w:b/>
          <w:bCs/>
          <w:kern w:val="2"/>
          <w:sz w:val="24"/>
          <w:szCs w:val="24"/>
          <w:lang w:val="zh-CN" w:eastAsia="zh-CN" w:bidi="ar-SA"/>
        </w:rPr>
        <w:t>报价要求</w:t>
      </w:r>
      <w:bookmarkEnd w:id="13"/>
      <w:bookmarkEnd w:id="14"/>
    </w:p>
    <w:p>
      <w:pPr>
        <w:spacing w:line="360" w:lineRule="auto"/>
        <w:ind w:firstLine="482" w:firstLineChars="200"/>
        <w:rPr>
          <w:rFonts w:hint="eastAsia" w:ascii="Times New Roman" w:hAnsi="Times New Roman" w:eastAsia="宋体" w:cs="宋体"/>
          <w:b w:val="0"/>
          <w:bCs/>
          <w:color w:val="auto"/>
          <w:kern w:val="0"/>
          <w:sz w:val="24"/>
          <w:szCs w:val="24"/>
          <w:shd w:val="clear" w:color="auto" w:fill="auto"/>
          <w:lang w:val="en-US" w:eastAsia="zh-CN"/>
        </w:rPr>
      </w:pPr>
      <w:r>
        <w:rPr>
          <w:rFonts w:hint="eastAsia" w:ascii="Times New Roman" w:hAnsi="Times New Roman" w:eastAsia="宋体" w:cs="宋体"/>
          <w:b/>
          <w:bCs w:val="0"/>
          <w:color w:val="auto"/>
          <w:kern w:val="0"/>
          <w:sz w:val="24"/>
          <w:szCs w:val="24"/>
          <w:shd w:val="clear" w:color="auto" w:fill="auto"/>
          <w:lang w:val="en-US" w:eastAsia="zh-CN"/>
        </w:rPr>
        <w:t>3.1本项目</w:t>
      </w:r>
      <w:r>
        <w:rPr>
          <w:rFonts w:hint="eastAsia" w:ascii="Times New Roman" w:hAnsi="Times New Roman" w:eastAsia="宋体" w:cs="宋体"/>
          <w:b w:val="0"/>
          <w:bCs/>
          <w:color w:val="auto"/>
          <w:kern w:val="0"/>
          <w:sz w:val="24"/>
          <w:szCs w:val="24"/>
          <w:shd w:val="clear" w:color="auto" w:fill="auto"/>
          <w:lang w:val="en-US" w:eastAsia="zh-CN"/>
        </w:rPr>
        <w:t>为统采分签分付，按照</w:t>
      </w:r>
      <w:r>
        <w:rPr>
          <w:rFonts w:hint="eastAsia" w:ascii="Times New Roman" w:hAnsi="Times New Roman" w:eastAsia="宋体" w:cs="宋体"/>
          <w:b/>
          <w:bCs w:val="0"/>
          <w:color w:val="auto"/>
          <w:kern w:val="0"/>
          <w:sz w:val="24"/>
          <w:szCs w:val="24"/>
          <w:shd w:val="clear" w:color="auto" w:fill="auto"/>
          <w:lang w:val="en-US" w:eastAsia="zh-CN"/>
        </w:rPr>
        <w:t>费率报价，最高费率为100%。</w:t>
      </w:r>
      <w:r>
        <w:rPr>
          <w:rFonts w:hint="eastAsia" w:ascii="Times New Roman" w:hAnsi="Times New Roman" w:eastAsia="宋体" w:cs="宋体"/>
          <w:b w:val="0"/>
          <w:bCs/>
          <w:color w:val="auto"/>
          <w:kern w:val="0"/>
          <w:sz w:val="24"/>
          <w:szCs w:val="24"/>
          <w:shd w:val="clear" w:color="auto" w:fill="auto"/>
          <w:lang w:val="en-US" w:eastAsia="zh-CN"/>
        </w:rPr>
        <w:t>省管局与成交供应商签订总合同，各局属单位与成交供应商签订分合同，维修项目施工费用由项目所属单位支付。</w:t>
      </w:r>
    </w:p>
    <w:p>
      <w:pPr>
        <w:spacing w:line="360" w:lineRule="auto"/>
        <w:ind w:firstLine="480" w:firstLineChars="200"/>
        <w:rPr>
          <w:rFonts w:hint="eastAsia" w:ascii="Times New Roman" w:hAnsi="Times New Roman" w:eastAsia="宋体" w:cs="宋体"/>
          <w:b w:val="0"/>
          <w:bCs/>
          <w:color w:val="auto"/>
          <w:kern w:val="0"/>
          <w:sz w:val="24"/>
          <w:szCs w:val="24"/>
          <w:shd w:val="clear" w:color="auto" w:fill="auto"/>
          <w:lang w:val="en-US" w:eastAsia="zh-CN"/>
        </w:rPr>
      </w:pPr>
      <w:r>
        <w:rPr>
          <w:rFonts w:hint="eastAsia" w:ascii="Times New Roman" w:hAnsi="Times New Roman" w:eastAsia="宋体" w:cs="宋体"/>
          <w:b w:val="0"/>
          <w:bCs/>
          <w:color w:val="auto"/>
          <w:kern w:val="0"/>
          <w:sz w:val="24"/>
          <w:szCs w:val="24"/>
          <w:shd w:val="clear" w:color="auto" w:fill="auto"/>
        </w:rPr>
        <w:t>本项目合同价=项目预算。</w:t>
      </w:r>
    </w:p>
    <w:p>
      <w:pPr>
        <w:spacing w:line="360" w:lineRule="auto"/>
        <w:ind w:firstLine="480" w:firstLineChars="200"/>
        <w:rPr>
          <w:rFonts w:hint="eastAsia" w:ascii="Times New Roman" w:hAnsi="Times New Roman" w:eastAsia="宋体" w:cs="宋体"/>
          <w:b w:val="0"/>
          <w:bCs/>
          <w:color w:val="auto"/>
          <w:kern w:val="0"/>
          <w:sz w:val="24"/>
          <w:szCs w:val="24"/>
          <w:shd w:val="clear" w:color="auto" w:fill="auto"/>
          <w:lang w:val="en-US" w:eastAsia="zh-CN"/>
        </w:rPr>
      </w:pPr>
      <w:r>
        <w:rPr>
          <w:rFonts w:hint="eastAsia" w:ascii="Times New Roman" w:hAnsi="Times New Roman" w:eastAsia="宋体" w:cs="宋体"/>
          <w:b w:val="0"/>
          <w:bCs/>
          <w:color w:val="auto"/>
          <w:kern w:val="0"/>
          <w:sz w:val="24"/>
          <w:szCs w:val="24"/>
          <w:shd w:val="clear" w:color="auto" w:fill="auto"/>
          <w:lang w:val="en-US" w:eastAsia="zh-CN"/>
        </w:rPr>
        <w:t>单个项目施工费用=依据采购文件规定的方法计算得出的工程竣工审核价×成交费率。</w:t>
      </w:r>
    </w:p>
    <w:p>
      <w:pPr>
        <w:spacing w:line="360" w:lineRule="auto"/>
        <w:ind w:firstLine="480" w:firstLineChars="200"/>
        <w:rPr>
          <w:rFonts w:hint="eastAsia" w:ascii="Times New Roman" w:hAnsi="Times New Roman" w:eastAsia="宋体" w:cs="宋体"/>
          <w:b w:val="0"/>
          <w:bCs/>
          <w:color w:val="auto"/>
          <w:kern w:val="0"/>
          <w:sz w:val="24"/>
          <w:szCs w:val="24"/>
          <w:shd w:val="clear" w:color="auto" w:fill="auto"/>
          <w:lang w:val="en-US" w:eastAsia="zh-CN"/>
        </w:rPr>
      </w:pPr>
      <w:r>
        <w:rPr>
          <w:rFonts w:hint="eastAsia" w:ascii="Times New Roman" w:hAnsi="Times New Roman" w:eastAsia="宋体" w:cs="宋体"/>
          <w:b w:val="0"/>
          <w:bCs/>
          <w:color w:val="auto"/>
          <w:kern w:val="0"/>
          <w:sz w:val="24"/>
          <w:szCs w:val="24"/>
          <w:shd w:val="clear" w:color="auto" w:fill="auto"/>
          <w:lang w:val="en-US" w:eastAsia="zh-CN"/>
        </w:rPr>
        <w:t>施工费用合计=∑单个项目施工费用，包括6家局属单位维修项目，且不得超过</w:t>
      </w:r>
      <w:r>
        <w:rPr>
          <w:rFonts w:hint="eastAsia" w:ascii="Times New Roman" w:hAnsi="Times New Roman" w:eastAsia="宋体" w:cs="宋体"/>
          <w:b w:val="0"/>
          <w:bCs/>
          <w:color w:val="auto"/>
          <w:kern w:val="0"/>
          <w:sz w:val="24"/>
          <w:szCs w:val="24"/>
          <w:shd w:val="clear" w:color="auto" w:fill="auto"/>
        </w:rPr>
        <w:t>项目预算</w:t>
      </w:r>
      <w:r>
        <w:rPr>
          <w:rFonts w:hint="eastAsia" w:ascii="Times New Roman" w:hAnsi="Times New Roman" w:eastAsia="宋体" w:cs="宋体"/>
          <w:b w:val="0"/>
          <w:bCs/>
          <w:color w:val="auto"/>
          <w:kern w:val="0"/>
          <w:sz w:val="24"/>
          <w:szCs w:val="24"/>
          <w:shd w:val="clear" w:color="auto" w:fill="auto"/>
          <w:lang w:val="en-US" w:eastAsia="zh-CN"/>
        </w:rPr>
        <w:t>，超过部分视为优惠。</w:t>
      </w:r>
    </w:p>
    <w:p>
      <w:pPr>
        <w:widowControl w:val="0"/>
        <w:autoSpaceDE w:val="0"/>
        <w:autoSpaceDN w:val="0"/>
        <w:adjustRightInd w:val="0"/>
        <w:spacing w:line="360" w:lineRule="auto"/>
        <w:ind w:firstLine="480" w:firstLineChars="200"/>
        <w:rPr>
          <w:rFonts w:ascii="Times New Roman" w:hAnsi="Times New Roman" w:eastAsia="宋体" w:cs="Times New Roman"/>
          <w:b w:val="0"/>
          <w:bCs/>
          <w:color w:val="auto"/>
          <w:kern w:val="0"/>
          <w:sz w:val="24"/>
          <w:szCs w:val="24"/>
          <w:highlight w:val="none"/>
          <w:shd w:val="clear" w:color="auto" w:fill="auto"/>
          <w:lang w:val="en-US" w:eastAsia="zh-CN" w:bidi="ar-SA"/>
        </w:rPr>
      </w:pPr>
      <w:r>
        <w:rPr>
          <w:rFonts w:ascii="Times New Roman" w:hAnsi="Times New Roman" w:eastAsia="宋体" w:cs="Times New Roman"/>
          <w:b w:val="0"/>
          <w:bCs/>
          <w:color w:val="auto"/>
          <w:kern w:val="0"/>
          <w:sz w:val="24"/>
          <w:szCs w:val="24"/>
          <w:highlight w:val="none"/>
          <w:shd w:val="clear" w:color="auto" w:fill="auto"/>
          <w:lang w:val="en-US" w:eastAsia="zh-CN" w:bidi="ar-SA"/>
        </w:rPr>
        <w:t>注：</w:t>
      </w:r>
    </w:p>
    <w:p>
      <w:pPr>
        <w:widowControl w:val="0"/>
        <w:autoSpaceDE w:val="0"/>
        <w:autoSpaceDN w:val="0"/>
        <w:adjustRightInd w:val="0"/>
        <w:spacing w:line="360" w:lineRule="auto"/>
        <w:ind w:firstLine="480" w:firstLineChars="200"/>
        <w:rPr>
          <w:rFonts w:ascii="Times New Roman" w:hAnsi="Times New Roman" w:eastAsia="宋体" w:cs="Times New Roman"/>
          <w:color w:val="auto"/>
          <w:kern w:val="0"/>
          <w:sz w:val="24"/>
          <w:szCs w:val="24"/>
          <w:highlight w:val="none"/>
          <w:shd w:val="clear" w:color="auto" w:fill="auto"/>
          <w:lang w:val="en-US" w:eastAsia="zh-CN" w:bidi="ar-SA"/>
        </w:rPr>
      </w:pPr>
      <w:r>
        <w:rPr>
          <w:rFonts w:ascii="Times New Roman" w:hAnsi="Times New Roman" w:eastAsia="宋体" w:cs="Times New Roman"/>
          <w:b w:val="0"/>
          <w:bCs/>
          <w:color w:val="auto"/>
          <w:kern w:val="0"/>
          <w:sz w:val="24"/>
          <w:szCs w:val="24"/>
          <w:highlight w:val="none"/>
          <w:shd w:val="clear" w:color="auto" w:fill="auto"/>
          <w:lang w:val="en-US" w:eastAsia="zh-CN" w:bidi="ar-SA"/>
        </w:rPr>
        <w:t>（1）工程</w:t>
      </w:r>
      <w:r>
        <w:rPr>
          <w:rFonts w:ascii="Times New Roman" w:hAnsi="Times New Roman" w:eastAsia="宋体" w:cs="Times New Roman"/>
          <w:color w:val="auto"/>
          <w:kern w:val="0"/>
          <w:sz w:val="24"/>
          <w:szCs w:val="24"/>
          <w:highlight w:val="none"/>
          <w:shd w:val="clear" w:color="auto" w:fill="auto"/>
          <w:lang w:val="en-US" w:eastAsia="zh-CN" w:bidi="ar-SA"/>
        </w:rPr>
        <w:t>竣工审计价以下述规定的定额（附：结算参考方法及参考依据）为依据，根据实际完成工程量编制，经审计</w:t>
      </w:r>
      <w:r>
        <w:rPr>
          <w:rFonts w:hint="eastAsia" w:ascii="Times New Roman" w:hAnsi="Times New Roman" w:eastAsia="宋体" w:cs="Times New Roman"/>
          <w:color w:val="auto"/>
          <w:kern w:val="0"/>
          <w:sz w:val="24"/>
          <w:szCs w:val="24"/>
          <w:highlight w:val="none"/>
          <w:shd w:val="clear" w:color="auto" w:fill="auto"/>
          <w:lang w:val="en-US" w:eastAsia="zh-CN" w:bidi="ar-SA"/>
        </w:rPr>
        <w:t>单位</w:t>
      </w:r>
      <w:r>
        <w:rPr>
          <w:rFonts w:ascii="Times New Roman" w:hAnsi="Times New Roman" w:eastAsia="宋体" w:cs="Times New Roman"/>
          <w:color w:val="auto"/>
          <w:kern w:val="0"/>
          <w:sz w:val="24"/>
          <w:szCs w:val="24"/>
          <w:highlight w:val="none"/>
          <w:shd w:val="clear" w:color="auto" w:fill="auto"/>
          <w:lang w:val="en-US" w:eastAsia="zh-CN" w:bidi="ar-SA"/>
        </w:rPr>
        <w:t>审核确认的结算款。</w:t>
      </w:r>
    </w:p>
    <w:p>
      <w:pPr>
        <w:widowControl w:val="0"/>
        <w:autoSpaceDE w:val="0"/>
        <w:autoSpaceDN w:val="0"/>
        <w:adjustRightInd w:val="0"/>
        <w:spacing w:line="360" w:lineRule="auto"/>
        <w:ind w:firstLine="480" w:firstLineChars="200"/>
        <w:rPr>
          <w:rFonts w:ascii="Times New Roman" w:hAnsi="Times New Roman" w:eastAsia="宋体" w:cs="Times New Roman"/>
          <w:color w:val="auto"/>
          <w:kern w:val="0"/>
          <w:sz w:val="24"/>
          <w:szCs w:val="24"/>
          <w:highlight w:val="none"/>
          <w:shd w:val="clear" w:color="auto" w:fill="auto"/>
          <w:lang w:val="en-US" w:eastAsia="zh-CN" w:bidi="ar-SA"/>
        </w:rPr>
      </w:pPr>
      <w:r>
        <w:rPr>
          <w:rFonts w:ascii="Times New Roman" w:hAnsi="Times New Roman" w:eastAsia="宋体" w:cs="Times New Roman"/>
          <w:color w:val="auto"/>
          <w:kern w:val="0"/>
          <w:sz w:val="24"/>
          <w:szCs w:val="24"/>
          <w:highlight w:val="none"/>
          <w:shd w:val="clear" w:color="auto" w:fill="auto"/>
          <w:lang w:val="en-US" w:eastAsia="zh-CN" w:bidi="ar-SA"/>
        </w:rPr>
        <w:t>（2）项目成交供应商根据与采购人签订的《施工合同》结算施工费用，并以项目成交供应商名义直接为采购人开具合法的发票且加盖项目成交供应商的公章。</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shd w:val="clear" w:color="auto" w:fill="auto"/>
        </w:rPr>
      </w:pPr>
      <w:r>
        <w:rPr>
          <w:rFonts w:hint="eastAsia" w:ascii="Times New Roman" w:hAnsi="Times New Roman" w:eastAsia="宋体" w:cs="宋体"/>
          <w:kern w:val="0"/>
          <w:sz w:val="24"/>
          <w:szCs w:val="24"/>
          <w:shd w:val="clear" w:color="auto" w:fill="auto"/>
        </w:rPr>
        <w:t>附：结算参考方法及参考依据：</w:t>
      </w:r>
    </w:p>
    <w:p>
      <w:pPr>
        <w:spacing w:line="360" w:lineRule="auto"/>
        <w:ind w:firstLine="480" w:firstLineChars="200"/>
        <w:rPr>
          <w:rFonts w:hint="eastAsia" w:ascii="Times New Roman" w:hAnsi="Times New Roman" w:eastAsia="宋体" w:cs="Times New Roman"/>
          <w:kern w:val="0"/>
          <w:sz w:val="24"/>
          <w:szCs w:val="24"/>
          <w:shd w:val="clear" w:color="auto" w:fill="auto"/>
        </w:rPr>
      </w:pPr>
      <w:r>
        <w:rPr>
          <w:rFonts w:hint="eastAsia" w:ascii="Times New Roman" w:hAnsi="Times New Roman" w:eastAsia="宋体" w:cs="宋体"/>
          <w:kern w:val="0"/>
          <w:sz w:val="24"/>
          <w:szCs w:val="24"/>
          <w:shd w:val="clear" w:color="auto" w:fill="auto"/>
        </w:rPr>
        <w:t>①小额零星项目工程结算和审计采用最新版安徽省建设工程计价依据，包括《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园林绿化工程计价定额》、《安徽省仿古建筑工程计价定额》和</w:t>
      </w:r>
      <w:r>
        <w:rPr>
          <w:rFonts w:hint="eastAsia" w:ascii="Times New Roman" w:hAnsi="Times New Roman" w:eastAsia="宋体" w:cs="宋体"/>
          <w:kern w:val="0"/>
          <w:sz w:val="24"/>
          <w:szCs w:val="24"/>
          <w:shd w:val="clear" w:color="auto" w:fill="auto"/>
          <w:lang w:eastAsia="zh-CN"/>
        </w:rPr>
        <w:t>《</w:t>
      </w:r>
      <w:r>
        <w:rPr>
          <w:rFonts w:hint="default" w:ascii="Times New Roman" w:hAnsi="Times New Roman" w:eastAsia="宋体" w:cs="宋体"/>
          <w:kern w:val="0"/>
          <w:sz w:val="24"/>
          <w:szCs w:val="24"/>
          <w:shd w:val="clear" w:color="auto" w:fill="auto"/>
          <w:lang w:val="en-US" w:eastAsia="zh-CN"/>
        </w:rPr>
        <w:t>安徽省房屋修缮工程计价定额</w:t>
      </w:r>
      <w:r>
        <w:rPr>
          <w:rFonts w:hint="eastAsia" w:ascii="Times New Roman" w:hAnsi="Times New Roman" w:eastAsia="宋体" w:cs="宋体"/>
          <w:kern w:val="0"/>
          <w:sz w:val="24"/>
          <w:szCs w:val="24"/>
          <w:shd w:val="clear" w:color="auto" w:fill="auto"/>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shd w:val="clear" w:color="auto" w:fill="auto"/>
        </w:rPr>
      </w:pPr>
      <w:r>
        <w:rPr>
          <w:rFonts w:hint="eastAsia" w:ascii="Times New Roman" w:hAnsi="Times New Roman" w:eastAsia="宋体" w:cs="宋体"/>
          <w:kern w:val="0"/>
          <w:sz w:val="24"/>
          <w:szCs w:val="24"/>
          <w:shd w:val="clear" w:color="auto" w:fill="auto"/>
        </w:rPr>
        <w:t>人工费调整执行合肥市造价站最新相关文件规定；取费程序及标准执行合肥市造价站的规定。</w:t>
      </w:r>
    </w:p>
    <w:p>
      <w:pPr>
        <w:widowControl w:val="0"/>
        <w:autoSpaceDE w:val="0"/>
        <w:autoSpaceDN w:val="0"/>
        <w:adjustRightInd w:val="0"/>
        <w:spacing w:line="360" w:lineRule="auto"/>
        <w:ind w:firstLine="480" w:firstLineChars="200"/>
        <w:rPr>
          <w:rFonts w:hint="eastAsia" w:ascii="Times New Roman" w:hAnsi="Times New Roman" w:eastAsia="宋体" w:cs="黑体"/>
          <w:color w:val="000000"/>
          <w:kern w:val="0"/>
          <w:sz w:val="24"/>
          <w:szCs w:val="24"/>
          <w:shd w:val="clear" w:color="auto" w:fill="auto"/>
          <w:lang w:val="en-US" w:eastAsia="zh-CN" w:bidi="ar-SA"/>
        </w:rPr>
      </w:pPr>
      <w:r>
        <w:rPr>
          <w:rFonts w:hint="eastAsia" w:ascii="Times New Roman" w:hAnsi="Times New Roman" w:eastAsia="宋体" w:cs="Times New Roman"/>
          <w:color w:val="auto"/>
          <w:kern w:val="0"/>
          <w:sz w:val="24"/>
          <w:szCs w:val="24"/>
          <w:highlight w:val="none"/>
          <w:shd w:val="clear" w:color="auto" w:fill="auto"/>
          <w:lang w:val="en-US" w:eastAsia="zh-CN" w:bidi="ar-SA"/>
        </w:rPr>
        <w:t>若存在上述定额均没有的子目，则由施工单位组价，并报征集人确认后纳入工程结算。</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rPr>
      </w:pPr>
      <w:r>
        <w:rPr>
          <w:rFonts w:hint="eastAsia" w:ascii="Times New Roman" w:hAnsi="Times New Roman" w:eastAsia="宋体" w:cs="宋体"/>
          <w:kern w:val="0"/>
          <w:sz w:val="24"/>
          <w:szCs w:val="24"/>
          <w:shd w:val="clear" w:color="auto" w:fill="auto"/>
        </w:rPr>
        <w:t>②主要材料约定：主要材料价套用委托项目当月合肥地区建设工程材料市场信息价（正本）并符合采购人指定的品牌及要求；信息价中不含的主材价格及特殊材料需经采购人及采购人的审计部门或由其委托的中介机构共同询价确定（询价确定的材料单价不计取优惠费用）</w:t>
      </w:r>
      <w:r>
        <w:rPr>
          <w:rFonts w:hint="eastAsia" w:ascii="宋体" w:hAnsi="宋体" w:eastAsia="宋体" w:cs="宋体"/>
          <w:bCs/>
          <w:kern w:val="0"/>
          <w:sz w:val="24"/>
          <w:szCs w:val="24"/>
        </w:rPr>
        <w:t>。</w:t>
      </w:r>
    </w:p>
    <w:bookmarkEnd w:id="15"/>
    <w:p>
      <w:pPr>
        <w:keepNext/>
        <w:keepLines/>
        <w:pageBreakBefore w:val="0"/>
        <w:widowControl w:val="0"/>
        <w:kinsoku/>
        <w:wordWrap/>
        <w:overflowPunct/>
        <w:topLinePunct w:val="0"/>
        <w:autoSpaceDE/>
        <w:autoSpaceDN/>
        <w:bidi w:val="0"/>
        <w:adjustRightInd/>
        <w:snapToGrid/>
        <w:spacing w:before="0" w:after="0" w:line="360" w:lineRule="auto"/>
        <w:jc w:val="both"/>
        <w:outlineLvl w:val="1"/>
        <w:rPr>
          <w:rFonts w:hint="eastAsia" w:ascii="宋体" w:hAnsi="宋体" w:eastAsia="宋体" w:cs="宋体"/>
          <w:b/>
          <w:bCs/>
          <w:kern w:val="2"/>
          <w:sz w:val="24"/>
          <w:szCs w:val="24"/>
          <w:lang w:val="en-US" w:eastAsia="zh-CN" w:bidi="ar-SA"/>
        </w:rPr>
      </w:pPr>
      <w:bookmarkStart w:id="16" w:name="_Toc26113"/>
      <w:bookmarkStart w:id="17" w:name="_Toc527541657"/>
      <w:bookmarkStart w:id="18" w:name="_Toc25124"/>
      <w:r>
        <w:rPr>
          <w:rFonts w:hint="eastAsia" w:ascii="宋体" w:hAnsi="宋体" w:eastAsia="宋体" w:cs="宋体"/>
          <w:b/>
          <w:bCs/>
          <w:kern w:val="2"/>
          <w:sz w:val="24"/>
          <w:szCs w:val="24"/>
          <w:lang w:val="en-US" w:eastAsia="zh-CN" w:bidi="ar-SA"/>
        </w:rPr>
        <w:t>四、</w:t>
      </w:r>
      <w:bookmarkEnd w:id="16"/>
      <w:bookmarkEnd w:id="17"/>
      <w:bookmarkEnd w:id="18"/>
      <w:r>
        <w:rPr>
          <w:rFonts w:hint="eastAsia" w:ascii="宋体" w:hAnsi="宋体" w:eastAsia="宋体" w:cs="宋体"/>
          <w:b/>
          <w:bCs/>
          <w:kern w:val="2"/>
          <w:sz w:val="24"/>
          <w:szCs w:val="24"/>
          <w:lang w:val="en-US" w:eastAsia="zh-CN" w:bidi="ar-SA"/>
        </w:rPr>
        <w:t>验收要求</w:t>
      </w:r>
    </w:p>
    <w:p>
      <w:pPr>
        <w:spacing w:line="360" w:lineRule="auto"/>
        <w:ind w:firstLine="482" w:firstLineChars="200"/>
        <w:rPr>
          <w:rFonts w:hint="eastAsia" w:ascii="Times New Roman" w:hAnsi="Times New Roman" w:eastAsia="宋体" w:cs="宋体"/>
          <w:b/>
          <w:bCs/>
          <w:kern w:val="0"/>
          <w:sz w:val="24"/>
          <w:szCs w:val="24"/>
          <w:shd w:val="clear" w:color="auto" w:fill="auto"/>
          <w:lang w:val="en-US" w:eastAsia="zh-CN"/>
        </w:rPr>
      </w:pPr>
      <w:r>
        <w:rPr>
          <w:rFonts w:hint="eastAsia" w:ascii="Times New Roman" w:hAnsi="Times New Roman" w:eastAsia="宋体" w:cs="宋体"/>
          <w:b/>
          <w:bCs/>
          <w:kern w:val="0"/>
          <w:sz w:val="24"/>
          <w:szCs w:val="24"/>
          <w:shd w:val="clear" w:color="auto" w:fill="auto"/>
          <w:lang w:val="en-US" w:eastAsia="zh-CN"/>
        </w:rPr>
        <w:t>4.1质量标准及质量保证</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b w:val="0"/>
          <w:bCs w:val="0"/>
          <w:kern w:val="0"/>
          <w:sz w:val="24"/>
          <w:szCs w:val="24"/>
          <w:shd w:val="clear" w:color="auto" w:fill="auto"/>
          <w:lang w:val="en-US" w:eastAsia="zh-CN"/>
        </w:rPr>
        <w:t>（1）成交供应商保证提供的服务质量（施工质量）应符合中华人民共和国相关标准及相</w:t>
      </w:r>
      <w:r>
        <w:rPr>
          <w:rFonts w:hint="eastAsia" w:ascii="Times New Roman" w:hAnsi="Times New Roman" w:eastAsia="宋体" w:cs="宋体"/>
          <w:kern w:val="0"/>
          <w:sz w:val="24"/>
          <w:szCs w:val="24"/>
          <w:shd w:val="clear" w:color="auto" w:fill="auto"/>
          <w:lang w:val="en-US" w:eastAsia="zh-CN"/>
        </w:rPr>
        <w:t>应的技术规范、本次采购相关文件中的全部相关要求及成交供应商相关服务标准及相应的技术规范中之较高者。</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●《中华人民共和国建筑法》</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●《建设工程质量管理条例》</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●《建筑工程质量检验评定标准》</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●《房屋建筑工程质量保修办法》</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●《建筑装饰装修工程施工质量验收规范》</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●《给水排水工程构筑物设计规范》</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●《城镇道路工程施工与质量验收规范》</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●《给水排水管道工程施工及验收规范》</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●《公路工程质量检验评定标准》</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●《建筑工程施工质量验收统一标准》</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●《沥青路面施工及验收规范》</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●《公路路面基层施工技术规范》</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●《城市道路照明工程施工及验收规程》</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●国家现行的各专业《施工及验收规范》等。</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b w:val="0"/>
          <w:bCs w:val="0"/>
          <w:kern w:val="0"/>
          <w:sz w:val="24"/>
          <w:szCs w:val="24"/>
          <w:shd w:val="clear" w:color="auto" w:fill="auto"/>
          <w:lang w:val="en-US" w:eastAsia="zh-CN"/>
        </w:rPr>
        <w:t>（2）</w:t>
      </w:r>
      <w:r>
        <w:rPr>
          <w:rFonts w:hint="eastAsia" w:ascii="Times New Roman" w:hAnsi="Times New Roman" w:eastAsia="宋体" w:cs="宋体"/>
          <w:kern w:val="0"/>
          <w:sz w:val="24"/>
          <w:szCs w:val="24"/>
          <w:shd w:val="clear" w:color="auto" w:fill="auto"/>
          <w:lang w:val="en-US" w:eastAsia="zh-CN"/>
        </w:rPr>
        <w:t>成交供应商具有科学的质量管理体系，在施工前提交描述施工，验收等各个阶段的质量保证标准及措施的资料。单项零星工程质量不符合采购人要求或质量不合格者，采购人有权要求成交供应商停工并返工，返工费用由成交供应商承担，工期不予顺延。</w:t>
      </w:r>
    </w:p>
    <w:p>
      <w:pPr>
        <w:spacing w:line="360" w:lineRule="auto"/>
        <w:ind w:firstLine="482" w:firstLineChars="200"/>
        <w:rPr>
          <w:rFonts w:hint="eastAsia" w:ascii="Times New Roman" w:hAnsi="Times New Roman" w:eastAsia="宋体" w:cs="宋体"/>
          <w:b/>
          <w:bCs/>
          <w:kern w:val="0"/>
          <w:sz w:val="24"/>
          <w:szCs w:val="24"/>
          <w:shd w:val="clear" w:color="auto" w:fill="auto"/>
          <w:lang w:val="en-US" w:eastAsia="zh-CN"/>
        </w:rPr>
      </w:pPr>
      <w:r>
        <w:rPr>
          <w:rFonts w:hint="eastAsia" w:ascii="Times New Roman" w:hAnsi="Times New Roman" w:eastAsia="宋体" w:cs="宋体"/>
          <w:b/>
          <w:bCs/>
          <w:kern w:val="0"/>
          <w:sz w:val="24"/>
          <w:szCs w:val="24"/>
          <w:shd w:val="clear" w:color="auto" w:fill="auto"/>
          <w:lang w:val="en-US" w:eastAsia="zh-CN"/>
        </w:rPr>
        <w:t>4.2验收组织</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采购人负责组织验收工作。</w:t>
      </w:r>
    </w:p>
    <w:p>
      <w:pPr>
        <w:spacing w:line="360" w:lineRule="auto"/>
        <w:ind w:firstLine="482" w:firstLineChars="200"/>
        <w:rPr>
          <w:rFonts w:hint="eastAsia" w:ascii="Times New Roman" w:hAnsi="Times New Roman" w:eastAsia="宋体" w:cs="宋体"/>
          <w:b/>
          <w:bCs/>
          <w:kern w:val="0"/>
          <w:sz w:val="24"/>
          <w:szCs w:val="24"/>
          <w:shd w:val="clear" w:color="auto" w:fill="auto"/>
          <w:lang w:val="en-US" w:eastAsia="zh-CN"/>
        </w:rPr>
      </w:pPr>
      <w:r>
        <w:rPr>
          <w:rFonts w:hint="eastAsia" w:ascii="Times New Roman" w:hAnsi="Times New Roman" w:eastAsia="宋体" w:cs="宋体"/>
          <w:b/>
          <w:bCs/>
          <w:kern w:val="0"/>
          <w:sz w:val="24"/>
          <w:szCs w:val="24"/>
          <w:shd w:val="clear" w:color="auto" w:fill="auto"/>
          <w:lang w:val="en-US" w:eastAsia="zh-CN"/>
        </w:rPr>
        <w:t>4.3验收程序</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成立验收小组，验收人员应由采购人代表和技术专家组成。</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验收前要编制验收表格。</w:t>
      </w:r>
    </w:p>
    <w:p>
      <w:pPr>
        <w:spacing w:line="360" w:lineRule="auto"/>
        <w:ind w:firstLine="480" w:firstLineChars="200"/>
        <w:rPr>
          <w:rFonts w:hint="eastAsia" w:ascii="Times New Roman" w:hAnsi="Times New Roman" w:eastAsia="宋体" w:cs="宋体"/>
          <w:kern w:val="0"/>
          <w:sz w:val="24"/>
          <w:szCs w:val="24"/>
          <w:shd w:val="clear" w:color="auto" w:fill="auto"/>
          <w:lang w:val="en-US" w:eastAsia="zh-CN"/>
        </w:rPr>
      </w:pPr>
      <w:r>
        <w:rPr>
          <w:rFonts w:hint="eastAsia" w:ascii="Times New Roman" w:hAnsi="Times New Roman" w:eastAsia="宋体" w:cs="宋体"/>
          <w:kern w:val="0"/>
          <w:sz w:val="24"/>
          <w:szCs w:val="24"/>
          <w:shd w:val="clear" w:color="auto" w:fill="auto"/>
          <w:lang w:val="en-US" w:eastAsia="zh-CN"/>
        </w:rPr>
        <w:t>验收时双方要按照验收表格逐项验收。</w:t>
      </w:r>
    </w:p>
    <w:p>
      <w:pPr>
        <w:spacing w:line="360" w:lineRule="auto"/>
        <w:ind w:firstLine="480" w:firstLineChars="200"/>
        <w:rPr>
          <w:rFonts w:ascii="宋体" w:hAnsi="宋体" w:eastAsia="宋体" w:cs="宋体"/>
          <w:color w:val="auto"/>
          <w:kern w:val="0"/>
          <w:sz w:val="24"/>
          <w:szCs w:val="24"/>
        </w:rPr>
      </w:pPr>
      <w:r>
        <w:rPr>
          <w:rFonts w:hint="eastAsia" w:ascii="Times New Roman" w:hAnsi="Times New Roman" w:eastAsia="宋体" w:cs="宋体"/>
          <w:kern w:val="0"/>
          <w:sz w:val="24"/>
          <w:szCs w:val="24"/>
          <w:shd w:val="clear" w:color="auto" w:fill="auto"/>
          <w:lang w:val="en-US" w:eastAsia="zh-CN"/>
        </w:rPr>
        <w:t>验收方出具验收报告。</w:t>
      </w:r>
    </w:p>
    <w:p>
      <w:pPr>
        <w:keepNext/>
        <w:keepLines/>
        <w:pageBreakBefore w:val="0"/>
        <w:widowControl w:val="0"/>
        <w:kinsoku/>
        <w:wordWrap/>
        <w:overflowPunct/>
        <w:topLinePunct w:val="0"/>
        <w:autoSpaceDE/>
        <w:autoSpaceDN/>
        <w:bidi w:val="0"/>
        <w:adjustRightInd/>
        <w:snapToGrid/>
        <w:spacing w:before="0" w:after="0" w:line="360" w:lineRule="auto"/>
        <w:jc w:val="both"/>
        <w:outlineLvl w:val="1"/>
        <w:rPr>
          <w:rFonts w:hint="default" w:ascii="宋体" w:hAnsi="宋体" w:eastAsia="宋体" w:cs="宋体"/>
          <w:b/>
          <w:bCs/>
          <w:kern w:val="2"/>
          <w:sz w:val="24"/>
          <w:szCs w:val="24"/>
          <w:lang w:val="en-US" w:eastAsia="zh-CN" w:bidi="ar-SA"/>
        </w:rPr>
      </w:pPr>
      <w:bookmarkStart w:id="19" w:name="_Toc527541659"/>
      <w:bookmarkStart w:id="20" w:name="_Toc4770"/>
      <w:bookmarkStart w:id="21" w:name="_Hlk165186373"/>
      <w:bookmarkStart w:id="22" w:name="_Toc31135"/>
      <w:r>
        <w:rPr>
          <w:rFonts w:hint="eastAsia" w:ascii="宋体" w:hAnsi="宋体" w:eastAsia="宋体" w:cs="宋体"/>
          <w:b/>
          <w:bCs/>
          <w:kern w:val="2"/>
          <w:sz w:val="24"/>
          <w:szCs w:val="24"/>
          <w:lang w:val="en-US" w:eastAsia="zh-CN" w:bidi="ar-SA"/>
        </w:rPr>
        <w:t>五、</w:t>
      </w:r>
      <w:bookmarkEnd w:id="19"/>
      <w:bookmarkEnd w:id="20"/>
      <w:bookmarkEnd w:id="21"/>
      <w:bookmarkEnd w:id="22"/>
      <w:r>
        <w:rPr>
          <w:rFonts w:hint="eastAsia" w:ascii="宋体" w:hAnsi="宋体" w:eastAsia="宋体" w:cs="宋体"/>
          <w:b/>
          <w:bCs/>
          <w:kern w:val="2"/>
          <w:sz w:val="24"/>
          <w:szCs w:val="24"/>
          <w:lang w:val="en-US" w:eastAsia="zh-CN" w:bidi="ar-SA"/>
        </w:rPr>
        <w:t>采购人要求</w:t>
      </w:r>
    </w:p>
    <w:p>
      <w:pPr>
        <w:topLinePunct/>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以下任一情形，成交供应商第一次发生将被予以警告，第二次发生将被扣除履约保证金的50%，第三次发生采购人有权单方面解约、全部履约保证金不予退还， 如给采购人造成损失的，成交供应商须进行赔偿并承担相应责任：</w:t>
      </w:r>
    </w:p>
    <w:p>
      <w:pPr>
        <w:topLinePunct/>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（1）未按照定额、信息价等计价规范擅自提高报价的；</w:t>
      </w:r>
    </w:p>
    <w:p>
      <w:pPr>
        <w:topLinePunct/>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（2）除采购人原因外，未按施工任务安排及时开工的；</w:t>
      </w:r>
    </w:p>
    <w:p>
      <w:pPr>
        <w:topLinePunct/>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（3）未按施工合同规定的工期完成施工任务的；</w:t>
      </w:r>
    </w:p>
    <w:p>
      <w:pPr>
        <w:topLinePunct/>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在履行零星维修合同过程中，出现消极履约或不配合行为的。包括但不限于：对分配的维修任务以各种不正当理由推诿、拒绝承接；在维修条件基本具备的情况下，夸大施工难度或强调客观困难，经采购人督促仍不积极组织施工的；对采购人发出的维修指令或整改要求，未在规定时限内响应或反馈；未按施工规范或行业标准进行作业，存在敷衍拖拉、偷工减料、降低质量标准的行为。</w:t>
      </w:r>
    </w:p>
    <w:p>
      <w:pPr>
        <w:topLinePunct/>
        <w:spacing w:line="360" w:lineRule="auto"/>
        <w:ind w:firstLine="480" w:firstLineChars="20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（5）预结算申报超过合理时限的；</w:t>
      </w:r>
    </w:p>
    <w:p>
      <w:pPr>
        <w:topLinePunct/>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2"/>
          <w:sz w:val="24"/>
          <w:szCs w:val="24"/>
          <w:highlight w:val="none"/>
          <w:lang w:val="en-US" w:eastAsia="zh-CN"/>
        </w:rPr>
        <w:t>（6）保修未按规定及时服务的。</w:t>
      </w:r>
    </w:p>
    <w:p>
      <w:pPr>
        <w:keepNext/>
        <w:keepLines/>
        <w:pageBreakBefore w:val="0"/>
        <w:widowControl w:val="0"/>
        <w:kinsoku/>
        <w:wordWrap/>
        <w:overflowPunct/>
        <w:topLinePunct w:val="0"/>
        <w:autoSpaceDE/>
        <w:autoSpaceDN/>
        <w:bidi w:val="0"/>
        <w:adjustRightInd/>
        <w:snapToGrid/>
        <w:spacing w:before="0" w:after="0" w:line="360" w:lineRule="auto"/>
        <w:jc w:val="both"/>
        <w:outlineLvl w:val="1"/>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六、其他要求</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本项目成交供应商不得将工程分包、转包</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不得擅自转让履约责任</w:t>
      </w:r>
      <w:r>
        <w:rPr>
          <w:rFonts w:hint="eastAsia" w:ascii="宋体" w:hAnsi="宋体" w:eastAsia="宋体" w:cs="宋体"/>
          <w:color w:val="000000"/>
          <w:kern w:val="0"/>
          <w:sz w:val="24"/>
          <w:szCs w:val="24"/>
          <w:lang w:eastAsia="zh-CN"/>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响应承诺的项目经理、技术负责人、专业工程师及施工机械，施工期间须在岗在位；供应商应结合项目实施范围及区域分布，组建若干专业施工团队，明确分工、责任到人。</w:t>
      </w:r>
      <w:r>
        <w:rPr>
          <w:rFonts w:hint="eastAsia" w:ascii="宋体" w:hAnsi="宋体" w:eastAsia="宋体" w:cs="宋体"/>
          <w:color w:val="000000"/>
          <w:kern w:val="0"/>
          <w:sz w:val="24"/>
          <w:szCs w:val="24"/>
          <w:lang w:val="en-US" w:eastAsia="zh-CN"/>
        </w:rPr>
        <w:br w:type="textWrapping"/>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）不得擅自更换项目经理及项目部主要管理人员，确需更换须经采购人书面同意，更换人员资质不低于原标准。</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）成交供应商履约过程中发生任何安全事故，或其他过错给采购人造成严重损失，采购人有权单方面解除合同并追究其应当承担的责任。</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）成交供应商自行采购的材料应满足设计和规范要求的质量等级，并须按有关技术规范要求对材料质量进行检验。</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）质量要求：工程质量须符合相关规范，达到合格标准。</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）保修要求：不低于中华人民共和国建设部[2000]80号令规定保修期限。免费质保期自竣工验收签字之日起计，在保修期内因施工质量而造成返修，其费用由成交供应商负责。</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）所有施工人员要做到文明施工，包括不随地乱扔杂物、烟蒂，严禁不文明行为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车辆按照采购人指定</w:t>
      </w:r>
      <w:r>
        <w:rPr>
          <w:rFonts w:hint="eastAsia" w:ascii="宋体" w:hAnsi="宋体" w:eastAsia="宋体" w:cs="宋体"/>
          <w:color w:val="000000"/>
          <w:kern w:val="0"/>
          <w:sz w:val="24"/>
          <w:szCs w:val="24"/>
          <w:lang w:val="en-US" w:eastAsia="zh-CN"/>
        </w:rPr>
        <w:t>区域</w:t>
      </w:r>
      <w:r>
        <w:rPr>
          <w:rFonts w:hint="eastAsia" w:ascii="宋体" w:hAnsi="宋体" w:eastAsia="宋体" w:cs="宋体"/>
          <w:color w:val="000000"/>
          <w:kern w:val="0"/>
          <w:sz w:val="24"/>
          <w:szCs w:val="24"/>
        </w:rPr>
        <w:t>有序停放。</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）所有施工人员要服从采购人安全管理，落实安全措施，保障施工及人员通行安全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确保施工安全、人身安全。</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）装修施工时间限制：为避免影响工作人员休息，在采购人明确的禁止施工时间段内不得施工。</w:t>
      </w:r>
    </w:p>
    <w:p>
      <w:pPr>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）配备专职安全员，健全动火、用电安全申请批准制度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建立施工安全用电制度，确保施工用电设备的完好无损，并设置漏电保护装置。</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（13）施工场地要围挡作业的，应有护栏物隔离，并有明显的非施工人员不得入内的标志，安排专人负责围挡周围安全，严防非工作人员</w:t>
      </w:r>
      <w:r>
        <w:rPr>
          <w:rFonts w:hint="eastAsia" w:ascii="宋体" w:hAnsi="宋体" w:eastAsia="宋体" w:cs="宋体"/>
          <w:color w:val="000000"/>
          <w:kern w:val="0"/>
          <w:sz w:val="24"/>
          <w:szCs w:val="24"/>
        </w:rPr>
        <w:t>入内。对施工点的重要安全部位要重点看护，预防发生意外事故。</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施工材料采购前，成交供应商应将材料样品报采购人现场施工管理人员，经核准后采购，监理单位应做好材料样品留存、记录及材料进场查验工作。施工期间涉及防水、管材、电缆、涂料等主料须满足该材料的国家强制性标准并经采购人允许。</w:t>
      </w:r>
    </w:p>
    <w:p>
      <w:pPr>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（15）成交供应商接到维修、改造任务后须尽快组织人员进入施工现场，日常维修一般要求在2小时内响应，突发事件立即响应。零星、小型维修改造一般应在12小时内组织实施维修工作。</w:t>
      </w:r>
    </w:p>
    <w:p>
      <w:pPr>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（16）成交供应商在工程施工期间，配置一定数量的消防器材，并报送采购人核准、备案。</w:t>
      </w:r>
    </w:p>
    <w:p>
      <w:pPr>
        <w:pageBreakBefore w:val="0"/>
        <w:widowControl w:val="0"/>
        <w:kinsoku/>
        <w:wordWrap/>
        <w:overflowPunct/>
        <w:topLinePunct w:val="0"/>
        <w:autoSpaceDE/>
        <w:autoSpaceDN/>
        <w:bidi w:val="0"/>
        <w:adjustRightInd/>
        <w:snapToGrid/>
        <w:spacing w:line="360" w:lineRule="auto"/>
      </w:pPr>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00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customStyle="1" w:styleId="4">
    <w:name w:val="网格型2"/>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2026-04-16T03:50:21Z</dcterms:created>
  <dc:creator>Lenovo</dc:creator>
  <cp:lastModifiedBy>省招</cp:lastModifiedBy>
  <dcterms:modified xsi:type="dcterms:W3CDTF">2026-04-16T03:50:25Z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