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347F0">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前注：</w:t>
      </w:r>
    </w:p>
    <w:p w14:paraId="5A1496E1">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1.本采购需求中提出的服务方案仅为参考，如无明确限制，投标人可以进行优化，提供满足采购人实际需要的更优（或者性能实质上不低于的）服务方案，且此方案须经评标委员会评审认可。</w:t>
      </w:r>
    </w:p>
    <w:p w14:paraId="71DBCA8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2.政府采购政策（包括但不限于下列具体政策要求）：</w:t>
      </w:r>
    </w:p>
    <w:p w14:paraId="3E3B49E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9191AD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193CE90">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3.如采购人允许采用分包方式履行合同的，应当明确可以分包履行的相关内容。</w:t>
      </w:r>
    </w:p>
    <w:p w14:paraId="28B1DA9E">
      <w:pPr>
        <w:spacing w:line="360" w:lineRule="auto"/>
        <w:jc w:val="center"/>
        <w:outlineLvl w:val="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第1包 公共交通广告宣传项目</w:t>
      </w:r>
    </w:p>
    <w:p w14:paraId="47646984">
      <w:pPr>
        <w:spacing w:line="360" w:lineRule="auto"/>
        <w:ind w:firstLine="437"/>
        <w:outlineLvl w:val="1"/>
        <w:rPr>
          <w:rFonts w:hint="eastAsia" w:ascii="宋体" w:hAnsi="宋体" w:eastAsia="宋体" w:cs="宋体"/>
          <w:b/>
          <w:szCs w:val="21"/>
        </w:rPr>
      </w:pPr>
      <w:bookmarkStart w:id="0" w:name="_Toc192110893"/>
      <w:bookmarkStart w:id="1" w:name="_Toc21798"/>
      <w:bookmarkStart w:id="2" w:name="_Toc4148"/>
      <w:r>
        <w:rPr>
          <w:rFonts w:hint="eastAsia" w:ascii="宋体" w:hAnsi="宋体" w:eastAsia="宋体" w:cs="宋体"/>
          <w:b/>
          <w:szCs w:val="21"/>
        </w:rPr>
        <w:t>一、采购需求前附表</w:t>
      </w:r>
      <w:bookmarkEnd w:id="0"/>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5A14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2217B0B3">
            <w:pPr>
              <w:tabs>
                <w:tab w:val="center" w:pos="4153"/>
                <w:tab w:val="right" w:pos="8306"/>
              </w:tabs>
              <w:adjustRightInd w:val="0"/>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192" w:type="pct"/>
            <w:noWrap w:val="0"/>
            <w:vAlign w:val="center"/>
          </w:tcPr>
          <w:p w14:paraId="7906FF87">
            <w:pPr>
              <w:adjustRightInd w:val="0"/>
              <w:snapToGrid w:val="0"/>
              <w:spacing w:line="300" w:lineRule="auto"/>
              <w:rPr>
                <w:rFonts w:hint="eastAsia" w:ascii="宋体" w:hAnsi="宋体" w:eastAsia="宋体" w:cs="宋体"/>
                <w:b/>
                <w:bCs/>
                <w:kern w:val="0"/>
                <w:szCs w:val="21"/>
              </w:rPr>
            </w:pPr>
            <w:r>
              <w:rPr>
                <w:rFonts w:hint="eastAsia" w:ascii="宋体" w:hAnsi="宋体" w:eastAsia="宋体" w:cs="宋体"/>
                <w:b/>
                <w:bCs/>
                <w:kern w:val="0"/>
                <w:szCs w:val="21"/>
              </w:rPr>
              <w:t>条款名称</w:t>
            </w:r>
          </w:p>
        </w:tc>
        <w:tc>
          <w:tcPr>
            <w:tcW w:w="3217" w:type="pct"/>
            <w:noWrap w:val="0"/>
            <w:vAlign w:val="center"/>
          </w:tcPr>
          <w:p w14:paraId="32D4FBA8">
            <w:pPr>
              <w:adjustRightInd w:val="0"/>
              <w:snapToGrid w:val="0"/>
              <w:spacing w:line="300" w:lineRule="auto"/>
              <w:rPr>
                <w:rFonts w:hint="eastAsia" w:ascii="宋体" w:hAnsi="宋体" w:eastAsia="宋体" w:cs="宋体"/>
                <w:b/>
                <w:bCs/>
                <w:kern w:val="0"/>
                <w:szCs w:val="21"/>
              </w:rPr>
            </w:pPr>
            <w:r>
              <w:rPr>
                <w:rFonts w:hint="eastAsia" w:ascii="宋体" w:hAnsi="宋体" w:eastAsia="宋体" w:cs="宋体"/>
                <w:b/>
                <w:bCs/>
                <w:kern w:val="0"/>
                <w:szCs w:val="21"/>
              </w:rPr>
              <w:t>内容、说明与要求</w:t>
            </w:r>
          </w:p>
        </w:tc>
      </w:tr>
      <w:tr w14:paraId="5C9D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2ADFB8F7">
            <w:pPr>
              <w:tabs>
                <w:tab w:val="center" w:pos="4153"/>
                <w:tab w:val="right" w:pos="8306"/>
              </w:tabs>
              <w:adjustRightInd w:val="0"/>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1</w:t>
            </w:r>
          </w:p>
        </w:tc>
        <w:tc>
          <w:tcPr>
            <w:tcW w:w="1192" w:type="pct"/>
            <w:noWrap w:val="0"/>
            <w:vAlign w:val="center"/>
          </w:tcPr>
          <w:p w14:paraId="18D2692C">
            <w:pPr>
              <w:adjustRightInd w:val="0"/>
              <w:snapToGrid w:val="0"/>
              <w:spacing w:line="300" w:lineRule="auto"/>
              <w:rPr>
                <w:rFonts w:hint="eastAsia" w:ascii="宋体" w:hAnsi="宋体" w:eastAsia="宋体" w:cs="宋体"/>
                <w:b/>
                <w:bCs/>
                <w:color w:val="000000"/>
                <w:kern w:val="0"/>
                <w:szCs w:val="21"/>
              </w:rPr>
            </w:pPr>
            <w:r>
              <w:rPr>
                <w:rFonts w:hint="eastAsia" w:ascii="宋体" w:hAnsi="宋体" w:eastAsia="宋体" w:cs="宋体"/>
                <w:bCs/>
                <w:color w:val="000000"/>
                <w:kern w:val="0"/>
                <w:szCs w:val="21"/>
              </w:rPr>
              <w:t>付款方式</w:t>
            </w:r>
          </w:p>
        </w:tc>
        <w:tc>
          <w:tcPr>
            <w:tcW w:w="3217" w:type="pct"/>
            <w:noWrap w:val="0"/>
            <w:vAlign w:val="center"/>
          </w:tcPr>
          <w:p w14:paraId="15FD9D1F">
            <w:pPr>
              <w:adjustRightInd w:val="0"/>
              <w:snapToGrid w:val="0"/>
              <w:spacing w:before="0" w:after="0" w:line="300" w:lineRule="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合同生效后</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4月1日前</w:t>
            </w:r>
            <w:r>
              <w:rPr>
                <w:rFonts w:hint="eastAsia" w:ascii="宋体" w:hAnsi="宋体" w:eastAsia="宋体" w:cs="宋体"/>
                <w:bCs/>
                <w:color w:val="auto"/>
                <w:kern w:val="0"/>
                <w:szCs w:val="21"/>
                <w:highlight w:val="none"/>
              </w:rPr>
              <w:t>支付合同金额的50%；</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月底前中标人提供阶段性工作成果资料</w:t>
            </w:r>
            <w:r>
              <w:rPr>
                <w:rFonts w:hint="eastAsia"/>
                <w:color w:val="auto"/>
                <w:highlight w:val="none"/>
                <w:lang w:eastAsia="zh-CN"/>
              </w:rPr>
              <w:t>（</w:t>
            </w:r>
            <w:r>
              <w:rPr>
                <w:rFonts w:hint="eastAsia"/>
                <w:color w:val="auto"/>
                <w:highlight w:val="none"/>
                <w:lang w:val="en-US" w:eastAsia="zh-CN"/>
              </w:rPr>
              <w:t>至少包含广告</w:t>
            </w:r>
            <w:r>
              <w:rPr>
                <w:rFonts w:hint="eastAsia" w:ascii="宋体" w:hAnsi="宋体" w:eastAsia="宋体" w:cs="宋体"/>
                <w:color w:val="auto"/>
                <w:szCs w:val="21"/>
                <w:highlight w:val="none"/>
              </w:rPr>
              <w:t>上刊报告</w:t>
            </w:r>
            <w:r>
              <w:rPr>
                <w:rFonts w:hint="eastAsia" w:ascii="宋体" w:hAnsi="宋体" w:eastAsia="宋体" w:cs="宋体"/>
                <w:color w:val="auto"/>
                <w:szCs w:val="21"/>
                <w:highlight w:val="none"/>
                <w:lang w:val="en-US" w:eastAsia="zh-CN"/>
              </w:rPr>
              <w:t>或广告监测报告</w:t>
            </w:r>
            <w:r>
              <w:rPr>
                <w:rFonts w:hint="eastAsia"/>
                <w:color w:val="auto"/>
                <w:highlight w:val="none"/>
                <w:lang w:eastAsia="zh-CN"/>
              </w:rPr>
              <w:t>）</w:t>
            </w:r>
            <w:r>
              <w:rPr>
                <w:rFonts w:hint="eastAsia" w:ascii="宋体" w:hAnsi="宋体" w:eastAsia="宋体" w:cs="宋体"/>
                <w:bCs/>
                <w:color w:val="auto"/>
                <w:kern w:val="0"/>
                <w:szCs w:val="21"/>
                <w:highlight w:val="none"/>
              </w:rPr>
              <w:t>，经过采购人验收合格后支付合同金额的30%；余款合同执行完毕并经采购人验收合格后一次性付清。</w:t>
            </w:r>
          </w:p>
        </w:tc>
      </w:tr>
      <w:tr w14:paraId="3089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01BA9FA8">
            <w:pPr>
              <w:tabs>
                <w:tab w:val="center" w:pos="4153"/>
                <w:tab w:val="right" w:pos="8306"/>
              </w:tabs>
              <w:adjustRightInd w:val="0"/>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2</w:t>
            </w:r>
          </w:p>
        </w:tc>
        <w:tc>
          <w:tcPr>
            <w:tcW w:w="1192" w:type="pct"/>
            <w:noWrap w:val="0"/>
            <w:vAlign w:val="center"/>
          </w:tcPr>
          <w:p w14:paraId="3C8084EC">
            <w:pPr>
              <w:adjustRightInd w:val="0"/>
              <w:snapToGrid w:val="0"/>
              <w:spacing w:line="300" w:lineRule="auto"/>
              <w:rPr>
                <w:rFonts w:hint="eastAsia" w:ascii="宋体" w:hAnsi="宋体" w:eastAsia="宋体" w:cs="宋体"/>
                <w:b/>
                <w:bCs/>
                <w:kern w:val="0"/>
                <w:szCs w:val="21"/>
              </w:rPr>
            </w:pPr>
            <w:r>
              <w:rPr>
                <w:rFonts w:hint="eastAsia" w:ascii="宋体" w:hAnsi="宋体" w:eastAsia="宋体" w:cs="宋体"/>
                <w:bCs/>
                <w:kern w:val="0"/>
                <w:szCs w:val="21"/>
              </w:rPr>
              <w:t>服务地点</w:t>
            </w:r>
          </w:p>
        </w:tc>
        <w:tc>
          <w:tcPr>
            <w:tcW w:w="3217" w:type="pct"/>
            <w:noWrap w:val="0"/>
            <w:vAlign w:val="center"/>
          </w:tcPr>
          <w:p w14:paraId="5A6E5AA1">
            <w:pPr>
              <w:adjustRightInd w:val="0"/>
              <w:snapToGrid w:val="0"/>
              <w:spacing w:line="30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安徽省内，具体按采购人指定地点。</w:t>
            </w:r>
          </w:p>
        </w:tc>
      </w:tr>
      <w:tr w14:paraId="0F55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23E8C988">
            <w:pPr>
              <w:tabs>
                <w:tab w:val="center" w:pos="4153"/>
                <w:tab w:val="right" w:pos="8306"/>
              </w:tabs>
              <w:adjustRightInd w:val="0"/>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3</w:t>
            </w:r>
          </w:p>
        </w:tc>
        <w:tc>
          <w:tcPr>
            <w:tcW w:w="1192" w:type="pct"/>
            <w:noWrap w:val="0"/>
            <w:vAlign w:val="center"/>
          </w:tcPr>
          <w:p w14:paraId="5F528277">
            <w:pPr>
              <w:adjustRightInd w:val="0"/>
              <w:snapToGrid w:val="0"/>
              <w:spacing w:line="300" w:lineRule="auto"/>
              <w:rPr>
                <w:rFonts w:hint="eastAsia" w:ascii="宋体" w:hAnsi="宋体" w:eastAsia="宋体" w:cs="宋体"/>
                <w:b/>
                <w:bCs/>
                <w:kern w:val="0"/>
                <w:szCs w:val="21"/>
              </w:rPr>
            </w:pPr>
            <w:r>
              <w:rPr>
                <w:rFonts w:hint="eastAsia" w:ascii="宋体" w:hAnsi="宋体" w:eastAsia="宋体" w:cs="宋体"/>
                <w:bCs/>
                <w:kern w:val="0"/>
                <w:szCs w:val="21"/>
              </w:rPr>
              <w:t>服务期限</w:t>
            </w:r>
          </w:p>
        </w:tc>
        <w:tc>
          <w:tcPr>
            <w:tcW w:w="3217" w:type="pct"/>
            <w:noWrap w:val="0"/>
            <w:vAlign w:val="center"/>
          </w:tcPr>
          <w:p w14:paraId="678B6A27">
            <w:pPr>
              <w:adjustRightInd w:val="0"/>
              <w:snapToGrid w:val="0"/>
              <w:spacing w:line="300" w:lineRule="auto"/>
              <w:rPr>
                <w:rFonts w:hint="eastAsia" w:ascii="宋体" w:hAnsi="宋体" w:eastAsia="宋体" w:cs="宋体"/>
                <w:bCs/>
                <w:color w:val="auto"/>
                <w:kern w:val="0"/>
                <w:szCs w:val="21"/>
              </w:rPr>
            </w:pPr>
            <w:r>
              <w:rPr>
                <w:rFonts w:hint="eastAsia" w:ascii="宋体" w:hAnsi="宋体" w:eastAsia="宋体" w:cs="宋体"/>
                <w:color w:val="auto"/>
                <w:kern w:val="0"/>
                <w:szCs w:val="21"/>
                <w:lang w:val="zh-CN" w:bidi="zh-CN"/>
              </w:rPr>
              <w:t>合同生效之日起，1年</w:t>
            </w:r>
            <w:r>
              <w:rPr>
                <w:rFonts w:hint="eastAsia" w:ascii="宋体" w:hAnsi="宋体" w:eastAsia="宋体" w:cs="宋体"/>
                <w:bCs/>
                <w:color w:val="auto"/>
                <w:kern w:val="0"/>
                <w:szCs w:val="21"/>
                <w:lang w:val="en-US" w:bidi="zh-CN"/>
              </w:rPr>
              <w:t>内完成所有工作内容</w:t>
            </w:r>
            <w:r>
              <w:rPr>
                <w:rFonts w:hint="eastAsia" w:ascii="宋体" w:hAnsi="宋体" w:eastAsia="宋体" w:cs="宋体"/>
                <w:color w:val="auto"/>
                <w:kern w:val="0"/>
                <w:szCs w:val="21"/>
                <w:lang w:val="zh-CN" w:bidi="zh-CN"/>
              </w:rPr>
              <w:t>。</w:t>
            </w:r>
            <w:r>
              <w:rPr>
                <w:rFonts w:hint="eastAsia" w:ascii="宋体" w:hAnsi="宋体" w:eastAsia="宋体" w:cs="宋体"/>
                <w:color w:val="auto"/>
                <w:szCs w:val="21"/>
                <w:highlight w:val="none"/>
                <w:lang w:eastAsia="zh-CN"/>
              </w:rPr>
              <w:t>年度合同到期后，在年度预算能保障的前提下，经采购人年度考核合格双方同意可续签合同，</w:t>
            </w:r>
            <w:r>
              <w:rPr>
                <w:rFonts w:hint="eastAsia" w:ascii="宋体" w:hAnsi="宋体" w:eastAsia="宋体" w:cs="宋体"/>
                <w:color w:val="auto"/>
                <w:szCs w:val="21"/>
                <w:highlight w:val="none"/>
                <w:lang w:val="en-US" w:eastAsia="zh-CN"/>
              </w:rPr>
              <w:t>一年一签，</w:t>
            </w:r>
            <w:r>
              <w:rPr>
                <w:rFonts w:hint="eastAsia" w:ascii="宋体" w:hAnsi="宋体" w:eastAsia="宋体" w:cs="宋体"/>
                <w:color w:val="auto"/>
                <w:szCs w:val="21"/>
                <w:highlight w:val="none"/>
                <w:lang w:eastAsia="zh-CN"/>
              </w:rPr>
              <w:t>最多续签两次。</w:t>
            </w:r>
          </w:p>
        </w:tc>
      </w:tr>
      <w:tr w14:paraId="6B88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39150360">
            <w:pPr>
              <w:tabs>
                <w:tab w:val="center" w:pos="4153"/>
                <w:tab w:val="right" w:pos="8306"/>
              </w:tabs>
              <w:adjustRightInd w:val="0"/>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4</w:t>
            </w:r>
          </w:p>
        </w:tc>
        <w:tc>
          <w:tcPr>
            <w:tcW w:w="1192" w:type="pct"/>
            <w:noWrap w:val="0"/>
            <w:vAlign w:val="center"/>
          </w:tcPr>
          <w:p w14:paraId="25526C0C">
            <w:pPr>
              <w:adjustRightInd w:val="0"/>
              <w:snapToGrid w:val="0"/>
              <w:spacing w:line="300" w:lineRule="auto"/>
              <w:rPr>
                <w:rFonts w:hint="eastAsia" w:ascii="宋体" w:hAnsi="宋体" w:eastAsia="宋体" w:cs="宋体"/>
                <w:b/>
                <w:bCs/>
                <w:kern w:val="0"/>
                <w:szCs w:val="21"/>
              </w:rPr>
            </w:pPr>
            <w:r>
              <w:rPr>
                <w:rFonts w:hint="eastAsia" w:ascii="宋体" w:hAnsi="宋体" w:eastAsia="宋体" w:cs="宋体"/>
                <w:bCs/>
                <w:kern w:val="0"/>
                <w:szCs w:val="21"/>
              </w:rPr>
              <w:t>本项目采购标的名称及所属行业</w:t>
            </w:r>
          </w:p>
        </w:tc>
        <w:tc>
          <w:tcPr>
            <w:tcW w:w="3217" w:type="pct"/>
            <w:noWrap w:val="0"/>
            <w:vAlign w:val="center"/>
          </w:tcPr>
          <w:p w14:paraId="46A85BCB">
            <w:pPr>
              <w:adjustRightInd w:val="0"/>
              <w:snapToGrid w:val="0"/>
              <w:spacing w:line="30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标的名称：</w:t>
            </w:r>
            <w:r>
              <w:rPr>
                <w:rFonts w:hint="eastAsia" w:ascii="宋体" w:hAnsi="宋体" w:eastAsia="宋体" w:cs="宋体"/>
                <w:color w:val="auto"/>
                <w:szCs w:val="21"/>
                <w:lang w:eastAsia="zh-CN"/>
              </w:rPr>
              <w:t>安徽省福利彩票发行中心2026年广告费项目第1包</w:t>
            </w:r>
          </w:p>
          <w:p w14:paraId="38F036C6">
            <w:pPr>
              <w:adjustRightInd w:val="0"/>
              <w:snapToGrid w:val="0"/>
              <w:spacing w:line="30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所属行业：租赁和商务服务业</w:t>
            </w:r>
          </w:p>
        </w:tc>
      </w:tr>
    </w:tbl>
    <w:p w14:paraId="08526D40">
      <w:pPr>
        <w:spacing w:line="360" w:lineRule="auto"/>
        <w:ind w:firstLine="437"/>
        <w:outlineLvl w:val="1"/>
        <w:rPr>
          <w:rFonts w:hint="eastAsia" w:ascii="宋体" w:hAnsi="宋体" w:eastAsia="宋体" w:cs="宋体"/>
          <w:b/>
          <w:szCs w:val="21"/>
        </w:rPr>
      </w:pPr>
      <w:r>
        <w:rPr>
          <w:rFonts w:hint="eastAsia" w:ascii="宋体" w:hAnsi="宋体" w:eastAsia="宋体" w:cs="宋体"/>
          <w:b/>
          <w:szCs w:val="21"/>
        </w:rPr>
        <w:t>二、项目概况</w:t>
      </w:r>
    </w:p>
    <w:p w14:paraId="41D4693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为做好中国福利彩票品牌</w:t>
      </w:r>
      <w:r>
        <w:rPr>
          <w:rFonts w:hint="eastAsia" w:ascii="宋体" w:hAnsi="宋体" w:eastAsia="宋体" w:cs="宋体"/>
          <w:szCs w:val="21"/>
          <w:lang w:eastAsia="zh-CN"/>
        </w:rPr>
        <w:t>、</w:t>
      </w:r>
      <w:r>
        <w:rPr>
          <w:rFonts w:hint="eastAsia" w:ascii="宋体" w:hAnsi="宋体" w:eastAsia="宋体" w:cs="宋体"/>
          <w:szCs w:val="21"/>
          <w:lang w:val="en-US" w:eastAsia="zh-CN"/>
        </w:rPr>
        <w:t>公益和社会责任</w:t>
      </w:r>
      <w:r>
        <w:rPr>
          <w:rFonts w:hint="eastAsia" w:ascii="宋体" w:hAnsi="宋体" w:eastAsia="宋体" w:cs="宋体"/>
          <w:szCs w:val="21"/>
        </w:rPr>
        <w:t>宣传工作，本项目拟通过在</w:t>
      </w:r>
      <w:r>
        <w:rPr>
          <w:rFonts w:hint="eastAsia" w:ascii="宋体" w:hAnsi="宋体" w:eastAsia="宋体" w:cs="宋体"/>
          <w:szCs w:val="21"/>
          <w:lang w:val="en-US" w:eastAsia="zh-CN"/>
        </w:rPr>
        <w:t>地铁、轻轨、公交车等轨道交通</w:t>
      </w:r>
      <w:r>
        <w:rPr>
          <w:rFonts w:hint="eastAsia" w:ascii="宋体" w:hAnsi="宋体" w:eastAsia="宋体" w:cs="宋体"/>
          <w:szCs w:val="21"/>
        </w:rPr>
        <w:t>发布福彩广告，用于福利彩票品牌、游戏</w:t>
      </w:r>
      <w:r>
        <w:rPr>
          <w:rFonts w:hint="eastAsia" w:ascii="宋体" w:hAnsi="宋体" w:eastAsia="宋体" w:cs="宋体"/>
          <w:szCs w:val="21"/>
          <w:lang w:eastAsia="zh-CN"/>
        </w:rPr>
        <w:t>、</w:t>
      </w:r>
      <w:r>
        <w:rPr>
          <w:rFonts w:hint="eastAsia" w:ascii="宋体" w:hAnsi="宋体" w:eastAsia="宋体" w:cs="宋体"/>
          <w:szCs w:val="21"/>
          <w:lang w:val="en-US" w:eastAsia="zh-CN"/>
        </w:rPr>
        <w:t>活动</w:t>
      </w:r>
      <w:r>
        <w:rPr>
          <w:rFonts w:hint="eastAsia" w:ascii="宋体" w:hAnsi="宋体" w:eastAsia="宋体" w:cs="宋体"/>
          <w:szCs w:val="21"/>
        </w:rPr>
        <w:t>宣传。</w:t>
      </w:r>
    </w:p>
    <w:p w14:paraId="2813DCB7">
      <w:pPr>
        <w:spacing w:line="360" w:lineRule="auto"/>
        <w:ind w:firstLine="437"/>
        <w:outlineLvl w:val="1"/>
        <w:rPr>
          <w:rFonts w:hint="eastAsia" w:ascii="宋体" w:hAnsi="宋体" w:eastAsia="宋体" w:cs="宋体"/>
          <w:b/>
          <w:szCs w:val="21"/>
        </w:rPr>
      </w:pPr>
      <w:r>
        <w:rPr>
          <w:rFonts w:hint="eastAsia" w:ascii="宋体" w:hAnsi="宋体" w:eastAsia="宋体" w:cs="宋体"/>
          <w:b/>
          <w:szCs w:val="21"/>
        </w:rPr>
        <w:t>三、服务需求</w:t>
      </w:r>
    </w:p>
    <w:p w14:paraId="34C79A9D">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（一）广告投放</w:t>
      </w:r>
    </w:p>
    <w:p w14:paraId="052E23EC">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供应商负责做好各类媒介广告的设计、制作和投放，经采购人认可后，自行报相关主管部门审核同意后再投放，否则后果全部由供应商承担。广告投放时间均</w:t>
      </w:r>
      <w:r>
        <w:rPr>
          <w:rFonts w:hint="eastAsia" w:ascii="宋体" w:hAnsi="宋体" w:eastAsia="宋体" w:cs="宋体"/>
          <w:szCs w:val="21"/>
        </w:rPr>
        <w:t>自广告上刊之日起计算</w:t>
      </w:r>
      <w:r>
        <w:rPr>
          <w:rFonts w:hint="eastAsia" w:ascii="宋体" w:hAnsi="宋体" w:eastAsia="宋体" w:cs="宋体"/>
          <w:szCs w:val="21"/>
          <w:lang w:val="en-US" w:eastAsia="zh-CN"/>
        </w:rPr>
        <w:t>,广告投放周期均为330天。</w:t>
      </w:r>
    </w:p>
    <w:p w14:paraId="6C2B097C">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在合肥地铁二号线三孝口站厅品牌墙投放广告，广告位包括：十二封灯箱广告5块（3.06m*1.56m/块），超级灯箱广告1块（6.4m*3.1m/块），LED屏1块（5.3m*3.1m/块，福彩广告投放频次不高于10分钟/次），墙贴广告（面积约240㎡）1块，互动装置（面积20㎡左右）1块。其中灯箱广告除首次上刊外，不少于三次广告画面更换。在合肥地铁站厅内提供3场地推宣传活动场地支持，每场持续时间1天，供应商负责提供活动场地和展台，采购人负责展架、活动宣传物料制作以及活动组织工作。对福彩广告进行短视频创作并宣传报道，投放信息流曝光量不低于50万人次。</w:t>
      </w:r>
    </w:p>
    <w:p w14:paraId="080DA323">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在芜湖轻轨1号线列车投放福彩广告，广告位包括：六节车厢外车身裙板共12块（11.98m*2.05m/块），六节车厢内车门共24块（1.42m*1.08m/块），六节车厢内车窗共32块（1.22m*0.43m/块），鸠兹广场站厅十二封电子屏1块（3.06m*1.56m/块，广告投放频次不高于10分钟/次），鸠兹广场站厅立柱电子屏2块（1.3m*1.8m/块，广告投放频次不高于10分钟/次）。航拍制作一部轻轨列车运行的高清视频（含有福彩车身广告且不低于60秒，格式为mp4）。</w:t>
      </w:r>
    </w:p>
    <w:p w14:paraId="161515D5">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在全省14个地级市公交车车身投放广告，广告形式为全车身喷绘，广告位包括：车身外两侧及全车尾。除首次上刊外，不少于一次广告画面更换。具体投放线路包括：安庆市区投放线路为18路、9路；蚌埠市区投放101路、102路；池州市区投放2路、6路；阜阳市区投放1路、16路；淮北市区投放1路、118路；黄山市区投放12路、5路；六安市区投放7路、301路；马鞍山市区投放28路、127路；亳州市区投放H2路、5路；淮南市区投放3路、29路；宿州市区投放9路、18路；铜陵市区投放1路、3路；宣城市区投放5路、8路；滁州市区投放102路、101路。以上公交线路确保有一辆公交车服务本项目。</w:t>
      </w:r>
    </w:p>
    <w:p w14:paraId="21AF23DA">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（二）工期保障</w:t>
      </w:r>
    </w:p>
    <w:p w14:paraId="59137165">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供应商负责做好广告投放工期保障工作，合理规划时间安排，确定各阶段工作任务和工作计划，充分考虑、科学分析项目执行期间可能遇到的各类问题及风险，建立广告投放应急处理机制，并制订有效的处理措施，做好广告的投放和更新工作。</w:t>
      </w:r>
    </w:p>
    <w:p w14:paraId="65DB6445">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供应商确保广告的完整、及时、准确。如因法律法规或有关部门要求，需将广告调整、暂停、取消或广告无法连续投放等情形时，供应商应及时以书面形式说明情况，在采购人同意的情况下，可在同一投放区域投放等值或超过原定价值的同类型（合肥地铁品牌墙广告、轻轨广告或公交车车身广告）广告，广告投放时间顺延；否则，采购人有权解除合同且不承担任何违约责任，已发布的广告费用按照实际发布天数计算。</w:t>
      </w:r>
    </w:p>
    <w:p w14:paraId="125ADCF8">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（三）广告验收</w:t>
      </w:r>
    </w:p>
    <w:p w14:paraId="4ECE9848">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供应商须接受采购人对项目执行情况、服务质量的监督、检查和验收，采购人有权查看与项目直接相关的凭证和资料，供应商应予以配合。阶段性验收时，供应商提供阶段性验收报告和验收材料，说明项目执行情况，验收材料至少包含广告投放区域、投放线路和福彩广告位画面照片等内容。项目结束后，供应商出具项目总结报告，针对项目提出具有建设性的意见或建议。</w:t>
      </w:r>
    </w:p>
    <w:p w14:paraId="04BAF9D9">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（四）服务团队</w:t>
      </w:r>
    </w:p>
    <w:p w14:paraId="528F9CEB">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1.供应商须组建专门的项目团队，保障活动有序、按计划实施。团队人员不少于7人，人员要求如下：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5622"/>
        <w:gridCol w:w="1230"/>
      </w:tblGrid>
      <w:tr w14:paraId="48C0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297D52CB">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5622" w:type="dxa"/>
            <w:tcBorders>
              <w:top w:val="single" w:color="auto" w:sz="4" w:space="0"/>
              <w:left w:val="single" w:color="auto" w:sz="4" w:space="0"/>
              <w:bottom w:val="single" w:color="auto" w:sz="4" w:space="0"/>
              <w:right w:val="single" w:color="auto" w:sz="4" w:space="0"/>
            </w:tcBorders>
            <w:noWrap/>
            <w:vAlign w:val="center"/>
          </w:tcPr>
          <w:p w14:paraId="11CE78C8">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1D23FC45">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人员数量（人）</w:t>
            </w:r>
          </w:p>
        </w:tc>
      </w:tr>
      <w:tr w14:paraId="0D9B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54954625">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26EEC879">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项目负责人</w:t>
            </w:r>
          </w:p>
        </w:tc>
        <w:tc>
          <w:tcPr>
            <w:tcW w:w="1230" w:type="dxa"/>
            <w:tcBorders>
              <w:top w:val="single" w:color="auto" w:sz="4" w:space="0"/>
              <w:left w:val="single" w:color="auto" w:sz="4" w:space="0"/>
              <w:bottom w:val="single" w:color="auto" w:sz="4" w:space="0"/>
              <w:right w:val="single" w:color="auto" w:sz="4" w:space="0"/>
            </w:tcBorders>
            <w:noWrap/>
            <w:vAlign w:val="center"/>
          </w:tcPr>
          <w:p w14:paraId="5A066086">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1</w:t>
            </w:r>
          </w:p>
        </w:tc>
      </w:tr>
      <w:tr w14:paraId="133E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5B36DD2B">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48150F0E">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策划</w:t>
            </w:r>
            <w:r>
              <w:rPr>
                <w:rFonts w:hint="eastAsia" w:ascii="宋体" w:hAnsi="宋体" w:eastAsia="宋体"/>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708F7356">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r>
      <w:tr w14:paraId="7CB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5AE66E44">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4B08A3ED">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美术设计</w:t>
            </w:r>
            <w:r>
              <w:rPr>
                <w:rFonts w:hint="eastAsia" w:ascii="宋体" w:hAnsi="宋体" w:eastAsia="宋体"/>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3E6C3169">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r>
      <w:tr w14:paraId="3155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3EAC8429">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035C24B2">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摄影摄像</w:t>
            </w:r>
            <w:r>
              <w:rPr>
                <w:rFonts w:hint="eastAsia" w:ascii="宋体" w:hAnsi="宋体" w:eastAsia="宋体"/>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28D926C6">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1</w:t>
            </w:r>
          </w:p>
        </w:tc>
      </w:tr>
      <w:tr w14:paraId="184F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2B7F9D93">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53FBECE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后期制作岗位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5A9581B9">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r>
    </w:tbl>
    <w:p w14:paraId="68840423">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2.供应商服务团队能够认真、准确、及时地履行职责和胜任本项目工作，保证项目团队组成的稳定性，如需更换项目成员，应就被调换人员和接替人员事先取得采购人的同意，人员更换应在 3个工作日前告知采购人。接替人员的资历应当不低于被调换的人员。如更换后的人员无法胜任工作，采购人有权要求更换人员，因此造成的工期延误由中标供应商承担。</w:t>
      </w:r>
    </w:p>
    <w:p w14:paraId="33D073E8">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四、报价要求</w:t>
      </w:r>
    </w:p>
    <w:p w14:paraId="5035447F">
      <w:pPr>
        <w:pStyle w:val="2"/>
        <w:numPr>
          <w:ilvl w:val="0"/>
          <w:numId w:val="0"/>
        </w:num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本项目按照合肥地铁广告、芜湖轻轨广告和14个市公交车车身广告分项报价</w:t>
      </w:r>
      <w:r>
        <w:rPr>
          <w:rFonts w:hint="eastAsia" w:ascii="宋体" w:hAnsi="宋体" w:eastAsia="宋体" w:cs="宋体"/>
          <w:b/>
          <w:bCs/>
          <w:color w:val="auto"/>
          <w:szCs w:val="21"/>
          <w:lang w:val="en-US" w:eastAsia="zh-CN"/>
        </w:rPr>
        <w:t>（未提供分项报价，投标无效）</w:t>
      </w:r>
      <w:r>
        <w:rPr>
          <w:rFonts w:hint="eastAsia" w:ascii="宋体" w:hAnsi="宋体" w:eastAsia="宋体" w:cs="宋体"/>
          <w:color w:val="auto"/>
          <w:szCs w:val="21"/>
          <w:lang w:val="en-US" w:eastAsia="zh-CN"/>
        </w:rPr>
        <w:t>，最高限价240万元</w:t>
      </w:r>
      <w:r>
        <w:rPr>
          <w:rFonts w:hint="eastAsia" w:ascii="宋体" w:hAnsi="宋体" w:eastAsia="宋体" w:cs="宋体"/>
          <w:b/>
          <w:bCs/>
          <w:color w:val="auto"/>
          <w:szCs w:val="21"/>
          <w:lang w:val="en-US" w:eastAsia="zh-CN"/>
        </w:rPr>
        <w:t>（报价超过最高限价要求的投标无效）</w:t>
      </w:r>
      <w:r>
        <w:rPr>
          <w:rFonts w:hint="eastAsia" w:ascii="宋体" w:hAnsi="宋体" w:eastAsia="宋体" w:cs="宋体"/>
          <w:color w:val="auto"/>
          <w:szCs w:val="21"/>
          <w:lang w:val="en-US" w:eastAsia="zh-CN"/>
        </w:rPr>
        <w:t>，报价包括在采购范围内所需要的广告位租金、广告设计制作、广告发布、技术保障、人员工资等费用、管理费、运费、税费、利润、完成合同所需的一切本身和不可或缺的所有工作开支、政策性文件规定及合同包含的所有风险、责任等各项全部费用。</w:t>
      </w:r>
      <w:r>
        <w:rPr>
          <w:rFonts w:hint="eastAsia" w:ascii="宋体" w:hAnsi="宋体" w:eastAsia="宋体" w:cs="宋体"/>
          <w:color w:val="auto"/>
          <w:szCs w:val="21"/>
        </w:rPr>
        <w:t>供应商在服务实施过程中的安全责任由供应商负责，采购人不承担任何安全责任，也不承担如发生安全事故产生的任何责任。</w:t>
      </w:r>
    </w:p>
    <w:p w14:paraId="6FCC6149">
      <w:pPr>
        <w:numPr>
          <w:ilvl w:val="0"/>
          <w:numId w:val="3"/>
        </w:numPr>
        <w:adjustRightInd w:val="0"/>
        <w:snapToGrid w:val="0"/>
        <w:spacing w:line="360" w:lineRule="auto"/>
        <w:ind w:firstLine="437"/>
        <w:outlineLvl w:val="1"/>
        <w:rPr>
          <w:rFonts w:hint="eastAsia" w:ascii="宋体" w:hAnsi="宋体" w:eastAsia="宋体" w:cs="宋体"/>
          <w:b/>
          <w:color w:val="auto"/>
          <w:szCs w:val="21"/>
        </w:rPr>
      </w:pPr>
      <w:r>
        <w:rPr>
          <w:rFonts w:hint="eastAsia" w:ascii="宋体" w:hAnsi="宋体" w:eastAsia="宋体" w:cs="宋体"/>
          <w:b/>
          <w:szCs w:val="21"/>
        </w:rPr>
        <w:t>其他要求</w:t>
      </w:r>
    </w:p>
    <w:p w14:paraId="2BBF47A9">
      <w:pPr>
        <w:numPr>
          <w:ilvl w:val="0"/>
          <w:numId w:val="0"/>
        </w:numPr>
        <w:adjustRightInd w:val="0"/>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供应商设计制作的各类广告物料的内容应积极向上，符合国家要求，不存在意识形态领域问题，能够清晰地展现福彩品牌形象、公益理念等要素。</w:t>
      </w:r>
    </w:p>
    <w:p w14:paraId="228B9BFA">
      <w:pPr>
        <w:pStyle w:val="2"/>
        <w:numPr>
          <w:ilvl w:val="0"/>
          <w:numId w:val="0"/>
        </w:numPr>
        <w:adjustRightInd w:val="0"/>
        <w:snapToGri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供应商须按照采购人要求对项目涉及广告发布方案进行修改完善直至采购人满意为止，方案中涉及的各项物料、文字材料、PPT、视频以及产出成果等需经采购人审核，且不得涉及侵权</w:t>
      </w:r>
      <w:r>
        <w:rPr>
          <w:rFonts w:hint="eastAsia" w:ascii="宋体" w:hAnsi="宋体" w:eastAsia="宋体" w:cs="宋体"/>
          <w:szCs w:val="21"/>
          <w:highlight w:val="none"/>
        </w:rPr>
        <w:t>。如采购协议约定的活动日期、场地等因政策、政府或不可抗力、意外事件的影响需要变更，采购人及时书面通知供应商，供应商作相应调整。</w:t>
      </w:r>
    </w:p>
    <w:p w14:paraId="3CE36984">
      <w:pPr>
        <w:pStyle w:val="2"/>
        <w:numPr>
          <w:ilvl w:val="0"/>
          <w:numId w:val="0"/>
        </w:num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.本项目项下包括但不限于成果或作品（含过程性、阶段性的成果或作品）。上述成果或作品包括但不限于：</w:t>
      </w:r>
      <w:r>
        <w:rPr>
          <w:rFonts w:hint="eastAsia" w:ascii="宋体" w:hAnsi="宋体" w:eastAsia="宋体" w:cs="宋体"/>
          <w:szCs w:val="21"/>
          <w:lang w:val="en-US" w:eastAsia="zh-CN"/>
        </w:rPr>
        <w:t>物料</w:t>
      </w:r>
      <w:r>
        <w:rPr>
          <w:rFonts w:hint="eastAsia" w:ascii="宋体" w:hAnsi="宋体" w:eastAsia="宋体" w:cs="宋体"/>
          <w:szCs w:val="21"/>
        </w:rPr>
        <w:t>、</w:t>
      </w:r>
      <w:r>
        <w:rPr>
          <w:rFonts w:hint="eastAsia" w:ascii="宋体" w:hAnsi="宋体" w:eastAsia="宋体" w:cs="宋体"/>
          <w:szCs w:val="21"/>
          <w:lang w:val="en-US" w:eastAsia="zh-CN"/>
        </w:rPr>
        <w:t>视频、</w:t>
      </w:r>
      <w:r>
        <w:rPr>
          <w:rFonts w:hint="eastAsia" w:ascii="宋体" w:hAnsi="宋体" w:eastAsia="宋体" w:cs="宋体"/>
          <w:szCs w:val="21"/>
        </w:rPr>
        <w:t>文字、图案及组合或其他各种形式的产物。上述成果或作品的知识产权（包括但不限于著作权、商标权、专利权、工业产权、外观设计和其他知识产权等）的所有权均归安徽省福利彩票发行中心所有，可按安徽省福利彩票发行中心的意愿自行决定占有、使用、 收益及处分。其中供应商在提供服务过程中使用任何第三方既有权利的作品或成果时，需拥有相应的权利基础，不得侵害第三方权利，同时供应商在提供本次采购项下的服务时，需无条件向安徽省福利彩票发行中心让渡前述成果或作品可能使用到的涉及第三方的全部知识产权，对此安徽省福利彩票发行中心不另行支付任何费用。</w:t>
      </w:r>
      <w:r>
        <w:rPr>
          <w:rFonts w:hint="eastAsia" w:ascii="宋体" w:hAnsi="宋体" w:eastAsia="宋体" w:cs="宋体"/>
          <w:b/>
          <w:bCs/>
          <w:szCs w:val="21"/>
          <w:lang w:val="en-US" w:eastAsia="zh-CN"/>
        </w:rPr>
        <w:t xml:space="preserve"> </w:t>
      </w:r>
    </w:p>
    <w:p w14:paraId="41E877DA">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36EC3"/>
    <w:multiLevelType w:val="singleLevel"/>
    <w:tmpl w:val="A9F36EC3"/>
    <w:lvl w:ilvl="0" w:tentative="0">
      <w:start w:val="5"/>
      <w:numFmt w:val="chineseCounting"/>
      <w:suff w:val="nothing"/>
      <w:lvlText w:val="%1、"/>
      <w:lvlJc w:val="left"/>
      <w:rPr>
        <w:rFonts w:hint="eastAsia"/>
      </w:rPr>
    </w:lvl>
  </w:abstractNum>
  <w:abstractNum w:abstractNumId="1">
    <w:nsid w:val="DC9A3644"/>
    <w:multiLevelType w:val="singleLevel"/>
    <w:tmpl w:val="DC9A364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2">
    <w:nsid w:val="04240467"/>
    <w:multiLevelType w:val="multilevel"/>
    <w:tmpl w:val="04240467"/>
    <w:lvl w:ilvl="0" w:tentative="0">
      <w:start w:val="1"/>
      <w:numFmt w:val="decimal"/>
      <w:suff w:val="nothing"/>
      <w:lvlText w:val="%1"/>
      <w:lvlJc w:val="center"/>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E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Bullet 2"/>
    <w:basedOn w:val="1"/>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2026-01-06T13:09:50Z</dcterms:created>
  <dc:creator>Administrator</dc:creator>
  <cp:lastModifiedBy>修订</cp:lastModifiedBy>
  <dcterms:modified xsi:type="dcterms:W3CDTF">2026-01-06T13:09:54Z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eyJoZGlkIjoiMjFlNDcxMzhjZTVlNDBjMzBjMjM4MDQwMDM2MDcyZTEiLCJ1c2VySWQiOiIzMjQ4MTEwODkifQ==</vt:lpwstr>
  </property>
  <property fmtid="{D5CDD505-2E9C-101B-9397-08002B2CF9AE}" pid="4" name="ICV">
    <vt:lpwstr>3B244BF7132F4CC0BCC0775334D2A412_12</vt:lpwstr>
  </property>
</Properties>
</file>